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2CC" w:rsidRPr="005145F6" w:rsidRDefault="003F08D1" w:rsidP="007162CC">
      <w:pPr>
        <w:spacing w:after="0" w:line="276" w:lineRule="auto"/>
        <w:jc w:val="center"/>
        <w:rPr>
          <w:b/>
          <w:bCs/>
          <w:color w:val="FF0000"/>
          <w:sz w:val="30"/>
          <w:szCs w:val="30"/>
        </w:rPr>
      </w:pPr>
      <w:r w:rsidRPr="00AA367C">
        <w:rPr>
          <w:b/>
          <w:bCs/>
          <w:color w:val="auto"/>
          <w:sz w:val="32"/>
          <w:szCs w:val="31"/>
        </w:rPr>
        <w:t>COMUNICATO STAMPA</w:t>
      </w:r>
      <w:r w:rsidRPr="005529BC">
        <w:rPr>
          <w:b/>
          <w:bCs/>
          <w:color w:val="FF0000"/>
          <w:sz w:val="32"/>
          <w:szCs w:val="31"/>
        </w:rPr>
        <w:br/>
      </w:r>
      <w:r w:rsidR="007162CC" w:rsidRPr="00D82285">
        <w:rPr>
          <w:b/>
          <w:bCs/>
          <w:color w:val="auto"/>
          <w:sz w:val="30"/>
          <w:szCs w:val="30"/>
        </w:rPr>
        <w:t>CORONAVIRUS: TORNANO A SALIRE I CONTAGI</w:t>
      </w:r>
      <w:r w:rsidR="00374CF3">
        <w:rPr>
          <w:b/>
          <w:bCs/>
          <w:color w:val="auto"/>
          <w:sz w:val="30"/>
          <w:szCs w:val="30"/>
        </w:rPr>
        <w:t>,</w:t>
      </w:r>
      <w:r w:rsidR="007F22DF">
        <w:rPr>
          <w:b/>
          <w:bCs/>
          <w:color w:val="auto"/>
          <w:sz w:val="30"/>
          <w:szCs w:val="30"/>
        </w:rPr>
        <w:t xml:space="preserve"> </w:t>
      </w:r>
      <w:r w:rsidR="00374CF3" w:rsidRPr="00D82285">
        <w:rPr>
          <w:b/>
          <w:bCs/>
          <w:color w:val="auto"/>
          <w:sz w:val="30"/>
          <w:szCs w:val="30"/>
        </w:rPr>
        <w:t>+18,7%</w:t>
      </w:r>
      <w:r w:rsidR="007162CC" w:rsidRPr="00D82285">
        <w:rPr>
          <w:b/>
          <w:bCs/>
          <w:color w:val="auto"/>
          <w:sz w:val="30"/>
          <w:szCs w:val="30"/>
        </w:rPr>
        <w:t xml:space="preserve"> </w:t>
      </w:r>
      <w:r w:rsidR="00374CF3" w:rsidRPr="00D82285">
        <w:rPr>
          <w:b/>
          <w:bCs/>
          <w:color w:val="auto"/>
          <w:sz w:val="30"/>
          <w:szCs w:val="30"/>
        </w:rPr>
        <w:t>IN 7 GIORNI</w:t>
      </w:r>
      <w:r w:rsidR="00374CF3">
        <w:rPr>
          <w:b/>
          <w:bCs/>
          <w:color w:val="auto"/>
          <w:sz w:val="30"/>
          <w:szCs w:val="30"/>
        </w:rPr>
        <w:t>.</w:t>
      </w:r>
      <w:r w:rsidR="00374CF3" w:rsidRPr="00D82285">
        <w:rPr>
          <w:b/>
          <w:bCs/>
          <w:color w:val="auto"/>
          <w:sz w:val="30"/>
          <w:szCs w:val="30"/>
        </w:rPr>
        <w:t xml:space="preserve"> </w:t>
      </w:r>
      <w:r w:rsidR="00DB6C6C">
        <w:rPr>
          <w:b/>
          <w:bCs/>
          <w:color w:val="auto"/>
          <w:sz w:val="30"/>
          <w:szCs w:val="30"/>
        </w:rPr>
        <w:br/>
      </w:r>
      <w:r w:rsidR="007162CC" w:rsidRPr="00D82285">
        <w:rPr>
          <w:b/>
          <w:bCs/>
          <w:color w:val="auto"/>
          <w:sz w:val="30"/>
          <w:szCs w:val="30"/>
        </w:rPr>
        <w:t>IN CALO TERAPIE INTENSIVE (-15,1%) E RICOVERI ORDINARI (</w:t>
      </w:r>
      <w:r w:rsidR="00263E9F">
        <w:rPr>
          <w:b/>
          <w:bCs/>
          <w:color w:val="auto"/>
          <w:sz w:val="30"/>
          <w:szCs w:val="30"/>
        </w:rPr>
        <w:t>-</w:t>
      </w:r>
      <w:r w:rsidR="007162CC" w:rsidRPr="00D82285">
        <w:rPr>
          <w:b/>
          <w:bCs/>
          <w:color w:val="auto"/>
          <w:sz w:val="30"/>
          <w:szCs w:val="30"/>
        </w:rPr>
        <w:t>15,5%)</w:t>
      </w:r>
      <w:r w:rsidR="00374CF3">
        <w:rPr>
          <w:b/>
          <w:bCs/>
          <w:color w:val="auto"/>
          <w:sz w:val="30"/>
          <w:szCs w:val="30"/>
        </w:rPr>
        <w:t>,</w:t>
      </w:r>
      <w:r w:rsidR="007162CC" w:rsidRPr="00D82285">
        <w:rPr>
          <w:b/>
          <w:bCs/>
          <w:color w:val="auto"/>
          <w:sz w:val="30"/>
          <w:szCs w:val="30"/>
        </w:rPr>
        <w:t xml:space="preserve"> </w:t>
      </w:r>
      <w:r w:rsidR="00DB6C6C">
        <w:rPr>
          <w:b/>
          <w:bCs/>
          <w:color w:val="auto"/>
          <w:sz w:val="30"/>
          <w:szCs w:val="30"/>
        </w:rPr>
        <w:br/>
      </w:r>
      <w:r w:rsidR="007162CC" w:rsidRPr="00D82285">
        <w:rPr>
          <w:b/>
          <w:bCs/>
          <w:color w:val="auto"/>
          <w:sz w:val="30"/>
          <w:szCs w:val="30"/>
        </w:rPr>
        <w:t>STABILI I DECESSI (+1,7%).</w:t>
      </w:r>
      <w:bookmarkStart w:id="0" w:name="_GoBack"/>
      <w:bookmarkEnd w:id="0"/>
    </w:p>
    <w:p w:rsidR="007162CC" w:rsidRDefault="007162CC" w:rsidP="007162CC">
      <w:pPr>
        <w:spacing w:after="0" w:line="276" w:lineRule="auto"/>
        <w:jc w:val="center"/>
        <w:rPr>
          <w:b/>
          <w:bCs/>
          <w:color w:val="auto"/>
          <w:sz w:val="30"/>
          <w:szCs w:val="30"/>
        </w:rPr>
      </w:pPr>
      <w:r w:rsidRPr="007162CC">
        <w:rPr>
          <w:b/>
          <w:bCs/>
          <w:color w:val="auto"/>
          <w:sz w:val="30"/>
          <w:szCs w:val="30"/>
        </w:rPr>
        <w:t xml:space="preserve">CAMPAGNA QUARTA DOSE IN CLAMOROSO RITARDO: </w:t>
      </w:r>
      <w:r w:rsidR="00374CF3" w:rsidRPr="007162CC">
        <w:rPr>
          <w:b/>
          <w:bCs/>
          <w:color w:val="auto"/>
          <w:sz w:val="30"/>
          <w:szCs w:val="30"/>
        </w:rPr>
        <w:t>SCOPERT</w:t>
      </w:r>
      <w:r w:rsidR="00374CF3">
        <w:rPr>
          <w:b/>
          <w:bCs/>
          <w:color w:val="auto"/>
          <w:sz w:val="30"/>
          <w:szCs w:val="30"/>
        </w:rPr>
        <w:t>I</w:t>
      </w:r>
      <w:r w:rsidR="00374CF3" w:rsidRPr="007162CC">
        <w:rPr>
          <w:b/>
          <w:bCs/>
          <w:color w:val="auto"/>
          <w:sz w:val="30"/>
          <w:szCs w:val="30"/>
        </w:rPr>
        <w:t xml:space="preserve"> </w:t>
      </w:r>
      <w:r w:rsidRPr="007162CC">
        <w:rPr>
          <w:b/>
          <w:bCs/>
          <w:color w:val="auto"/>
          <w:sz w:val="30"/>
          <w:szCs w:val="30"/>
        </w:rPr>
        <w:t xml:space="preserve">14,3 MILIONI DI </w:t>
      </w:r>
      <w:r w:rsidR="00DB6C6C">
        <w:rPr>
          <w:b/>
          <w:bCs/>
          <w:color w:val="auto"/>
          <w:sz w:val="30"/>
          <w:szCs w:val="30"/>
        </w:rPr>
        <w:t>OVER 60 E FRAGILI</w:t>
      </w:r>
      <w:r>
        <w:rPr>
          <w:b/>
          <w:bCs/>
          <w:color w:val="auto"/>
          <w:sz w:val="30"/>
          <w:szCs w:val="30"/>
        </w:rPr>
        <w:t>.</w:t>
      </w:r>
    </w:p>
    <w:p w:rsidR="00AA6053" w:rsidRPr="00AA6053" w:rsidRDefault="00AA6053" w:rsidP="00AA6053">
      <w:pPr>
        <w:spacing w:after="200" w:line="276" w:lineRule="auto"/>
        <w:jc w:val="center"/>
        <w:rPr>
          <w:b/>
          <w:bCs/>
          <w:iCs/>
          <w:caps/>
          <w:color w:val="auto"/>
          <w:sz w:val="30"/>
          <w:szCs w:val="30"/>
        </w:rPr>
      </w:pPr>
      <w:r>
        <w:rPr>
          <w:b/>
          <w:bCs/>
          <w:iCs/>
          <w:caps/>
          <w:color w:val="auto"/>
          <w:sz w:val="30"/>
          <w:szCs w:val="30"/>
        </w:rPr>
        <w:t xml:space="preserve">SENZA UN </w:t>
      </w:r>
      <w:r w:rsidRPr="00AA6053">
        <w:rPr>
          <w:b/>
          <w:bCs/>
          <w:iCs/>
          <w:caps/>
          <w:color w:val="auto"/>
          <w:sz w:val="30"/>
          <w:szCs w:val="30"/>
        </w:rPr>
        <w:t xml:space="preserve">piano di preparazione per </w:t>
      </w:r>
      <w:r>
        <w:rPr>
          <w:b/>
          <w:bCs/>
          <w:iCs/>
          <w:caps/>
          <w:color w:val="auto"/>
          <w:sz w:val="30"/>
          <w:szCs w:val="30"/>
        </w:rPr>
        <w:t>L’</w:t>
      </w:r>
      <w:r w:rsidRPr="00AA6053">
        <w:rPr>
          <w:b/>
          <w:bCs/>
          <w:iCs/>
          <w:caps/>
          <w:color w:val="auto"/>
          <w:sz w:val="30"/>
          <w:szCs w:val="30"/>
        </w:rPr>
        <w:t>autunno-inverno</w:t>
      </w:r>
      <w:r>
        <w:rPr>
          <w:b/>
          <w:bCs/>
          <w:iCs/>
          <w:caps/>
          <w:color w:val="auto"/>
          <w:sz w:val="30"/>
          <w:szCs w:val="30"/>
        </w:rPr>
        <w:t xml:space="preserve"> </w:t>
      </w:r>
      <w:r>
        <w:rPr>
          <w:b/>
          <w:bCs/>
          <w:iCs/>
          <w:caps/>
          <w:color w:val="auto"/>
          <w:sz w:val="30"/>
          <w:szCs w:val="30"/>
        </w:rPr>
        <w:br/>
        <w:t>SI RISCHIA ANCORA UNA VOLTA DI INSEGUIRE IL VIRUS</w:t>
      </w:r>
    </w:p>
    <w:p w:rsidR="007162CC" w:rsidRPr="00AC7409" w:rsidRDefault="007162CC" w:rsidP="007162CC">
      <w:pPr>
        <w:spacing w:after="200" w:line="276" w:lineRule="auto"/>
        <w:jc w:val="both"/>
        <w:rPr>
          <w:b/>
          <w:bCs/>
          <w:caps/>
          <w:color w:val="FF0000"/>
        </w:rPr>
      </w:pPr>
      <w:r w:rsidRPr="00AC7409">
        <w:rPr>
          <w:b/>
          <w:bCs/>
          <w:color w:val="auto"/>
        </w:rPr>
        <w:t>IL MONITORAGGIO DELLA FONDAZIONE GIMBE RILEVA, NELLA SETTIMANA 17-23 AGOSTO, UN AUMENTO DEI NUOVI CASI (177.877 vs 149.885) DOVUTO</w:t>
      </w:r>
      <w:r w:rsidR="00CF7129" w:rsidRPr="00AC7409">
        <w:rPr>
          <w:b/>
          <w:bCs/>
          <w:color w:val="auto"/>
        </w:rPr>
        <w:t xml:space="preserve"> AL</w:t>
      </w:r>
      <w:r w:rsidR="00D24EBB" w:rsidRPr="00AC7409">
        <w:rPr>
          <w:b/>
          <w:bCs/>
          <w:color w:val="auto"/>
        </w:rPr>
        <w:t xml:space="preserve"> VEROSIMILE AUMENTO DELLA CIRCOLAZIONE VIRALE</w:t>
      </w:r>
      <w:r w:rsidR="007F22DF" w:rsidRPr="00AC7409">
        <w:rPr>
          <w:b/>
          <w:bCs/>
          <w:color w:val="auto"/>
        </w:rPr>
        <w:t>,</w:t>
      </w:r>
      <w:r w:rsidR="00CF7129" w:rsidRPr="00AC7409">
        <w:rPr>
          <w:b/>
          <w:bCs/>
          <w:color w:val="auto"/>
        </w:rPr>
        <w:t xml:space="preserve"> OLTRE CHE</w:t>
      </w:r>
      <w:r w:rsidRPr="00AC7409">
        <w:rPr>
          <w:b/>
          <w:bCs/>
          <w:color w:val="auto"/>
        </w:rPr>
        <w:t xml:space="preserve"> A</w:t>
      </w:r>
      <w:r w:rsidR="007F22DF" w:rsidRPr="00AC7409">
        <w:rPr>
          <w:b/>
          <w:bCs/>
          <w:color w:val="auto"/>
        </w:rPr>
        <w:t xml:space="preserve">L “RIMBALZO” POST </w:t>
      </w:r>
      <w:r w:rsidRPr="00AC7409">
        <w:rPr>
          <w:b/>
          <w:bCs/>
          <w:color w:val="auto"/>
        </w:rPr>
        <w:t xml:space="preserve">FERRAGOSTO. </w:t>
      </w:r>
      <w:r w:rsidR="00AA6053" w:rsidRPr="00AC7409">
        <w:rPr>
          <w:b/>
          <w:bCs/>
          <w:color w:val="auto"/>
        </w:rPr>
        <w:t xml:space="preserve">IN 6 PROVINCE INCIDENZA SOPRA I 500 CASI PER 100 MILA ABITANTI. </w:t>
      </w:r>
      <w:r w:rsidRPr="00AC7409">
        <w:rPr>
          <w:b/>
          <w:bCs/>
          <w:color w:val="auto"/>
        </w:rPr>
        <w:t xml:space="preserve">IN </w:t>
      </w:r>
      <w:r w:rsidR="00CF7129" w:rsidRPr="00AC7409">
        <w:rPr>
          <w:b/>
          <w:bCs/>
          <w:color w:val="auto"/>
        </w:rPr>
        <w:t>CALO</w:t>
      </w:r>
      <w:r w:rsidRPr="00AC7409">
        <w:rPr>
          <w:b/>
          <w:bCs/>
          <w:color w:val="auto"/>
        </w:rPr>
        <w:t xml:space="preserve"> GLI INDICATORI OSPEDALIERI (-1.166 RICOVERI IN AREA MEDICA, -45 IN TERAPIA INTENSIVA) E STABILI I DECESSI (759). SOSTANZIALMENTE FERME LE PERCENTUALI DI CHI HA RICEVUTO ALMENO UNA DOSE DI VACCINO (88,2% DELLA PLATEA) E DI CHI HA COMPLETATO IL CICLO VACCINALE (86,7% DELLA PLATEA). SONO 6,82 MILIONI I NON VACCINATI, DI CUI 1,31 MILIONI DI GUARITI PROTETTI SOLO TEMPORANEAMENTE. 7,63 MILIONI DI PERSONE NON HANNO ANCORA RICEVUTO LA TERZA DOSE, DI CUI 2,56 MILIONI DI GUARITI CHE NON POSSONO RICEVERLA NELL’IMMEDIATO. QUARTE DOSI: SOMMINISTRATE SOLO 2,18 MILIONI DI DOSI. </w:t>
      </w:r>
      <w:r w:rsidR="008E370A" w:rsidRPr="00AC7409">
        <w:rPr>
          <w:b/>
          <w:bCs/>
          <w:color w:val="auto"/>
        </w:rPr>
        <w:t>CON L’</w:t>
      </w:r>
      <w:r w:rsidRPr="00AC7409">
        <w:rPr>
          <w:b/>
          <w:bCs/>
          <w:color w:val="auto"/>
        </w:rPr>
        <w:t xml:space="preserve">ARRESTO DELLA DISCESA </w:t>
      </w:r>
      <w:r w:rsidR="00374CF3" w:rsidRPr="00AC7409">
        <w:rPr>
          <w:b/>
          <w:bCs/>
          <w:color w:val="auto"/>
        </w:rPr>
        <w:t>DEI CASI</w:t>
      </w:r>
      <w:r w:rsidRPr="00AC7409">
        <w:rPr>
          <w:b/>
          <w:bCs/>
          <w:color w:val="auto"/>
        </w:rPr>
        <w:t xml:space="preserve">, </w:t>
      </w:r>
      <w:r w:rsidR="008E370A" w:rsidRPr="00AC7409">
        <w:rPr>
          <w:b/>
          <w:bCs/>
          <w:color w:val="auto"/>
        </w:rPr>
        <w:t xml:space="preserve">UNA </w:t>
      </w:r>
      <w:r w:rsidRPr="00AC7409">
        <w:rPr>
          <w:b/>
          <w:bCs/>
          <w:color w:val="auto"/>
        </w:rPr>
        <w:t xml:space="preserve">POPOLAZIONE A RISCHIO MOLTO NUMEROSA E </w:t>
      </w:r>
      <w:r w:rsidR="00CF7129" w:rsidRPr="00AC7409">
        <w:rPr>
          <w:b/>
          <w:bCs/>
          <w:color w:val="auto"/>
        </w:rPr>
        <w:t>SENZA UN</w:t>
      </w:r>
      <w:r w:rsidRPr="00AC7409">
        <w:rPr>
          <w:b/>
          <w:bCs/>
          <w:color w:val="auto"/>
        </w:rPr>
        <w:t xml:space="preserve"> PIANO DI PREPARAZIONE PER LA STAGIONE AUTUNNO-INVERNO </w:t>
      </w:r>
      <w:r w:rsidR="008E370A" w:rsidRPr="00AC7409">
        <w:rPr>
          <w:b/>
          <w:bCs/>
          <w:color w:val="auto"/>
        </w:rPr>
        <w:t xml:space="preserve">SI RISCHIA </w:t>
      </w:r>
      <w:r w:rsidR="00CE4FA2" w:rsidRPr="00AC7409">
        <w:rPr>
          <w:b/>
          <w:bCs/>
          <w:caps/>
          <w:color w:val="auto"/>
        </w:rPr>
        <w:t>DI comprometteRE la salute e la vita delle persone più fragili</w:t>
      </w:r>
      <w:r w:rsidR="008E370A" w:rsidRPr="00AC7409">
        <w:rPr>
          <w:b/>
          <w:bCs/>
          <w:caps/>
          <w:color w:val="auto"/>
        </w:rPr>
        <w:t>.</w:t>
      </w:r>
      <w:r w:rsidR="008E370A" w:rsidRPr="00AC7409">
        <w:rPr>
          <w:b/>
          <w:bCs/>
          <w:color w:val="auto"/>
        </w:rPr>
        <w:t xml:space="preserve"> </w:t>
      </w:r>
    </w:p>
    <w:p w:rsidR="00E62D33" w:rsidRDefault="005145F6" w:rsidP="007162CC">
      <w:pPr>
        <w:spacing w:after="0" w:line="276" w:lineRule="auto"/>
        <w:jc w:val="center"/>
        <w:rPr>
          <w:rFonts w:eastAsia="Times New Roman" w:cs="Calibri"/>
          <w:color w:val="FF0000"/>
          <w:bdr w:val="none" w:sz="0" w:space="0" w:color="auto"/>
        </w:rPr>
      </w:pPr>
      <w:r>
        <w:rPr>
          <w:rFonts w:cs="Calibri"/>
          <w:b/>
          <w:bCs/>
          <w:color w:val="auto"/>
        </w:rPr>
        <w:t xml:space="preserve">25 agosto </w:t>
      </w:r>
      <w:r w:rsidR="001F00E4" w:rsidRPr="005529BC">
        <w:rPr>
          <w:rFonts w:cs="Calibri"/>
          <w:b/>
          <w:bCs/>
          <w:color w:val="auto"/>
        </w:rPr>
        <w:t>2022 - Fondazione GIMBE, Bologna</w:t>
      </w:r>
    </w:p>
    <w:p w:rsidR="00511981" w:rsidRPr="00511981" w:rsidRDefault="00511981" w:rsidP="00650E6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511981">
        <w:rPr>
          <w:color w:val="auto"/>
        </w:rPr>
        <w:t>Il monitoraggio indipendente della Fondazione GIMBE rileva nella settimana 17-23 agosto 2022, rispetto alla precedente, un aumento di nuovi casi (177.877 vs 149.885) (</w:t>
      </w:r>
      <w:r w:rsidRPr="00511981">
        <w:rPr>
          <w:color w:val="auto"/>
          <w:highlight w:val="yellow"/>
        </w:rPr>
        <w:t>figura 1</w:t>
      </w:r>
      <w:r>
        <w:rPr>
          <w:color w:val="auto"/>
        </w:rPr>
        <w:t xml:space="preserve">) e </w:t>
      </w:r>
      <w:r w:rsidR="001A3091">
        <w:rPr>
          <w:color w:val="auto"/>
        </w:rPr>
        <w:t xml:space="preserve">una sostanziale stabilità </w:t>
      </w:r>
      <w:r w:rsidRPr="00511981">
        <w:rPr>
          <w:color w:val="auto"/>
        </w:rPr>
        <w:t>dei decessi (759 vs 746) (</w:t>
      </w:r>
      <w:r w:rsidRPr="00511981">
        <w:rPr>
          <w:color w:val="auto"/>
          <w:highlight w:val="yellow"/>
        </w:rPr>
        <w:t>figura 2</w:t>
      </w:r>
      <w:r w:rsidRPr="00511981">
        <w:rPr>
          <w:color w:val="auto"/>
        </w:rPr>
        <w:t>). In calo i casi attualmente positivi (752.091 vs 854.023), le persone in isolamento domiciliare (745.459 vs 846.180), i ricoveri con sintomi (6.378 vs 7.544) e le terapie intensive (254 vs 299) (</w:t>
      </w:r>
      <w:r w:rsidRPr="00511981">
        <w:rPr>
          <w:color w:val="auto"/>
          <w:highlight w:val="yellow"/>
        </w:rPr>
        <w:t>figura 3</w:t>
      </w:r>
      <w:r w:rsidRPr="00511981">
        <w:rPr>
          <w:color w:val="auto"/>
        </w:rPr>
        <w:t>). In dettaglio, rispetto alla settimana precedente, si registrano le seguenti variazioni:</w:t>
      </w:r>
    </w:p>
    <w:p w:rsidR="001A3091" w:rsidRDefault="001A3091" w:rsidP="001A3091">
      <w:pPr>
        <w:pStyle w:val="Paragrafoelenco"/>
        <w:numPr>
          <w:ilvl w:val="0"/>
          <w:numId w:val="3"/>
        </w:numPr>
        <w:spacing w:after="0" w:line="276" w:lineRule="auto"/>
        <w:jc w:val="both"/>
        <w:rPr>
          <w:color w:val="auto"/>
        </w:rPr>
      </w:pPr>
      <w:r w:rsidRPr="001A3091">
        <w:rPr>
          <w:color w:val="auto"/>
        </w:rPr>
        <w:t>Decessi: 759 (+1,7%), di cui 80 riferiti a periodi precedenti</w:t>
      </w:r>
    </w:p>
    <w:p w:rsidR="00511981" w:rsidRPr="00511981" w:rsidRDefault="00511981" w:rsidP="001A3091">
      <w:pPr>
        <w:pStyle w:val="Paragrafoelenco"/>
        <w:numPr>
          <w:ilvl w:val="0"/>
          <w:numId w:val="3"/>
        </w:numPr>
        <w:spacing w:after="0" w:line="276" w:lineRule="auto"/>
        <w:jc w:val="both"/>
        <w:rPr>
          <w:color w:val="auto"/>
        </w:rPr>
      </w:pPr>
      <w:r w:rsidRPr="00511981">
        <w:rPr>
          <w:color w:val="auto"/>
        </w:rPr>
        <w:t>Terapia intensiva: -45 (-15,1%)</w:t>
      </w:r>
    </w:p>
    <w:p w:rsidR="00511981" w:rsidRPr="00511981" w:rsidRDefault="00511981" w:rsidP="00511981">
      <w:pPr>
        <w:pStyle w:val="Paragrafoelenco"/>
        <w:numPr>
          <w:ilvl w:val="0"/>
          <w:numId w:val="3"/>
        </w:numPr>
        <w:spacing w:after="0" w:line="276" w:lineRule="auto"/>
        <w:jc w:val="both"/>
        <w:rPr>
          <w:color w:val="auto"/>
        </w:rPr>
      </w:pPr>
      <w:r w:rsidRPr="00511981">
        <w:rPr>
          <w:color w:val="auto"/>
        </w:rPr>
        <w:t>Ricoverati con sintomi: -1.166 (-15,5%)</w:t>
      </w:r>
    </w:p>
    <w:p w:rsidR="00511981" w:rsidRPr="00511981" w:rsidRDefault="00511981" w:rsidP="00511981">
      <w:pPr>
        <w:pStyle w:val="Paragrafoelenco"/>
        <w:numPr>
          <w:ilvl w:val="0"/>
          <w:numId w:val="3"/>
        </w:numPr>
        <w:spacing w:after="0" w:line="276" w:lineRule="auto"/>
        <w:jc w:val="both"/>
        <w:rPr>
          <w:color w:val="auto"/>
        </w:rPr>
      </w:pPr>
      <w:r w:rsidRPr="00511981">
        <w:rPr>
          <w:color w:val="auto"/>
        </w:rPr>
        <w:t>Isolamento domiciliare: -100.721 (-11,9%)</w:t>
      </w:r>
    </w:p>
    <w:p w:rsidR="00511981" w:rsidRPr="00511981" w:rsidRDefault="00511981" w:rsidP="00511981">
      <w:pPr>
        <w:pStyle w:val="Paragrafoelenco"/>
        <w:numPr>
          <w:ilvl w:val="0"/>
          <w:numId w:val="3"/>
        </w:numPr>
        <w:spacing w:after="0" w:line="276" w:lineRule="auto"/>
        <w:jc w:val="both"/>
        <w:rPr>
          <w:color w:val="auto"/>
        </w:rPr>
      </w:pPr>
      <w:r w:rsidRPr="00511981">
        <w:rPr>
          <w:color w:val="auto"/>
        </w:rPr>
        <w:t>Nuovi casi: 177.877 (+18,7%)</w:t>
      </w:r>
    </w:p>
    <w:p w:rsidR="00511981" w:rsidRPr="00511981" w:rsidRDefault="00511981" w:rsidP="00511981">
      <w:pPr>
        <w:pStyle w:val="Paragrafoelenco"/>
        <w:numPr>
          <w:ilvl w:val="0"/>
          <w:numId w:val="3"/>
        </w:numPr>
        <w:spacing w:line="276" w:lineRule="auto"/>
        <w:jc w:val="both"/>
        <w:rPr>
          <w:color w:val="auto"/>
        </w:rPr>
      </w:pPr>
      <w:r w:rsidRPr="00511981">
        <w:rPr>
          <w:color w:val="auto"/>
        </w:rPr>
        <w:t>Casi attualmente positivi: -101.932 (-11,9%)</w:t>
      </w:r>
    </w:p>
    <w:p w:rsidR="007D04B4" w:rsidRPr="00511981" w:rsidRDefault="00FA4320" w:rsidP="00511981">
      <w:pPr>
        <w:spacing w:line="276" w:lineRule="auto"/>
        <w:jc w:val="both"/>
        <w:rPr>
          <w:color w:val="auto"/>
        </w:rPr>
      </w:pPr>
      <w:bookmarkStart w:id="1" w:name="_Hlk105580520"/>
      <w:r w:rsidRPr="00511981">
        <w:rPr>
          <w:b/>
          <w:color w:val="auto"/>
        </w:rPr>
        <w:t xml:space="preserve">Nuovi casi. </w:t>
      </w:r>
      <w:r w:rsidRPr="00511981">
        <w:rPr>
          <w:color w:val="auto"/>
        </w:rPr>
        <w:t>«</w:t>
      </w:r>
      <w:r w:rsidR="00511981" w:rsidRPr="00511981">
        <w:rPr>
          <w:color w:val="auto"/>
        </w:rPr>
        <w:t xml:space="preserve">Dopo cinque settimane di calo </w:t>
      </w:r>
      <w:r w:rsidR="00476F59" w:rsidRPr="00511981">
        <w:rPr>
          <w:color w:val="auto"/>
        </w:rPr>
        <w:t>– dichiara Nino Cartabellotta, Presidente della Fondazione GIMBE –</w:t>
      </w:r>
      <w:r w:rsidR="002054E6" w:rsidRPr="00511981">
        <w:rPr>
          <w:color w:val="auto"/>
        </w:rPr>
        <w:t xml:space="preserve"> </w:t>
      </w:r>
      <w:r w:rsidR="004E0063" w:rsidRPr="00511981">
        <w:rPr>
          <w:color w:val="auto"/>
        </w:rPr>
        <w:t xml:space="preserve">il numero dei nuovi casi settimanali </w:t>
      </w:r>
      <w:r w:rsidR="00357B80">
        <w:rPr>
          <w:color w:val="auto"/>
        </w:rPr>
        <w:t>torna a crescere</w:t>
      </w:r>
      <w:r w:rsidR="00511981" w:rsidRPr="00511981">
        <w:rPr>
          <w:color w:val="auto"/>
        </w:rPr>
        <w:t xml:space="preserve"> </w:t>
      </w:r>
      <w:r w:rsidR="004E0063" w:rsidRPr="00511981">
        <w:rPr>
          <w:color w:val="auto"/>
        </w:rPr>
        <w:t>(</w:t>
      </w:r>
      <w:r w:rsidR="00511981" w:rsidRPr="00511981">
        <w:rPr>
          <w:color w:val="auto"/>
        </w:rPr>
        <w:t>+18,7</w:t>
      </w:r>
      <w:r w:rsidR="004E0063" w:rsidRPr="00511981">
        <w:rPr>
          <w:color w:val="auto"/>
        </w:rPr>
        <w:t>% rispetto alla settimana precedente)</w:t>
      </w:r>
      <w:r w:rsidR="00C467E0" w:rsidRPr="00511981">
        <w:rPr>
          <w:color w:val="auto"/>
        </w:rPr>
        <w:t xml:space="preserve">. </w:t>
      </w:r>
      <w:r w:rsidR="00493451" w:rsidRPr="00357B80">
        <w:rPr>
          <w:color w:val="auto"/>
        </w:rPr>
        <w:t>Un’inversione di tendenza dovuta in parte al “rimbalzo”</w:t>
      </w:r>
      <w:r w:rsidR="00493451">
        <w:rPr>
          <w:color w:val="auto"/>
        </w:rPr>
        <w:t xml:space="preserve"> conseguente al minor numero di contagi rilevati nel lungo weekend di Ferragosto, in parte al verosimile aumento della circolazione virale</w:t>
      </w:r>
      <w:r w:rsidR="00493451" w:rsidRPr="00511981">
        <w:rPr>
          <w:color w:val="auto"/>
        </w:rPr>
        <w:t>»</w:t>
      </w:r>
      <w:r w:rsidR="00493451">
        <w:rPr>
          <w:color w:val="auto"/>
        </w:rPr>
        <w:t>.</w:t>
      </w:r>
      <w:bookmarkEnd w:id="1"/>
      <w:r w:rsidR="00493451">
        <w:rPr>
          <w:color w:val="auto"/>
        </w:rPr>
        <w:t xml:space="preserve"> </w:t>
      </w:r>
      <w:r w:rsidR="00E64B1F" w:rsidRPr="00511981">
        <w:rPr>
          <w:color w:val="auto"/>
        </w:rPr>
        <w:t xml:space="preserve">Nella settimana 17-23 agosto i nuovi casi sfiorano quota 178 mila, con una media mobile a 7 giorni di oltre 25 mila casi al giorno </w:t>
      </w:r>
      <w:r w:rsidRPr="00511981">
        <w:rPr>
          <w:color w:val="auto"/>
        </w:rPr>
        <w:t>(</w:t>
      </w:r>
      <w:r w:rsidRPr="00511981">
        <w:rPr>
          <w:color w:val="auto"/>
          <w:highlight w:val="yellow"/>
        </w:rPr>
        <w:t>figura 4</w:t>
      </w:r>
      <w:r w:rsidRPr="00511981">
        <w:rPr>
          <w:color w:val="auto"/>
        </w:rPr>
        <w:t>)</w:t>
      </w:r>
      <w:r w:rsidR="00DE6AA0">
        <w:rPr>
          <w:color w:val="auto"/>
        </w:rPr>
        <w:t>;</w:t>
      </w:r>
      <w:r w:rsidR="00E64B1F">
        <w:rPr>
          <w:color w:val="auto"/>
        </w:rPr>
        <w:t xml:space="preserve"> </w:t>
      </w:r>
      <w:r w:rsidR="004E0063" w:rsidRPr="00511981">
        <w:rPr>
          <w:color w:val="auto"/>
        </w:rPr>
        <w:t xml:space="preserve">in </w:t>
      </w:r>
      <w:r w:rsidR="00F66AF0" w:rsidRPr="00511981">
        <w:rPr>
          <w:color w:val="auto"/>
        </w:rPr>
        <w:t xml:space="preserve">tutte le </w:t>
      </w:r>
      <w:r w:rsidR="00063061" w:rsidRPr="00511981">
        <w:rPr>
          <w:color w:val="auto"/>
        </w:rPr>
        <w:t>Regioni</w:t>
      </w:r>
      <w:r w:rsidR="00DE6AA0">
        <w:rPr>
          <w:color w:val="auto"/>
        </w:rPr>
        <w:t xml:space="preserve">, ad eccezione di </w:t>
      </w:r>
      <w:r w:rsidR="00511981" w:rsidRPr="00511981">
        <w:rPr>
          <w:color w:val="auto"/>
        </w:rPr>
        <w:t>Emilia-Romagna (-9,1%) e Umbria (-0,4%)</w:t>
      </w:r>
      <w:r w:rsidR="00DE6AA0">
        <w:rPr>
          <w:color w:val="auto"/>
        </w:rPr>
        <w:t>,</w:t>
      </w:r>
      <w:r w:rsidR="00511981" w:rsidRPr="00511981">
        <w:rPr>
          <w:color w:val="auto"/>
        </w:rPr>
        <w:t xml:space="preserve"> </w:t>
      </w:r>
      <w:r w:rsidR="004E0063" w:rsidRPr="00511981">
        <w:rPr>
          <w:color w:val="auto"/>
        </w:rPr>
        <w:t xml:space="preserve">si registra </w:t>
      </w:r>
      <w:r w:rsidR="00511981" w:rsidRPr="00511981">
        <w:rPr>
          <w:color w:val="auto"/>
        </w:rPr>
        <w:t xml:space="preserve">un incremento </w:t>
      </w:r>
      <w:r w:rsidR="00DC7AAF" w:rsidRPr="00511981">
        <w:rPr>
          <w:color w:val="auto"/>
        </w:rPr>
        <w:t>percentuale dei nuovi casi</w:t>
      </w:r>
      <w:r w:rsidR="004E0063" w:rsidRPr="00511981">
        <w:rPr>
          <w:color w:val="auto"/>
        </w:rPr>
        <w:t xml:space="preserve"> (</w:t>
      </w:r>
      <w:r w:rsidR="00650E66" w:rsidRPr="00511981">
        <w:rPr>
          <w:color w:val="auto"/>
        </w:rPr>
        <w:t>dal</w:t>
      </w:r>
      <w:r w:rsidR="00511981" w:rsidRPr="00511981">
        <w:rPr>
          <w:color w:val="auto"/>
        </w:rPr>
        <w:t xml:space="preserve"> +8</w:t>
      </w:r>
      <w:r w:rsidR="00F66AF0" w:rsidRPr="00511981">
        <w:rPr>
          <w:color w:val="auto"/>
        </w:rPr>
        <w:t>,1</w:t>
      </w:r>
      <w:r w:rsidR="00514EE9" w:rsidRPr="00511981">
        <w:rPr>
          <w:color w:val="auto"/>
        </w:rPr>
        <w:t xml:space="preserve">% </w:t>
      </w:r>
      <w:r w:rsidR="00F66AF0" w:rsidRPr="00511981">
        <w:rPr>
          <w:color w:val="auto"/>
        </w:rPr>
        <w:t xml:space="preserve">della </w:t>
      </w:r>
      <w:r w:rsidR="00511981" w:rsidRPr="00511981">
        <w:rPr>
          <w:color w:val="auto"/>
        </w:rPr>
        <w:t>Liguria</w:t>
      </w:r>
      <w:r w:rsidR="00514EE9" w:rsidRPr="00511981">
        <w:rPr>
          <w:color w:val="auto"/>
        </w:rPr>
        <w:t xml:space="preserve"> al</w:t>
      </w:r>
      <w:r w:rsidR="00F66AF0" w:rsidRPr="00511981">
        <w:rPr>
          <w:color w:val="auto"/>
        </w:rPr>
        <w:t xml:space="preserve"> </w:t>
      </w:r>
      <w:r w:rsidR="00511981" w:rsidRPr="00511981">
        <w:rPr>
          <w:color w:val="auto"/>
        </w:rPr>
        <w:t>+56</w:t>
      </w:r>
      <w:r w:rsidR="00F66AF0" w:rsidRPr="00511981">
        <w:rPr>
          <w:color w:val="auto"/>
        </w:rPr>
        <w:t>,</w:t>
      </w:r>
      <w:r w:rsidR="00511981" w:rsidRPr="00511981">
        <w:rPr>
          <w:color w:val="auto"/>
        </w:rPr>
        <w:t>4</w:t>
      </w:r>
      <w:r w:rsidR="00F66AF0" w:rsidRPr="00511981">
        <w:rPr>
          <w:color w:val="auto"/>
        </w:rPr>
        <w:t xml:space="preserve">% della </w:t>
      </w:r>
      <w:r w:rsidR="00511981" w:rsidRPr="00511981">
        <w:rPr>
          <w:color w:val="auto"/>
        </w:rPr>
        <w:t>Calabria</w:t>
      </w:r>
      <w:r w:rsidR="004E0063" w:rsidRPr="00511981">
        <w:rPr>
          <w:color w:val="auto"/>
        </w:rPr>
        <w:t>)</w:t>
      </w:r>
      <w:r w:rsidR="00422E3F" w:rsidRPr="00511981">
        <w:rPr>
          <w:color w:val="auto"/>
        </w:rPr>
        <w:t xml:space="preserve"> </w:t>
      </w:r>
      <w:r w:rsidR="008568BE" w:rsidRPr="00511981">
        <w:rPr>
          <w:color w:val="auto"/>
        </w:rPr>
        <w:t>(</w:t>
      </w:r>
      <w:r w:rsidR="008568BE" w:rsidRPr="00511981">
        <w:rPr>
          <w:color w:val="auto"/>
          <w:highlight w:val="yellow"/>
        </w:rPr>
        <w:t>tabella 1</w:t>
      </w:r>
      <w:r w:rsidR="008568BE" w:rsidRPr="00511981">
        <w:rPr>
          <w:color w:val="auto"/>
        </w:rPr>
        <w:t>).</w:t>
      </w:r>
      <w:r w:rsidR="00D74F90" w:rsidRPr="00511981">
        <w:rPr>
          <w:color w:val="auto"/>
        </w:rPr>
        <w:t xml:space="preserve"> </w:t>
      </w:r>
      <w:r w:rsidR="001647A3" w:rsidRPr="00511981">
        <w:rPr>
          <w:color w:val="auto"/>
        </w:rPr>
        <w:t xml:space="preserve">Rispetto alla settimana precedente, </w:t>
      </w:r>
      <w:r w:rsidR="008A6E52" w:rsidRPr="00511981">
        <w:rPr>
          <w:color w:val="auto"/>
        </w:rPr>
        <w:t xml:space="preserve">in </w:t>
      </w:r>
      <w:r w:rsidR="00511981" w:rsidRPr="00511981">
        <w:rPr>
          <w:color w:val="auto"/>
        </w:rPr>
        <w:t xml:space="preserve">95 </w:t>
      </w:r>
      <w:r w:rsidR="00D21CBA" w:rsidRPr="00511981">
        <w:rPr>
          <w:color w:val="auto"/>
        </w:rPr>
        <w:t>Province si rileva un</w:t>
      </w:r>
      <w:r w:rsidR="00511981" w:rsidRPr="00511981">
        <w:rPr>
          <w:color w:val="auto"/>
        </w:rPr>
        <w:t xml:space="preserve"> incremento </w:t>
      </w:r>
      <w:r w:rsidR="007D04B4" w:rsidRPr="00511981">
        <w:rPr>
          <w:color w:val="auto"/>
        </w:rPr>
        <w:t xml:space="preserve">dei nuovi casi (dal </w:t>
      </w:r>
      <w:r w:rsidR="00511981" w:rsidRPr="00511981">
        <w:rPr>
          <w:color w:val="auto"/>
        </w:rPr>
        <w:t>+1,8</w:t>
      </w:r>
      <w:r w:rsidR="00F66AF0" w:rsidRPr="00511981">
        <w:rPr>
          <w:color w:val="auto"/>
        </w:rPr>
        <w:t>%</w:t>
      </w:r>
      <w:r w:rsidR="00565C39" w:rsidRPr="00511981">
        <w:rPr>
          <w:color w:val="auto"/>
        </w:rPr>
        <w:t xml:space="preserve"> di</w:t>
      </w:r>
      <w:r w:rsidR="00511981" w:rsidRPr="00511981">
        <w:rPr>
          <w:color w:val="auto"/>
        </w:rPr>
        <w:t xml:space="preserve"> Catania e Trapani al +79,4</w:t>
      </w:r>
      <w:r w:rsidR="00565C39" w:rsidRPr="00511981">
        <w:rPr>
          <w:color w:val="auto"/>
        </w:rPr>
        <w:t>% di</w:t>
      </w:r>
      <w:r w:rsidR="00F66AF0" w:rsidRPr="00511981">
        <w:rPr>
          <w:color w:val="auto"/>
        </w:rPr>
        <w:t xml:space="preserve"> </w:t>
      </w:r>
      <w:r w:rsidR="00511981" w:rsidRPr="00511981">
        <w:rPr>
          <w:color w:val="auto"/>
        </w:rPr>
        <w:t>Catanzaro</w:t>
      </w:r>
      <w:r w:rsidR="00422E3F" w:rsidRPr="00511981">
        <w:rPr>
          <w:color w:val="auto"/>
        </w:rPr>
        <w:t>)</w:t>
      </w:r>
      <w:r w:rsidR="00511981" w:rsidRPr="00511981">
        <w:rPr>
          <w:color w:val="auto"/>
        </w:rPr>
        <w:t>, nelle restanti 12 Province si rileva una diminuzione (dal -0,1% di Savona al -</w:t>
      </w:r>
      <w:r w:rsidR="00511981" w:rsidRPr="00511981">
        <w:rPr>
          <w:color w:val="auto"/>
        </w:rPr>
        <w:lastRenderedPageBreak/>
        <w:t>25% di Forlì-Cesena)</w:t>
      </w:r>
      <w:r w:rsidR="00D1612B" w:rsidRPr="00511981">
        <w:rPr>
          <w:color w:val="auto"/>
        </w:rPr>
        <w:t xml:space="preserve">. </w:t>
      </w:r>
      <w:r w:rsidR="00B00E96" w:rsidRPr="00511981">
        <w:rPr>
          <w:color w:val="auto"/>
        </w:rPr>
        <w:t>L</w:t>
      </w:r>
      <w:r w:rsidR="00981668" w:rsidRPr="00511981">
        <w:rPr>
          <w:color w:val="auto"/>
        </w:rPr>
        <w:t>’incidenza super</w:t>
      </w:r>
      <w:r w:rsidR="009062E9" w:rsidRPr="00511981">
        <w:rPr>
          <w:color w:val="auto"/>
        </w:rPr>
        <w:t>a</w:t>
      </w:r>
      <w:r w:rsidR="00981668" w:rsidRPr="00511981">
        <w:rPr>
          <w:color w:val="auto"/>
        </w:rPr>
        <w:t xml:space="preserve"> </w:t>
      </w:r>
      <w:r w:rsidR="009062E9" w:rsidRPr="00511981">
        <w:rPr>
          <w:color w:val="auto"/>
        </w:rPr>
        <w:t>i</w:t>
      </w:r>
      <w:r w:rsidR="00981668" w:rsidRPr="00511981">
        <w:rPr>
          <w:color w:val="auto"/>
        </w:rPr>
        <w:t xml:space="preserve"> 500 casi </w:t>
      </w:r>
      <w:r w:rsidR="00EC02BE" w:rsidRPr="00511981">
        <w:rPr>
          <w:color w:val="auto"/>
        </w:rPr>
        <w:t>per 100.000 abitanti</w:t>
      </w:r>
      <w:r w:rsidR="00F5070F" w:rsidRPr="00511981">
        <w:rPr>
          <w:color w:val="auto"/>
        </w:rPr>
        <w:t xml:space="preserve"> </w:t>
      </w:r>
      <w:r w:rsidR="00B00E96" w:rsidRPr="00511981">
        <w:rPr>
          <w:color w:val="auto"/>
        </w:rPr>
        <w:t xml:space="preserve">in </w:t>
      </w:r>
      <w:r w:rsidR="00511981" w:rsidRPr="00511981">
        <w:rPr>
          <w:color w:val="auto"/>
        </w:rPr>
        <w:t xml:space="preserve">6 </w:t>
      </w:r>
      <w:r w:rsidR="00B00E96" w:rsidRPr="00511981">
        <w:rPr>
          <w:color w:val="auto"/>
        </w:rPr>
        <w:t>Province</w:t>
      </w:r>
      <w:r w:rsidR="00D24EBB">
        <w:rPr>
          <w:color w:val="auto"/>
        </w:rPr>
        <w:t xml:space="preserve">: </w:t>
      </w:r>
      <w:r w:rsidR="00511981" w:rsidRPr="00511981">
        <w:rPr>
          <w:color w:val="auto"/>
        </w:rPr>
        <w:t xml:space="preserve">Crotone (784), Catanzaro (728), Vibo Valentia (652), Pescara (617), Belluno (528) e Teramo (522) </w:t>
      </w:r>
      <w:r w:rsidR="007D04B4" w:rsidRPr="00511981">
        <w:rPr>
          <w:color w:val="auto"/>
        </w:rPr>
        <w:t>(</w:t>
      </w:r>
      <w:r w:rsidR="007D04B4" w:rsidRPr="00511981">
        <w:rPr>
          <w:color w:val="auto"/>
          <w:highlight w:val="yellow"/>
        </w:rPr>
        <w:t>tabella 2</w:t>
      </w:r>
      <w:r w:rsidR="007D04B4" w:rsidRPr="00511981">
        <w:rPr>
          <w:color w:val="auto"/>
        </w:rPr>
        <w:t>).</w:t>
      </w:r>
    </w:p>
    <w:p w:rsidR="00136FF5" w:rsidRPr="005145F6" w:rsidRDefault="00136FF5" w:rsidP="00136FF5">
      <w:pPr>
        <w:spacing w:line="276" w:lineRule="auto"/>
        <w:jc w:val="both"/>
        <w:rPr>
          <w:color w:val="auto"/>
        </w:rPr>
      </w:pPr>
      <w:r w:rsidRPr="005145F6">
        <w:rPr>
          <w:b/>
          <w:bCs/>
          <w:color w:val="auto"/>
        </w:rPr>
        <w:t>Reinfezioni</w:t>
      </w:r>
      <w:r w:rsidRPr="005145F6">
        <w:rPr>
          <w:color w:val="auto"/>
        </w:rPr>
        <w:t xml:space="preserve">. Secondo </w:t>
      </w:r>
      <w:hyperlink r:id="rId8" w:history="1">
        <w:r w:rsidRPr="005145F6">
          <w:rPr>
            <w:rStyle w:val="Collegamentoipertestuale"/>
            <w:color w:val="auto"/>
          </w:rPr>
          <w:t>l’ultimo report dell’Istituto Superiore di Sanità</w:t>
        </w:r>
      </w:hyperlink>
      <w:r w:rsidRPr="005145F6">
        <w:rPr>
          <w:rStyle w:val="Collegamentoipertestuale"/>
          <w:color w:val="auto"/>
          <w:u w:val="none"/>
        </w:rPr>
        <w:t>,</w:t>
      </w:r>
      <w:r w:rsidRPr="005145F6">
        <w:rPr>
          <w:color w:val="auto"/>
        </w:rPr>
        <w:t xml:space="preserve"> nel periodo 24 agosto 2021-</w:t>
      </w:r>
      <w:r w:rsidR="005145F6">
        <w:rPr>
          <w:color w:val="auto"/>
        </w:rPr>
        <w:t>17 agosto</w:t>
      </w:r>
      <w:r w:rsidRPr="005145F6">
        <w:rPr>
          <w:color w:val="auto"/>
        </w:rPr>
        <w:t xml:space="preserve"> 2022 sono state registrate in Italia oltre </w:t>
      </w:r>
      <w:r w:rsidR="005145F6">
        <w:rPr>
          <w:color w:val="auto"/>
        </w:rPr>
        <w:t>983</w:t>
      </w:r>
      <w:r w:rsidRPr="005145F6">
        <w:rPr>
          <w:color w:val="auto"/>
        </w:rPr>
        <w:t xml:space="preserve"> mila reinfezioni, pari al </w:t>
      </w:r>
      <w:r w:rsidR="00317292" w:rsidRPr="005145F6">
        <w:rPr>
          <w:color w:val="auto"/>
        </w:rPr>
        <w:t>5</w:t>
      </w:r>
      <w:r w:rsidR="00B824A3" w:rsidRPr="005145F6">
        <w:rPr>
          <w:color w:val="auto"/>
        </w:rPr>
        <w:t>,</w:t>
      </w:r>
      <w:r w:rsidR="005145F6">
        <w:rPr>
          <w:color w:val="auto"/>
        </w:rPr>
        <w:t>8</w:t>
      </w:r>
      <w:r w:rsidRPr="005145F6">
        <w:rPr>
          <w:color w:val="auto"/>
        </w:rPr>
        <w:t xml:space="preserve">% del totale dei casi. La loro incidenza nella settimana </w:t>
      </w:r>
      <w:r w:rsidR="005145F6">
        <w:rPr>
          <w:color w:val="auto"/>
        </w:rPr>
        <w:t>10</w:t>
      </w:r>
      <w:r w:rsidR="00725181" w:rsidRPr="005145F6">
        <w:rPr>
          <w:color w:val="auto"/>
        </w:rPr>
        <w:t>-</w:t>
      </w:r>
      <w:r w:rsidR="005145F6">
        <w:rPr>
          <w:color w:val="auto"/>
        </w:rPr>
        <w:t>17</w:t>
      </w:r>
      <w:r w:rsidR="00B824A3" w:rsidRPr="005145F6">
        <w:rPr>
          <w:color w:val="auto"/>
        </w:rPr>
        <w:t xml:space="preserve"> </w:t>
      </w:r>
      <w:r w:rsidR="005145F6">
        <w:rPr>
          <w:color w:val="auto"/>
        </w:rPr>
        <w:t xml:space="preserve">agosto </w:t>
      </w:r>
      <w:r w:rsidRPr="005145F6">
        <w:rPr>
          <w:color w:val="auto"/>
        </w:rPr>
        <w:t xml:space="preserve">si è attestata </w:t>
      </w:r>
      <w:r w:rsidR="00317292" w:rsidRPr="005145F6">
        <w:rPr>
          <w:color w:val="auto"/>
        </w:rPr>
        <w:t>al 12</w:t>
      </w:r>
      <w:r w:rsidR="005145F6">
        <w:rPr>
          <w:color w:val="auto"/>
        </w:rPr>
        <w:t>,94</w:t>
      </w:r>
      <w:r w:rsidRPr="005145F6">
        <w:rPr>
          <w:color w:val="auto"/>
        </w:rPr>
        <w:t xml:space="preserve">% (n. </w:t>
      </w:r>
      <w:r w:rsidR="005145F6">
        <w:rPr>
          <w:color w:val="auto"/>
        </w:rPr>
        <w:t>24.102</w:t>
      </w:r>
      <w:r w:rsidRPr="005145F6">
        <w:rPr>
          <w:color w:val="auto"/>
        </w:rPr>
        <w:t xml:space="preserve"> reinfezioni), in</w:t>
      </w:r>
      <w:r w:rsidR="00317292" w:rsidRPr="005145F6">
        <w:rPr>
          <w:color w:val="auto"/>
        </w:rPr>
        <w:t xml:space="preserve"> </w:t>
      </w:r>
      <w:r w:rsidR="00E64B1F">
        <w:rPr>
          <w:color w:val="auto"/>
        </w:rPr>
        <w:t>lieve</w:t>
      </w:r>
      <w:r w:rsidRPr="005145F6">
        <w:rPr>
          <w:color w:val="auto"/>
        </w:rPr>
        <w:t xml:space="preserve"> </w:t>
      </w:r>
      <w:r w:rsidR="005145F6">
        <w:rPr>
          <w:color w:val="auto"/>
        </w:rPr>
        <w:t>calo</w:t>
      </w:r>
      <w:r w:rsidRPr="005145F6">
        <w:rPr>
          <w:color w:val="auto"/>
        </w:rPr>
        <w:t xml:space="preserve"> rispetto alla settimana precedente (</w:t>
      </w:r>
      <w:r w:rsidR="00725181" w:rsidRPr="005145F6">
        <w:rPr>
          <w:color w:val="auto"/>
        </w:rPr>
        <w:t>1</w:t>
      </w:r>
      <w:r w:rsidR="005145F6">
        <w:rPr>
          <w:color w:val="auto"/>
        </w:rPr>
        <w:t>3</w:t>
      </w:r>
      <w:r w:rsidR="00D856F6" w:rsidRPr="005145F6">
        <w:rPr>
          <w:color w:val="auto"/>
        </w:rPr>
        <w:t>,</w:t>
      </w:r>
      <w:r w:rsidR="005145F6">
        <w:rPr>
          <w:color w:val="auto"/>
        </w:rPr>
        <w:t>44</w:t>
      </w:r>
      <w:r w:rsidRPr="005145F6">
        <w:rPr>
          <w:color w:val="auto"/>
        </w:rPr>
        <w:t xml:space="preserve">%). </w:t>
      </w:r>
    </w:p>
    <w:p w:rsidR="00511981" w:rsidRPr="00511981" w:rsidRDefault="00511981" w:rsidP="00D44AA7">
      <w:pPr>
        <w:spacing w:line="276" w:lineRule="auto"/>
        <w:jc w:val="both"/>
        <w:rPr>
          <w:color w:val="auto"/>
        </w:rPr>
      </w:pPr>
      <w:r w:rsidRPr="00511981">
        <w:rPr>
          <w:b/>
          <w:color w:val="auto"/>
        </w:rPr>
        <w:t>Testing.</w:t>
      </w:r>
      <w:r w:rsidRPr="00511981">
        <w:rPr>
          <w:color w:val="auto"/>
        </w:rPr>
        <w:t xml:space="preserve"> Si registra un aumento del numero dei tamponi totali (+9,5%): da 1.012.546 della settimana 10-16 agosto a 1.109.070 della settimana 17-23 agosto. In particolare i tamponi rapidi sono aumentati del </w:t>
      </w:r>
      <w:r>
        <w:rPr>
          <w:color w:val="auto"/>
        </w:rPr>
        <w:t xml:space="preserve">9,3% (+77.507) e </w:t>
      </w:r>
      <w:r w:rsidRPr="00511981">
        <w:rPr>
          <w:color w:val="auto"/>
        </w:rPr>
        <w:t>quelli molecolari del 10,5% (+19.017) (</w:t>
      </w:r>
      <w:r w:rsidRPr="00511981">
        <w:rPr>
          <w:color w:val="auto"/>
          <w:highlight w:val="yellow"/>
        </w:rPr>
        <w:t>figura 5</w:t>
      </w:r>
      <w:r w:rsidRPr="00511981">
        <w:rPr>
          <w:color w:val="auto"/>
        </w:rPr>
        <w:t xml:space="preserve">). La media mobile a 7 giorni del tasso di positività </w:t>
      </w:r>
      <w:r w:rsidR="00DE6AA0">
        <w:rPr>
          <w:color w:val="auto"/>
        </w:rPr>
        <w:t>sale</w:t>
      </w:r>
      <w:r w:rsidR="00DE6AA0" w:rsidRPr="00511981">
        <w:rPr>
          <w:color w:val="auto"/>
        </w:rPr>
        <w:t xml:space="preserve"> </w:t>
      </w:r>
      <w:r w:rsidRPr="00511981">
        <w:rPr>
          <w:color w:val="auto"/>
        </w:rPr>
        <w:t>dal</w:t>
      </w:r>
      <w:r>
        <w:rPr>
          <w:color w:val="auto"/>
        </w:rPr>
        <w:t>l’</w:t>
      </w:r>
      <w:r w:rsidRPr="00511981">
        <w:rPr>
          <w:color w:val="auto"/>
        </w:rPr>
        <w:t>8,9% al 10,4% per i tamponi molecolari e dal 16,2% al 17,4% per gli antigenici rapidi (</w:t>
      </w:r>
      <w:r w:rsidRPr="00511981">
        <w:rPr>
          <w:color w:val="auto"/>
          <w:highlight w:val="yellow"/>
        </w:rPr>
        <w:t>figura 6</w:t>
      </w:r>
      <w:r w:rsidRPr="00511981">
        <w:rPr>
          <w:color w:val="auto"/>
        </w:rPr>
        <w:t>).</w:t>
      </w:r>
    </w:p>
    <w:p w:rsidR="00B35FD1" w:rsidRPr="001A3091" w:rsidRDefault="00C55EE6" w:rsidP="00972F01">
      <w:pPr>
        <w:jc w:val="both"/>
        <w:rPr>
          <w:color w:val="auto"/>
        </w:rPr>
      </w:pPr>
      <w:bookmarkStart w:id="2" w:name="_Hlk85025666"/>
      <w:r w:rsidRPr="00511981">
        <w:rPr>
          <w:b/>
          <w:color w:val="auto"/>
        </w:rPr>
        <w:t>Ospedalizzazioni.</w:t>
      </w:r>
      <w:r w:rsidRPr="00511981">
        <w:rPr>
          <w:color w:val="auto"/>
        </w:rPr>
        <w:t xml:space="preserve"> «Sul </w:t>
      </w:r>
      <w:r w:rsidRPr="001A3091">
        <w:rPr>
          <w:color w:val="auto"/>
        </w:rPr>
        <w:t>fronte degli ospedali – afferma Marco Mosti, Direttore Operativo della Fondazione GIMBE –</w:t>
      </w:r>
      <w:r w:rsidR="00C10D93" w:rsidRPr="001A3091">
        <w:rPr>
          <w:color w:val="auto"/>
        </w:rPr>
        <w:t xml:space="preserve"> </w:t>
      </w:r>
      <w:r w:rsidR="00511981" w:rsidRPr="001A3091">
        <w:rPr>
          <w:color w:val="auto"/>
        </w:rPr>
        <w:t xml:space="preserve">prosegue </w:t>
      </w:r>
      <w:r w:rsidR="003E2B08">
        <w:rPr>
          <w:color w:val="auto"/>
        </w:rPr>
        <w:t>il calo</w:t>
      </w:r>
      <w:r w:rsidR="00511981" w:rsidRPr="001A3091">
        <w:rPr>
          <w:color w:val="auto"/>
        </w:rPr>
        <w:t xml:space="preserve"> </w:t>
      </w:r>
      <w:r w:rsidRPr="001A3091">
        <w:rPr>
          <w:color w:val="auto"/>
        </w:rPr>
        <w:t xml:space="preserve">dei ricoveri sia in area medica </w:t>
      </w:r>
      <w:r w:rsidR="00511981" w:rsidRPr="001A3091">
        <w:rPr>
          <w:color w:val="auto"/>
        </w:rPr>
        <w:t>(-15,5</w:t>
      </w:r>
      <w:r w:rsidR="007D04B4" w:rsidRPr="001A3091">
        <w:rPr>
          <w:color w:val="auto"/>
        </w:rPr>
        <w:t>%</w:t>
      </w:r>
      <w:r w:rsidRPr="001A3091">
        <w:rPr>
          <w:color w:val="auto"/>
        </w:rPr>
        <w:t xml:space="preserve">) che in terapia intensiva </w:t>
      </w:r>
      <w:r w:rsidR="00511981" w:rsidRPr="001A3091">
        <w:rPr>
          <w:color w:val="auto"/>
        </w:rPr>
        <w:t>(-15,1</w:t>
      </w:r>
      <w:r w:rsidRPr="001A3091">
        <w:rPr>
          <w:color w:val="auto"/>
        </w:rPr>
        <w:t xml:space="preserve">%)». </w:t>
      </w:r>
      <w:r w:rsidR="00511981" w:rsidRPr="001A3091">
        <w:rPr>
          <w:color w:val="auto"/>
        </w:rPr>
        <w:t xml:space="preserve">Dal 26 luglio </w:t>
      </w:r>
      <w:r w:rsidR="001A3091" w:rsidRPr="001A3091">
        <w:rPr>
          <w:color w:val="auto"/>
        </w:rPr>
        <w:t xml:space="preserve">al 23 agosto </w:t>
      </w:r>
      <w:r w:rsidR="00972F01" w:rsidRPr="001A3091">
        <w:rPr>
          <w:color w:val="auto"/>
        </w:rPr>
        <w:t xml:space="preserve">i ricoveri </w:t>
      </w:r>
      <w:r w:rsidR="001A3091" w:rsidRPr="001A3091">
        <w:rPr>
          <w:color w:val="auto"/>
        </w:rPr>
        <w:t xml:space="preserve">sono </w:t>
      </w:r>
      <w:r w:rsidR="00C954A4">
        <w:rPr>
          <w:color w:val="auto"/>
        </w:rPr>
        <w:t>scesi</w:t>
      </w:r>
      <w:r w:rsidR="00C954A4" w:rsidRPr="001A3091">
        <w:rPr>
          <w:color w:val="auto"/>
        </w:rPr>
        <w:t xml:space="preserve"> </w:t>
      </w:r>
      <w:r w:rsidR="001A3091" w:rsidRPr="001A3091">
        <w:rPr>
          <w:color w:val="auto"/>
        </w:rPr>
        <w:t xml:space="preserve">rispettivamente da 434 a 254 in area critica e da </w:t>
      </w:r>
      <w:r w:rsidR="00F66AF0" w:rsidRPr="001A3091">
        <w:rPr>
          <w:color w:val="auto"/>
        </w:rPr>
        <w:t>11.124</w:t>
      </w:r>
      <w:r w:rsidRPr="001A3091">
        <w:rPr>
          <w:color w:val="auto"/>
        </w:rPr>
        <w:t xml:space="preserve"> </w:t>
      </w:r>
      <w:r w:rsidR="001A3091" w:rsidRPr="001A3091">
        <w:rPr>
          <w:color w:val="auto"/>
        </w:rPr>
        <w:t xml:space="preserve">a 6.378 in area </w:t>
      </w:r>
      <w:r w:rsidR="001A3091" w:rsidRPr="00B35FD1">
        <w:rPr>
          <w:color w:val="auto"/>
        </w:rPr>
        <w:t xml:space="preserve">medica </w:t>
      </w:r>
      <w:r w:rsidRPr="00B35FD1">
        <w:rPr>
          <w:color w:val="auto"/>
        </w:rPr>
        <w:t>(</w:t>
      </w:r>
      <w:r w:rsidRPr="00B35FD1">
        <w:rPr>
          <w:color w:val="auto"/>
          <w:highlight w:val="yellow"/>
        </w:rPr>
        <w:t>figura 7</w:t>
      </w:r>
      <w:r w:rsidRPr="00B35FD1">
        <w:rPr>
          <w:color w:val="auto"/>
        </w:rPr>
        <w:t xml:space="preserve">). </w:t>
      </w:r>
      <w:r w:rsidR="00234360" w:rsidRPr="00B35FD1">
        <w:rPr>
          <w:color w:val="auto"/>
        </w:rPr>
        <w:t xml:space="preserve">Al </w:t>
      </w:r>
      <w:r w:rsidR="001A3091" w:rsidRPr="00B35FD1">
        <w:rPr>
          <w:color w:val="auto"/>
        </w:rPr>
        <w:t xml:space="preserve">23 agosto </w:t>
      </w:r>
      <w:r w:rsidR="00234360" w:rsidRPr="00B35FD1">
        <w:rPr>
          <w:color w:val="auto"/>
        </w:rPr>
        <w:t xml:space="preserve">il tasso nazionale di occupazione da parte di pazienti COVID è del </w:t>
      </w:r>
      <w:r w:rsidR="00B35FD1" w:rsidRPr="00B35FD1">
        <w:rPr>
          <w:color w:val="auto"/>
        </w:rPr>
        <w:t>9,9</w:t>
      </w:r>
      <w:r w:rsidR="00551D92" w:rsidRPr="00B35FD1">
        <w:rPr>
          <w:color w:val="auto"/>
        </w:rPr>
        <w:t xml:space="preserve">% in area medica (dal </w:t>
      </w:r>
      <w:r w:rsidR="00B35FD1" w:rsidRPr="00B35FD1">
        <w:rPr>
          <w:color w:val="auto"/>
        </w:rPr>
        <w:t>4</w:t>
      </w:r>
      <w:r w:rsidR="00234360" w:rsidRPr="00B35FD1">
        <w:rPr>
          <w:color w:val="auto"/>
        </w:rPr>
        <w:t>,</w:t>
      </w:r>
      <w:r w:rsidR="00B35FD1" w:rsidRPr="00B35FD1">
        <w:rPr>
          <w:color w:val="auto"/>
        </w:rPr>
        <w:t>9</w:t>
      </w:r>
      <w:r w:rsidR="00234360" w:rsidRPr="00B35FD1">
        <w:rPr>
          <w:color w:val="auto"/>
        </w:rPr>
        <w:t xml:space="preserve">% del Piemonte al </w:t>
      </w:r>
      <w:r w:rsidR="00B35FD1" w:rsidRPr="00B35FD1">
        <w:rPr>
          <w:color w:val="auto"/>
        </w:rPr>
        <w:t>24</w:t>
      </w:r>
      <w:r w:rsidR="00234360" w:rsidRPr="00B35FD1">
        <w:rPr>
          <w:color w:val="auto"/>
        </w:rPr>
        <w:t>,</w:t>
      </w:r>
      <w:r w:rsidR="00B35FD1" w:rsidRPr="00B35FD1">
        <w:rPr>
          <w:color w:val="auto"/>
        </w:rPr>
        <w:t>3</w:t>
      </w:r>
      <w:r w:rsidR="00234360" w:rsidRPr="00B35FD1">
        <w:rPr>
          <w:color w:val="auto"/>
        </w:rPr>
        <w:t xml:space="preserve">% dell’Umbria) e del </w:t>
      </w:r>
      <w:r w:rsidR="00B35FD1" w:rsidRPr="00B35FD1">
        <w:rPr>
          <w:color w:val="auto"/>
        </w:rPr>
        <w:t>2,8</w:t>
      </w:r>
      <w:r w:rsidR="00234360" w:rsidRPr="00B35FD1">
        <w:rPr>
          <w:color w:val="auto"/>
        </w:rPr>
        <w:t xml:space="preserve">% in area critica (dallo 0% </w:t>
      </w:r>
      <w:r w:rsidR="00C954A4" w:rsidRPr="00B35FD1">
        <w:rPr>
          <w:color w:val="auto"/>
        </w:rPr>
        <w:t>d</w:t>
      </w:r>
      <w:r w:rsidR="00C954A4">
        <w:rPr>
          <w:color w:val="auto"/>
        </w:rPr>
        <w:t>ella</w:t>
      </w:r>
      <w:r w:rsidR="00C954A4" w:rsidRPr="00B35FD1">
        <w:rPr>
          <w:color w:val="auto"/>
        </w:rPr>
        <w:t xml:space="preserve"> </w:t>
      </w:r>
      <w:r w:rsidR="00B35FD1" w:rsidRPr="00B35FD1">
        <w:rPr>
          <w:color w:val="auto"/>
        </w:rPr>
        <w:t xml:space="preserve">Provincia Autonoma di Bolzano e </w:t>
      </w:r>
      <w:r w:rsidR="00C954A4">
        <w:rPr>
          <w:color w:val="auto"/>
        </w:rPr>
        <w:t xml:space="preserve">della </w:t>
      </w:r>
      <w:r w:rsidR="00B35FD1" w:rsidRPr="00B35FD1">
        <w:rPr>
          <w:color w:val="auto"/>
        </w:rPr>
        <w:t>Valle D’Aosta al</w:t>
      </w:r>
      <w:r w:rsidR="00E53D97">
        <w:rPr>
          <w:color w:val="auto"/>
        </w:rPr>
        <w:t xml:space="preserve"> </w:t>
      </w:r>
      <w:r w:rsidR="00B35FD1" w:rsidRPr="00B35FD1">
        <w:rPr>
          <w:color w:val="auto"/>
        </w:rPr>
        <w:t>5</w:t>
      </w:r>
      <w:r w:rsidR="00551D92" w:rsidRPr="00B35FD1">
        <w:rPr>
          <w:color w:val="auto"/>
        </w:rPr>
        <w:t>,</w:t>
      </w:r>
      <w:r w:rsidR="00B35FD1" w:rsidRPr="00B35FD1">
        <w:rPr>
          <w:color w:val="auto"/>
        </w:rPr>
        <w:t>6</w:t>
      </w:r>
      <w:r w:rsidR="00551D92" w:rsidRPr="00B35FD1">
        <w:rPr>
          <w:color w:val="auto"/>
        </w:rPr>
        <w:t xml:space="preserve">% </w:t>
      </w:r>
      <w:r w:rsidR="00234360" w:rsidRPr="00B35FD1">
        <w:rPr>
          <w:color w:val="auto"/>
        </w:rPr>
        <w:t>della Calabria) (</w:t>
      </w:r>
      <w:r w:rsidR="00234360" w:rsidRPr="00B35FD1">
        <w:rPr>
          <w:color w:val="auto"/>
          <w:highlight w:val="yellow"/>
        </w:rPr>
        <w:t>figura 8</w:t>
      </w:r>
      <w:r w:rsidR="00234360" w:rsidRPr="00B35FD1">
        <w:rPr>
          <w:color w:val="auto"/>
        </w:rPr>
        <w:t xml:space="preserve">). </w:t>
      </w:r>
      <w:r w:rsidRPr="00B35FD1">
        <w:rPr>
          <w:color w:val="auto"/>
        </w:rPr>
        <w:t>«</w:t>
      </w:r>
      <w:r w:rsidR="00E53D97">
        <w:rPr>
          <w:color w:val="auto"/>
        </w:rPr>
        <w:t>Rimangono s</w:t>
      </w:r>
      <w:r w:rsidR="001A3091" w:rsidRPr="00B35FD1">
        <w:rPr>
          <w:color w:val="auto"/>
        </w:rPr>
        <w:t xml:space="preserve">tabili </w:t>
      </w:r>
      <w:r w:rsidR="006933AC" w:rsidRPr="00B35FD1">
        <w:rPr>
          <w:color w:val="auto"/>
        </w:rPr>
        <w:t>gli ingressi in terapia intensiva</w:t>
      </w:r>
      <w:r w:rsidR="007D04B4" w:rsidRPr="00B35FD1">
        <w:rPr>
          <w:color w:val="auto"/>
        </w:rPr>
        <w:t xml:space="preserve"> </w:t>
      </w:r>
      <w:r w:rsidR="00707485" w:rsidRPr="00B35FD1">
        <w:rPr>
          <w:color w:val="auto"/>
        </w:rPr>
        <w:t xml:space="preserve">– puntualizza Mosti – </w:t>
      </w:r>
      <w:r w:rsidR="00F66AF0" w:rsidRPr="00B35FD1">
        <w:rPr>
          <w:color w:val="auto"/>
        </w:rPr>
        <w:t>con una media</w:t>
      </w:r>
      <w:r w:rsidRPr="00B35FD1">
        <w:rPr>
          <w:color w:val="auto"/>
        </w:rPr>
        <w:t xml:space="preserve"> mobile a 7 giorni di </w:t>
      </w:r>
      <w:r w:rsidR="001A3091" w:rsidRPr="00B35FD1">
        <w:rPr>
          <w:color w:val="auto"/>
        </w:rPr>
        <w:t>23</w:t>
      </w:r>
      <w:r w:rsidRPr="00B35FD1">
        <w:rPr>
          <w:color w:val="auto"/>
        </w:rPr>
        <w:t xml:space="preserve"> ingressi/die rispetto ai </w:t>
      </w:r>
      <w:r w:rsidR="001A3091" w:rsidRPr="00B35FD1">
        <w:rPr>
          <w:color w:val="auto"/>
        </w:rPr>
        <w:t>25</w:t>
      </w:r>
      <w:r w:rsidRPr="00B35FD1">
        <w:rPr>
          <w:color w:val="auto"/>
        </w:rPr>
        <w:t xml:space="preserve"> della settimana precedente</w:t>
      </w:r>
      <w:bookmarkStart w:id="3" w:name="_Hlk109819526"/>
      <w:r w:rsidRPr="00B35FD1">
        <w:rPr>
          <w:color w:val="auto"/>
        </w:rPr>
        <w:t>»</w:t>
      </w:r>
      <w:bookmarkEnd w:id="3"/>
      <w:r w:rsidRPr="00B35FD1">
        <w:rPr>
          <w:color w:val="auto"/>
        </w:rPr>
        <w:t xml:space="preserve"> (</w:t>
      </w:r>
      <w:r w:rsidRPr="00B35FD1">
        <w:rPr>
          <w:color w:val="auto"/>
          <w:highlight w:val="yellow"/>
        </w:rPr>
        <w:t>figura 9</w:t>
      </w:r>
      <w:r w:rsidRPr="00B35FD1">
        <w:rPr>
          <w:color w:val="auto"/>
        </w:rPr>
        <w:t>).</w:t>
      </w:r>
      <w:bookmarkEnd w:id="2"/>
      <w:r w:rsidR="00494847" w:rsidRPr="00B35FD1">
        <w:rPr>
          <w:color w:val="auto"/>
        </w:rPr>
        <w:t xml:space="preserve"> </w:t>
      </w:r>
    </w:p>
    <w:p w:rsidR="00AC7409" w:rsidRDefault="00EA300B" w:rsidP="00AC7409">
      <w:pPr>
        <w:spacing w:line="276" w:lineRule="auto"/>
        <w:jc w:val="both"/>
        <w:rPr>
          <w:color w:val="auto"/>
        </w:rPr>
      </w:pPr>
      <w:r w:rsidRPr="001A3091">
        <w:rPr>
          <w:b/>
          <w:color w:val="auto"/>
        </w:rPr>
        <w:t>Decessi</w:t>
      </w:r>
      <w:r w:rsidRPr="001A3091">
        <w:rPr>
          <w:color w:val="auto"/>
        </w:rPr>
        <w:t xml:space="preserve">. </w:t>
      </w:r>
      <w:r w:rsidR="00E53D97">
        <w:rPr>
          <w:color w:val="auto"/>
        </w:rPr>
        <w:t xml:space="preserve">Una sostanziale stabilità si registra anche sul fronte dei </w:t>
      </w:r>
      <w:r w:rsidR="00F1321C" w:rsidRPr="001A3091">
        <w:rPr>
          <w:color w:val="auto"/>
        </w:rPr>
        <w:t>decessi</w:t>
      </w:r>
      <w:r w:rsidR="007A3A16" w:rsidRPr="001A3091">
        <w:rPr>
          <w:color w:val="auto"/>
        </w:rPr>
        <w:t xml:space="preserve">: </w:t>
      </w:r>
      <w:r w:rsidR="001A3091" w:rsidRPr="001A3091">
        <w:rPr>
          <w:color w:val="auto"/>
        </w:rPr>
        <w:t>759</w:t>
      </w:r>
      <w:r w:rsidR="00062A6E" w:rsidRPr="001A3091">
        <w:rPr>
          <w:color w:val="auto"/>
        </w:rPr>
        <w:t xml:space="preserve"> </w:t>
      </w:r>
      <w:r w:rsidR="007A3A16" w:rsidRPr="001A3091">
        <w:rPr>
          <w:color w:val="auto"/>
        </w:rPr>
        <w:t xml:space="preserve">negli ultimi 7 giorni (di cui </w:t>
      </w:r>
      <w:r w:rsidR="001A3091" w:rsidRPr="001A3091">
        <w:rPr>
          <w:color w:val="auto"/>
        </w:rPr>
        <w:t>80</w:t>
      </w:r>
      <w:r w:rsidR="00062A6E" w:rsidRPr="001A3091">
        <w:rPr>
          <w:color w:val="auto"/>
        </w:rPr>
        <w:t xml:space="preserve"> </w:t>
      </w:r>
      <w:r w:rsidR="007A3A16" w:rsidRPr="001A3091">
        <w:rPr>
          <w:color w:val="auto"/>
        </w:rPr>
        <w:t xml:space="preserve">riferiti a periodi precedenti), con una media di </w:t>
      </w:r>
      <w:r w:rsidR="001A3091" w:rsidRPr="001A3091">
        <w:rPr>
          <w:color w:val="auto"/>
        </w:rPr>
        <w:t>108</w:t>
      </w:r>
      <w:r w:rsidR="00A8339F" w:rsidRPr="001A3091">
        <w:rPr>
          <w:color w:val="auto"/>
        </w:rPr>
        <w:t xml:space="preserve"> </w:t>
      </w:r>
      <w:r w:rsidR="007A3A16" w:rsidRPr="001A3091">
        <w:rPr>
          <w:color w:val="auto"/>
        </w:rPr>
        <w:t xml:space="preserve">al giorno rispetto ai </w:t>
      </w:r>
      <w:r w:rsidR="001A3091" w:rsidRPr="001A3091">
        <w:rPr>
          <w:color w:val="auto"/>
        </w:rPr>
        <w:t>107</w:t>
      </w:r>
      <w:r w:rsidR="00A8339F" w:rsidRPr="001A3091">
        <w:rPr>
          <w:color w:val="auto"/>
        </w:rPr>
        <w:t xml:space="preserve"> </w:t>
      </w:r>
      <w:r w:rsidR="007A3A16" w:rsidRPr="001A3091">
        <w:rPr>
          <w:color w:val="auto"/>
        </w:rPr>
        <w:t>della settimana precedente.</w:t>
      </w:r>
      <w:r w:rsidR="006173A3">
        <w:rPr>
          <w:color w:val="auto"/>
        </w:rPr>
        <w:t xml:space="preserve"> </w:t>
      </w:r>
      <w:r w:rsidR="006173A3" w:rsidRPr="006173A3">
        <w:rPr>
          <w:color w:val="auto"/>
        </w:rPr>
        <w:t>«</w:t>
      </w:r>
      <w:r w:rsidR="00E53D97">
        <w:rPr>
          <w:color w:val="auto"/>
        </w:rPr>
        <w:t xml:space="preserve">Il </w:t>
      </w:r>
      <w:r w:rsidR="006173A3">
        <w:rPr>
          <w:color w:val="auto"/>
        </w:rPr>
        <w:t xml:space="preserve">numero di decessi </w:t>
      </w:r>
      <w:r w:rsidR="00E53D97">
        <w:rPr>
          <w:color w:val="auto"/>
        </w:rPr>
        <w:t>nel nostro Paese</w:t>
      </w:r>
      <w:r w:rsidR="006173A3" w:rsidRPr="006173A3">
        <w:rPr>
          <w:color w:val="auto"/>
        </w:rPr>
        <w:t xml:space="preserve"> – </w:t>
      </w:r>
      <w:r w:rsidR="006173A3">
        <w:rPr>
          <w:color w:val="auto"/>
        </w:rPr>
        <w:t xml:space="preserve">commenta Cartabellotta </w:t>
      </w:r>
      <w:r w:rsidR="006173A3" w:rsidRPr="006173A3">
        <w:rPr>
          <w:color w:val="auto"/>
        </w:rPr>
        <w:t>–</w:t>
      </w:r>
      <w:r w:rsidR="006173A3">
        <w:rPr>
          <w:color w:val="auto"/>
        </w:rPr>
        <w:t xml:space="preserve"> </w:t>
      </w:r>
      <w:r w:rsidR="00E53D97">
        <w:rPr>
          <w:color w:val="auto"/>
        </w:rPr>
        <w:t>rimane molto elevato, alimentando il</w:t>
      </w:r>
      <w:r w:rsidR="006173A3">
        <w:rPr>
          <w:color w:val="auto"/>
        </w:rPr>
        <w:t xml:space="preserve"> dibattito sui criteri per definire le morti COVID</w:t>
      </w:r>
      <w:r w:rsidR="00E53D97">
        <w:rPr>
          <w:color w:val="auto"/>
        </w:rPr>
        <w:t xml:space="preserve"> e addirittura la richiesta di </w:t>
      </w:r>
      <w:r w:rsidR="006173A3">
        <w:rPr>
          <w:color w:val="auto"/>
        </w:rPr>
        <w:t xml:space="preserve">una commissione </w:t>
      </w:r>
      <w:r w:rsidR="00306191">
        <w:rPr>
          <w:color w:val="auto"/>
        </w:rPr>
        <w:t xml:space="preserve">medica </w:t>
      </w:r>
      <w:r w:rsidR="006173A3">
        <w:rPr>
          <w:color w:val="auto"/>
        </w:rPr>
        <w:t>di inchiesta</w:t>
      </w:r>
      <w:r w:rsidR="00DB6C6C">
        <w:rPr>
          <w:color w:val="auto"/>
        </w:rPr>
        <w:t xml:space="preserve"> sulla mortalità COVID in Italia</w:t>
      </w:r>
      <w:r w:rsidR="006173A3" w:rsidRPr="006173A3">
        <w:rPr>
          <w:color w:val="auto"/>
        </w:rPr>
        <w:t>».</w:t>
      </w:r>
      <w:r w:rsidR="006173A3">
        <w:rPr>
          <w:color w:val="auto"/>
        </w:rPr>
        <w:t xml:space="preserve"> </w:t>
      </w:r>
      <w:r w:rsidR="00B92354">
        <w:rPr>
          <w:color w:val="auto"/>
        </w:rPr>
        <w:t>S</w:t>
      </w:r>
      <w:r w:rsidR="00E64B1F" w:rsidRPr="00B23FF7">
        <w:rPr>
          <w:color w:val="auto"/>
        </w:rPr>
        <w:t>econdo i dati pubblicati dall’</w:t>
      </w:r>
      <w:hyperlink r:id="rId9" w:history="1">
        <w:r w:rsidR="00E64B1F" w:rsidRPr="00905F33">
          <w:rPr>
            <w:rStyle w:val="Collegamentoipertestuale"/>
          </w:rPr>
          <w:t>ultimo report dell’Istituto Superiore di Sanità</w:t>
        </w:r>
      </w:hyperlink>
      <w:r w:rsidR="00E64B1F" w:rsidRPr="00B23FF7">
        <w:rPr>
          <w:color w:val="auto"/>
        </w:rPr>
        <w:t>, relativ</w:t>
      </w:r>
      <w:r w:rsidR="00E64B1F">
        <w:rPr>
          <w:color w:val="auto"/>
        </w:rPr>
        <w:t>i</w:t>
      </w:r>
      <w:r w:rsidR="00E64B1F" w:rsidRPr="00B23FF7">
        <w:rPr>
          <w:color w:val="auto"/>
        </w:rPr>
        <w:t xml:space="preserve"> ai decessi </w:t>
      </w:r>
      <w:r w:rsidR="00E64B1F">
        <w:rPr>
          <w:color w:val="auto"/>
        </w:rPr>
        <w:t xml:space="preserve">di persone con diagnosi di COVID-19 </w:t>
      </w:r>
      <w:r w:rsidR="00E64B1F" w:rsidRPr="00B23FF7">
        <w:rPr>
          <w:color w:val="auto"/>
        </w:rPr>
        <w:t>tra il 2</w:t>
      </w:r>
      <w:r w:rsidR="00E64B1F">
        <w:rPr>
          <w:color w:val="auto"/>
        </w:rPr>
        <w:t>4</w:t>
      </w:r>
      <w:r w:rsidR="00E64B1F" w:rsidRPr="00B23FF7">
        <w:rPr>
          <w:color w:val="auto"/>
        </w:rPr>
        <w:t xml:space="preserve"> </w:t>
      </w:r>
      <w:r w:rsidR="00E64B1F">
        <w:rPr>
          <w:color w:val="auto"/>
        </w:rPr>
        <w:t xml:space="preserve">giugno </w:t>
      </w:r>
      <w:r w:rsidR="00E64B1F" w:rsidRPr="00B23FF7">
        <w:rPr>
          <w:color w:val="auto"/>
        </w:rPr>
        <w:t xml:space="preserve">e il </w:t>
      </w:r>
      <w:r w:rsidR="00E64B1F">
        <w:rPr>
          <w:color w:val="auto"/>
        </w:rPr>
        <w:t>24 luglio 2022</w:t>
      </w:r>
      <w:r w:rsidR="00E64B1F" w:rsidRPr="00B23FF7">
        <w:rPr>
          <w:color w:val="auto"/>
        </w:rPr>
        <w:t xml:space="preserve">, il tasso </w:t>
      </w:r>
      <w:r w:rsidR="00E64B1F">
        <w:rPr>
          <w:color w:val="auto"/>
        </w:rPr>
        <w:t xml:space="preserve">grezzo </w:t>
      </w:r>
      <w:r w:rsidR="00E64B1F" w:rsidRPr="00B23FF7">
        <w:rPr>
          <w:color w:val="auto"/>
        </w:rPr>
        <w:t xml:space="preserve">di mortalità per 100.000 persone è molto più elevato tra i non vaccinati che tra i vaccinati con tre dosi: </w:t>
      </w:r>
      <w:r w:rsidR="00E64B1F">
        <w:rPr>
          <w:color w:val="auto"/>
        </w:rPr>
        <w:t>19,1</w:t>
      </w:r>
      <w:r w:rsidR="00E64B1F" w:rsidRPr="00B23FF7">
        <w:rPr>
          <w:color w:val="auto"/>
        </w:rPr>
        <w:t xml:space="preserve"> vs </w:t>
      </w:r>
      <w:r w:rsidR="00E64B1F">
        <w:rPr>
          <w:color w:val="auto"/>
        </w:rPr>
        <w:t>5,3</w:t>
      </w:r>
      <w:r w:rsidR="00E64B1F" w:rsidRPr="00B23FF7">
        <w:rPr>
          <w:color w:val="auto"/>
        </w:rPr>
        <w:t xml:space="preserve"> per la fascia 60-79</w:t>
      </w:r>
      <w:r w:rsidR="00E64B1F">
        <w:rPr>
          <w:color w:val="auto"/>
        </w:rPr>
        <w:t xml:space="preserve"> anni</w:t>
      </w:r>
      <w:r w:rsidR="00E64B1F" w:rsidRPr="00B23FF7">
        <w:rPr>
          <w:color w:val="auto"/>
        </w:rPr>
        <w:t xml:space="preserve"> e </w:t>
      </w:r>
      <w:r w:rsidR="00E64B1F">
        <w:rPr>
          <w:color w:val="auto"/>
        </w:rPr>
        <w:t>327,2</w:t>
      </w:r>
      <w:r w:rsidR="00E64B1F" w:rsidRPr="00B23FF7">
        <w:rPr>
          <w:color w:val="auto"/>
        </w:rPr>
        <w:t xml:space="preserve"> vs </w:t>
      </w:r>
      <w:r w:rsidR="00E64B1F">
        <w:rPr>
          <w:color w:val="auto"/>
        </w:rPr>
        <w:t>48,2</w:t>
      </w:r>
      <w:r w:rsidR="00E64B1F" w:rsidRPr="00B23FF7">
        <w:rPr>
          <w:color w:val="auto"/>
        </w:rPr>
        <w:t xml:space="preserve"> per gli over 80. </w:t>
      </w:r>
      <w:r w:rsidR="00E64B1F">
        <w:rPr>
          <w:color w:val="auto"/>
        </w:rPr>
        <w:t xml:space="preserve">Tuttavia, a fronte di questa efficacia molto elevata, negli over </w:t>
      </w:r>
      <w:r w:rsidR="00DB6C6C">
        <w:rPr>
          <w:color w:val="auto"/>
        </w:rPr>
        <w:t xml:space="preserve">60 </w:t>
      </w:r>
      <w:r w:rsidR="00E64B1F">
        <w:rPr>
          <w:color w:val="auto"/>
        </w:rPr>
        <w:t>che hanno completato il ciclo vaccinale con 3 dosi si rileva un progressivo aumento del tasso grezzo di mortalità (</w:t>
      </w:r>
      <w:r w:rsidR="00E64B1F" w:rsidRPr="00555C25">
        <w:rPr>
          <w:color w:val="auto"/>
          <w:highlight w:val="yellow"/>
        </w:rPr>
        <w:t>figura</w:t>
      </w:r>
      <w:r w:rsidR="00E64B1F">
        <w:rPr>
          <w:color w:val="auto"/>
        </w:rPr>
        <w:t>)</w:t>
      </w:r>
      <w:r w:rsidR="00557B7E">
        <w:rPr>
          <w:color w:val="auto"/>
        </w:rPr>
        <w:t xml:space="preserve">: </w:t>
      </w:r>
      <w:r w:rsidR="00B6335A">
        <w:rPr>
          <w:color w:val="auto"/>
        </w:rPr>
        <w:t>i</w:t>
      </w:r>
      <w:r w:rsidR="001A780A" w:rsidRPr="001A780A">
        <w:rPr>
          <w:color w:val="auto"/>
        </w:rPr>
        <w:t xml:space="preserve">n particolare, dopo aver toccato il valore mimino </w:t>
      </w:r>
      <w:r w:rsidR="00C43E99">
        <w:rPr>
          <w:color w:val="auto"/>
        </w:rPr>
        <w:t xml:space="preserve">per i deceduti con diagnosi di COVID-19 </w:t>
      </w:r>
      <w:r w:rsidR="001A780A" w:rsidRPr="001A780A">
        <w:rPr>
          <w:color w:val="auto"/>
        </w:rPr>
        <w:t xml:space="preserve">nel periodo 20/05-19/06 è aumentato </w:t>
      </w:r>
      <w:r w:rsidR="00C43E99">
        <w:rPr>
          <w:color w:val="auto"/>
        </w:rPr>
        <w:t xml:space="preserve">in poco più di un mese </w:t>
      </w:r>
      <w:r w:rsidR="001A780A" w:rsidRPr="001A780A">
        <w:rPr>
          <w:color w:val="auto"/>
        </w:rPr>
        <w:t xml:space="preserve">da 1,5 a 5,3 </w:t>
      </w:r>
      <w:r w:rsidR="00C43E99" w:rsidRPr="001A780A">
        <w:rPr>
          <w:color w:val="auto"/>
        </w:rPr>
        <w:t xml:space="preserve">nella fascia 60-79 anni </w:t>
      </w:r>
      <w:r w:rsidR="001A780A" w:rsidRPr="001A780A">
        <w:rPr>
          <w:color w:val="auto"/>
        </w:rPr>
        <w:t xml:space="preserve">(+253%) e da 11,8 a 48,2 </w:t>
      </w:r>
      <w:r w:rsidR="00C43E99" w:rsidRPr="001A780A">
        <w:rPr>
          <w:color w:val="auto"/>
        </w:rPr>
        <w:t xml:space="preserve">negli over 80 </w:t>
      </w:r>
      <w:r w:rsidR="001A780A" w:rsidRPr="001A780A">
        <w:rPr>
          <w:color w:val="auto"/>
        </w:rPr>
        <w:t>(+309%)</w:t>
      </w:r>
      <w:r w:rsidR="00B6335A">
        <w:rPr>
          <w:color w:val="auto"/>
        </w:rPr>
        <w:t>.</w:t>
      </w:r>
    </w:p>
    <w:p w:rsidR="00E64B1F" w:rsidRDefault="00476C5F" w:rsidP="00AC7409">
      <w:pPr>
        <w:spacing w:line="276" w:lineRule="auto"/>
        <w:jc w:val="center"/>
        <w:rPr>
          <w:color w:val="aut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233pt">
            <v:imagedata r:id="rId10" o:title="Tasso_mortalita_over_60_3a_dose-min"/>
          </v:shape>
        </w:pict>
      </w:r>
    </w:p>
    <w:p w:rsidR="00AC7409" w:rsidRDefault="00AC7409" w:rsidP="00AC7409">
      <w:pPr>
        <w:spacing w:line="276" w:lineRule="auto"/>
        <w:jc w:val="both"/>
        <w:rPr>
          <w:color w:val="auto"/>
        </w:rPr>
      </w:pPr>
      <w:r w:rsidRPr="00265C1F">
        <w:rPr>
          <w:color w:val="auto"/>
        </w:rPr>
        <w:lastRenderedPageBreak/>
        <w:t>«</w:t>
      </w:r>
      <w:r>
        <w:rPr>
          <w:color w:val="auto"/>
        </w:rPr>
        <w:t xml:space="preserve">L’attuale numero dei decessi </w:t>
      </w:r>
      <w:r w:rsidRPr="00265C1F">
        <w:rPr>
          <w:color w:val="auto"/>
        </w:rPr>
        <w:t xml:space="preserve">– </w:t>
      </w:r>
      <w:r>
        <w:rPr>
          <w:color w:val="auto"/>
        </w:rPr>
        <w:t xml:space="preserve">spiega </w:t>
      </w:r>
      <w:r w:rsidRPr="00265C1F">
        <w:rPr>
          <w:color w:val="auto"/>
        </w:rPr>
        <w:t>il Presidente –</w:t>
      </w:r>
      <w:r>
        <w:rPr>
          <w:color w:val="auto"/>
        </w:rPr>
        <w:t xml:space="preserve"> in particolare negli over 80 è dunque fortemente condizionato sia dalla circolazione virale sia dal progressivo declino della protezione vaccinale nei confronti della malattia grave dopo 120 giorni dalla terza dose, indipendentemente da altre variabili quali comorbidità, sotto-utilizzo farmaci antivirali, problematiche organizzative, criteri per definire il decesso COVID</w:t>
      </w:r>
      <w:r w:rsidRPr="00265C1F">
        <w:rPr>
          <w:color w:val="auto"/>
        </w:rPr>
        <w:t>».</w:t>
      </w:r>
    </w:p>
    <w:p w:rsidR="0081511D" w:rsidRPr="0081511D" w:rsidRDefault="0081511D" w:rsidP="00D44AA7">
      <w:pPr>
        <w:spacing w:line="276" w:lineRule="auto"/>
        <w:jc w:val="both"/>
        <w:rPr>
          <w:color w:val="auto"/>
        </w:rPr>
      </w:pPr>
      <w:r w:rsidRPr="0081511D">
        <w:rPr>
          <w:b/>
          <w:color w:val="auto"/>
        </w:rPr>
        <w:t xml:space="preserve">Vaccini: somministrazioni. </w:t>
      </w:r>
      <w:r w:rsidRPr="0081511D">
        <w:rPr>
          <w:color w:val="auto"/>
        </w:rPr>
        <w:t>Al 24 agosto (aggiornamento ore 06.16) l</w:t>
      </w:r>
      <w:r>
        <w:rPr>
          <w:color w:val="auto"/>
        </w:rPr>
        <w:t>’</w:t>
      </w:r>
      <w:r w:rsidRPr="0081511D">
        <w:rPr>
          <w:color w:val="auto"/>
        </w:rPr>
        <w:t>88,2% della platea (n. 50.826.033) ha ricevuto almeno una dose di vaccino (+</w:t>
      </w:r>
      <w:r>
        <w:rPr>
          <w:color w:val="auto"/>
        </w:rPr>
        <w:t>1.693</w:t>
      </w:r>
      <w:r w:rsidRPr="0081511D">
        <w:rPr>
          <w:color w:val="auto"/>
        </w:rPr>
        <w:t xml:space="preserve"> rispett</w:t>
      </w:r>
      <w:r>
        <w:rPr>
          <w:color w:val="auto"/>
        </w:rPr>
        <w:t xml:space="preserve">o alla settimana precedente) e </w:t>
      </w:r>
      <w:r w:rsidRPr="0081511D">
        <w:rPr>
          <w:color w:val="auto"/>
        </w:rPr>
        <w:t>l</w:t>
      </w:r>
      <w:r>
        <w:rPr>
          <w:color w:val="auto"/>
        </w:rPr>
        <w:t>’</w:t>
      </w:r>
      <w:r w:rsidRPr="0081511D">
        <w:rPr>
          <w:color w:val="auto"/>
        </w:rPr>
        <w:t>86,7% (n. 49.961.891) ha completato il ciclo vaccinale (+</w:t>
      </w:r>
      <w:r>
        <w:rPr>
          <w:color w:val="auto"/>
        </w:rPr>
        <w:t>1.936</w:t>
      </w:r>
      <w:r w:rsidRPr="0081511D">
        <w:rPr>
          <w:color w:val="auto"/>
        </w:rPr>
        <w:t xml:space="preserve"> rispetto alla settimana precedente).</w:t>
      </w:r>
    </w:p>
    <w:p w:rsidR="0081511D" w:rsidRPr="0081511D" w:rsidRDefault="0081511D" w:rsidP="00434FB1">
      <w:pPr>
        <w:spacing w:line="276" w:lineRule="auto"/>
        <w:jc w:val="both"/>
        <w:rPr>
          <w:color w:val="auto"/>
        </w:rPr>
      </w:pPr>
      <w:r w:rsidRPr="0081511D">
        <w:rPr>
          <w:b/>
          <w:color w:val="auto"/>
        </w:rPr>
        <w:t>Vaccini: nuovi vaccinati.</w:t>
      </w:r>
      <w:r w:rsidRPr="0081511D">
        <w:rPr>
          <w:color w:val="auto"/>
        </w:rPr>
        <w:t xml:space="preserve"> Nella settimana 17-23 agosto crescono i nuovi vaccinati: 1.760 rispetto ai 1.527 della settimana precedente (15,3%). Di questi il 34,9% è rappresentato dalla fascia 5-11: 614, con un incremento del 45,2% rispetto alla settimana precedente. Cala tra gli over 50, più a rischio di malattia grave, il numero di nuovi vaccinati che si attesta a quota 467 (-12,9% rispetto alla settimana precedente) (</w:t>
      </w:r>
      <w:r w:rsidRPr="0081511D">
        <w:rPr>
          <w:color w:val="auto"/>
          <w:highlight w:val="yellow"/>
        </w:rPr>
        <w:t>figura 10</w:t>
      </w:r>
      <w:r w:rsidRPr="0081511D">
        <w:rPr>
          <w:color w:val="auto"/>
        </w:rPr>
        <w:t>).</w:t>
      </w:r>
    </w:p>
    <w:p w:rsidR="0081511D" w:rsidRDefault="0081511D" w:rsidP="0081511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81511D">
        <w:rPr>
          <w:b/>
          <w:color w:val="auto"/>
        </w:rPr>
        <w:t>Vaccini: persone non vaccinate.</w:t>
      </w:r>
      <w:r w:rsidRPr="0081511D">
        <w:rPr>
          <w:color w:val="auto"/>
        </w:rPr>
        <w:t xml:space="preserve"> Al 24 agosto (aggiornamento ore 06.16) sono 6,82 milioni le persone di età superiore a 5 anni che non hanno ricevuto nemmeno una dose di vaccino (</w:t>
      </w:r>
      <w:r w:rsidRPr="0081511D">
        <w:rPr>
          <w:color w:val="auto"/>
          <w:highlight w:val="yellow"/>
        </w:rPr>
        <w:t>figure 11 e 12</w:t>
      </w:r>
      <w:r w:rsidRPr="0081511D">
        <w:rPr>
          <w:color w:val="auto"/>
        </w:rPr>
        <w:t xml:space="preserve">), di cui: </w:t>
      </w:r>
    </w:p>
    <w:p w:rsidR="0081511D" w:rsidRDefault="0081511D" w:rsidP="0081511D">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color w:val="auto"/>
        </w:rPr>
      </w:pPr>
      <w:r w:rsidRPr="0081511D">
        <w:rPr>
          <w:color w:val="auto"/>
        </w:rPr>
        <w:t xml:space="preserve">5,51 milioni attualmente vaccinabili, pari al 9,6% della platea con nette differenze regionali </w:t>
      </w:r>
      <w:r>
        <w:rPr>
          <w:color w:val="auto"/>
        </w:rPr>
        <w:t>(</w:t>
      </w:r>
      <w:r w:rsidRPr="0081511D">
        <w:rPr>
          <w:color w:val="auto"/>
        </w:rPr>
        <w:t>dal 6,8% del Lazio</w:t>
      </w:r>
      <w:r>
        <w:rPr>
          <w:color w:val="auto"/>
        </w:rPr>
        <w:t xml:space="preserve"> al 13,5% della Valle D</w:t>
      </w:r>
      <w:r w:rsidR="001C5BD4">
        <w:rPr>
          <w:color w:val="auto"/>
        </w:rPr>
        <w:t>’</w:t>
      </w:r>
      <w:r>
        <w:rPr>
          <w:color w:val="auto"/>
        </w:rPr>
        <w:t>Aosta);</w:t>
      </w:r>
    </w:p>
    <w:p w:rsidR="0081511D" w:rsidRPr="0081511D" w:rsidRDefault="0081511D" w:rsidP="0081511D">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jc w:val="both"/>
        <w:rPr>
          <w:color w:val="auto"/>
        </w:rPr>
      </w:pPr>
      <w:r w:rsidRPr="0081511D">
        <w:rPr>
          <w:color w:val="auto"/>
        </w:rPr>
        <w:t xml:space="preserve">1,31 milioni temporaneamente protette in quanto guarite da COVID-19 da meno di 180 giorni, pari al 2,3% della platea con nette differenze regionali </w:t>
      </w:r>
      <w:r>
        <w:rPr>
          <w:color w:val="auto"/>
        </w:rPr>
        <w:t>(dall’</w:t>
      </w:r>
      <w:r w:rsidRPr="0081511D">
        <w:rPr>
          <w:color w:val="auto"/>
        </w:rPr>
        <w:t>1,4% della Valle D</w:t>
      </w:r>
      <w:r w:rsidR="001C5BD4">
        <w:rPr>
          <w:color w:val="auto"/>
        </w:rPr>
        <w:t>’</w:t>
      </w:r>
      <w:r w:rsidRPr="0081511D">
        <w:rPr>
          <w:color w:val="auto"/>
        </w:rPr>
        <w:t>Aosta al 3,6% della Provincia Autonoma di Bolzano</w:t>
      </w:r>
      <w:r>
        <w:rPr>
          <w:color w:val="auto"/>
        </w:rPr>
        <w:t>)</w:t>
      </w:r>
      <w:r w:rsidRPr="0081511D">
        <w:rPr>
          <w:color w:val="auto"/>
        </w:rPr>
        <w:t>.</w:t>
      </w:r>
    </w:p>
    <w:p w:rsidR="0081511D" w:rsidRPr="0081511D" w:rsidRDefault="0081511D" w:rsidP="001A6B1D">
      <w:pPr>
        <w:spacing w:line="276" w:lineRule="auto"/>
        <w:jc w:val="both"/>
        <w:rPr>
          <w:color w:val="auto"/>
        </w:rPr>
      </w:pPr>
      <w:r w:rsidRPr="0081511D">
        <w:rPr>
          <w:b/>
          <w:color w:val="auto"/>
        </w:rPr>
        <w:t>Vaccini: fascia 5-11 anni.</w:t>
      </w:r>
      <w:r w:rsidRPr="0081511D">
        <w:rPr>
          <w:color w:val="auto"/>
        </w:rPr>
        <w:t xml:space="preserve"> Al 24 agosto (aggiornamento ore 06.16) nella fascia 5-11 anni sono state somministrate 2.594.977 dosi: 1.402.151 hanno ricevuto almeno 1 dose di vaccino (di cui 1.282.213 hanno completato il ciclo vaccinale), con un tasso di copertura nazionale al 38,4% con nette differenze regionali: dal 21% della Provincia Autonoma di Bolzano al 53,9% della Puglia (</w:t>
      </w:r>
      <w:r w:rsidRPr="0081511D">
        <w:rPr>
          <w:color w:val="auto"/>
          <w:highlight w:val="yellow"/>
        </w:rPr>
        <w:t>figura 13</w:t>
      </w:r>
      <w:r w:rsidRPr="0081511D">
        <w:rPr>
          <w:color w:val="auto"/>
        </w:rPr>
        <w:t>).</w:t>
      </w:r>
    </w:p>
    <w:p w:rsidR="0081511D" w:rsidRDefault="0081511D" w:rsidP="0081511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auto"/>
        </w:rPr>
      </w:pPr>
      <w:r w:rsidRPr="0081511D">
        <w:rPr>
          <w:rFonts w:eastAsia="Times New Roman"/>
          <w:b/>
          <w:color w:val="auto"/>
        </w:rPr>
        <w:t>Vaccini: terza dose.</w:t>
      </w:r>
      <w:r w:rsidRPr="0081511D">
        <w:rPr>
          <w:rFonts w:eastAsia="Times New Roman"/>
          <w:color w:val="auto"/>
        </w:rPr>
        <w:t xml:space="preserve"> Al 24 agosto (aggiornamento ore 06.16) sono state somministrate 40.069.724 terze dosi con una media mobile a 7 giorni di 2.668 somministrazioni al giorno. In base alla </w:t>
      </w:r>
      <w:hyperlink r:id="rId11" w:history="1">
        <w:r w:rsidRPr="0081511D">
          <w:rPr>
            <w:rStyle w:val="Collegamentoipertestuale"/>
            <w:color w:val="auto"/>
          </w:rPr>
          <w:t>platea ufficiale</w:t>
        </w:r>
      </w:hyperlink>
      <w:r w:rsidRPr="0081511D">
        <w:rPr>
          <w:rFonts w:eastAsia="Times New Roman"/>
          <w:color w:val="auto"/>
        </w:rPr>
        <w:t xml:space="preserve"> (n. 47.703.593), aggiornata al 20 maggio</w:t>
      </w:r>
      <w:r w:rsidR="0087078A">
        <w:rPr>
          <w:rFonts w:eastAsia="Times New Roman"/>
          <w:color w:val="auto"/>
        </w:rPr>
        <w:t>,</w:t>
      </w:r>
      <w:r w:rsidRPr="0081511D">
        <w:rPr>
          <w:rFonts w:eastAsia="Times New Roman"/>
          <w:color w:val="auto"/>
        </w:rPr>
        <w:t xml:space="preserve"> il tasso di copertura nazionale per le terze dosi è dell’84%: dal 78,2% della Sicilia al</w:t>
      </w:r>
      <w:r w:rsidR="001C5BD4">
        <w:rPr>
          <w:rFonts w:eastAsia="Times New Roman"/>
          <w:color w:val="auto"/>
        </w:rPr>
        <w:t>l’</w:t>
      </w:r>
      <w:r w:rsidRPr="0081511D">
        <w:rPr>
          <w:rFonts w:eastAsia="Times New Roman"/>
          <w:color w:val="auto"/>
        </w:rPr>
        <w:t xml:space="preserve">87,9% della Lombardia. Sono 7,63 milioni le persone che non hanno ancora ricevuto la dose </w:t>
      </w:r>
      <w:r w:rsidRPr="00DB6C6C">
        <w:rPr>
          <w:rFonts w:eastAsia="Times New Roman"/>
          <w:i/>
          <w:color w:val="auto"/>
        </w:rPr>
        <w:t>booster</w:t>
      </w:r>
      <w:r w:rsidRPr="0081511D">
        <w:rPr>
          <w:rFonts w:eastAsia="Times New Roman"/>
          <w:color w:val="auto"/>
        </w:rPr>
        <w:t xml:space="preserve"> (</w:t>
      </w:r>
      <w:r w:rsidRPr="0081511D">
        <w:rPr>
          <w:rFonts w:eastAsia="Times New Roman"/>
          <w:color w:val="auto"/>
          <w:highlight w:val="yellow"/>
        </w:rPr>
        <w:t>figure 14 e 15</w:t>
      </w:r>
      <w:r w:rsidRPr="0081511D">
        <w:rPr>
          <w:rFonts w:eastAsia="Times New Roman"/>
          <w:color w:val="auto"/>
        </w:rPr>
        <w:t xml:space="preserve">), di cui: </w:t>
      </w:r>
    </w:p>
    <w:p w:rsidR="0081511D" w:rsidRPr="0081511D" w:rsidRDefault="0081511D" w:rsidP="0081511D">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color w:val="auto"/>
        </w:rPr>
      </w:pPr>
      <w:r w:rsidRPr="0081511D">
        <w:rPr>
          <w:color w:val="auto"/>
        </w:rPr>
        <w:t>5,08 milioni possono riceverla subito, pari al 10,6% della platea con nette differenze regionali (dal 7,8% della Lombardia al 16,8% della Sicilia);</w:t>
      </w:r>
    </w:p>
    <w:p w:rsidR="0081511D" w:rsidRPr="0081511D" w:rsidRDefault="0081511D" w:rsidP="0081511D">
      <w:pPr>
        <w:pStyle w:val="Paragrafoelenc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auto"/>
        </w:rPr>
      </w:pPr>
      <w:r w:rsidRPr="0081511D">
        <w:rPr>
          <w:rFonts w:eastAsia="Times New Roman"/>
          <w:color w:val="auto"/>
        </w:rPr>
        <w:t xml:space="preserve">2,56 milioni non possono riceverla nell’immediato in quanto guarite da meno di 120 giorni, pari al 5,4% della platea con nette differenze regionali </w:t>
      </w:r>
      <w:r>
        <w:rPr>
          <w:rFonts w:eastAsia="Times New Roman"/>
          <w:color w:val="auto"/>
        </w:rPr>
        <w:t>(</w:t>
      </w:r>
      <w:r w:rsidRPr="0081511D">
        <w:rPr>
          <w:rFonts w:eastAsia="Times New Roman"/>
          <w:color w:val="auto"/>
        </w:rPr>
        <w:t>dal 2,7% della Valle D</w:t>
      </w:r>
      <w:r w:rsidR="000165C3">
        <w:rPr>
          <w:rFonts w:eastAsia="Times New Roman"/>
          <w:color w:val="auto"/>
        </w:rPr>
        <w:t>’</w:t>
      </w:r>
      <w:r w:rsidRPr="0081511D">
        <w:rPr>
          <w:rFonts w:eastAsia="Times New Roman"/>
          <w:color w:val="auto"/>
        </w:rPr>
        <w:t>Aosta al 7,9% dell</w:t>
      </w:r>
      <w:r w:rsidR="001C5BD4">
        <w:rPr>
          <w:rFonts w:eastAsia="Times New Roman"/>
          <w:color w:val="auto"/>
        </w:rPr>
        <w:t>’</w:t>
      </w:r>
      <w:r w:rsidRPr="0081511D">
        <w:rPr>
          <w:rFonts w:eastAsia="Times New Roman"/>
          <w:color w:val="auto"/>
        </w:rPr>
        <w:t>Abruzzo</w:t>
      </w:r>
      <w:r>
        <w:rPr>
          <w:rFonts w:eastAsia="Times New Roman"/>
          <w:color w:val="auto"/>
        </w:rPr>
        <w:t>)</w:t>
      </w:r>
      <w:r w:rsidRPr="0081511D">
        <w:rPr>
          <w:rFonts w:eastAsia="Times New Roman"/>
          <w:color w:val="auto"/>
        </w:rPr>
        <w:t>.</w:t>
      </w:r>
    </w:p>
    <w:p w:rsidR="0081511D" w:rsidRDefault="00456E52" w:rsidP="007358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noProof/>
          <w:color w:val="auto"/>
        </w:rPr>
      </w:pPr>
      <w:r w:rsidRPr="0081511D">
        <w:rPr>
          <w:b/>
          <w:color w:val="auto"/>
        </w:rPr>
        <w:t>Vaccini: quarta dose</w:t>
      </w:r>
      <w:r w:rsidRPr="0081511D">
        <w:rPr>
          <w:bCs/>
          <w:color w:val="auto"/>
        </w:rPr>
        <w:t xml:space="preserve">. </w:t>
      </w:r>
      <w:r w:rsidR="00C10D93" w:rsidRPr="0081511D">
        <w:rPr>
          <w:bCs/>
          <w:color w:val="auto"/>
        </w:rPr>
        <w:t>Secondo quanto disposto dall</w:t>
      </w:r>
      <w:r w:rsidRPr="0081511D">
        <w:rPr>
          <w:bCs/>
          <w:color w:val="auto"/>
        </w:rPr>
        <w:t>a</w:t>
      </w:r>
      <w:r w:rsidRPr="0081511D">
        <w:rPr>
          <w:color w:val="auto"/>
        </w:rPr>
        <w:t xml:space="preserve"> </w:t>
      </w:r>
      <w:hyperlink r:id="rId12" w:history="1">
        <w:r w:rsidRPr="0081511D">
          <w:rPr>
            <w:rStyle w:val="Collegamentoipertestuale"/>
            <w:color w:val="auto"/>
          </w:rPr>
          <w:t>Circolare del Ministero della Salute dell’11 luglio 2022</w:t>
        </w:r>
      </w:hyperlink>
      <w:r w:rsidR="001C5BD4">
        <w:rPr>
          <w:rStyle w:val="Collegamentoipertestuale"/>
          <w:color w:val="auto"/>
        </w:rPr>
        <w:t>,</w:t>
      </w:r>
      <w:r w:rsidRPr="0081511D">
        <w:rPr>
          <w:color w:val="auto"/>
        </w:rPr>
        <w:t xml:space="preserve"> </w:t>
      </w:r>
      <w:r w:rsidR="00C10D93" w:rsidRPr="0081511D">
        <w:rPr>
          <w:color w:val="auto"/>
        </w:rPr>
        <w:t xml:space="preserve">la platea di persone candidate a ricevere il secondo richiamo (quarta dose) </w:t>
      </w:r>
      <w:r w:rsidR="00B5003D" w:rsidRPr="0081511D">
        <w:rPr>
          <w:color w:val="auto"/>
        </w:rPr>
        <w:t xml:space="preserve">– da effettuare dopo almeno 120 giorni dalla terza dose (primo richiamo) o dall’infezione post terza dose – </w:t>
      </w:r>
      <w:r w:rsidR="00C10D93" w:rsidRPr="0081511D">
        <w:rPr>
          <w:color w:val="auto"/>
        </w:rPr>
        <w:t>è</w:t>
      </w:r>
      <w:r w:rsidR="00B5003D" w:rsidRPr="0081511D">
        <w:rPr>
          <w:color w:val="auto"/>
        </w:rPr>
        <w:t xml:space="preserve"> </w:t>
      </w:r>
      <w:r w:rsidR="0081511D" w:rsidRPr="0081511D">
        <w:rPr>
          <w:color w:val="auto"/>
        </w:rPr>
        <w:t>di oltre 17</w:t>
      </w:r>
      <w:r w:rsidR="00C10D93" w:rsidRPr="0081511D">
        <w:rPr>
          <w:color w:val="auto"/>
        </w:rPr>
        <w:t>,</w:t>
      </w:r>
      <w:r w:rsidR="0081511D" w:rsidRPr="0081511D">
        <w:rPr>
          <w:color w:val="auto"/>
        </w:rPr>
        <w:t>1</w:t>
      </w:r>
      <w:r w:rsidR="00C10D93" w:rsidRPr="0081511D">
        <w:rPr>
          <w:color w:val="auto"/>
        </w:rPr>
        <w:t xml:space="preserve"> milioni di persone</w:t>
      </w:r>
      <w:bookmarkStart w:id="4" w:name="_Hlk109223496"/>
      <w:r w:rsidR="0016606E">
        <w:rPr>
          <w:color w:val="auto"/>
        </w:rPr>
        <w:t xml:space="preserve">, di cui </w:t>
      </w:r>
      <w:r w:rsidR="0087078A">
        <w:rPr>
          <w:color w:val="auto"/>
        </w:rPr>
        <w:t>più di</w:t>
      </w:r>
      <w:r w:rsidR="0073582A">
        <w:rPr>
          <w:color w:val="auto"/>
        </w:rPr>
        <w:t xml:space="preserve"> 1,85 milioni </w:t>
      </w:r>
      <w:r w:rsidR="0073582A" w:rsidRPr="0081511D">
        <w:rPr>
          <w:rFonts w:eastAsia="Times New Roman"/>
          <w:color w:val="auto"/>
        </w:rPr>
        <w:t xml:space="preserve">non </w:t>
      </w:r>
      <w:r w:rsidR="001C5BD4">
        <w:rPr>
          <w:rFonts w:eastAsia="Times New Roman"/>
          <w:color w:val="auto"/>
        </w:rPr>
        <w:t>eleggibili</w:t>
      </w:r>
      <w:r w:rsidR="0073582A" w:rsidRPr="0081511D">
        <w:rPr>
          <w:rFonts w:eastAsia="Times New Roman"/>
          <w:color w:val="auto"/>
        </w:rPr>
        <w:t xml:space="preserve"> nell’immediato in quanto guarite da meno di 120 giorni</w:t>
      </w:r>
      <w:r w:rsidR="0073582A">
        <w:rPr>
          <w:rFonts w:eastAsia="Times New Roman"/>
          <w:color w:val="auto"/>
        </w:rPr>
        <w:t>.</w:t>
      </w:r>
      <w:bookmarkEnd w:id="4"/>
      <w:r w:rsidR="0073582A">
        <w:rPr>
          <w:noProof/>
          <w:color w:val="auto"/>
        </w:rPr>
        <w:t xml:space="preserve"> </w:t>
      </w:r>
      <w:r w:rsidR="0081511D" w:rsidRPr="0081511D">
        <w:rPr>
          <w:color w:val="auto"/>
        </w:rPr>
        <w:t>Al 24 agosto (aggiornamento ore 06.16) sono state somministrate 2.185.380 quarte dosi, con una media mobile di 9.999 somministrazioni al giorno, in calo rispetto alle 11.417 della scorsa settimana (-12,4%) (</w:t>
      </w:r>
      <w:r w:rsidR="0081511D" w:rsidRPr="001E0808">
        <w:rPr>
          <w:color w:val="auto"/>
          <w:highlight w:val="yellow"/>
        </w:rPr>
        <w:t>figura 1</w:t>
      </w:r>
      <w:r w:rsidR="001E0808" w:rsidRPr="001E0808">
        <w:rPr>
          <w:color w:val="auto"/>
          <w:highlight w:val="yellow"/>
        </w:rPr>
        <w:t>6</w:t>
      </w:r>
      <w:r w:rsidR="0081511D" w:rsidRPr="0081511D">
        <w:rPr>
          <w:color w:val="auto"/>
        </w:rPr>
        <w:t>)</w:t>
      </w:r>
      <w:r w:rsidR="001E0808" w:rsidRPr="0073582A">
        <w:rPr>
          <w:color w:val="auto"/>
        </w:rPr>
        <w:t xml:space="preserve">, </w:t>
      </w:r>
      <w:r w:rsidR="0073582A">
        <w:rPr>
          <w:color w:val="auto"/>
        </w:rPr>
        <w:t xml:space="preserve">e </w:t>
      </w:r>
      <w:r w:rsidR="001E0808" w:rsidRPr="0073582A">
        <w:rPr>
          <w:color w:val="auto"/>
        </w:rPr>
        <w:t>molto lontan</w:t>
      </w:r>
      <w:r w:rsidR="0073582A">
        <w:rPr>
          <w:color w:val="auto"/>
        </w:rPr>
        <w:t xml:space="preserve">e dal </w:t>
      </w:r>
      <w:r w:rsidR="001E0808" w:rsidRPr="0073582A">
        <w:rPr>
          <w:color w:val="auto"/>
        </w:rPr>
        <w:t xml:space="preserve">target di 100 mila somministrazioni fissato </w:t>
      </w:r>
      <w:hyperlink r:id="rId13" w:history="1">
        <w:r w:rsidR="001E0808" w:rsidRPr="0073582A">
          <w:rPr>
            <w:rStyle w:val="Collegamentoipertestuale"/>
            <w:color w:val="auto"/>
          </w:rPr>
          <w:t>dalle linee di indirizzo dell’Unità per il completamento della campagna vaccinale</w:t>
        </w:r>
      </w:hyperlink>
      <w:r w:rsidR="001E0808" w:rsidRPr="0073582A">
        <w:rPr>
          <w:color w:val="auto"/>
        </w:rPr>
        <w:t>.</w:t>
      </w:r>
      <w:r w:rsidR="00383868">
        <w:rPr>
          <w:color w:val="auto"/>
        </w:rPr>
        <w:t xml:space="preserve"> </w:t>
      </w:r>
      <w:r w:rsidR="001E0808" w:rsidRPr="001E0808">
        <w:rPr>
          <w:color w:val="auto"/>
        </w:rPr>
        <w:t xml:space="preserve">In base alla </w:t>
      </w:r>
      <w:hyperlink r:id="rId14" w:history="1">
        <w:r w:rsidR="001E0808" w:rsidRPr="001E0808">
          <w:rPr>
            <w:rStyle w:val="Collegamentoipertestuale"/>
            <w:color w:val="auto"/>
          </w:rPr>
          <w:t>platea ufficiale</w:t>
        </w:r>
      </w:hyperlink>
      <w:r w:rsidR="001E0808" w:rsidRPr="005145F6">
        <w:rPr>
          <w:color w:val="FF0000"/>
        </w:rPr>
        <w:t xml:space="preserve"> </w:t>
      </w:r>
      <w:r w:rsidR="0081511D" w:rsidRPr="0081511D">
        <w:rPr>
          <w:color w:val="auto"/>
        </w:rPr>
        <w:t xml:space="preserve">(n. 17.140.056 di cui 5.480.919 della fascia 60-69 anni, 4.425.006 della fascia 70-79 anni, 3.691.879 di over 80, 3.454.153 di pazienti fragili e 88.099 di ospiti delle RSA che non ricadono nelle categorie precedenti), aggiornata al 27 luglio, il tasso di copertura nazionale per le quarte dosi è del </w:t>
      </w:r>
      <w:r w:rsidR="003C1C73">
        <w:rPr>
          <w:color w:val="auto"/>
        </w:rPr>
        <w:t>16,7</w:t>
      </w:r>
      <w:r w:rsidR="0081511D" w:rsidRPr="0081511D">
        <w:rPr>
          <w:color w:val="auto"/>
        </w:rPr>
        <w:t xml:space="preserve">% con nette differenze regionali: </w:t>
      </w:r>
      <w:r w:rsidR="003C1C73" w:rsidRPr="003C1C73">
        <w:rPr>
          <w:color w:val="auto"/>
        </w:rPr>
        <w:t>dal 6,4% della Provincia Autonoma di Bolzano al 32,3% del Piemonte</w:t>
      </w:r>
      <w:r w:rsidR="0081511D" w:rsidRPr="0081511D">
        <w:rPr>
          <w:color w:val="auto"/>
        </w:rPr>
        <w:t xml:space="preserve"> (</w:t>
      </w:r>
      <w:r w:rsidR="0081511D" w:rsidRPr="001E0808">
        <w:rPr>
          <w:color w:val="auto"/>
          <w:highlight w:val="yellow"/>
        </w:rPr>
        <w:t xml:space="preserve">figura </w:t>
      </w:r>
      <w:r w:rsidR="001E0808" w:rsidRPr="001E0808">
        <w:rPr>
          <w:color w:val="auto"/>
          <w:highlight w:val="yellow"/>
        </w:rPr>
        <w:t>17</w:t>
      </w:r>
      <w:r w:rsidR="0081511D" w:rsidRPr="0081511D">
        <w:rPr>
          <w:color w:val="auto"/>
        </w:rPr>
        <w:t>).</w:t>
      </w:r>
    </w:p>
    <w:p w:rsidR="00AD1E09" w:rsidRPr="001A3091" w:rsidRDefault="00AD1E09" w:rsidP="00AD1E09">
      <w:pPr>
        <w:spacing w:line="276" w:lineRule="auto"/>
        <w:jc w:val="both"/>
        <w:rPr>
          <w:color w:val="auto"/>
        </w:rPr>
      </w:pPr>
      <w:r w:rsidRPr="001A3091">
        <w:rPr>
          <w:color w:val="auto"/>
        </w:rPr>
        <w:lastRenderedPageBreak/>
        <w:t>«</w:t>
      </w:r>
      <w:r w:rsidR="00825B12">
        <w:rPr>
          <w:color w:val="auto"/>
        </w:rPr>
        <w:t>Se nella</w:t>
      </w:r>
      <w:r>
        <w:rPr>
          <w:color w:val="auto"/>
        </w:rPr>
        <w:t xml:space="preserve"> campagna elettorale </w:t>
      </w:r>
      <w:r w:rsidR="00825B12" w:rsidRPr="001A3091">
        <w:rPr>
          <w:color w:val="auto"/>
        </w:rPr>
        <w:t>– conclude Cartabellotta –</w:t>
      </w:r>
      <w:r w:rsidR="00825B12">
        <w:rPr>
          <w:color w:val="auto"/>
        </w:rPr>
        <w:t xml:space="preserve"> che </w:t>
      </w:r>
      <w:r>
        <w:rPr>
          <w:color w:val="auto"/>
        </w:rPr>
        <w:t xml:space="preserve">ha monopolizzato l’informazione pubblica la pandemia ha trovato posto solo per strumentalizzazioni politiche, i dati </w:t>
      </w:r>
      <w:r w:rsidR="00825B12">
        <w:rPr>
          <w:color w:val="auto"/>
        </w:rPr>
        <w:t xml:space="preserve">mostrano </w:t>
      </w:r>
      <w:r>
        <w:rPr>
          <w:color w:val="auto"/>
        </w:rPr>
        <w:t>che ci affacciamo alla stagione autunno-inverno in una situazione non favorevole. Innanzitutto, la discesa della quinta ondata sembra essersi arrestata</w:t>
      </w:r>
      <w:r w:rsidR="00DB6C6C">
        <w:rPr>
          <w:color w:val="auto"/>
        </w:rPr>
        <w:t xml:space="preserve"> </w:t>
      </w:r>
      <w:r>
        <w:rPr>
          <w:color w:val="auto"/>
        </w:rPr>
        <w:t>e</w:t>
      </w:r>
      <w:r w:rsidR="00825B12" w:rsidRPr="00825B12">
        <w:rPr>
          <w:color w:val="auto"/>
        </w:rPr>
        <w:t xml:space="preserve"> </w:t>
      </w:r>
      <w:r w:rsidR="00825B12">
        <w:rPr>
          <w:color w:val="auto"/>
        </w:rPr>
        <w:t xml:space="preserve">in piena estate </w:t>
      </w:r>
      <w:r>
        <w:rPr>
          <w:color w:val="auto"/>
        </w:rPr>
        <w:t xml:space="preserve">la circolazione virale </w:t>
      </w:r>
      <w:r w:rsidR="00825B12">
        <w:rPr>
          <w:color w:val="auto"/>
        </w:rPr>
        <w:t xml:space="preserve">rimane </w:t>
      </w:r>
      <w:r>
        <w:rPr>
          <w:color w:val="auto"/>
        </w:rPr>
        <w:t>ancora molto elevata</w:t>
      </w:r>
      <w:r w:rsidR="00825B12">
        <w:rPr>
          <w:color w:val="auto"/>
        </w:rPr>
        <w:t xml:space="preserve"> rispetto agli anni precedenti</w:t>
      </w:r>
      <w:r>
        <w:rPr>
          <w:color w:val="auto"/>
        </w:rPr>
        <w:t>:</w:t>
      </w:r>
      <w:r w:rsidR="004A5CAE">
        <w:rPr>
          <w:color w:val="auto"/>
        </w:rPr>
        <w:t xml:space="preserve"> al 23 agosto</w:t>
      </w:r>
      <w:r>
        <w:rPr>
          <w:color w:val="auto"/>
        </w:rPr>
        <w:t xml:space="preserve"> oltre 750</w:t>
      </w:r>
      <w:r w:rsidR="00825B12">
        <w:rPr>
          <w:color w:val="auto"/>
        </w:rPr>
        <w:t xml:space="preserve"> </w:t>
      </w:r>
      <w:r>
        <w:rPr>
          <w:color w:val="auto"/>
        </w:rPr>
        <w:t xml:space="preserve">mila positivi </w:t>
      </w:r>
      <w:r w:rsidR="00825B12">
        <w:rPr>
          <w:color w:val="auto"/>
        </w:rPr>
        <w:t xml:space="preserve">(numero </w:t>
      </w:r>
      <w:r>
        <w:rPr>
          <w:color w:val="auto"/>
        </w:rPr>
        <w:t xml:space="preserve">ampiamente </w:t>
      </w:r>
      <w:r w:rsidR="00825B12">
        <w:rPr>
          <w:color w:val="auto"/>
        </w:rPr>
        <w:t>sottostimato)</w:t>
      </w:r>
      <w:r>
        <w:rPr>
          <w:color w:val="auto"/>
        </w:rPr>
        <w:t xml:space="preserve">, un tasso di positività dei tamponi </w:t>
      </w:r>
      <w:r w:rsidR="004A5CAE">
        <w:rPr>
          <w:color w:val="auto"/>
        </w:rPr>
        <w:t xml:space="preserve">antigenici </w:t>
      </w:r>
      <w:r>
        <w:rPr>
          <w:color w:val="auto"/>
        </w:rPr>
        <w:t>al 17,4% e una media di oltre 25</w:t>
      </w:r>
      <w:r w:rsidR="00825B12">
        <w:rPr>
          <w:color w:val="auto"/>
        </w:rPr>
        <w:t xml:space="preserve"> </w:t>
      </w:r>
      <w:r>
        <w:rPr>
          <w:color w:val="auto"/>
        </w:rPr>
        <w:t xml:space="preserve">mila </w:t>
      </w:r>
      <w:r w:rsidR="00825B12">
        <w:rPr>
          <w:color w:val="auto"/>
        </w:rPr>
        <w:t xml:space="preserve">nuovi </w:t>
      </w:r>
      <w:r>
        <w:rPr>
          <w:color w:val="auto"/>
        </w:rPr>
        <w:t>casi al giorno. In secondo luogo,</w:t>
      </w:r>
      <w:r w:rsidRPr="00360840">
        <w:t xml:space="preserve"> </w:t>
      </w:r>
      <w:r w:rsidRPr="00360840">
        <w:rPr>
          <w:color w:val="auto"/>
        </w:rPr>
        <w:t>la popolazione a rischio di malattia grave è molto numerosa</w:t>
      </w:r>
      <w:r w:rsidRPr="00225AA5">
        <w:rPr>
          <w:color w:val="auto"/>
        </w:rPr>
        <w:t>: al 2</w:t>
      </w:r>
      <w:r>
        <w:rPr>
          <w:color w:val="auto"/>
        </w:rPr>
        <w:t>4</w:t>
      </w:r>
      <w:r w:rsidRPr="00225AA5">
        <w:rPr>
          <w:color w:val="auto"/>
        </w:rPr>
        <w:t xml:space="preserve"> </w:t>
      </w:r>
      <w:r>
        <w:rPr>
          <w:color w:val="auto"/>
        </w:rPr>
        <w:t>agosto</w:t>
      </w:r>
      <w:r w:rsidRPr="00225AA5">
        <w:rPr>
          <w:color w:val="auto"/>
        </w:rPr>
        <w:t xml:space="preserve">, prendendo in considerazione over 60 e fragili, </w:t>
      </w:r>
      <w:r w:rsidR="00C55341">
        <w:rPr>
          <w:color w:val="auto"/>
        </w:rPr>
        <w:t xml:space="preserve">al lordo </w:t>
      </w:r>
      <w:r w:rsidR="000165C3">
        <w:rPr>
          <w:color w:val="auto"/>
        </w:rPr>
        <w:t xml:space="preserve">delle persone guarite </w:t>
      </w:r>
      <w:r w:rsidR="00E54491">
        <w:rPr>
          <w:color w:val="auto"/>
        </w:rPr>
        <w:t xml:space="preserve">temporaneamente </w:t>
      </w:r>
      <w:r w:rsidR="000165C3">
        <w:rPr>
          <w:color w:val="auto"/>
        </w:rPr>
        <w:t>protette</w:t>
      </w:r>
      <w:r w:rsidR="00E54491">
        <w:rPr>
          <w:color w:val="auto"/>
        </w:rPr>
        <w:t xml:space="preserve">, </w:t>
      </w:r>
      <w:r w:rsidRPr="00225AA5">
        <w:rPr>
          <w:color w:val="auto"/>
        </w:rPr>
        <w:t>si contano 893 mila non vaccinati, 1,91 milioni senza terza dose</w:t>
      </w:r>
      <w:r w:rsidR="004A5CAE">
        <w:rPr>
          <w:color w:val="auto"/>
        </w:rPr>
        <w:t xml:space="preserve"> e</w:t>
      </w:r>
      <w:r w:rsidR="004A5CAE" w:rsidRPr="00225AA5">
        <w:rPr>
          <w:color w:val="auto"/>
        </w:rPr>
        <w:t xml:space="preserve"> </w:t>
      </w:r>
      <w:r w:rsidRPr="00225AA5">
        <w:rPr>
          <w:color w:val="auto"/>
        </w:rPr>
        <w:t>14,3 milioni senza quarta dose</w:t>
      </w:r>
      <w:r>
        <w:rPr>
          <w:color w:val="auto"/>
        </w:rPr>
        <w:t xml:space="preserve"> la cui campagna </w:t>
      </w:r>
      <w:r w:rsidR="004A5CAE">
        <w:rPr>
          <w:color w:val="auto"/>
        </w:rPr>
        <w:t xml:space="preserve">di somministrazione </w:t>
      </w:r>
      <w:r w:rsidR="00357B80">
        <w:rPr>
          <w:color w:val="auto"/>
        </w:rPr>
        <w:t>sconta un clamoroso ritardo</w:t>
      </w:r>
      <w:r>
        <w:rPr>
          <w:color w:val="auto"/>
        </w:rPr>
        <w:t>.</w:t>
      </w:r>
      <w:bookmarkStart w:id="5" w:name="_Hlk112232253"/>
      <w:r>
        <w:rPr>
          <w:color w:val="auto"/>
        </w:rPr>
        <w:t xml:space="preserve"> Infine, non è ancora stato </w:t>
      </w:r>
      <w:r w:rsidR="0012022B">
        <w:rPr>
          <w:color w:val="auto"/>
        </w:rPr>
        <w:t xml:space="preserve">reso pubblico </w:t>
      </w:r>
      <w:r>
        <w:rPr>
          <w:color w:val="auto"/>
        </w:rPr>
        <w:t>alcun piano di preparazione per la stagione autunno-inverno, fortemente invocato dalla Fondazione GIMBE</w:t>
      </w:r>
      <w:r w:rsidR="0012022B">
        <w:rPr>
          <w:color w:val="auto"/>
        </w:rPr>
        <w:t xml:space="preserve"> </w:t>
      </w:r>
      <w:r w:rsidR="00424065">
        <w:rPr>
          <w:color w:val="auto"/>
        </w:rPr>
        <w:t xml:space="preserve">sulla scia </w:t>
      </w:r>
      <w:r w:rsidR="0012022B">
        <w:rPr>
          <w:color w:val="auto"/>
        </w:rPr>
        <w:t>delle</w:t>
      </w:r>
      <w:r>
        <w:rPr>
          <w:color w:val="auto"/>
        </w:rPr>
        <w:t xml:space="preserve"> </w:t>
      </w:r>
      <w:bookmarkEnd w:id="5"/>
      <w:r>
        <w:rPr>
          <w:color w:val="auto"/>
        </w:rPr>
        <w:t>raccomandazioni dell’</w:t>
      </w:r>
      <w:hyperlink r:id="rId15" w:history="1">
        <w:r w:rsidRPr="00E43605">
          <w:rPr>
            <w:rStyle w:val="Collegamentoipertestuale"/>
          </w:rPr>
          <w:t>OMS Europa</w:t>
        </w:r>
      </w:hyperlink>
      <w:r>
        <w:rPr>
          <w:color w:val="auto"/>
        </w:rPr>
        <w:t xml:space="preserve">: aumentare le coperture vaccinali (con tre dosi) nella popolazione generale; offrire la quarta dose alle persone a rischio dopo 120 dalla somministrazione della terza; promuovere l’utilizzo delle mascherine al chiuso e sui mezzi pubblici; areare </w:t>
      </w:r>
      <w:r w:rsidRPr="00CC3BDD">
        <w:rPr>
          <w:color w:val="auto"/>
        </w:rPr>
        <w:t>gli spazi pubblici affollati</w:t>
      </w:r>
      <w:r>
        <w:rPr>
          <w:color w:val="auto"/>
        </w:rPr>
        <w:t xml:space="preserve">, quali </w:t>
      </w:r>
      <w:r w:rsidRPr="00CC3BDD">
        <w:rPr>
          <w:color w:val="auto"/>
        </w:rPr>
        <w:t>scuole, uffici</w:t>
      </w:r>
      <w:r>
        <w:rPr>
          <w:color w:val="auto"/>
        </w:rPr>
        <w:t xml:space="preserve">, bar e ristoranti, mezzi di </w:t>
      </w:r>
      <w:r w:rsidRPr="00CC3BDD">
        <w:rPr>
          <w:color w:val="auto"/>
        </w:rPr>
        <w:t>trasport</w:t>
      </w:r>
      <w:r>
        <w:rPr>
          <w:color w:val="auto"/>
        </w:rPr>
        <w:t xml:space="preserve">o pubblico; </w:t>
      </w:r>
      <w:r w:rsidRPr="00CC3BDD">
        <w:rPr>
          <w:color w:val="auto"/>
        </w:rPr>
        <w:t xml:space="preserve">applicare rigorosi protocolli terapeutici per </w:t>
      </w:r>
      <w:r>
        <w:rPr>
          <w:color w:val="auto"/>
        </w:rPr>
        <w:t xml:space="preserve">le persone a rischio di </w:t>
      </w:r>
      <w:r w:rsidRPr="00CC3BDD">
        <w:rPr>
          <w:color w:val="auto"/>
        </w:rPr>
        <w:t>malattia grave</w:t>
      </w:r>
      <w:r>
        <w:rPr>
          <w:color w:val="auto"/>
        </w:rPr>
        <w:t xml:space="preserve">. </w:t>
      </w:r>
      <w:r w:rsidR="00424065">
        <w:rPr>
          <w:color w:val="auto"/>
        </w:rPr>
        <w:t xml:space="preserve">In assenza di </w:t>
      </w:r>
      <w:r w:rsidR="0012022B">
        <w:rPr>
          <w:color w:val="auto"/>
        </w:rPr>
        <w:t>certezze su quando sarà pienamente operativo il nuovo Esecutivo</w:t>
      </w:r>
      <w:r>
        <w:rPr>
          <w:color w:val="auto"/>
        </w:rPr>
        <w:t xml:space="preserve">, il rischio concreto è quello di trovarsi </w:t>
      </w:r>
      <w:r w:rsidR="0012022B">
        <w:rPr>
          <w:color w:val="auto"/>
        </w:rPr>
        <w:t xml:space="preserve">in piena stagione autunnale </w:t>
      </w:r>
      <w:r>
        <w:rPr>
          <w:color w:val="auto"/>
        </w:rPr>
        <w:t>a</w:t>
      </w:r>
      <w:r w:rsidR="0012022B">
        <w:rPr>
          <w:color w:val="auto"/>
        </w:rPr>
        <w:t>d</w:t>
      </w:r>
      <w:r>
        <w:rPr>
          <w:color w:val="auto"/>
        </w:rPr>
        <w:t xml:space="preserve"> inseguire il virus per l’ennesima volta, compromettendo la salute e la vita delle persone più fragili</w:t>
      </w:r>
      <w:r w:rsidRPr="001A3091">
        <w:rPr>
          <w:color w:val="auto"/>
        </w:rPr>
        <w:t xml:space="preserve"> </w:t>
      </w:r>
      <w:r>
        <w:rPr>
          <w:color w:val="auto"/>
        </w:rPr>
        <w:t>e ritardando l’assistenza sanitaria per i pazienti con altre patologie</w:t>
      </w:r>
      <w:r w:rsidRPr="001A3091">
        <w:rPr>
          <w:color w:val="auto"/>
        </w:rPr>
        <w:t>».</w:t>
      </w:r>
    </w:p>
    <w:p w:rsidR="00E23CF9" w:rsidRPr="004A7793" w:rsidRDefault="00666867" w:rsidP="005D0ED7">
      <w:pPr>
        <w:spacing w:after="120" w:line="276" w:lineRule="auto"/>
        <w:rPr>
          <w:rStyle w:val="Hyperlink0"/>
          <w:color w:val="auto"/>
        </w:rPr>
      </w:pPr>
      <w:r w:rsidRPr="004A7793">
        <w:rPr>
          <w:i/>
          <w:iCs/>
          <w:color w:val="auto"/>
        </w:rPr>
        <w:t>Il</w:t>
      </w:r>
      <w:r w:rsidR="00CE577D" w:rsidRPr="004A7793">
        <w:rPr>
          <w:i/>
          <w:iCs/>
          <w:color w:val="auto"/>
        </w:rPr>
        <w:t xml:space="preserve"> monitoraggio GIMBE dell'epidemia COVID-19 è disponibile</w:t>
      </w:r>
      <w:r w:rsidR="00CE577D" w:rsidRPr="004A7793">
        <w:rPr>
          <w:i/>
          <w:iCs/>
          <w:color w:val="000000" w:themeColor="text1"/>
        </w:rPr>
        <w:t xml:space="preserve"> a:</w:t>
      </w:r>
      <w:r w:rsidR="004A7793" w:rsidRPr="004A7793">
        <w:t xml:space="preserve"> </w:t>
      </w:r>
      <w:hyperlink r:id="rId16" w:history="1">
        <w:r w:rsidR="004A7793" w:rsidRPr="00946483">
          <w:rPr>
            <w:rStyle w:val="Collegamentoipertestuale"/>
            <w:i/>
            <w:iCs/>
          </w:rPr>
          <w:t>https://coronavirus.gimbe.org</w:t>
        </w:r>
      </w:hyperlink>
      <w:r w:rsidR="004A7793">
        <w:rPr>
          <w:i/>
          <w:iCs/>
          <w:color w:val="000000" w:themeColor="text1"/>
        </w:rPr>
        <w:t xml:space="preserve"> </w:t>
      </w:r>
    </w:p>
    <w:p w:rsidR="009B392C" w:rsidRPr="00D44AA7" w:rsidRDefault="009B392C" w:rsidP="00BD67DE">
      <w:pPr>
        <w:spacing w:after="120" w:line="276" w:lineRule="auto"/>
        <w:rPr>
          <w:rStyle w:val="Hyperlink0"/>
        </w:rPr>
      </w:pPr>
    </w:p>
    <w:p w:rsidR="00923333" w:rsidRDefault="00CE577D" w:rsidP="00C46A82">
      <w:pPr>
        <w:spacing w:after="120"/>
        <w:rPr>
          <w:rStyle w:val="Hyperlink1"/>
        </w:rPr>
      </w:pPr>
      <w:r w:rsidRPr="00D44AA7">
        <w:rPr>
          <w:b/>
          <w:bCs/>
        </w:rPr>
        <w:t>CONTATTI</w:t>
      </w:r>
      <w:r w:rsidRPr="00D44AA7">
        <w:rPr>
          <w:i/>
          <w:iCs/>
        </w:rPr>
        <w:br/>
      </w:r>
      <w:r w:rsidRPr="00D44AA7">
        <w:rPr>
          <w:b/>
          <w:bCs/>
        </w:rPr>
        <w:t>Fondazione GIMBE</w:t>
      </w:r>
      <w:r w:rsidRPr="00D44AA7">
        <w:rPr>
          <w:i/>
          <w:iCs/>
          <w:color w:val="0563C1"/>
          <w:u w:val="single" w:color="0563C1"/>
        </w:rPr>
        <w:br/>
      </w:r>
      <w:r w:rsidRPr="00D44AA7">
        <w:rPr>
          <w:sz w:val="20"/>
          <w:szCs w:val="20"/>
        </w:rPr>
        <w:t>Via Amendola 2 - 40121 Bologna</w:t>
      </w:r>
      <w:r w:rsidRPr="00D44AA7">
        <w:rPr>
          <w:sz w:val="20"/>
          <w:szCs w:val="20"/>
        </w:rPr>
        <w:br/>
        <w:t>Tel. 051 5883920 - Fax 051 4075774</w:t>
      </w:r>
      <w:r w:rsidRPr="00D44AA7">
        <w:rPr>
          <w:sz w:val="20"/>
          <w:szCs w:val="20"/>
        </w:rPr>
        <w:br/>
        <w:t xml:space="preserve">E-mail: </w:t>
      </w:r>
      <w:hyperlink r:id="rId17" w:history="1">
        <w:r w:rsidRPr="00D44AA7">
          <w:rPr>
            <w:rStyle w:val="Hyperlink1"/>
          </w:rPr>
          <w:t>ufficio.stampa@gimbe.org</w:t>
        </w:r>
      </w:hyperlink>
    </w:p>
    <w:p w:rsidR="00923333" w:rsidRPr="00D44AA7" w:rsidRDefault="00923333" w:rsidP="00C46A82">
      <w:pPr>
        <w:spacing w:after="120"/>
        <w:rPr>
          <w:rFonts w:eastAsia="Calibri" w:cs="Calibri"/>
          <w:color w:val="0563C1"/>
          <w:sz w:val="20"/>
          <w:szCs w:val="20"/>
          <w:u w:val="single" w:color="0563C1"/>
        </w:rPr>
      </w:pPr>
    </w:p>
    <w:p w:rsidR="00F43DFC" w:rsidRPr="00D44AA7" w:rsidRDefault="001203E4" w:rsidP="00D304E2">
      <w:pPr>
        <w:spacing w:after="0" w:line="240" w:lineRule="auto"/>
        <w:jc w:val="center"/>
        <w:rPr>
          <w:b/>
          <w:bCs/>
          <w:color w:val="00457D"/>
          <w:sz w:val="24"/>
          <w:szCs w:val="24"/>
          <w:u w:color="00457D"/>
        </w:rPr>
      </w:pPr>
      <w:r w:rsidRPr="00D44AA7">
        <w:rPr>
          <w:b/>
          <w:bCs/>
          <w:color w:val="00457D"/>
          <w:sz w:val="24"/>
          <w:szCs w:val="24"/>
          <w:u w:color="00457D"/>
        </w:rPr>
        <w:br w:type="page"/>
      </w:r>
      <w:r w:rsidR="00CE577D" w:rsidRPr="00D44AA7">
        <w:rPr>
          <w:b/>
          <w:bCs/>
          <w:color w:val="00457D"/>
          <w:sz w:val="24"/>
          <w:szCs w:val="24"/>
          <w:u w:color="00457D"/>
        </w:rPr>
        <w:lastRenderedPageBreak/>
        <w:t>Figura 1</w:t>
      </w:r>
    </w:p>
    <w:p w:rsidR="009B356B" w:rsidRPr="00D44AA7" w:rsidRDefault="00476C5F" w:rsidP="00EA300B">
      <w:pPr>
        <w:jc w:val="center"/>
        <w:rPr>
          <w:b/>
          <w:bCs/>
          <w:color w:val="00457D"/>
          <w:sz w:val="24"/>
          <w:szCs w:val="24"/>
          <w:u w:color="00457D"/>
        </w:rPr>
      </w:pPr>
      <w:r>
        <w:rPr>
          <w:b/>
          <w:bCs/>
          <w:noProof/>
          <w:color w:val="00457D"/>
          <w:sz w:val="24"/>
          <w:szCs w:val="24"/>
          <w:u w:color="00457D"/>
        </w:rPr>
        <w:pict>
          <v:shape id="_x0000_i1026" type="#_x0000_t75" style="width:481.6pt;height:266.95pt">
            <v:imagedata r:id="rId18" o:title="Figura01_20220825"/>
          </v:shape>
        </w:pict>
      </w:r>
    </w:p>
    <w:p w:rsidR="00266D51" w:rsidRPr="00D44AA7" w:rsidRDefault="00266D51">
      <w:pPr>
        <w:jc w:val="center"/>
        <w:rPr>
          <w:b/>
          <w:bCs/>
          <w:color w:val="00457D"/>
          <w:sz w:val="24"/>
          <w:szCs w:val="24"/>
          <w:u w:color="00457D"/>
        </w:rPr>
      </w:pPr>
    </w:p>
    <w:p w:rsidR="00EA300B" w:rsidRDefault="00CE577D" w:rsidP="006B059A">
      <w:pPr>
        <w:spacing w:after="0"/>
        <w:jc w:val="center"/>
        <w:rPr>
          <w:b/>
          <w:bCs/>
          <w:noProof/>
          <w:color w:val="00457D"/>
          <w:sz w:val="24"/>
          <w:szCs w:val="24"/>
          <w:u w:color="00457D"/>
        </w:rPr>
      </w:pPr>
      <w:r w:rsidRPr="00D44AA7">
        <w:rPr>
          <w:b/>
          <w:bCs/>
          <w:color w:val="00457D"/>
          <w:sz w:val="24"/>
          <w:szCs w:val="24"/>
          <w:u w:color="00457D"/>
        </w:rPr>
        <w:t>Figura 2</w:t>
      </w:r>
    </w:p>
    <w:p w:rsidR="009B356B" w:rsidRPr="00D44AA7" w:rsidRDefault="00476C5F" w:rsidP="00EA300B">
      <w:pPr>
        <w:jc w:val="center"/>
        <w:rPr>
          <w:b/>
          <w:bCs/>
          <w:color w:val="00457D"/>
          <w:sz w:val="24"/>
          <w:szCs w:val="24"/>
          <w:u w:color="00457D"/>
        </w:rPr>
      </w:pPr>
      <w:r>
        <w:rPr>
          <w:b/>
          <w:bCs/>
          <w:noProof/>
          <w:color w:val="00457D"/>
          <w:sz w:val="24"/>
          <w:szCs w:val="24"/>
          <w:u w:color="00457D"/>
        </w:rPr>
        <w:pict>
          <v:shape id="_x0000_i1027" type="#_x0000_t75" style="width:481.6pt;height:266.95pt">
            <v:imagedata r:id="rId19" o:title="Figura02_20220825"/>
          </v:shape>
        </w:pict>
      </w:r>
    </w:p>
    <w:p w:rsidR="007B682B" w:rsidRPr="00D44AA7" w:rsidRDefault="00CE577D">
      <w:pPr>
        <w:jc w:val="center"/>
        <w:sectPr w:rsidR="007B682B" w:rsidRPr="00D44AA7" w:rsidSect="00AC5C5B">
          <w:pgSz w:w="11900" w:h="16840"/>
          <w:pgMar w:top="993" w:right="1134" w:bottom="993" w:left="1134" w:header="709" w:footer="709" w:gutter="0"/>
          <w:cols w:space="720"/>
        </w:sectPr>
      </w:pPr>
      <w:r w:rsidRPr="00D44AA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D44AA7">
        <w:rPr>
          <w:b/>
          <w:bCs/>
          <w:color w:val="00457D"/>
          <w:sz w:val="24"/>
          <w:szCs w:val="24"/>
          <w:u w:color="00457D"/>
        </w:rPr>
        <w:lastRenderedPageBreak/>
        <w:t>Figura 3</w:t>
      </w:r>
    </w:p>
    <w:p w:rsidR="003677C4" w:rsidRDefault="00476C5F" w:rsidP="00466C2D">
      <w:pPr>
        <w:spacing w:after="0" w:line="360" w:lineRule="auto"/>
        <w:jc w:val="center"/>
        <w:rPr>
          <w:b/>
          <w:bCs/>
          <w:noProof/>
          <w:color w:val="00457D"/>
          <w:sz w:val="24"/>
          <w:szCs w:val="24"/>
          <w:u w:color="00457D"/>
        </w:rPr>
      </w:pPr>
      <w:r>
        <w:rPr>
          <w:b/>
          <w:bCs/>
          <w:noProof/>
          <w:color w:val="00457D"/>
          <w:sz w:val="24"/>
          <w:szCs w:val="24"/>
          <w:u w:color="00457D"/>
        </w:rPr>
        <w:pict>
          <v:shape id="_x0000_i1028" type="#_x0000_t75" style="width:727.45pt;height:374.25pt">
            <v:imagedata r:id="rId20" o:title="Figura03_20220825"/>
          </v:shape>
        </w:pict>
      </w:r>
    </w:p>
    <w:p w:rsidR="009B356B" w:rsidRPr="00D44AA7" w:rsidRDefault="009B356B">
      <w:pPr>
        <w:spacing w:after="0" w:line="360" w:lineRule="auto"/>
        <w:jc w:val="center"/>
        <w:sectPr w:rsidR="009B356B" w:rsidRPr="00D44AA7" w:rsidSect="005B4AE1">
          <w:pgSz w:w="16840" w:h="11900" w:orient="landscape"/>
          <w:pgMar w:top="992" w:right="1134" w:bottom="709" w:left="1134" w:header="709" w:footer="709" w:gutter="0"/>
          <w:cols w:space="720"/>
          <w:docGrid w:linePitch="299"/>
        </w:sectPr>
      </w:pPr>
    </w:p>
    <w:p w:rsidR="00184E2C" w:rsidRPr="00D44AA7" w:rsidRDefault="00E10DC3" w:rsidP="00E10DC3">
      <w:pPr>
        <w:spacing w:after="0"/>
        <w:jc w:val="center"/>
        <w:rPr>
          <w:b/>
          <w:bCs/>
          <w:color w:val="00457D"/>
          <w:sz w:val="24"/>
          <w:szCs w:val="24"/>
          <w:u w:color="00457D"/>
        </w:rPr>
      </w:pPr>
      <w:r w:rsidRPr="00D44AA7">
        <w:rPr>
          <w:b/>
          <w:bCs/>
          <w:color w:val="00457D"/>
          <w:sz w:val="24"/>
          <w:szCs w:val="24"/>
          <w:u w:color="00457D"/>
        </w:rPr>
        <w:lastRenderedPageBreak/>
        <w:t>Figura 4</w:t>
      </w:r>
    </w:p>
    <w:p w:rsidR="009B356B" w:rsidRPr="00D44AA7" w:rsidRDefault="00476C5F" w:rsidP="00E10DC3">
      <w:pPr>
        <w:spacing w:after="0"/>
        <w:jc w:val="center"/>
        <w:rPr>
          <w:color w:val="auto"/>
        </w:rPr>
      </w:pPr>
      <w:r>
        <w:rPr>
          <w:noProof/>
          <w:color w:val="auto"/>
        </w:rPr>
        <w:pict>
          <v:shape id="_x0000_i1029" type="#_x0000_t75" style="width:480.9pt;height:235pt">
            <v:imagedata r:id="rId21" o:title="Figura04_20220825"/>
          </v:shape>
        </w:pict>
      </w:r>
    </w:p>
    <w:p w:rsidR="00FB6128" w:rsidRPr="00D44AA7" w:rsidRDefault="00FB6128" w:rsidP="00E10DC3">
      <w:pPr>
        <w:spacing w:after="0"/>
        <w:jc w:val="center"/>
        <w:rPr>
          <w:color w:val="auto"/>
        </w:rPr>
      </w:pPr>
    </w:p>
    <w:p w:rsidR="00FB6128" w:rsidRPr="00333C20" w:rsidRDefault="00FB6128" w:rsidP="00FB6128">
      <w:pPr>
        <w:spacing w:after="0"/>
        <w:jc w:val="center"/>
        <w:rPr>
          <w:b/>
          <w:bCs/>
          <w:color w:val="00457D"/>
          <w:sz w:val="24"/>
          <w:szCs w:val="24"/>
          <w:u w:color="00457D"/>
        </w:rPr>
      </w:pPr>
      <w:r w:rsidRPr="00333C20">
        <w:rPr>
          <w:b/>
          <w:bCs/>
          <w:color w:val="00457D"/>
          <w:sz w:val="24"/>
          <w:szCs w:val="24"/>
          <w:u w:color="00457D"/>
        </w:rPr>
        <w:t>Figura 5</w:t>
      </w:r>
    </w:p>
    <w:p w:rsidR="00123A0D" w:rsidRDefault="0007138B" w:rsidP="000E770E">
      <w:pPr>
        <w:spacing w:after="0" w:line="276" w:lineRule="auto"/>
        <w:jc w:val="center"/>
        <w:rPr>
          <w:color w:val="auto"/>
        </w:rPr>
      </w:pPr>
      <w:r>
        <w:rPr>
          <w:noProof/>
          <w:color w:val="auto"/>
        </w:rPr>
        <w:pict>
          <v:shape id="_x0000_i1030" type="#_x0000_t75" style="width:481.6pt;height:260.15pt">
            <v:imagedata r:id="rId22" o:title="Figura05_20220825"/>
          </v:shape>
        </w:pict>
      </w:r>
    </w:p>
    <w:p w:rsidR="00DF15F7" w:rsidRPr="00D44AA7" w:rsidRDefault="00DF15F7" w:rsidP="000E770E">
      <w:pPr>
        <w:spacing w:after="0" w:line="276" w:lineRule="auto"/>
        <w:jc w:val="center"/>
        <w:rPr>
          <w:color w:val="auto"/>
        </w:rPr>
      </w:pPr>
    </w:p>
    <w:p w:rsidR="000E770E" w:rsidRPr="00D44AA7" w:rsidRDefault="000E770E" w:rsidP="00626103">
      <w:pPr>
        <w:spacing w:after="0"/>
        <w:jc w:val="center"/>
        <w:rPr>
          <w:b/>
          <w:bCs/>
          <w:color w:val="00457D"/>
          <w:sz w:val="24"/>
          <w:szCs w:val="24"/>
          <w:u w:color="00457D"/>
        </w:rPr>
      </w:pPr>
    </w:p>
    <w:p w:rsidR="00FB6128" w:rsidRPr="00D44AA7" w:rsidRDefault="00FB6128">
      <w:pPr>
        <w:spacing w:after="0" w:line="240" w:lineRule="auto"/>
        <w:rPr>
          <w:b/>
          <w:bCs/>
          <w:color w:val="00457D"/>
          <w:sz w:val="24"/>
          <w:szCs w:val="24"/>
          <w:u w:color="00457D"/>
        </w:rPr>
      </w:pPr>
      <w:r w:rsidRPr="00D44AA7">
        <w:rPr>
          <w:b/>
          <w:bCs/>
          <w:color w:val="00457D"/>
          <w:sz w:val="24"/>
          <w:szCs w:val="24"/>
          <w:u w:color="00457D"/>
        </w:rPr>
        <w:br w:type="page"/>
      </w:r>
    </w:p>
    <w:p w:rsidR="00D93FAE" w:rsidRPr="002A22FA" w:rsidRDefault="00D93FAE" w:rsidP="00D93FAE">
      <w:pPr>
        <w:spacing w:after="0"/>
        <w:jc w:val="center"/>
        <w:rPr>
          <w:b/>
          <w:bCs/>
          <w:color w:val="00457D"/>
          <w:sz w:val="24"/>
          <w:szCs w:val="24"/>
          <w:u w:color="00457D"/>
        </w:rPr>
      </w:pPr>
      <w:r w:rsidRPr="002A22FA">
        <w:rPr>
          <w:b/>
          <w:bCs/>
          <w:color w:val="00457D"/>
          <w:sz w:val="24"/>
          <w:szCs w:val="24"/>
          <w:u w:color="00457D"/>
        </w:rPr>
        <w:lastRenderedPageBreak/>
        <w:t>Figura 6</w:t>
      </w:r>
    </w:p>
    <w:p w:rsidR="00D76356" w:rsidRPr="00D44AA7" w:rsidRDefault="0007138B" w:rsidP="00F9470A">
      <w:pPr>
        <w:spacing w:after="0"/>
        <w:jc w:val="center"/>
        <w:rPr>
          <w:b/>
          <w:bCs/>
          <w:color w:val="00457D"/>
          <w:sz w:val="24"/>
          <w:szCs w:val="24"/>
          <w:u w:color="00457D"/>
        </w:rPr>
      </w:pPr>
      <w:r>
        <w:rPr>
          <w:b/>
          <w:bCs/>
          <w:noProof/>
          <w:color w:val="00457D"/>
          <w:sz w:val="24"/>
          <w:szCs w:val="24"/>
          <w:u w:color="00457D"/>
        </w:rPr>
        <w:pict>
          <v:shape id="_x0000_i1031" type="#_x0000_t75" style="width:481.6pt;height:257.45pt">
            <v:imagedata r:id="rId23" o:title="Figura06_20220825"/>
          </v:shape>
        </w:pict>
      </w:r>
    </w:p>
    <w:p w:rsidR="00D93FAE" w:rsidRPr="00D44AA7" w:rsidRDefault="00D93FAE" w:rsidP="00D93FAE">
      <w:pPr>
        <w:spacing w:after="0" w:line="240" w:lineRule="auto"/>
        <w:jc w:val="center"/>
        <w:rPr>
          <w:b/>
          <w:bCs/>
          <w:color w:val="00457D"/>
          <w:sz w:val="8"/>
          <w:szCs w:val="14"/>
          <w:u w:color="00457D"/>
        </w:rPr>
      </w:pPr>
    </w:p>
    <w:p w:rsidR="00061647" w:rsidRPr="00D44AA7" w:rsidRDefault="00061647">
      <w:pPr>
        <w:spacing w:after="0" w:line="240" w:lineRule="auto"/>
        <w:rPr>
          <w:b/>
          <w:bCs/>
          <w:color w:val="00457D"/>
          <w:sz w:val="24"/>
          <w:szCs w:val="24"/>
          <w:u w:color="00457D"/>
        </w:rPr>
      </w:pPr>
    </w:p>
    <w:p w:rsidR="00A03AAC" w:rsidRPr="00D44AA7" w:rsidRDefault="00D93FAE" w:rsidP="00D93FAE">
      <w:pPr>
        <w:spacing w:after="0"/>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7</w:t>
      </w:r>
    </w:p>
    <w:p w:rsidR="00D76356" w:rsidRPr="00D44AA7" w:rsidRDefault="0007138B" w:rsidP="00D93FAE">
      <w:pPr>
        <w:spacing w:after="0"/>
        <w:jc w:val="center"/>
        <w:rPr>
          <w:b/>
          <w:bCs/>
          <w:color w:val="00457D"/>
          <w:sz w:val="24"/>
          <w:szCs w:val="24"/>
          <w:u w:color="00457D"/>
        </w:rPr>
      </w:pPr>
      <w:r>
        <w:rPr>
          <w:b/>
          <w:bCs/>
          <w:noProof/>
          <w:color w:val="00457D"/>
          <w:sz w:val="24"/>
          <w:szCs w:val="24"/>
          <w:u w:color="00457D"/>
        </w:rPr>
        <w:pict>
          <v:shape id="_x0000_i1032" type="#_x0000_t75" style="width:481.6pt;height:240.45pt">
            <v:imagedata r:id="rId24" o:title="Figura07_20220825"/>
          </v:shape>
        </w:pict>
      </w:r>
    </w:p>
    <w:p w:rsidR="008751B7" w:rsidRPr="00D44AA7" w:rsidRDefault="008751B7" w:rsidP="008751B7">
      <w:pPr>
        <w:spacing w:after="0"/>
        <w:jc w:val="center"/>
        <w:rPr>
          <w:b/>
          <w:bCs/>
          <w:color w:val="00457D"/>
          <w:sz w:val="24"/>
          <w:szCs w:val="24"/>
          <w:u w:color="00457D"/>
        </w:rPr>
      </w:pPr>
    </w:p>
    <w:p w:rsidR="008751B7" w:rsidRPr="00D44AA7" w:rsidRDefault="008751B7">
      <w:pPr>
        <w:spacing w:after="0" w:line="240" w:lineRule="auto"/>
        <w:rPr>
          <w:b/>
          <w:bCs/>
          <w:color w:val="00457D"/>
          <w:sz w:val="24"/>
          <w:szCs w:val="24"/>
          <w:u w:color="00457D"/>
        </w:rPr>
      </w:pPr>
      <w:r w:rsidRPr="00D44AA7">
        <w:rPr>
          <w:b/>
          <w:bCs/>
          <w:color w:val="00457D"/>
          <w:sz w:val="24"/>
          <w:szCs w:val="24"/>
          <w:u w:color="00457D"/>
        </w:rPr>
        <w:br w:type="page"/>
      </w:r>
    </w:p>
    <w:p w:rsidR="006B2A7B" w:rsidRPr="000523DF" w:rsidRDefault="00C531A3" w:rsidP="00C531A3">
      <w:pPr>
        <w:spacing w:after="0"/>
        <w:jc w:val="center"/>
        <w:rPr>
          <w:b/>
          <w:bCs/>
          <w:color w:val="00457D"/>
          <w:sz w:val="24"/>
          <w:szCs w:val="24"/>
          <w:u w:color="00457D"/>
        </w:rPr>
      </w:pPr>
      <w:r w:rsidRPr="000523DF">
        <w:rPr>
          <w:b/>
          <w:bCs/>
          <w:color w:val="00457D"/>
          <w:sz w:val="24"/>
          <w:szCs w:val="24"/>
          <w:u w:color="00457D"/>
        </w:rPr>
        <w:lastRenderedPageBreak/>
        <w:t>Figura 8</w:t>
      </w:r>
    </w:p>
    <w:p w:rsidR="00C55EE6" w:rsidRPr="00D44AA7" w:rsidRDefault="0007138B" w:rsidP="00D93FAE">
      <w:pPr>
        <w:spacing w:after="0"/>
        <w:jc w:val="center"/>
        <w:rPr>
          <w:b/>
          <w:bCs/>
          <w:color w:val="00457D"/>
          <w:sz w:val="24"/>
          <w:szCs w:val="24"/>
          <w:u w:color="00457D"/>
        </w:rPr>
      </w:pPr>
      <w:r>
        <w:rPr>
          <w:b/>
          <w:bCs/>
          <w:noProof/>
          <w:color w:val="00457D"/>
          <w:sz w:val="24"/>
          <w:szCs w:val="24"/>
          <w:u w:color="00457D"/>
        </w:rPr>
        <w:pict>
          <v:shape id="_x0000_i1033" type="#_x0000_t75" style="width:463.25pt;height:431.3pt">
            <v:imagedata r:id="rId25" o:title="Figura08_20220825"/>
          </v:shape>
        </w:pict>
      </w:r>
    </w:p>
    <w:p w:rsidR="002879EE" w:rsidRPr="00D44AA7" w:rsidRDefault="002879EE">
      <w:pPr>
        <w:spacing w:after="0"/>
        <w:jc w:val="center"/>
        <w:rPr>
          <w:b/>
          <w:bCs/>
          <w:color w:val="00457D"/>
          <w:sz w:val="10"/>
          <w:szCs w:val="12"/>
          <w:u w:color="00457D"/>
        </w:rPr>
      </w:pPr>
    </w:p>
    <w:p w:rsidR="00184E2C" w:rsidRPr="00D44AA7" w:rsidRDefault="00CE577D">
      <w:pPr>
        <w:spacing w:after="0"/>
        <w:jc w:val="center"/>
        <w:rPr>
          <w:b/>
          <w:bCs/>
          <w:color w:val="00457D"/>
          <w:sz w:val="24"/>
          <w:szCs w:val="24"/>
          <w:u w:color="00457D"/>
        </w:rPr>
      </w:pPr>
      <w:r w:rsidRPr="00D44AA7">
        <w:rPr>
          <w:b/>
          <w:bCs/>
          <w:color w:val="00457D"/>
          <w:sz w:val="24"/>
          <w:szCs w:val="24"/>
          <w:u w:color="00457D"/>
        </w:rPr>
        <w:t>Figura</w:t>
      </w:r>
      <w:r w:rsidR="00E10DC3" w:rsidRPr="00D44AA7">
        <w:rPr>
          <w:b/>
          <w:bCs/>
          <w:color w:val="00457D"/>
          <w:sz w:val="24"/>
          <w:szCs w:val="24"/>
          <w:u w:color="00457D"/>
        </w:rPr>
        <w:t xml:space="preserve"> </w:t>
      </w:r>
      <w:r w:rsidR="008751B7" w:rsidRPr="00D44AA7">
        <w:rPr>
          <w:b/>
          <w:bCs/>
          <w:color w:val="00457D"/>
          <w:sz w:val="24"/>
          <w:szCs w:val="24"/>
          <w:u w:color="00457D"/>
        </w:rPr>
        <w:t>9</w:t>
      </w:r>
    </w:p>
    <w:p w:rsidR="00D76356" w:rsidRPr="00D44AA7" w:rsidRDefault="0007138B" w:rsidP="003274E5">
      <w:pPr>
        <w:spacing w:after="0"/>
        <w:jc w:val="center"/>
        <w:rPr>
          <w:b/>
          <w:bCs/>
          <w:color w:val="00457D"/>
          <w:sz w:val="24"/>
          <w:szCs w:val="24"/>
          <w:u w:color="00457D"/>
        </w:rPr>
      </w:pPr>
      <w:r>
        <w:rPr>
          <w:b/>
          <w:bCs/>
          <w:noProof/>
          <w:color w:val="00457D"/>
          <w:sz w:val="24"/>
          <w:szCs w:val="24"/>
          <w:u w:color="00457D"/>
        </w:rPr>
        <w:pict>
          <v:shape id="_x0000_i1034" type="#_x0000_t75" style="width:463.25pt;height:224.15pt">
            <v:imagedata r:id="rId26" o:title="Figura09_20220825"/>
          </v:shape>
        </w:pict>
      </w:r>
    </w:p>
    <w:p w:rsidR="00DF4F27" w:rsidRDefault="00DF4F27" w:rsidP="00DB1360">
      <w:pPr>
        <w:spacing w:after="0" w:line="240" w:lineRule="auto"/>
        <w:jc w:val="center"/>
        <w:rPr>
          <w:b/>
          <w:bCs/>
          <w:color w:val="00457D"/>
          <w:sz w:val="24"/>
          <w:szCs w:val="24"/>
          <w:u w:color="00457D"/>
        </w:rPr>
      </w:pPr>
    </w:p>
    <w:p w:rsidR="00DF4F27" w:rsidRDefault="00DF4F27">
      <w:pPr>
        <w:spacing w:after="0" w:line="240" w:lineRule="auto"/>
        <w:rPr>
          <w:b/>
          <w:bCs/>
          <w:color w:val="00457D"/>
          <w:sz w:val="24"/>
          <w:szCs w:val="24"/>
          <w:u w:color="00457D"/>
        </w:rPr>
      </w:pPr>
      <w:r>
        <w:rPr>
          <w:b/>
          <w:bCs/>
          <w:color w:val="00457D"/>
          <w:sz w:val="24"/>
          <w:szCs w:val="24"/>
          <w:u w:color="00457D"/>
        </w:rPr>
        <w:br w:type="page"/>
      </w:r>
    </w:p>
    <w:p w:rsidR="001B3764" w:rsidRPr="00D33A53" w:rsidRDefault="00736C14" w:rsidP="00DB1360">
      <w:pPr>
        <w:spacing w:after="0" w:line="240" w:lineRule="auto"/>
        <w:jc w:val="center"/>
        <w:rPr>
          <w:b/>
          <w:bCs/>
          <w:color w:val="00457D"/>
          <w:sz w:val="24"/>
          <w:szCs w:val="24"/>
          <w:u w:color="00457D"/>
        </w:rPr>
      </w:pPr>
      <w:r w:rsidRPr="00D33A53">
        <w:rPr>
          <w:b/>
          <w:bCs/>
          <w:color w:val="00457D"/>
          <w:sz w:val="24"/>
          <w:szCs w:val="24"/>
          <w:u w:color="00457D"/>
        </w:rPr>
        <w:lastRenderedPageBreak/>
        <w:t>Figura 1</w:t>
      </w:r>
      <w:r w:rsidR="00030535" w:rsidRPr="00D33A53">
        <w:rPr>
          <w:b/>
          <w:bCs/>
          <w:color w:val="00457D"/>
          <w:sz w:val="24"/>
          <w:szCs w:val="24"/>
          <w:u w:color="00457D"/>
        </w:rPr>
        <w:t>0</w:t>
      </w:r>
    </w:p>
    <w:p w:rsidR="00D76356" w:rsidRPr="00CF6F3B" w:rsidRDefault="0007138B" w:rsidP="005C1E56">
      <w:pPr>
        <w:spacing w:after="0" w:line="240" w:lineRule="auto"/>
        <w:jc w:val="center"/>
        <w:rPr>
          <w:b/>
          <w:bCs/>
          <w:color w:val="FF0000"/>
          <w:sz w:val="24"/>
          <w:szCs w:val="24"/>
          <w:u w:color="00457D"/>
        </w:rPr>
      </w:pPr>
      <w:r>
        <w:rPr>
          <w:b/>
          <w:bCs/>
          <w:noProof/>
          <w:color w:val="FF0000"/>
          <w:sz w:val="24"/>
          <w:szCs w:val="24"/>
          <w:u w:color="00457D"/>
        </w:rPr>
        <w:pict>
          <v:shape id="_x0000_i1035" type="#_x0000_t75" style="width:481.6pt;height:305.65pt">
            <v:imagedata r:id="rId27" o:title="Figura10_20220825"/>
          </v:shape>
        </w:pict>
      </w:r>
    </w:p>
    <w:p w:rsidR="008751B7" w:rsidRPr="00CF6F3B" w:rsidRDefault="008751B7">
      <w:pPr>
        <w:spacing w:after="0" w:line="240" w:lineRule="auto"/>
        <w:rPr>
          <w:b/>
          <w:bCs/>
          <w:color w:val="FF0000"/>
          <w:sz w:val="24"/>
          <w:szCs w:val="24"/>
          <w:u w:color="00457D"/>
        </w:rPr>
      </w:pPr>
    </w:p>
    <w:p w:rsidR="00211923" w:rsidRPr="00CF6F3B" w:rsidRDefault="00211923" w:rsidP="00211923">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D022C4" w:rsidRPr="00D33A53">
        <w:rPr>
          <w:b/>
          <w:bCs/>
          <w:color w:val="00457D"/>
          <w:sz w:val="24"/>
          <w:szCs w:val="24"/>
          <w:u w:color="00457D"/>
        </w:rPr>
        <w:t>1</w:t>
      </w:r>
      <w:r w:rsidR="00D54DDF" w:rsidRPr="00D33A53">
        <w:rPr>
          <w:b/>
          <w:bCs/>
          <w:color w:val="00457D"/>
          <w:sz w:val="24"/>
          <w:szCs w:val="24"/>
          <w:u w:color="00457D"/>
        </w:rPr>
        <w:t>1</w:t>
      </w:r>
    </w:p>
    <w:p w:rsidR="00D76356" w:rsidRPr="00CF6F3B" w:rsidRDefault="0007138B" w:rsidP="00012B67">
      <w:pPr>
        <w:spacing w:line="276" w:lineRule="auto"/>
        <w:jc w:val="center"/>
        <w:rPr>
          <w:color w:val="FF0000"/>
        </w:rPr>
      </w:pPr>
      <w:r>
        <w:rPr>
          <w:noProof/>
          <w:color w:val="FF0000"/>
        </w:rPr>
        <w:pict>
          <v:shape id="_x0000_i1036" type="#_x0000_t75" style="width:480.9pt;height:303.6pt">
            <v:imagedata r:id="rId28" o:title="Figura11_20220825"/>
          </v:shape>
        </w:pict>
      </w:r>
    </w:p>
    <w:p w:rsidR="00E03BC7" w:rsidRPr="00CF6F3B" w:rsidRDefault="00E03BC7">
      <w:pPr>
        <w:spacing w:after="0" w:line="240" w:lineRule="auto"/>
        <w:rPr>
          <w:b/>
          <w:bCs/>
          <w:color w:val="FF0000"/>
          <w:sz w:val="24"/>
          <w:szCs w:val="24"/>
          <w:u w:color="00457D"/>
        </w:rPr>
      </w:pPr>
    </w:p>
    <w:p w:rsidR="00D54DDF" w:rsidRPr="00D33A53" w:rsidRDefault="00D54DDF" w:rsidP="00DB2332">
      <w:pPr>
        <w:spacing w:after="0" w:line="240" w:lineRule="auto"/>
        <w:jc w:val="center"/>
        <w:rPr>
          <w:b/>
          <w:bCs/>
          <w:color w:val="00457D"/>
          <w:sz w:val="24"/>
          <w:szCs w:val="24"/>
          <w:u w:color="00457D"/>
        </w:rPr>
      </w:pPr>
      <w:r w:rsidRPr="00CF6F3B">
        <w:rPr>
          <w:b/>
          <w:bCs/>
          <w:color w:val="FF0000"/>
          <w:sz w:val="24"/>
          <w:szCs w:val="24"/>
          <w:u w:color="00457D"/>
        </w:rPr>
        <w:br w:type="page"/>
      </w:r>
      <w:r w:rsidRPr="00D33A53">
        <w:rPr>
          <w:b/>
          <w:bCs/>
          <w:color w:val="00457D"/>
          <w:sz w:val="24"/>
          <w:szCs w:val="24"/>
          <w:u w:color="00457D"/>
        </w:rPr>
        <w:lastRenderedPageBreak/>
        <w:t>Figura 12</w:t>
      </w:r>
    </w:p>
    <w:p w:rsidR="00D76356" w:rsidRPr="00CF6F3B" w:rsidRDefault="0007138B" w:rsidP="004B6DC2">
      <w:pPr>
        <w:spacing w:after="0" w:line="240" w:lineRule="auto"/>
        <w:jc w:val="center"/>
        <w:rPr>
          <w:b/>
          <w:bCs/>
          <w:color w:val="FF0000"/>
          <w:sz w:val="12"/>
          <w:szCs w:val="12"/>
          <w:u w:color="00457D"/>
        </w:rPr>
      </w:pPr>
      <w:r>
        <w:rPr>
          <w:b/>
          <w:bCs/>
          <w:noProof/>
          <w:color w:val="FF0000"/>
          <w:sz w:val="12"/>
          <w:szCs w:val="12"/>
          <w:u w:color="00457D"/>
        </w:rPr>
        <w:pict>
          <v:shape id="_x0000_i1037" type="#_x0000_t75" style="width:455.75pt;height:343pt">
            <v:imagedata r:id="rId29" o:title="Figura12_20220825"/>
          </v:shape>
        </w:pict>
      </w:r>
    </w:p>
    <w:p w:rsidR="004D2B35" w:rsidRPr="00CF6F3B" w:rsidRDefault="004D2B35" w:rsidP="00E03BC7">
      <w:pPr>
        <w:spacing w:after="0" w:line="240" w:lineRule="auto"/>
        <w:jc w:val="center"/>
        <w:rPr>
          <w:b/>
          <w:bCs/>
          <w:color w:val="FF0000"/>
          <w:sz w:val="12"/>
          <w:szCs w:val="12"/>
          <w:u w:color="00457D"/>
        </w:rPr>
      </w:pPr>
    </w:p>
    <w:p w:rsidR="002A22FA" w:rsidRDefault="004B6DC2" w:rsidP="00E03BC7">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1E3B61" w:rsidRPr="00D33A53">
        <w:rPr>
          <w:b/>
          <w:bCs/>
          <w:color w:val="00457D"/>
          <w:sz w:val="24"/>
          <w:szCs w:val="24"/>
          <w:u w:color="00457D"/>
        </w:rPr>
        <w:t>1</w:t>
      </w:r>
      <w:r w:rsidR="00D54DDF" w:rsidRPr="00D33A53">
        <w:rPr>
          <w:b/>
          <w:bCs/>
          <w:color w:val="00457D"/>
          <w:sz w:val="24"/>
          <w:szCs w:val="24"/>
          <w:u w:color="00457D"/>
        </w:rPr>
        <w:t>3</w:t>
      </w:r>
    </w:p>
    <w:p w:rsidR="00D76356" w:rsidRDefault="0007138B" w:rsidP="00E03BC7">
      <w:pPr>
        <w:spacing w:after="0" w:line="240" w:lineRule="auto"/>
        <w:jc w:val="center"/>
        <w:rPr>
          <w:b/>
          <w:bCs/>
          <w:noProof/>
          <w:color w:val="FF0000"/>
          <w:sz w:val="24"/>
          <w:szCs w:val="24"/>
          <w:u w:color="00457D"/>
        </w:rPr>
      </w:pPr>
      <w:r>
        <w:rPr>
          <w:b/>
          <w:bCs/>
          <w:noProof/>
          <w:color w:val="FF0000"/>
          <w:sz w:val="24"/>
          <w:szCs w:val="24"/>
          <w:u w:color="00457D"/>
        </w:rPr>
        <w:pict>
          <v:shape id="_x0000_i1038" type="#_x0000_t75" style="width:447.6pt;height:337.6pt">
            <v:imagedata r:id="rId30" o:title="Figura13_20220825"/>
          </v:shape>
        </w:pict>
      </w:r>
    </w:p>
    <w:p w:rsidR="00C359C9" w:rsidRPr="00CF6F3B" w:rsidRDefault="00C359C9" w:rsidP="00BE48B0">
      <w:pPr>
        <w:spacing w:after="0" w:line="240" w:lineRule="auto"/>
        <w:jc w:val="center"/>
        <w:rPr>
          <w:b/>
          <w:bCs/>
          <w:color w:val="FF0000"/>
          <w:sz w:val="24"/>
          <w:szCs w:val="24"/>
          <w:u w:color="00457D"/>
        </w:rPr>
      </w:pPr>
      <w:r w:rsidRPr="00D33A53">
        <w:rPr>
          <w:b/>
          <w:bCs/>
          <w:color w:val="00457D"/>
          <w:sz w:val="24"/>
          <w:szCs w:val="24"/>
          <w:u w:color="00457D"/>
        </w:rPr>
        <w:lastRenderedPageBreak/>
        <w:t xml:space="preserve">Figura </w:t>
      </w:r>
      <w:r w:rsidR="001E3B61" w:rsidRPr="00D33A53">
        <w:rPr>
          <w:b/>
          <w:bCs/>
          <w:color w:val="00457D"/>
          <w:sz w:val="24"/>
          <w:szCs w:val="24"/>
          <w:u w:color="00457D"/>
        </w:rPr>
        <w:t>1</w:t>
      </w:r>
      <w:r w:rsidR="00D54DDF" w:rsidRPr="00D33A53">
        <w:rPr>
          <w:b/>
          <w:bCs/>
          <w:color w:val="00457D"/>
          <w:sz w:val="24"/>
          <w:szCs w:val="24"/>
          <w:u w:color="00457D"/>
        </w:rPr>
        <w:t>4</w:t>
      </w:r>
    </w:p>
    <w:p w:rsidR="00D76356" w:rsidRPr="00CF6F3B" w:rsidRDefault="0007138B" w:rsidP="00C359C9">
      <w:pPr>
        <w:spacing w:after="0" w:line="240" w:lineRule="auto"/>
        <w:jc w:val="center"/>
        <w:rPr>
          <w:b/>
          <w:bCs/>
          <w:color w:val="FF0000"/>
          <w:sz w:val="24"/>
          <w:szCs w:val="24"/>
          <w:u w:color="00457D"/>
        </w:rPr>
      </w:pPr>
      <w:r>
        <w:rPr>
          <w:b/>
          <w:bCs/>
          <w:noProof/>
          <w:color w:val="FF0000"/>
          <w:sz w:val="24"/>
          <w:szCs w:val="24"/>
          <w:u w:color="00457D"/>
        </w:rPr>
        <w:pict>
          <v:shape id="_x0000_i1039" type="#_x0000_t75" style="width:481.6pt;height:291.4pt">
            <v:imagedata r:id="rId31" o:title="Figura14_20220825"/>
          </v:shape>
        </w:pict>
      </w:r>
    </w:p>
    <w:p w:rsidR="006E14AA" w:rsidRPr="00CF6F3B" w:rsidRDefault="006E14AA" w:rsidP="00C359C9">
      <w:pPr>
        <w:spacing w:after="0" w:line="240" w:lineRule="auto"/>
        <w:jc w:val="center"/>
        <w:rPr>
          <w:b/>
          <w:bCs/>
          <w:color w:val="FF0000"/>
          <w:sz w:val="24"/>
          <w:szCs w:val="24"/>
          <w:u w:color="00457D"/>
        </w:rPr>
      </w:pPr>
    </w:p>
    <w:p w:rsidR="00E24DCD" w:rsidRDefault="00BE48B0" w:rsidP="00040108">
      <w:pPr>
        <w:spacing w:after="0" w:line="240" w:lineRule="auto"/>
        <w:jc w:val="center"/>
        <w:rPr>
          <w:b/>
          <w:bCs/>
          <w:color w:val="00457D"/>
          <w:sz w:val="24"/>
          <w:szCs w:val="24"/>
          <w:u w:color="00457D"/>
        </w:rPr>
      </w:pPr>
      <w:r w:rsidRPr="00E24DCD">
        <w:rPr>
          <w:b/>
          <w:bCs/>
          <w:color w:val="00457D"/>
          <w:sz w:val="24"/>
          <w:szCs w:val="24"/>
          <w:u w:color="00457D"/>
        </w:rPr>
        <w:t>Figura 15</w:t>
      </w:r>
    </w:p>
    <w:p w:rsidR="003677C4" w:rsidRDefault="0007138B" w:rsidP="00040108">
      <w:pPr>
        <w:spacing w:after="0" w:line="240" w:lineRule="auto"/>
        <w:jc w:val="center"/>
        <w:rPr>
          <w:b/>
          <w:bCs/>
          <w:color w:val="00457D"/>
          <w:sz w:val="24"/>
          <w:szCs w:val="24"/>
          <w:u w:color="00457D"/>
        </w:rPr>
      </w:pPr>
      <w:r>
        <w:rPr>
          <w:b/>
          <w:bCs/>
          <w:noProof/>
          <w:color w:val="00457D"/>
          <w:sz w:val="24"/>
          <w:szCs w:val="24"/>
          <w:u w:color="00457D"/>
        </w:rPr>
        <w:pict>
          <v:shape id="_x0000_i1040" type="#_x0000_t75" style="width:480.9pt;height:362.05pt">
            <v:imagedata r:id="rId32" o:title="Figura15_20220825"/>
          </v:shape>
        </w:pict>
      </w:r>
    </w:p>
    <w:p w:rsidR="00D76356" w:rsidRPr="00CF6F3B" w:rsidRDefault="00D76356" w:rsidP="00040108">
      <w:pPr>
        <w:spacing w:after="0" w:line="240" w:lineRule="auto"/>
        <w:jc w:val="center"/>
        <w:rPr>
          <w:b/>
          <w:bCs/>
          <w:color w:val="FF0000"/>
          <w:sz w:val="24"/>
          <w:szCs w:val="24"/>
          <w:u w:color="00457D"/>
        </w:rPr>
        <w:sectPr w:rsidR="00D76356" w:rsidRPr="00CF6F3B" w:rsidSect="00DF4F27">
          <w:pgSz w:w="11900" w:h="16840"/>
          <w:pgMar w:top="1171" w:right="1134" w:bottom="1134" w:left="1134" w:header="709" w:footer="709" w:gutter="0"/>
          <w:cols w:space="720"/>
          <w:docGrid w:linePitch="299"/>
        </w:sectPr>
      </w:pPr>
    </w:p>
    <w:p w:rsidR="00FF3D45" w:rsidRPr="00CF6F3B" w:rsidRDefault="00FF3D45" w:rsidP="00FF3D45">
      <w:pPr>
        <w:spacing w:after="0" w:line="240" w:lineRule="auto"/>
        <w:jc w:val="center"/>
        <w:rPr>
          <w:b/>
          <w:bCs/>
          <w:color w:val="FF0000"/>
          <w:sz w:val="24"/>
          <w:szCs w:val="24"/>
          <w:u w:color="00457D"/>
        </w:rPr>
      </w:pPr>
      <w:r w:rsidRPr="008717BA">
        <w:rPr>
          <w:b/>
          <w:bCs/>
          <w:color w:val="00457D"/>
          <w:sz w:val="24"/>
          <w:szCs w:val="24"/>
          <w:u w:color="00457D"/>
        </w:rPr>
        <w:lastRenderedPageBreak/>
        <w:t>Figura 1</w:t>
      </w:r>
      <w:r w:rsidR="00067A2E">
        <w:rPr>
          <w:b/>
          <w:bCs/>
          <w:color w:val="00457D"/>
          <w:sz w:val="24"/>
          <w:szCs w:val="24"/>
          <w:u w:color="00457D"/>
        </w:rPr>
        <w:t>6</w:t>
      </w:r>
    </w:p>
    <w:p w:rsidR="006C6333" w:rsidRPr="00CF6F3B" w:rsidRDefault="0007138B" w:rsidP="006E14AA">
      <w:pPr>
        <w:spacing w:after="0" w:line="240" w:lineRule="auto"/>
        <w:jc w:val="center"/>
        <w:rPr>
          <w:b/>
          <w:bCs/>
          <w:color w:val="FF0000"/>
          <w:sz w:val="24"/>
          <w:szCs w:val="24"/>
          <w:u w:color="00457D"/>
        </w:rPr>
      </w:pPr>
      <w:r>
        <w:rPr>
          <w:b/>
          <w:bCs/>
          <w:noProof/>
          <w:color w:val="FF0000"/>
          <w:sz w:val="24"/>
          <w:szCs w:val="24"/>
          <w:u w:color="00457D"/>
        </w:rPr>
        <w:pict>
          <v:shape id="_x0000_i1041" type="#_x0000_t75" style="width:480.9pt;height:281.2pt">
            <v:imagedata r:id="rId33" o:title="Figura16_20220825"/>
          </v:shape>
        </w:pict>
      </w:r>
    </w:p>
    <w:p w:rsidR="009D0980" w:rsidRPr="00CF6F3B" w:rsidRDefault="009D0980" w:rsidP="006E14AA">
      <w:pPr>
        <w:spacing w:after="0" w:line="240" w:lineRule="auto"/>
        <w:jc w:val="center"/>
        <w:rPr>
          <w:b/>
          <w:bCs/>
          <w:color w:val="FF0000"/>
          <w:sz w:val="24"/>
          <w:szCs w:val="24"/>
          <w:u w:color="00457D"/>
        </w:rPr>
      </w:pPr>
    </w:p>
    <w:p w:rsidR="009D0980" w:rsidRPr="00CF6F3B" w:rsidRDefault="009D0980" w:rsidP="006E14AA">
      <w:pPr>
        <w:spacing w:after="0" w:line="240" w:lineRule="auto"/>
        <w:jc w:val="center"/>
        <w:rPr>
          <w:b/>
          <w:bCs/>
          <w:color w:val="FF0000"/>
          <w:sz w:val="24"/>
          <w:szCs w:val="24"/>
          <w:u w:color="00457D"/>
        </w:rPr>
      </w:pPr>
      <w:r w:rsidRPr="008717BA">
        <w:rPr>
          <w:b/>
          <w:bCs/>
          <w:color w:val="00457D"/>
          <w:sz w:val="24"/>
          <w:szCs w:val="24"/>
          <w:u w:color="00457D"/>
        </w:rPr>
        <w:t>Figura 1</w:t>
      </w:r>
      <w:r w:rsidR="00067A2E">
        <w:rPr>
          <w:b/>
          <w:bCs/>
          <w:color w:val="00457D"/>
          <w:sz w:val="24"/>
          <w:szCs w:val="24"/>
          <w:u w:color="00457D"/>
        </w:rPr>
        <w:t>7</w:t>
      </w:r>
    </w:p>
    <w:p w:rsidR="00BD112F" w:rsidRDefault="0007138B" w:rsidP="009F62FA">
      <w:pPr>
        <w:spacing w:after="0" w:line="240" w:lineRule="auto"/>
        <w:jc w:val="center"/>
        <w:rPr>
          <w:b/>
          <w:bCs/>
          <w:noProof/>
          <w:color w:val="FF0000"/>
          <w:sz w:val="24"/>
          <w:szCs w:val="24"/>
          <w:u w:color="00457D"/>
        </w:rPr>
      </w:pPr>
      <w:r>
        <w:rPr>
          <w:b/>
          <w:bCs/>
          <w:noProof/>
          <w:color w:val="FF0000"/>
          <w:sz w:val="24"/>
          <w:szCs w:val="24"/>
          <w:u w:color="00457D"/>
        </w:rPr>
        <w:pict>
          <v:shape id="_x0000_i1042" type="#_x0000_t75" style="width:481.6pt;height:362.7pt">
            <v:imagedata r:id="rId34" o:title="Figura17_20220825"/>
          </v:shape>
        </w:pict>
      </w:r>
    </w:p>
    <w:p w:rsidR="00A133AA" w:rsidRPr="00CF6F3B" w:rsidRDefault="009D0980" w:rsidP="00D46A80">
      <w:pPr>
        <w:spacing w:after="0" w:line="240" w:lineRule="auto"/>
        <w:jc w:val="center"/>
        <w:rPr>
          <w:b/>
          <w:bCs/>
          <w:color w:val="FF0000"/>
          <w:sz w:val="24"/>
          <w:szCs w:val="24"/>
          <w:u w:color="00457D"/>
        </w:rPr>
      </w:pPr>
      <w:r w:rsidRPr="00CF6F3B">
        <w:rPr>
          <w:b/>
          <w:bCs/>
          <w:color w:val="FF0000"/>
          <w:sz w:val="24"/>
          <w:szCs w:val="24"/>
          <w:u w:color="00457D"/>
        </w:rPr>
        <w:br w:type="page"/>
      </w:r>
    </w:p>
    <w:p w:rsidR="00410DFB" w:rsidRPr="00CF6F3B" w:rsidRDefault="00410DFB" w:rsidP="00E03BC7">
      <w:pPr>
        <w:spacing w:after="0" w:line="240" w:lineRule="auto"/>
        <w:jc w:val="center"/>
        <w:rPr>
          <w:b/>
          <w:bCs/>
          <w:color w:val="FF0000"/>
          <w:sz w:val="24"/>
          <w:szCs w:val="24"/>
          <w:u w:color="00457D"/>
        </w:rPr>
        <w:sectPr w:rsidR="00410DFB" w:rsidRPr="00CF6F3B" w:rsidSect="005B4AE1">
          <w:pgSz w:w="11900" w:h="16840"/>
          <w:pgMar w:top="1134" w:right="1134" w:bottom="1418" w:left="1134" w:header="709" w:footer="709" w:gutter="0"/>
          <w:cols w:space="720"/>
        </w:sectPr>
      </w:pPr>
    </w:p>
    <w:p w:rsidR="004417EA" w:rsidRDefault="004D16FF" w:rsidP="004417EA">
      <w:pPr>
        <w:spacing w:after="60" w:line="276" w:lineRule="auto"/>
        <w:jc w:val="center"/>
        <w:rPr>
          <w:b/>
          <w:bCs/>
          <w:color w:val="00457D"/>
          <w:sz w:val="24"/>
          <w:szCs w:val="24"/>
          <w:u w:color="00457D"/>
        </w:rPr>
      </w:pPr>
      <w:r w:rsidRPr="00551D92">
        <w:rPr>
          <w:b/>
          <w:bCs/>
          <w:color w:val="00457D"/>
          <w:sz w:val="24"/>
          <w:szCs w:val="24"/>
          <w:u w:color="00457D"/>
        </w:rPr>
        <w:lastRenderedPageBreak/>
        <w:t xml:space="preserve">Tabella 1. Indicatori regionali: settimana </w:t>
      </w:r>
      <w:r w:rsidR="000523DF">
        <w:rPr>
          <w:b/>
          <w:bCs/>
          <w:color w:val="00457D"/>
          <w:sz w:val="24"/>
          <w:szCs w:val="24"/>
          <w:u w:color="00457D"/>
        </w:rPr>
        <w:t>17-23 agosto</w:t>
      </w:r>
      <w:r w:rsidRPr="00551D92">
        <w:rPr>
          <w:b/>
          <w:bCs/>
          <w:color w:val="00457D"/>
          <w:sz w:val="24"/>
          <w:szCs w:val="24"/>
          <w:u w:color="00457D"/>
        </w:rPr>
        <w:t xml:space="preserve"> 2022</w:t>
      </w:r>
    </w:p>
    <w:tbl>
      <w:tblPr>
        <w:tblW w:w="9918" w:type="dxa"/>
        <w:tblCellMar>
          <w:left w:w="70" w:type="dxa"/>
          <w:right w:w="70" w:type="dxa"/>
        </w:tblCellMar>
        <w:tblLook w:val="04A0" w:firstRow="1" w:lastRow="0" w:firstColumn="1" w:lastColumn="0" w:noHBand="0" w:noVBand="1"/>
      </w:tblPr>
      <w:tblGrid>
        <w:gridCol w:w="1980"/>
        <w:gridCol w:w="1701"/>
        <w:gridCol w:w="1417"/>
        <w:gridCol w:w="2410"/>
        <w:gridCol w:w="2410"/>
      </w:tblGrid>
      <w:tr w:rsidR="004417EA" w:rsidRPr="004417EA" w:rsidTr="004417EA">
        <w:trPr>
          <w:trHeight w:val="907"/>
        </w:trPr>
        <w:tc>
          <w:tcPr>
            <w:tcW w:w="1980"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4417EA">
              <w:rPr>
                <w:rFonts w:eastAsia="Times New Roman" w:cs="Calibri"/>
                <w:b/>
                <w:bCs/>
                <w:color w:val="FFFFFF"/>
                <w:bdr w:val="none" w:sz="0" w:space="0" w:color="auto"/>
              </w:rPr>
              <w:t>Regione</w:t>
            </w:r>
          </w:p>
        </w:tc>
        <w:tc>
          <w:tcPr>
            <w:tcW w:w="1701" w:type="dxa"/>
            <w:tcBorders>
              <w:top w:val="single" w:sz="4" w:space="0" w:color="00457D"/>
              <w:left w:val="nil"/>
              <w:bottom w:val="single" w:sz="4" w:space="0" w:color="00457D"/>
              <w:right w:val="single" w:sz="4" w:space="0" w:color="FFFFFF"/>
            </w:tcBorders>
            <w:shd w:val="clear" w:color="000000" w:fill="00457D"/>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4417EA">
              <w:rPr>
                <w:rFonts w:eastAsia="Times New Roman" w:cs="Calibri"/>
                <w:b/>
                <w:bCs/>
                <w:color w:val="FFFFFF"/>
                <w:sz w:val="21"/>
                <w:szCs w:val="21"/>
                <w:bdr w:val="none" w:sz="0" w:space="0" w:color="auto"/>
              </w:rPr>
              <w:t>Casi attualmente positivi per 100.000 abitanti</w:t>
            </w:r>
          </w:p>
        </w:tc>
        <w:tc>
          <w:tcPr>
            <w:tcW w:w="1417" w:type="dxa"/>
            <w:tcBorders>
              <w:top w:val="single" w:sz="4" w:space="0" w:color="00457D"/>
              <w:left w:val="nil"/>
              <w:bottom w:val="single" w:sz="4" w:space="0" w:color="00457D"/>
              <w:right w:val="single" w:sz="4" w:space="0" w:color="FFFFFF"/>
            </w:tcBorders>
            <w:shd w:val="clear" w:color="000000" w:fill="00457D"/>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4417EA">
              <w:rPr>
                <w:rFonts w:eastAsia="Times New Roman" w:cs="Calibri"/>
                <w:b/>
                <w:bCs/>
                <w:color w:val="FFFFFF"/>
                <w:bdr w:val="none" w:sz="0" w:space="0" w:color="auto"/>
              </w:rPr>
              <w:t xml:space="preserve">Variazione </w:t>
            </w:r>
            <w:r w:rsidRPr="004417EA">
              <w:rPr>
                <w:rFonts w:eastAsia="Times New Roman" w:cs="Calibri"/>
                <w:b/>
                <w:bCs/>
                <w:color w:val="FFFFFF"/>
                <w:bdr w:val="none" w:sz="0" w:space="0" w:color="auto"/>
              </w:rPr>
              <w:br/>
              <w:t>% nuovi casi</w:t>
            </w:r>
          </w:p>
        </w:tc>
        <w:tc>
          <w:tcPr>
            <w:tcW w:w="2410" w:type="dxa"/>
            <w:tcBorders>
              <w:top w:val="single" w:sz="4" w:space="0" w:color="00457D"/>
              <w:left w:val="nil"/>
              <w:bottom w:val="single" w:sz="4" w:space="0" w:color="00457D"/>
              <w:right w:val="single" w:sz="4" w:space="0" w:color="FFFFFF"/>
            </w:tcBorders>
            <w:shd w:val="clear" w:color="000000" w:fill="00457D"/>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4417EA">
              <w:rPr>
                <w:rFonts w:eastAsia="Times New Roman" w:cs="Calibri"/>
                <w:b/>
                <w:bCs/>
                <w:color w:val="FFFFFF"/>
                <w:bdr w:val="none" w:sz="0" w:space="0" w:color="auto"/>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4417EA">
              <w:rPr>
                <w:rFonts w:eastAsia="Times New Roman" w:cs="Calibri"/>
                <w:b/>
                <w:bCs/>
                <w:color w:val="FFFFFF"/>
                <w:bdr w:val="none" w:sz="0" w:space="0" w:color="auto"/>
              </w:rPr>
              <w:t xml:space="preserve">Posti letto in terapia intensiva occupati da </w:t>
            </w:r>
            <w:r w:rsidRPr="004417EA">
              <w:rPr>
                <w:rFonts w:eastAsia="Times New Roman" w:cs="Calibri"/>
                <w:b/>
                <w:bCs/>
                <w:color w:val="FFFFFF"/>
                <w:bdr w:val="none" w:sz="0" w:space="0" w:color="auto"/>
              </w:rPr>
              <w:br/>
              <w:t>pazienti COVID−19</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Abruzzo</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1.978</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29,6%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12,7%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4,4%</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Basilicata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1.505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52,1%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1,3%</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Calabria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3.720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56,4%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19,2%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5,6%</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Campania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2.059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16,1%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9,4%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2,8%</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Emilia Romagna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595</w:t>
            </w:r>
          </w:p>
        </w:tc>
        <w:tc>
          <w:tcPr>
            <w:tcW w:w="141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-9,1%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13,0%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3,6%</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Friuli Venezia Giulia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733</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35,0%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14,6%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2,3%</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Lazio</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2.107</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8,7%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4,0%</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Liguria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501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8,1%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19,4%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3,7%</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Lombardia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439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29,0%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7,5%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1,1%</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Marche</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491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23,2%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9,8%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1,7%</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Molise</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1.485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13,4%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5,1%</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Piemonte</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779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22,4%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4,9%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1,1%</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Prov. Aut. Bolzano</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427</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17,9%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6,0%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0,0%</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Prov. Aut. Trento</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597</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14,9%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15,3%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1,1%</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Puglia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823</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11,1%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4,9%</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Sardegna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923</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27,9%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7,6%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4,9%</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Sicilia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1.814</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14,2%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4,0%</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Toscana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2.246</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21,7%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6,6%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3,3%</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Umbria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538</w:t>
            </w:r>
          </w:p>
        </w:tc>
        <w:tc>
          <w:tcPr>
            <w:tcW w:w="141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-0,4%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24,3%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3,5%</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Valle D'Aosta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682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31,3%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10,6%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0,0%</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auto" w:fill="auto"/>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4417EA">
              <w:rPr>
                <w:rFonts w:eastAsia="Times New Roman" w:cs="Calibri"/>
                <w:bdr w:val="none" w:sz="0" w:space="0" w:color="auto"/>
              </w:rPr>
              <w:t>Veneto</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1.075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4417EA">
              <w:rPr>
                <w:rFonts w:eastAsia="Times New Roman" w:cs="Calibri"/>
                <w:color w:val="9C0006"/>
                <w:bdr w:val="none" w:sz="0" w:space="0" w:color="auto"/>
              </w:rPr>
              <w:t>24,5%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8,0%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4417EA">
              <w:rPr>
                <w:rFonts w:eastAsia="Times New Roman" w:cs="Calibri"/>
                <w:color w:val="006100"/>
                <w:bdr w:val="none" w:sz="0" w:space="0" w:color="auto"/>
              </w:rPr>
              <w:t>2,0%</w:t>
            </w:r>
          </w:p>
        </w:tc>
      </w:tr>
      <w:tr w:rsidR="004417EA" w:rsidRPr="004417EA" w:rsidTr="004417EA">
        <w:trPr>
          <w:trHeight w:val="340"/>
        </w:trPr>
        <w:tc>
          <w:tcPr>
            <w:tcW w:w="1980" w:type="dxa"/>
            <w:tcBorders>
              <w:top w:val="nil"/>
              <w:left w:val="single" w:sz="4" w:space="0" w:color="00457D"/>
              <w:bottom w:val="single" w:sz="4" w:space="0" w:color="00457D"/>
              <w:right w:val="single" w:sz="4" w:space="0" w:color="00457D"/>
            </w:tcBorders>
            <w:shd w:val="clear" w:color="000000" w:fill="00457D"/>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4417EA">
              <w:rPr>
                <w:rFonts w:eastAsia="Times New Roman" w:cs="Calibri"/>
                <w:b/>
                <w:bCs/>
                <w:color w:val="FFFFFF"/>
                <w:bdr w:val="none" w:sz="0" w:space="0" w:color="auto"/>
              </w:rPr>
              <w:t>ITALIA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4417EA">
              <w:rPr>
                <w:rFonts w:eastAsia="Times New Roman" w:cs="Calibri"/>
                <w:b/>
                <w:bCs/>
                <w:color w:val="006100"/>
                <w:bdr w:val="none" w:sz="0" w:space="0" w:color="auto"/>
              </w:rPr>
              <w:t>1.270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4417EA">
              <w:rPr>
                <w:rFonts w:eastAsia="Times New Roman" w:cs="Calibri"/>
                <w:b/>
                <w:bCs/>
                <w:color w:val="9C0006"/>
                <w:bdr w:val="none" w:sz="0" w:space="0" w:color="auto"/>
              </w:rPr>
              <w:t>18,7%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4417EA">
              <w:rPr>
                <w:rFonts w:eastAsia="Times New Roman" w:cs="Calibri"/>
                <w:b/>
                <w:bCs/>
                <w:color w:val="006100"/>
                <w:bdr w:val="none" w:sz="0" w:space="0" w:color="auto"/>
              </w:rPr>
              <w:t>9,9%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4417EA">
              <w:rPr>
                <w:rFonts w:eastAsia="Times New Roman" w:cs="Calibri"/>
                <w:b/>
                <w:bCs/>
                <w:color w:val="006100"/>
                <w:bdr w:val="none" w:sz="0" w:space="0" w:color="auto"/>
              </w:rPr>
              <w:t>2,8%</w:t>
            </w:r>
          </w:p>
        </w:tc>
      </w:tr>
      <w:tr w:rsidR="004417EA" w:rsidRPr="004417EA" w:rsidTr="004417EA">
        <w:trPr>
          <w:trHeight w:val="1710"/>
        </w:trPr>
        <w:tc>
          <w:tcPr>
            <w:tcW w:w="9918"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4417EA" w:rsidRPr="004417EA" w:rsidRDefault="004417EA" w:rsidP="004417E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192A72">
              <w:rPr>
                <w:rFonts w:eastAsia="Times New Roman" w:cs="Calibri"/>
                <w:color w:val="auto"/>
                <w:sz w:val="20"/>
                <w:szCs w:val="20"/>
                <w:bdr w:val="none" w:sz="0" w:space="0" w:color="auto"/>
              </w:rPr>
              <w:t>Nella prima colonna i colori rosso, verde e giallo indicano rispettivamente una performance regionale in peggioramento, in miglioramento o stabile, rispetto alla settimana precedente.</w:t>
            </w:r>
            <w:r w:rsidRPr="00192A72">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192A72">
              <w:rPr>
                <w:rFonts w:eastAsia="Times New Roman" w:cs="Calibri"/>
                <w:color w:val="auto"/>
                <w:sz w:val="20"/>
                <w:szCs w:val="20"/>
                <w:bdr w:val="none" w:sz="0" w:space="0" w:color="auto"/>
              </w:rPr>
              <w:br/>
              <w:t>Nelle ultime 2 colonne i colori rosso e verde indicano rispettivamente un valore superiore o inferiore rispetto alla media nazionale (dati Agenas).</w:t>
            </w:r>
          </w:p>
        </w:tc>
      </w:tr>
    </w:tbl>
    <w:p w:rsidR="00A133AA" w:rsidRDefault="00A133AA">
      <w:pPr>
        <w:spacing w:after="0" w:line="240" w:lineRule="auto"/>
        <w:rPr>
          <w:b/>
          <w:bCs/>
          <w:color w:val="00457D"/>
          <w:sz w:val="24"/>
          <w:szCs w:val="24"/>
          <w:u w:color="00457D"/>
        </w:rPr>
      </w:pPr>
      <w:r>
        <w:rPr>
          <w:b/>
          <w:bCs/>
          <w:color w:val="00457D"/>
          <w:sz w:val="24"/>
          <w:szCs w:val="24"/>
          <w:u w:color="00457D"/>
        </w:rPr>
        <w:br w:type="page"/>
      </w:r>
    </w:p>
    <w:p w:rsidR="004D16FF" w:rsidRPr="00D44AA7" w:rsidRDefault="004D16FF" w:rsidP="008955B7">
      <w:pPr>
        <w:spacing w:after="80" w:line="240" w:lineRule="auto"/>
        <w:jc w:val="center"/>
        <w:rPr>
          <w:b/>
          <w:bCs/>
          <w:color w:val="00457D"/>
          <w:sz w:val="24"/>
          <w:szCs w:val="24"/>
          <w:u w:color="00457D"/>
        </w:rPr>
      </w:pPr>
      <w:r w:rsidRPr="00D44AA7">
        <w:rPr>
          <w:b/>
          <w:bCs/>
          <w:color w:val="00457D"/>
          <w:sz w:val="24"/>
          <w:szCs w:val="24"/>
          <w:u w:color="00457D"/>
        </w:rPr>
        <w:lastRenderedPageBreak/>
        <w:t>Tabella 2. Nuovi casi nell’ultima se</w:t>
      </w:r>
      <w:r w:rsidR="008955B7" w:rsidRPr="00D44AA7">
        <w:rPr>
          <w:b/>
          <w:bCs/>
          <w:color w:val="00457D"/>
          <w:sz w:val="24"/>
          <w:szCs w:val="24"/>
          <w:u w:color="00457D"/>
        </w:rPr>
        <w:t>ttimana suddivisi per provincia</w:t>
      </w:r>
    </w:p>
    <w:tbl>
      <w:tblPr>
        <w:tblStyle w:val="TableNormal"/>
        <w:tblW w:w="82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985"/>
        <w:gridCol w:w="2260"/>
        <w:gridCol w:w="2281"/>
        <w:gridCol w:w="1701"/>
      </w:tblGrid>
      <w:tr w:rsidR="00745BD1" w:rsidRPr="0008778C" w:rsidTr="00A133AA">
        <w:trPr>
          <w:trHeight w:val="481"/>
          <w:tblHeader/>
          <w:jc w:val="center"/>
        </w:trPr>
        <w:tc>
          <w:tcPr>
            <w:tcW w:w="1985"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08778C" w:rsidRDefault="00745BD1" w:rsidP="00A133AA">
            <w:pPr>
              <w:spacing w:after="0" w:line="240" w:lineRule="auto"/>
              <w:rPr>
                <w:rFonts w:cs="Calibri"/>
                <w:szCs w:val="21"/>
              </w:rPr>
            </w:pPr>
            <w:r w:rsidRPr="0008778C">
              <w:rPr>
                <w:rFonts w:cs="Calibri"/>
                <w:b/>
                <w:bCs/>
                <w:color w:val="FFFFFF"/>
                <w:szCs w:val="21"/>
                <w:u w:color="FFFFFF"/>
              </w:rPr>
              <w:t>Regione</w:t>
            </w:r>
          </w:p>
        </w:tc>
        <w:tc>
          <w:tcPr>
            <w:tcW w:w="2260"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08778C" w:rsidRDefault="00745BD1" w:rsidP="00A133AA">
            <w:pPr>
              <w:spacing w:after="0" w:line="240" w:lineRule="auto"/>
              <w:rPr>
                <w:rFonts w:cs="Calibri"/>
                <w:szCs w:val="21"/>
              </w:rPr>
            </w:pPr>
            <w:r w:rsidRPr="0008778C">
              <w:rPr>
                <w:rFonts w:cs="Calibri"/>
                <w:b/>
                <w:bCs/>
                <w:color w:val="FFFFFF"/>
                <w:szCs w:val="21"/>
                <w:u w:color="FFFFFF"/>
              </w:rPr>
              <w:t>Provincia</w:t>
            </w:r>
          </w:p>
        </w:tc>
        <w:tc>
          <w:tcPr>
            <w:tcW w:w="2281"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08778C" w:rsidRDefault="00745BD1" w:rsidP="001A3091">
            <w:pPr>
              <w:spacing w:after="0" w:line="240" w:lineRule="auto"/>
              <w:jc w:val="center"/>
              <w:rPr>
                <w:rFonts w:cs="Calibri"/>
                <w:szCs w:val="21"/>
              </w:rPr>
            </w:pPr>
            <w:r w:rsidRPr="0008778C">
              <w:rPr>
                <w:rFonts w:cs="Calibri"/>
                <w:b/>
                <w:bCs/>
                <w:color w:val="FFFFFF"/>
                <w:szCs w:val="21"/>
                <w:u w:color="FFFFFF"/>
              </w:rPr>
              <w:t xml:space="preserve">Nuovi casi per </w:t>
            </w:r>
            <w:r w:rsidR="00936C2E" w:rsidRPr="0008778C">
              <w:rPr>
                <w:rFonts w:cs="Calibri"/>
                <w:b/>
                <w:bCs/>
                <w:color w:val="FFFFFF"/>
                <w:szCs w:val="21"/>
                <w:u w:color="FFFFFF"/>
              </w:rPr>
              <w:br/>
            </w:r>
            <w:r w:rsidRPr="0008778C">
              <w:rPr>
                <w:rFonts w:cs="Calibri"/>
                <w:b/>
                <w:bCs/>
                <w:color w:val="FFFFFF"/>
                <w:szCs w:val="21"/>
                <w:u w:color="FFFFFF"/>
              </w:rPr>
              <w:t xml:space="preserve">100.000 abitanti </w:t>
            </w:r>
            <w:r w:rsidRPr="0008778C">
              <w:rPr>
                <w:rFonts w:cs="Calibri"/>
                <w:b/>
                <w:bCs/>
                <w:color w:val="FFFFFF"/>
                <w:szCs w:val="21"/>
                <w:u w:color="FFFFFF"/>
              </w:rPr>
              <w:br/>
            </w:r>
            <w:r w:rsidR="001A3091">
              <w:rPr>
                <w:rFonts w:cs="Calibri"/>
                <w:b/>
                <w:bCs/>
                <w:color w:val="FFFFFF"/>
                <w:szCs w:val="21"/>
                <w:u w:color="FFFFFF"/>
              </w:rPr>
              <w:t>17-23 agosto 2</w:t>
            </w:r>
            <w:r w:rsidRPr="0008778C">
              <w:rPr>
                <w:rFonts w:cs="Calibri"/>
                <w:b/>
                <w:bCs/>
                <w:color w:val="FFFFFF"/>
                <w:szCs w:val="21"/>
                <w:u w:color="FFFFFF"/>
              </w:rPr>
              <w:t>022</w:t>
            </w:r>
          </w:p>
        </w:tc>
        <w:tc>
          <w:tcPr>
            <w:tcW w:w="1701"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08778C" w:rsidRDefault="00745BD1" w:rsidP="00A133AA">
            <w:pPr>
              <w:spacing w:after="0" w:line="240" w:lineRule="auto"/>
              <w:jc w:val="center"/>
              <w:rPr>
                <w:rFonts w:cs="Calibri"/>
                <w:b/>
                <w:bCs/>
                <w:color w:val="FFFFFF"/>
                <w:szCs w:val="21"/>
                <w:u w:color="FFFFFF"/>
              </w:rPr>
            </w:pPr>
            <w:r w:rsidRPr="0008778C">
              <w:rPr>
                <w:rFonts w:cs="Calibri"/>
                <w:b/>
                <w:bCs/>
                <w:color w:val="FFFFFF"/>
                <w:szCs w:val="21"/>
                <w:u w:color="FFFFFF"/>
              </w:rPr>
              <w:t>Variazione % nuovi casi</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Pescara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617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35,2%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Teramo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522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12,7%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Chieti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484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27,9%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L'Aquila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448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49,3%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Potenza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397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66,0%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Matera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24,6%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Crotone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784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46,8%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Catanzaro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728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79,4%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Vibo Valentia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652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54,7%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Reggio di Calabria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500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53,3%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Cosenza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477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46,2%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Avellino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461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29,0%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Benevento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460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49,2%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Salerno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383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16,2%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Caserta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262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16,4%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Napoli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181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5,8%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Ferrara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-23,8%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Ravenna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-17,3%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Rimini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287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-19,5%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Forlì-Cesena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282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-25,0%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Reggio nell'Emilia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272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-6,3%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Modena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250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Piacenza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244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-1,1%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Parma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-12,6%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Bologna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218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7,7%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Udine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483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41,6%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Trieste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433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23,5%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Gorizia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428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24,2%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Pordenone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358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37,1%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Frosinone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381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34,9%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Latina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9,0%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256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13,8%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Viterbo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6,3%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Roma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La Spezia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409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8,1%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Imperia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-3,0%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Savona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301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-0,1%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lastRenderedPageBreak/>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Genova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284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14,3%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Mantova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350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45,8%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Cremona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23,2%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Sondrio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265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41,2%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Brescia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257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18,9%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Lodi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247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11,8%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Pavia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21,6%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Como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40,2%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Bergamo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26,4%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Varese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189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34,0%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Monza e della Brianza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187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28,6%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Milano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170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34,5%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Lecco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166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23,6%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Ascoli Piceno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493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22,2%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Macerata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488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28,8%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416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11,9%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Ancona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401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21,4%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Pesaro e Urbino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39,5%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Campobasso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412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9,2%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Isernia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26,2%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 Bolzano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Bolzano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309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21,2%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 Trento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Trento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391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14,9%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Alessandria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43,3%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Asti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10,8%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Novara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226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44,0%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Vercelli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224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11,3%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Biella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218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34,3%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Torino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211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23,8%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Cuneo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14,7%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Verbano-Cusio-Ossola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22,2%</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Lecce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446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21,9%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Taranto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8,5%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Brindisi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Foggia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16,4%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223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Barletta-Andria-Trani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160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-10,1%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Nuoro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352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66,8%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Oristano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348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-6,0%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lastRenderedPageBreak/>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Cagliari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340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40,5%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Sassari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19,9%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Sud Sardegna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289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26,8%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Messina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394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5,7%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325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66,8%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Agrigento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15,5%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Siracusa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33,8%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Caltanissetta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38,4%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Trapani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304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Ragusa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255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7,6%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Catania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227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1,8%</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Palermo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220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Massa Carrara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350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9,4%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Grosseto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313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32,4%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Lucca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27,5%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Livorno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274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9,9%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28,3%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Arezzo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207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31,9%</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Siena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194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15,3%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Pistoia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186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13,7%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Prato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157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22,0%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Firenze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147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23,7%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Perugia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324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006100"/>
                <w:sz w:val="21"/>
                <w:szCs w:val="21"/>
              </w:rPr>
              <w:t>-2,3%</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Terni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298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6,5%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Valle d'Aosta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Aosta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237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28,4%</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Belluno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528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26,7%</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Rovigo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15,1%</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Vicenza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477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34,5%</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Padova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453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31,0%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Verona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426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21,6%</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422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17,0%</w:t>
            </w:r>
          </w:p>
        </w:tc>
      </w:tr>
      <w:tr w:rsidR="001A3091" w:rsidRPr="0008778C" w:rsidTr="001A3091">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rPr>
                <w:rFonts w:cs="Calibri"/>
                <w:sz w:val="21"/>
                <w:szCs w:val="21"/>
              </w:rPr>
            </w:pPr>
            <w:r w:rsidRPr="001A3091">
              <w:rPr>
                <w:rFonts w:cs="Calibri"/>
                <w:sz w:val="21"/>
                <w:szCs w:val="21"/>
              </w:rPr>
              <w:t>Treviso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A3091" w:rsidRPr="001A3091" w:rsidRDefault="001A3091" w:rsidP="001A3091">
            <w:pPr>
              <w:spacing w:after="0"/>
              <w:jc w:val="center"/>
              <w:rPr>
                <w:rFonts w:cs="Calibri"/>
                <w:sz w:val="21"/>
                <w:szCs w:val="21"/>
              </w:rPr>
            </w:pPr>
            <w:r w:rsidRPr="001A3091">
              <w:rPr>
                <w:rFonts w:cs="Calibri"/>
                <w:sz w:val="21"/>
                <w:szCs w:val="21"/>
              </w:rPr>
              <w:t>399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A3091" w:rsidRPr="001A3091" w:rsidRDefault="001A3091" w:rsidP="001A3091">
            <w:pPr>
              <w:spacing w:after="0" w:line="240" w:lineRule="auto"/>
              <w:jc w:val="center"/>
              <w:rPr>
                <w:rFonts w:eastAsia="Times New Roman" w:cs="Calibri"/>
                <w:color w:val="006100"/>
                <w:sz w:val="21"/>
                <w:szCs w:val="21"/>
                <w:bdr w:val="none" w:sz="0" w:space="0" w:color="auto"/>
              </w:rPr>
            </w:pPr>
            <w:r w:rsidRPr="001A3091">
              <w:rPr>
                <w:rFonts w:cs="Calibri"/>
                <w:color w:val="9C0006"/>
                <w:sz w:val="21"/>
                <w:szCs w:val="21"/>
              </w:rPr>
              <w:t>20,2%</w:t>
            </w:r>
          </w:p>
        </w:tc>
      </w:tr>
      <w:tr w:rsidR="00D91289" w:rsidRPr="0008778C" w:rsidTr="00A133AA">
        <w:tblPrEx>
          <w:shd w:val="clear" w:color="auto" w:fill="CDD4E9"/>
        </w:tblPrEx>
        <w:trPr>
          <w:trHeight w:val="567"/>
          <w:jc w:val="center"/>
        </w:trPr>
        <w:tc>
          <w:tcPr>
            <w:tcW w:w="8227"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rsidR="00D91289" w:rsidRPr="0008778C" w:rsidRDefault="002B5E81" w:rsidP="00A133AA">
            <w:pPr>
              <w:spacing w:after="0" w:line="240" w:lineRule="auto"/>
              <w:contextualSpacing/>
              <w:rPr>
                <w:rFonts w:cs="Calibri"/>
                <w:sz w:val="21"/>
                <w:szCs w:val="21"/>
              </w:rPr>
            </w:pPr>
            <w:r w:rsidRPr="0008778C">
              <w:rPr>
                <w:rFonts w:eastAsia="Times New Roman" w:cs="Calibri"/>
                <w:color w:val="auto"/>
                <w:sz w:val="21"/>
                <w:szCs w:val="21"/>
                <w:bdr w:val="none" w:sz="0" w:space="0" w:color="auto"/>
              </w:rPr>
              <w:t>Nella quarta colonna i colori rosso e verde indicano rispettivamente un aumento o una diminuzione percentuale dei nuovi casi rispetto alla settimana precedente.</w:t>
            </w:r>
          </w:p>
        </w:tc>
      </w:tr>
    </w:tbl>
    <w:p w:rsidR="005E38B7" w:rsidRPr="00D44AA7" w:rsidRDefault="005E38B7" w:rsidP="0082448E"/>
    <w:sectPr w:rsidR="005E38B7" w:rsidRPr="00D44AA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38B" w:rsidRDefault="0007138B">
      <w:pPr>
        <w:spacing w:after="0" w:line="240" w:lineRule="auto"/>
      </w:pPr>
      <w:r>
        <w:separator/>
      </w:r>
    </w:p>
  </w:endnote>
  <w:endnote w:type="continuationSeparator" w:id="0">
    <w:p w:rsidR="0007138B" w:rsidRDefault="00071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38B" w:rsidRDefault="0007138B">
      <w:pPr>
        <w:spacing w:after="0" w:line="240" w:lineRule="auto"/>
      </w:pPr>
      <w:r>
        <w:separator/>
      </w:r>
    </w:p>
  </w:footnote>
  <w:footnote w:type="continuationSeparator" w:id="0">
    <w:p w:rsidR="0007138B" w:rsidRDefault="00071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88F"/>
    <w:multiLevelType w:val="hybridMultilevel"/>
    <w:tmpl w:val="74B824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5EA64BC"/>
    <w:multiLevelType w:val="hybridMultilevel"/>
    <w:tmpl w:val="96F6C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6E7587C"/>
    <w:multiLevelType w:val="hybridMultilevel"/>
    <w:tmpl w:val="96361AFC"/>
    <w:lvl w:ilvl="0" w:tplc="13786608">
      <w:start w:val="23"/>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862197"/>
    <w:multiLevelType w:val="hybridMultilevel"/>
    <w:tmpl w:val="869440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2093871"/>
    <w:multiLevelType w:val="hybridMultilevel"/>
    <w:tmpl w:val="EB223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40A12CA"/>
    <w:multiLevelType w:val="hybridMultilevel"/>
    <w:tmpl w:val="26388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D6928C1"/>
    <w:multiLevelType w:val="hybridMultilevel"/>
    <w:tmpl w:val="42A400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2C41245"/>
    <w:multiLevelType w:val="hybridMultilevel"/>
    <w:tmpl w:val="22709B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4CB65A8"/>
    <w:multiLevelType w:val="hybridMultilevel"/>
    <w:tmpl w:val="30DA7D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AA11AF7"/>
    <w:multiLevelType w:val="hybridMultilevel"/>
    <w:tmpl w:val="46DCF6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729E6319"/>
    <w:multiLevelType w:val="hybridMultilevel"/>
    <w:tmpl w:val="E8FEF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4C50B58"/>
    <w:multiLevelType w:val="hybridMultilevel"/>
    <w:tmpl w:val="B61837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22"/>
  </w:num>
  <w:num w:numId="5">
    <w:abstractNumId w:val="8"/>
  </w:num>
  <w:num w:numId="6">
    <w:abstractNumId w:val="12"/>
  </w:num>
  <w:num w:numId="7">
    <w:abstractNumId w:val="7"/>
  </w:num>
  <w:num w:numId="8">
    <w:abstractNumId w:val="19"/>
  </w:num>
  <w:num w:numId="9">
    <w:abstractNumId w:val="20"/>
  </w:num>
  <w:num w:numId="10">
    <w:abstractNumId w:val="15"/>
  </w:num>
  <w:num w:numId="11">
    <w:abstractNumId w:val="10"/>
  </w:num>
  <w:num w:numId="12">
    <w:abstractNumId w:val="26"/>
  </w:num>
  <w:num w:numId="13">
    <w:abstractNumId w:val="29"/>
  </w:num>
  <w:num w:numId="14">
    <w:abstractNumId w:val="6"/>
  </w:num>
  <w:num w:numId="15">
    <w:abstractNumId w:val="24"/>
  </w:num>
  <w:num w:numId="16">
    <w:abstractNumId w:val="21"/>
  </w:num>
  <w:num w:numId="17">
    <w:abstractNumId w:val="25"/>
  </w:num>
  <w:num w:numId="18">
    <w:abstractNumId w:val="13"/>
  </w:num>
  <w:num w:numId="19">
    <w:abstractNumId w:val="16"/>
  </w:num>
  <w:num w:numId="20">
    <w:abstractNumId w:val="2"/>
  </w:num>
  <w:num w:numId="21">
    <w:abstractNumId w:val="5"/>
  </w:num>
  <w:num w:numId="22">
    <w:abstractNumId w:val="27"/>
  </w:num>
  <w:num w:numId="23">
    <w:abstractNumId w:val="11"/>
  </w:num>
  <w:num w:numId="24">
    <w:abstractNumId w:val="14"/>
  </w:num>
  <w:num w:numId="25">
    <w:abstractNumId w:val="0"/>
  </w:num>
  <w:num w:numId="26">
    <w:abstractNumId w:val="17"/>
  </w:num>
  <w:num w:numId="27">
    <w:abstractNumId w:val="3"/>
  </w:num>
  <w:num w:numId="28">
    <w:abstractNumId w:val="18"/>
  </w:num>
  <w:num w:numId="29">
    <w:abstractNumId w:val="23"/>
  </w:num>
  <w:num w:numId="30">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0FEF"/>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3655"/>
    <w:rsid w:val="00014385"/>
    <w:rsid w:val="00014C7B"/>
    <w:rsid w:val="00015574"/>
    <w:rsid w:val="00015BAE"/>
    <w:rsid w:val="000165C3"/>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16A"/>
    <w:rsid w:val="000352B4"/>
    <w:rsid w:val="000354CC"/>
    <w:rsid w:val="000356DF"/>
    <w:rsid w:val="00036428"/>
    <w:rsid w:val="000365C2"/>
    <w:rsid w:val="00036D4B"/>
    <w:rsid w:val="00036D6B"/>
    <w:rsid w:val="000373F1"/>
    <w:rsid w:val="00037451"/>
    <w:rsid w:val="00037A0A"/>
    <w:rsid w:val="00037F01"/>
    <w:rsid w:val="00040108"/>
    <w:rsid w:val="000403D3"/>
    <w:rsid w:val="00040D5E"/>
    <w:rsid w:val="000410EA"/>
    <w:rsid w:val="000415C2"/>
    <w:rsid w:val="00041695"/>
    <w:rsid w:val="00041719"/>
    <w:rsid w:val="00041D6E"/>
    <w:rsid w:val="000421A9"/>
    <w:rsid w:val="00042A2C"/>
    <w:rsid w:val="00042E7E"/>
    <w:rsid w:val="000430E9"/>
    <w:rsid w:val="00043C39"/>
    <w:rsid w:val="00044665"/>
    <w:rsid w:val="00044ABB"/>
    <w:rsid w:val="00044C9B"/>
    <w:rsid w:val="00044EB9"/>
    <w:rsid w:val="000453E7"/>
    <w:rsid w:val="0004577B"/>
    <w:rsid w:val="00045A6A"/>
    <w:rsid w:val="00046B65"/>
    <w:rsid w:val="0004762F"/>
    <w:rsid w:val="00047BCE"/>
    <w:rsid w:val="0005001A"/>
    <w:rsid w:val="00051038"/>
    <w:rsid w:val="00051744"/>
    <w:rsid w:val="0005206B"/>
    <w:rsid w:val="000523C5"/>
    <w:rsid w:val="000523DF"/>
    <w:rsid w:val="00052578"/>
    <w:rsid w:val="000531D1"/>
    <w:rsid w:val="000542D3"/>
    <w:rsid w:val="0005433B"/>
    <w:rsid w:val="00054A26"/>
    <w:rsid w:val="00054D1D"/>
    <w:rsid w:val="000552E2"/>
    <w:rsid w:val="0005613E"/>
    <w:rsid w:val="0005670B"/>
    <w:rsid w:val="00056AE2"/>
    <w:rsid w:val="00056C03"/>
    <w:rsid w:val="000572F4"/>
    <w:rsid w:val="00057324"/>
    <w:rsid w:val="0005772C"/>
    <w:rsid w:val="00057C36"/>
    <w:rsid w:val="00057E5F"/>
    <w:rsid w:val="00057F3D"/>
    <w:rsid w:val="0006040F"/>
    <w:rsid w:val="00060FAC"/>
    <w:rsid w:val="00061647"/>
    <w:rsid w:val="00061D4E"/>
    <w:rsid w:val="00062223"/>
    <w:rsid w:val="000625F5"/>
    <w:rsid w:val="00062A6E"/>
    <w:rsid w:val="00063061"/>
    <w:rsid w:val="00063092"/>
    <w:rsid w:val="000636C7"/>
    <w:rsid w:val="00063723"/>
    <w:rsid w:val="00063DA8"/>
    <w:rsid w:val="0006525F"/>
    <w:rsid w:val="000653E7"/>
    <w:rsid w:val="0006599B"/>
    <w:rsid w:val="00065C95"/>
    <w:rsid w:val="00066602"/>
    <w:rsid w:val="0006669C"/>
    <w:rsid w:val="000668DA"/>
    <w:rsid w:val="00067039"/>
    <w:rsid w:val="000673B6"/>
    <w:rsid w:val="00067A2E"/>
    <w:rsid w:val="00067B8B"/>
    <w:rsid w:val="00070D71"/>
    <w:rsid w:val="0007138B"/>
    <w:rsid w:val="00071568"/>
    <w:rsid w:val="00071626"/>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240"/>
    <w:rsid w:val="000814C4"/>
    <w:rsid w:val="000814F9"/>
    <w:rsid w:val="00081B96"/>
    <w:rsid w:val="0008254A"/>
    <w:rsid w:val="0008271E"/>
    <w:rsid w:val="0008362E"/>
    <w:rsid w:val="00083804"/>
    <w:rsid w:val="00083DE2"/>
    <w:rsid w:val="0008457A"/>
    <w:rsid w:val="0008493E"/>
    <w:rsid w:val="00084E0B"/>
    <w:rsid w:val="00085386"/>
    <w:rsid w:val="00085AF6"/>
    <w:rsid w:val="00085D13"/>
    <w:rsid w:val="000867DD"/>
    <w:rsid w:val="000871FB"/>
    <w:rsid w:val="00087236"/>
    <w:rsid w:val="0008778C"/>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3F4"/>
    <w:rsid w:val="000A57A1"/>
    <w:rsid w:val="000A6581"/>
    <w:rsid w:val="000A6DB2"/>
    <w:rsid w:val="000A72BA"/>
    <w:rsid w:val="000A7D97"/>
    <w:rsid w:val="000A7DDA"/>
    <w:rsid w:val="000A7E95"/>
    <w:rsid w:val="000A7EA7"/>
    <w:rsid w:val="000B0339"/>
    <w:rsid w:val="000B0548"/>
    <w:rsid w:val="000B0AC0"/>
    <w:rsid w:val="000B119C"/>
    <w:rsid w:val="000B1B66"/>
    <w:rsid w:val="000B1D1D"/>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46E0"/>
    <w:rsid w:val="000C5DA1"/>
    <w:rsid w:val="000C63F8"/>
    <w:rsid w:val="000C645E"/>
    <w:rsid w:val="000C6B69"/>
    <w:rsid w:val="000C7105"/>
    <w:rsid w:val="000C789B"/>
    <w:rsid w:val="000C7A89"/>
    <w:rsid w:val="000D0625"/>
    <w:rsid w:val="000D08C8"/>
    <w:rsid w:val="000D0980"/>
    <w:rsid w:val="000D1250"/>
    <w:rsid w:val="000D1503"/>
    <w:rsid w:val="000D1799"/>
    <w:rsid w:val="000D1F5C"/>
    <w:rsid w:val="000D24D7"/>
    <w:rsid w:val="000D2A90"/>
    <w:rsid w:val="000D2CAA"/>
    <w:rsid w:val="000D3B36"/>
    <w:rsid w:val="000D40CB"/>
    <w:rsid w:val="000D4255"/>
    <w:rsid w:val="000D4370"/>
    <w:rsid w:val="000D57B4"/>
    <w:rsid w:val="000D5878"/>
    <w:rsid w:val="000D5B61"/>
    <w:rsid w:val="000D5C61"/>
    <w:rsid w:val="000D67CD"/>
    <w:rsid w:val="000D7077"/>
    <w:rsid w:val="000D75CD"/>
    <w:rsid w:val="000D7645"/>
    <w:rsid w:val="000D7A69"/>
    <w:rsid w:val="000D7DCE"/>
    <w:rsid w:val="000D7E45"/>
    <w:rsid w:val="000D7EE3"/>
    <w:rsid w:val="000E07A2"/>
    <w:rsid w:val="000E0BCB"/>
    <w:rsid w:val="000E0C48"/>
    <w:rsid w:val="000E1A5A"/>
    <w:rsid w:val="000E1ABF"/>
    <w:rsid w:val="000E1C12"/>
    <w:rsid w:val="000E238A"/>
    <w:rsid w:val="000E2D17"/>
    <w:rsid w:val="000E3472"/>
    <w:rsid w:val="000E476D"/>
    <w:rsid w:val="000E4901"/>
    <w:rsid w:val="000E4A1A"/>
    <w:rsid w:val="000E506B"/>
    <w:rsid w:val="000E5ABA"/>
    <w:rsid w:val="000E60E1"/>
    <w:rsid w:val="000E60EB"/>
    <w:rsid w:val="000E64DA"/>
    <w:rsid w:val="000E6F3B"/>
    <w:rsid w:val="000E770E"/>
    <w:rsid w:val="000E781A"/>
    <w:rsid w:val="000E7A53"/>
    <w:rsid w:val="000F0385"/>
    <w:rsid w:val="000F09AA"/>
    <w:rsid w:val="000F159D"/>
    <w:rsid w:val="000F1839"/>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3C6"/>
    <w:rsid w:val="000F7752"/>
    <w:rsid w:val="00100D0A"/>
    <w:rsid w:val="001014E8"/>
    <w:rsid w:val="00101803"/>
    <w:rsid w:val="00101EE1"/>
    <w:rsid w:val="00102089"/>
    <w:rsid w:val="001022BC"/>
    <w:rsid w:val="00102EF5"/>
    <w:rsid w:val="00103B2C"/>
    <w:rsid w:val="001043C7"/>
    <w:rsid w:val="0010442F"/>
    <w:rsid w:val="001047B6"/>
    <w:rsid w:val="00104974"/>
    <w:rsid w:val="00104B88"/>
    <w:rsid w:val="00104DDA"/>
    <w:rsid w:val="00104E7E"/>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22B"/>
    <w:rsid w:val="001203E4"/>
    <w:rsid w:val="0012099D"/>
    <w:rsid w:val="00120DCD"/>
    <w:rsid w:val="00120F46"/>
    <w:rsid w:val="00121597"/>
    <w:rsid w:val="00121EB7"/>
    <w:rsid w:val="00122302"/>
    <w:rsid w:val="0012327E"/>
    <w:rsid w:val="0012383F"/>
    <w:rsid w:val="00123878"/>
    <w:rsid w:val="00123934"/>
    <w:rsid w:val="0012399B"/>
    <w:rsid w:val="00123A0D"/>
    <w:rsid w:val="00123B8F"/>
    <w:rsid w:val="0012436D"/>
    <w:rsid w:val="00124890"/>
    <w:rsid w:val="00124C08"/>
    <w:rsid w:val="00124EFF"/>
    <w:rsid w:val="0012540D"/>
    <w:rsid w:val="00126291"/>
    <w:rsid w:val="00126938"/>
    <w:rsid w:val="00126C0E"/>
    <w:rsid w:val="00127096"/>
    <w:rsid w:val="00127307"/>
    <w:rsid w:val="00127892"/>
    <w:rsid w:val="00127AA8"/>
    <w:rsid w:val="00130464"/>
    <w:rsid w:val="001304B0"/>
    <w:rsid w:val="0013062E"/>
    <w:rsid w:val="0013077F"/>
    <w:rsid w:val="00130B71"/>
    <w:rsid w:val="00131B77"/>
    <w:rsid w:val="00131B83"/>
    <w:rsid w:val="00131BD2"/>
    <w:rsid w:val="00131ECD"/>
    <w:rsid w:val="001324D5"/>
    <w:rsid w:val="00132966"/>
    <w:rsid w:val="00132BF8"/>
    <w:rsid w:val="001343AE"/>
    <w:rsid w:val="00134D05"/>
    <w:rsid w:val="00135006"/>
    <w:rsid w:val="00135D77"/>
    <w:rsid w:val="00135DBC"/>
    <w:rsid w:val="00136196"/>
    <w:rsid w:val="00136581"/>
    <w:rsid w:val="001367B8"/>
    <w:rsid w:val="00136FF5"/>
    <w:rsid w:val="001378AD"/>
    <w:rsid w:val="0014031D"/>
    <w:rsid w:val="001410D3"/>
    <w:rsid w:val="0014184C"/>
    <w:rsid w:val="001418E1"/>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88C"/>
    <w:rsid w:val="00147D1B"/>
    <w:rsid w:val="00150022"/>
    <w:rsid w:val="00150920"/>
    <w:rsid w:val="00150E81"/>
    <w:rsid w:val="00150F3B"/>
    <w:rsid w:val="001513A9"/>
    <w:rsid w:val="001518FD"/>
    <w:rsid w:val="001520F7"/>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5DE9"/>
    <w:rsid w:val="0016606E"/>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18E"/>
    <w:rsid w:val="00176234"/>
    <w:rsid w:val="00176590"/>
    <w:rsid w:val="00176B1E"/>
    <w:rsid w:val="00177874"/>
    <w:rsid w:val="00180318"/>
    <w:rsid w:val="001803BE"/>
    <w:rsid w:val="0018079D"/>
    <w:rsid w:val="00181755"/>
    <w:rsid w:val="00181994"/>
    <w:rsid w:val="00181F5C"/>
    <w:rsid w:val="00182713"/>
    <w:rsid w:val="0018288F"/>
    <w:rsid w:val="00183B21"/>
    <w:rsid w:val="00183FA3"/>
    <w:rsid w:val="00184068"/>
    <w:rsid w:val="00184E2C"/>
    <w:rsid w:val="001857E7"/>
    <w:rsid w:val="00185D5F"/>
    <w:rsid w:val="00186142"/>
    <w:rsid w:val="00186853"/>
    <w:rsid w:val="00186E2D"/>
    <w:rsid w:val="00186FBE"/>
    <w:rsid w:val="001876F5"/>
    <w:rsid w:val="00187DC9"/>
    <w:rsid w:val="00187EBF"/>
    <w:rsid w:val="0019090A"/>
    <w:rsid w:val="00190ADC"/>
    <w:rsid w:val="00190DB2"/>
    <w:rsid w:val="00191EB1"/>
    <w:rsid w:val="00192428"/>
    <w:rsid w:val="00192A72"/>
    <w:rsid w:val="0019345D"/>
    <w:rsid w:val="00194070"/>
    <w:rsid w:val="001940FA"/>
    <w:rsid w:val="00194F60"/>
    <w:rsid w:val="001956DC"/>
    <w:rsid w:val="001956DE"/>
    <w:rsid w:val="0019613B"/>
    <w:rsid w:val="00196E72"/>
    <w:rsid w:val="00197134"/>
    <w:rsid w:val="00197435"/>
    <w:rsid w:val="001A09E4"/>
    <w:rsid w:val="001A1015"/>
    <w:rsid w:val="001A156C"/>
    <w:rsid w:val="001A1A34"/>
    <w:rsid w:val="001A1D07"/>
    <w:rsid w:val="001A1D6C"/>
    <w:rsid w:val="001A25C7"/>
    <w:rsid w:val="001A2A7F"/>
    <w:rsid w:val="001A2CC0"/>
    <w:rsid w:val="001A2F1B"/>
    <w:rsid w:val="001A2F4F"/>
    <w:rsid w:val="001A3091"/>
    <w:rsid w:val="001A3572"/>
    <w:rsid w:val="001A37AC"/>
    <w:rsid w:val="001A3E0F"/>
    <w:rsid w:val="001A3E43"/>
    <w:rsid w:val="001A49EA"/>
    <w:rsid w:val="001A4ADB"/>
    <w:rsid w:val="001A503E"/>
    <w:rsid w:val="001A50D6"/>
    <w:rsid w:val="001A5713"/>
    <w:rsid w:val="001A5A00"/>
    <w:rsid w:val="001A633C"/>
    <w:rsid w:val="001A65C5"/>
    <w:rsid w:val="001A6AD7"/>
    <w:rsid w:val="001A6B1D"/>
    <w:rsid w:val="001A7237"/>
    <w:rsid w:val="001A780A"/>
    <w:rsid w:val="001A78A9"/>
    <w:rsid w:val="001A791A"/>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998"/>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0D"/>
    <w:rsid w:val="001C5BD4"/>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0808"/>
    <w:rsid w:val="001E1327"/>
    <w:rsid w:val="001E1FB2"/>
    <w:rsid w:val="001E2196"/>
    <w:rsid w:val="001E2453"/>
    <w:rsid w:val="001E297F"/>
    <w:rsid w:val="001E3B61"/>
    <w:rsid w:val="001E4641"/>
    <w:rsid w:val="001E4724"/>
    <w:rsid w:val="001E481E"/>
    <w:rsid w:val="001E49E6"/>
    <w:rsid w:val="001E4ABD"/>
    <w:rsid w:val="001E509A"/>
    <w:rsid w:val="001E5259"/>
    <w:rsid w:val="001E5653"/>
    <w:rsid w:val="001E5951"/>
    <w:rsid w:val="001E5977"/>
    <w:rsid w:val="001E6262"/>
    <w:rsid w:val="001E7AB9"/>
    <w:rsid w:val="001E7D8F"/>
    <w:rsid w:val="001F00E4"/>
    <w:rsid w:val="001F0400"/>
    <w:rsid w:val="001F0985"/>
    <w:rsid w:val="001F1661"/>
    <w:rsid w:val="001F1DD8"/>
    <w:rsid w:val="001F1DEB"/>
    <w:rsid w:val="001F1E82"/>
    <w:rsid w:val="001F2A2D"/>
    <w:rsid w:val="001F2BEC"/>
    <w:rsid w:val="001F2C8A"/>
    <w:rsid w:val="001F2C8F"/>
    <w:rsid w:val="001F2E94"/>
    <w:rsid w:val="001F30E7"/>
    <w:rsid w:val="001F3785"/>
    <w:rsid w:val="001F37EB"/>
    <w:rsid w:val="001F4334"/>
    <w:rsid w:val="001F48D1"/>
    <w:rsid w:val="001F4A7E"/>
    <w:rsid w:val="001F4AD2"/>
    <w:rsid w:val="001F50EF"/>
    <w:rsid w:val="001F63AA"/>
    <w:rsid w:val="001F64EF"/>
    <w:rsid w:val="001F668D"/>
    <w:rsid w:val="001F67CE"/>
    <w:rsid w:val="001F6835"/>
    <w:rsid w:val="001F7135"/>
    <w:rsid w:val="001F7366"/>
    <w:rsid w:val="001F7612"/>
    <w:rsid w:val="00200155"/>
    <w:rsid w:val="0020026D"/>
    <w:rsid w:val="00200400"/>
    <w:rsid w:val="002006FB"/>
    <w:rsid w:val="002008E2"/>
    <w:rsid w:val="00200DB8"/>
    <w:rsid w:val="00201768"/>
    <w:rsid w:val="00201A2D"/>
    <w:rsid w:val="00201D62"/>
    <w:rsid w:val="0020223B"/>
    <w:rsid w:val="00202793"/>
    <w:rsid w:val="00202D0A"/>
    <w:rsid w:val="00204993"/>
    <w:rsid w:val="00204BD9"/>
    <w:rsid w:val="00204D79"/>
    <w:rsid w:val="002054E6"/>
    <w:rsid w:val="002059AE"/>
    <w:rsid w:val="00205B01"/>
    <w:rsid w:val="0020699D"/>
    <w:rsid w:val="002069C7"/>
    <w:rsid w:val="002075B3"/>
    <w:rsid w:val="00207C45"/>
    <w:rsid w:val="00207D85"/>
    <w:rsid w:val="00207EFE"/>
    <w:rsid w:val="00210040"/>
    <w:rsid w:val="002101D9"/>
    <w:rsid w:val="00210AF9"/>
    <w:rsid w:val="002110E3"/>
    <w:rsid w:val="00211453"/>
    <w:rsid w:val="00211923"/>
    <w:rsid w:val="00211CA6"/>
    <w:rsid w:val="002122FF"/>
    <w:rsid w:val="002127CE"/>
    <w:rsid w:val="002127D1"/>
    <w:rsid w:val="00212F66"/>
    <w:rsid w:val="00213464"/>
    <w:rsid w:val="00213768"/>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2E8B"/>
    <w:rsid w:val="0022308F"/>
    <w:rsid w:val="00223DBB"/>
    <w:rsid w:val="00223F5C"/>
    <w:rsid w:val="00224675"/>
    <w:rsid w:val="0022481D"/>
    <w:rsid w:val="0022544D"/>
    <w:rsid w:val="00226698"/>
    <w:rsid w:val="00226C11"/>
    <w:rsid w:val="00227577"/>
    <w:rsid w:val="002330ED"/>
    <w:rsid w:val="00234360"/>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92A"/>
    <w:rsid w:val="00242AB2"/>
    <w:rsid w:val="00242C77"/>
    <w:rsid w:val="00242F2C"/>
    <w:rsid w:val="00243535"/>
    <w:rsid w:val="00243949"/>
    <w:rsid w:val="0024483B"/>
    <w:rsid w:val="00244900"/>
    <w:rsid w:val="00244983"/>
    <w:rsid w:val="00244CFB"/>
    <w:rsid w:val="00245030"/>
    <w:rsid w:val="00245DC3"/>
    <w:rsid w:val="00246244"/>
    <w:rsid w:val="002462E0"/>
    <w:rsid w:val="00246954"/>
    <w:rsid w:val="0024739E"/>
    <w:rsid w:val="00247670"/>
    <w:rsid w:val="00247B4B"/>
    <w:rsid w:val="00247BA3"/>
    <w:rsid w:val="00247F6D"/>
    <w:rsid w:val="00250437"/>
    <w:rsid w:val="002515D1"/>
    <w:rsid w:val="002517CA"/>
    <w:rsid w:val="00251947"/>
    <w:rsid w:val="002519DD"/>
    <w:rsid w:val="00251A96"/>
    <w:rsid w:val="002521BC"/>
    <w:rsid w:val="00252425"/>
    <w:rsid w:val="00252D32"/>
    <w:rsid w:val="0025323D"/>
    <w:rsid w:val="00253DD5"/>
    <w:rsid w:val="002540D8"/>
    <w:rsid w:val="00254613"/>
    <w:rsid w:val="00254744"/>
    <w:rsid w:val="002549B0"/>
    <w:rsid w:val="00254CC7"/>
    <w:rsid w:val="00254DBE"/>
    <w:rsid w:val="00255240"/>
    <w:rsid w:val="002557F4"/>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3E9F"/>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24E"/>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77B40"/>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4E1A"/>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2FA"/>
    <w:rsid w:val="002A2549"/>
    <w:rsid w:val="002A264E"/>
    <w:rsid w:val="002A275D"/>
    <w:rsid w:val="002A2883"/>
    <w:rsid w:val="002A300B"/>
    <w:rsid w:val="002A35BD"/>
    <w:rsid w:val="002A407A"/>
    <w:rsid w:val="002A4098"/>
    <w:rsid w:val="002A4509"/>
    <w:rsid w:val="002A4857"/>
    <w:rsid w:val="002A50E7"/>
    <w:rsid w:val="002A53C2"/>
    <w:rsid w:val="002A62EC"/>
    <w:rsid w:val="002A6E01"/>
    <w:rsid w:val="002A6F90"/>
    <w:rsid w:val="002A7BEE"/>
    <w:rsid w:val="002B0423"/>
    <w:rsid w:val="002B0A30"/>
    <w:rsid w:val="002B0ADF"/>
    <w:rsid w:val="002B20E2"/>
    <w:rsid w:val="002B2371"/>
    <w:rsid w:val="002B2992"/>
    <w:rsid w:val="002B2CCB"/>
    <w:rsid w:val="002B3E49"/>
    <w:rsid w:val="002B3EF3"/>
    <w:rsid w:val="002B47C0"/>
    <w:rsid w:val="002B4F83"/>
    <w:rsid w:val="002B50CC"/>
    <w:rsid w:val="002B538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2DB1"/>
    <w:rsid w:val="002C3E8F"/>
    <w:rsid w:val="002C43D7"/>
    <w:rsid w:val="002C449C"/>
    <w:rsid w:val="002C4B09"/>
    <w:rsid w:val="002C4CF0"/>
    <w:rsid w:val="002C5910"/>
    <w:rsid w:val="002C5E04"/>
    <w:rsid w:val="002C672C"/>
    <w:rsid w:val="002C6B93"/>
    <w:rsid w:val="002C7BFD"/>
    <w:rsid w:val="002C7D11"/>
    <w:rsid w:val="002D0F1A"/>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2E6E"/>
    <w:rsid w:val="002F33CD"/>
    <w:rsid w:val="002F3559"/>
    <w:rsid w:val="002F4065"/>
    <w:rsid w:val="002F4AE2"/>
    <w:rsid w:val="002F5606"/>
    <w:rsid w:val="002F58DD"/>
    <w:rsid w:val="002F6010"/>
    <w:rsid w:val="002F60B6"/>
    <w:rsid w:val="002F6277"/>
    <w:rsid w:val="002F6530"/>
    <w:rsid w:val="002F6B9C"/>
    <w:rsid w:val="002F6D59"/>
    <w:rsid w:val="002F6DDF"/>
    <w:rsid w:val="002F76B6"/>
    <w:rsid w:val="002F7E69"/>
    <w:rsid w:val="002F7EF9"/>
    <w:rsid w:val="003000D5"/>
    <w:rsid w:val="00300770"/>
    <w:rsid w:val="00301555"/>
    <w:rsid w:val="00301A05"/>
    <w:rsid w:val="00301F67"/>
    <w:rsid w:val="00302173"/>
    <w:rsid w:val="00302774"/>
    <w:rsid w:val="00302A3A"/>
    <w:rsid w:val="00302DFF"/>
    <w:rsid w:val="003033A7"/>
    <w:rsid w:val="00303AA0"/>
    <w:rsid w:val="00304225"/>
    <w:rsid w:val="00304954"/>
    <w:rsid w:val="003049F6"/>
    <w:rsid w:val="00305C43"/>
    <w:rsid w:val="00305D40"/>
    <w:rsid w:val="00305FD6"/>
    <w:rsid w:val="00306191"/>
    <w:rsid w:val="00306478"/>
    <w:rsid w:val="00306641"/>
    <w:rsid w:val="003068D2"/>
    <w:rsid w:val="00306EC3"/>
    <w:rsid w:val="0030748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292"/>
    <w:rsid w:val="003178F9"/>
    <w:rsid w:val="00317A4C"/>
    <w:rsid w:val="00317E3D"/>
    <w:rsid w:val="003201CB"/>
    <w:rsid w:val="00320817"/>
    <w:rsid w:val="00320D4F"/>
    <w:rsid w:val="00320D92"/>
    <w:rsid w:val="00321347"/>
    <w:rsid w:val="00321C2D"/>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C20"/>
    <w:rsid w:val="00333D4F"/>
    <w:rsid w:val="00333EDF"/>
    <w:rsid w:val="0033410A"/>
    <w:rsid w:val="00334710"/>
    <w:rsid w:val="003350E5"/>
    <w:rsid w:val="0033511B"/>
    <w:rsid w:val="00337022"/>
    <w:rsid w:val="00337427"/>
    <w:rsid w:val="003375DC"/>
    <w:rsid w:val="00337B53"/>
    <w:rsid w:val="00340152"/>
    <w:rsid w:val="0034018D"/>
    <w:rsid w:val="00340216"/>
    <w:rsid w:val="003408FB"/>
    <w:rsid w:val="00340B2D"/>
    <w:rsid w:val="0034119B"/>
    <w:rsid w:val="00341691"/>
    <w:rsid w:val="00342065"/>
    <w:rsid w:val="0034228C"/>
    <w:rsid w:val="003422C4"/>
    <w:rsid w:val="00342417"/>
    <w:rsid w:val="00342A3A"/>
    <w:rsid w:val="0034324C"/>
    <w:rsid w:val="00344B54"/>
    <w:rsid w:val="00345444"/>
    <w:rsid w:val="00345585"/>
    <w:rsid w:val="0034565E"/>
    <w:rsid w:val="003456B2"/>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13"/>
    <w:rsid w:val="003562C6"/>
    <w:rsid w:val="003565D0"/>
    <w:rsid w:val="00357327"/>
    <w:rsid w:val="00357363"/>
    <w:rsid w:val="00357B80"/>
    <w:rsid w:val="00360D63"/>
    <w:rsid w:val="00360F67"/>
    <w:rsid w:val="003612F6"/>
    <w:rsid w:val="003614B8"/>
    <w:rsid w:val="00361905"/>
    <w:rsid w:val="00361F36"/>
    <w:rsid w:val="00361FB1"/>
    <w:rsid w:val="003621FC"/>
    <w:rsid w:val="003628BF"/>
    <w:rsid w:val="00362BBB"/>
    <w:rsid w:val="00362CAB"/>
    <w:rsid w:val="00362FDB"/>
    <w:rsid w:val="00363039"/>
    <w:rsid w:val="003631E5"/>
    <w:rsid w:val="0036469A"/>
    <w:rsid w:val="003649A1"/>
    <w:rsid w:val="00364ED4"/>
    <w:rsid w:val="00364FC4"/>
    <w:rsid w:val="0036518B"/>
    <w:rsid w:val="00365280"/>
    <w:rsid w:val="0036535A"/>
    <w:rsid w:val="0036634C"/>
    <w:rsid w:val="00366CCB"/>
    <w:rsid w:val="00367020"/>
    <w:rsid w:val="003677C4"/>
    <w:rsid w:val="00367AEB"/>
    <w:rsid w:val="00367BA7"/>
    <w:rsid w:val="0037023A"/>
    <w:rsid w:val="0037026E"/>
    <w:rsid w:val="003709B0"/>
    <w:rsid w:val="00370F56"/>
    <w:rsid w:val="003719ED"/>
    <w:rsid w:val="00371C1D"/>
    <w:rsid w:val="003726E1"/>
    <w:rsid w:val="003727A7"/>
    <w:rsid w:val="00372AFA"/>
    <w:rsid w:val="00372B2C"/>
    <w:rsid w:val="0037304B"/>
    <w:rsid w:val="00373C60"/>
    <w:rsid w:val="00373CA2"/>
    <w:rsid w:val="0037430E"/>
    <w:rsid w:val="003744DF"/>
    <w:rsid w:val="0037469D"/>
    <w:rsid w:val="003747F1"/>
    <w:rsid w:val="00374CF3"/>
    <w:rsid w:val="0037564C"/>
    <w:rsid w:val="003763C5"/>
    <w:rsid w:val="00376A63"/>
    <w:rsid w:val="00376B57"/>
    <w:rsid w:val="00376B91"/>
    <w:rsid w:val="00376E88"/>
    <w:rsid w:val="00380127"/>
    <w:rsid w:val="00380531"/>
    <w:rsid w:val="00381AB9"/>
    <w:rsid w:val="00382074"/>
    <w:rsid w:val="00382557"/>
    <w:rsid w:val="0038374F"/>
    <w:rsid w:val="00383868"/>
    <w:rsid w:val="00383A18"/>
    <w:rsid w:val="00383FBD"/>
    <w:rsid w:val="00384423"/>
    <w:rsid w:val="00385025"/>
    <w:rsid w:val="00385142"/>
    <w:rsid w:val="00385C48"/>
    <w:rsid w:val="0038657C"/>
    <w:rsid w:val="003874BF"/>
    <w:rsid w:val="003874D0"/>
    <w:rsid w:val="003879A8"/>
    <w:rsid w:val="00387D4E"/>
    <w:rsid w:val="00387ED6"/>
    <w:rsid w:val="003908B8"/>
    <w:rsid w:val="003908DD"/>
    <w:rsid w:val="00390F8F"/>
    <w:rsid w:val="00391515"/>
    <w:rsid w:val="00391BD8"/>
    <w:rsid w:val="00391D3F"/>
    <w:rsid w:val="00392041"/>
    <w:rsid w:val="003920FB"/>
    <w:rsid w:val="0039217B"/>
    <w:rsid w:val="0039246E"/>
    <w:rsid w:val="003924CD"/>
    <w:rsid w:val="003932D6"/>
    <w:rsid w:val="0039345B"/>
    <w:rsid w:val="00393652"/>
    <w:rsid w:val="00393F0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5F87"/>
    <w:rsid w:val="003A60C1"/>
    <w:rsid w:val="003A6257"/>
    <w:rsid w:val="003A62BF"/>
    <w:rsid w:val="003A72B8"/>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4F88"/>
    <w:rsid w:val="003B53A4"/>
    <w:rsid w:val="003B5F29"/>
    <w:rsid w:val="003B632B"/>
    <w:rsid w:val="003B6513"/>
    <w:rsid w:val="003B6B24"/>
    <w:rsid w:val="003B6F85"/>
    <w:rsid w:val="003B720F"/>
    <w:rsid w:val="003C0321"/>
    <w:rsid w:val="003C0756"/>
    <w:rsid w:val="003C0BF8"/>
    <w:rsid w:val="003C0C5D"/>
    <w:rsid w:val="003C113B"/>
    <w:rsid w:val="003C1341"/>
    <w:rsid w:val="003C17AF"/>
    <w:rsid w:val="003C186F"/>
    <w:rsid w:val="003C1BE8"/>
    <w:rsid w:val="003C1C73"/>
    <w:rsid w:val="003C1DF7"/>
    <w:rsid w:val="003C2801"/>
    <w:rsid w:val="003C29FE"/>
    <w:rsid w:val="003C2DBB"/>
    <w:rsid w:val="003C3E71"/>
    <w:rsid w:val="003C47EA"/>
    <w:rsid w:val="003C4E72"/>
    <w:rsid w:val="003C5AEF"/>
    <w:rsid w:val="003C5BC9"/>
    <w:rsid w:val="003C620D"/>
    <w:rsid w:val="003C69BE"/>
    <w:rsid w:val="003C6C3F"/>
    <w:rsid w:val="003C724A"/>
    <w:rsid w:val="003C7263"/>
    <w:rsid w:val="003C7892"/>
    <w:rsid w:val="003D049D"/>
    <w:rsid w:val="003D05A8"/>
    <w:rsid w:val="003D1170"/>
    <w:rsid w:val="003D18B2"/>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2B08"/>
    <w:rsid w:val="003E33FF"/>
    <w:rsid w:val="003E3422"/>
    <w:rsid w:val="003E35A0"/>
    <w:rsid w:val="003E3679"/>
    <w:rsid w:val="003E3C44"/>
    <w:rsid w:val="003E3EB4"/>
    <w:rsid w:val="003E3FDD"/>
    <w:rsid w:val="003E4620"/>
    <w:rsid w:val="003E49D4"/>
    <w:rsid w:val="003E4B31"/>
    <w:rsid w:val="003E512B"/>
    <w:rsid w:val="003E5392"/>
    <w:rsid w:val="003E5430"/>
    <w:rsid w:val="003E5A8B"/>
    <w:rsid w:val="003E5AB8"/>
    <w:rsid w:val="003E5D4D"/>
    <w:rsid w:val="003E5E24"/>
    <w:rsid w:val="003E609A"/>
    <w:rsid w:val="003E6288"/>
    <w:rsid w:val="003E6CDA"/>
    <w:rsid w:val="003E6CFB"/>
    <w:rsid w:val="003E6E27"/>
    <w:rsid w:val="003E6F3B"/>
    <w:rsid w:val="003E77B8"/>
    <w:rsid w:val="003F042E"/>
    <w:rsid w:val="003F07EE"/>
    <w:rsid w:val="003F08D1"/>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0DFB"/>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2E3F"/>
    <w:rsid w:val="004230E7"/>
    <w:rsid w:val="0042340E"/>
    <w:rsid w:val="004235BB"/>
    <w:rsid w:val="00423EC1"/>
    <w:rsid w:val="00424065"/>
    <w:rsid w:val="00424111"/>
    <w:rsid w:val="004243B2"/>
    <w:rsid w:val="004254C7"/>
    <w:rsid w:val="0042568F"/>
    <w:rsid w:val="00426290"/>
    <w:rsid w:val="004262FC"/>
    <w:rsid w:val="00431177"/>
    <w:rsid w:val="004315A5"/>
    <w:rsid w:val="004317DC"/>
    <w:rsid w:val="00431BFD"/>
    <w:rsid w:val="0043242C"/>
    <w:rsid w:val="00432864"/>
    <w:rsid w:val="0043299D"/>
    <w:rsid w:val="00432C1D"/>
    <w:rsid w:val="00433412"/>
    <w:rsid w:val="00434350"/>
    <w:rsid w:val="00434FB1"/>
    <w:rsid w:val="00435333"/>
    <w:rsid w:val="004358B8"/>
    <w:rsid w:val="00435DD8"/>
    <w:rsid w:val="0043665F"/>
    <w:rsid w:val="00436FD3"/>
    <w:rsid w:val="00437754"/>
    <w:rsid w:val="0043788D"/>
    <w:rsid w:val="00437B7B"/>
    <w:rsid w:val="00440059"/>
    <w:rsid w:val="0044051F"/>
    <w:rsid w:val="004405AB"/>
    <w:rsid w:val="00440642"/>
    <w:rsid w:val="00440DA1"/>
    <w:rsid w:val="00440DF1"/>
    <w:rsid w:val="004410BB"/>
    <w:rsid w:val="004417EA"/>
    <w:rsid w:val="00441E41"/>
    <w:rsid w:val="0044264D"/>
    <w:rsid w:val="004428D2"/>
    <w:rsid w:val="00442D9F"/>
    <w:rsid w:val="00443A0B"/>
    <w:rsid w:val="00443AF2"/>
    <w:rsid w:val="00443EDD"/>
    <w:rsid w:val="00443F5B"/>
    <w:rsid w:val="004445AB"/>
    <w:rsid w:val="00444814"/>
    <w:rsid w:val="00444CD7"/>
    <w:rsid w:val="00444DCE"/>
    <w:rsid w:val="0044576F"/>
    <w:rsid w:val="00445E8D"/>
    <w:rsid w:val="0044610C"/>
    <w:rsid w:val="00446432"/>
    <w:rsid w:val="00446B62"/>
    <w:rsid w:val="00446BB6"/>
    <w:rsid w:val="00447C34"/>
    <w:rsid w:val="00447CB6"/>
    <w:rsid w:val="00450520"/>
    <w:rsid w:val="00450606"/>
    <w:rsid w:val="00450FC6"/>
    <w:rsid w:val="0045113F"/>
    <w:rsid w:val="00451468"/>
    <w:rsid w:val="00451CF0"/>
    <w:rsid w:val="00451EEA"/>
    <w:rsid w:val="00453366"/>
    <w:rsid w:val="004535DC"/>
    <w:rsid w:val="0045421C"/>
    <w:rsid w:val="00455764"/>
    <w:rsid w:val="0045576F"/>
    <w:rsid w:val="00455AE7"/>
    <w:rsid w:val="00455C5F"/>
    <w:rsid w:val="00455FD5"/>
    <w:rsid w:val="00456315"/>
    <w:rsid w:val="00456E52"/>
    <w:rsid w:val="00457225"/>
    <w:rsid w:val="004572B2"/>
    <w:rsid w:val="00457621"/>
    <w:rsid w:val="00457942"/>
    <w:rsid w:val="00460941"/>
    <w:rsid w:val="00460B6D"/>
    <w:rsid w:val="00460D0D"/>
    <w:rsid w:val="00460F8A"/>
    <w:rsid w:val="0046121C"/>
    <w:rsid w:val="00461433"/>
    <w:rsid w:val="004619B5"/>
    <w:rsid w:val="00461CEA"/>
    <w:rsid w:val="00462A52"/>
    <w:rsid w:val="00463709"/>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C5F"/>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A0F"/>
    <w:rsid w:val="00486DBE"/>
    <w:rsid w:val="0048730A"/>
    <w:rsid w:val="0048747E"/>
    <w:rsid w:val="004875F7"/>
    <w:rsid w:val="00487710"/>
    <w:rsid w:val="0048771D"/>
    <w:rsid w:val="00487CF1"/>
    <w:rsid w:val="00490739"/>
    <w:rsid w:val="00490CAB"/>
    <w:rsid w:val="0049135C"/>
    <w:rsid w:val="00491484"/>
    <w:rsid w:val="004919DD"/>
    <w:rsid w:val="00491C1A"/>
    <w:rsid w:val="004920AE"/>
    <w:rsid w:val="0049213B"/>
    <w:rsid w:val="0049218A"/>
    <w:rsid w:val="004921A6"/>
    <w:rsid w:val="0049267B"/>
    <w:rsid w:val="004929EF"/>
    <w:rsid w:val="00492A5B"/>
    <w:rsid w:val="00492C7A"/>
    <w:rsid w:val="00493216"/>
    <w:rsid w:val="00493451"/>
    <w:rsid w:val="004939F2"/>
    <w:rsid w:val="00494847"/>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CAE"/>
    <w:rsid w:val="004A5D10"/>
    <w:rsid w:val="004A5D67"/>
    <w:rsid w:val="004A671F"/>
    <w:rsid w:val="004A702F"/>
    <w:rsid w:val="004A7619"/>
    <w:rsid w:val="004A7793"/>
    <w:rsid w:val="004A7B51"/>
    <w:rsid w:val="004A7CFD"/>
    <w:rsid w:val="004A7D7C"/>
    <w:rsid w:val="004B0168"/>
    <w:rsid w:val="004B0317"/>
    <w:rsid w:val="004B0AA5"/>
    <w:rsid w:val="004B102C"/>
    <w:rsid w:val="004B1639"/>
    <w:rsid w:val="004B1E0F"/>
    <w:rsid w:val="004B248A"/>
    <w:rsid w:val="004B316D"/>
    <w:rsid w:val="004B3E0A"/>
    <w:rsid w:val="004B3EBB"/>
    <w:rsid w:val="004B4ECE"/>
    <w:rsid w:val="004B50C4"/>
    <w:rsid w:val="004B512D"/>
    <w:rsid w:val="004B5C6E"/>
    <w:rsid w:val="004B5CB6"/>
    <w:rsid w:val="004B6407"/>
    <w:rsid w:val="004B6438"/>
    <w:rsid w:val="004B6A39"/>
    <w:rsid w:val="004B6B3C"/>
    <w:rsid w:val="004B6DC2"/>
    <w:rsid w:val="004B7A79"/>
    <w:rsid w:val="004C00B7"/>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91A"/>
    <w:rsid w:val="004D2A97"/>
    <w:rsid w:val="004D2B35"/>
    <w:rsid w:val="004D2E6B"/>
    <w:rsid w:val="004D3112"/>
    <w:rsid w:val="004D39E9"/>
    <w:rsid w:val="004D3C41"/>
    <w:rsid w:val="004D3CD7"/>
    <w:rsid w:val="004D3DFD"/>
    <w:rsid w:val="004D415A"/>
    <w:rsid w:val="004D49EC"/>
    <w:rsid w:val="004D4C65"/>
    <w:rsid w:val="004D52D6"/>
    <w:rsid w:val="004D5525"/>
    <w:rsid w:val="004D562D"/>
    <w:rsid w:val="004D5881"/>
    <w:rsid w:val="004D5CB3"/>
    <w:rsid w:val="004D5CBF"/>
    <w:rsid w:val="004D7ABD"/>
    <w:rsid w:val="004D7C29"/>
    <w:rsid w:val="004D7E87"/>
    <w:rsid w:val="004E0063"/>
    <w:rsid w:val="004E0DD7"/>
    <w:rsid w:val="004E102A"/>
    <w:rsid w:val="004E117D"/>
    <w:rsid w:val="004E18F8"/>
    <w:rsid w:val="004E1B35"/>
    <w:rsid w:val="004E220C"/>
    <w:rsid w:val="004E289D"/>
    <w:rsid w:val="004E28C6"/>
    <w:rsid w:val="004E3F56"/>
    <w:rsid w:val="004E3F72"/>
    <w:rsid w:val="004E4163"/>
    <w:rsid w:val="004E43E7"/>
    <w:rsid w:val="004E506C"/>
    <w:rsid w:val="004E555F"/>
    <w:rsid w:val="004E6084"/>
    <w:rsid w:val="004E61A3"/>
    <w:rsid w:val="004E6816"/>
    <w:rsid w:val="004E6C61"/>
    <w:rsid w:val="004E7F6E"/>
    <w:rsid w:val="004F00F6"/>
    <w:rsid w:val="004F0669"/>
    <w:rsid w:val="004F07A7"/>
    <w:rsid w:val="004F0A96"/>
    <w:rsid w:val="004F0F06"/>
    <w:rsid w:val="004F1605"/>
    <w:rsid w:val="004F17AF"/>
    <w:rsid w:val="004F2030"/>
    <w:rsid w:val="004F2DBC"/>
    <w:rsid w:val="004F2DDA"/>
    <w:rsid w:val="004F2E6B"/>
    <w:rsid w:val="004F4849"/>
    <w:rsid w:val="004F5848"/>
    <w:rsid w:val="004F5DA1"/>
    <w:rsid w:val="004F6556"/>
    <w:rsid w:val="004F6E84"/>
    <w:rsid w:val="004F70C6"/>
    <w:rsid w:val="004F798A"/>
    <w:rsid w:val="0050002C"/>
    <w:rsid w:val="00500148"/>
    <w:rsid w:val="00500C6B"/>
    <w:rsid w:val="00500CDB"/>
    <w:rsid w:val="00501B5F"/>
    <w:rsid w:val="00502D2D"/>
    <w:rsid w:val="00502EE7"/>
    <w:rsid w:val="00503C5E"/>
    <w:rsid w:val="00504F29"/>
    <w:rsid w:val="00505750"/>
    <w:rsid w:val="00505A98"/>
    <w:rsid w:val="00505C8D"/>
    <w:rsid w:val="00505EB9"/>
    <w:rsid w:val="00506825"/>
    <w:rsid w:val="0050695E"/>
    <w:rsid w:val="00506BF3"/>
    <w:rsid w:val="00507254"/>
    <w:rsid w:val="00507572"/>
    <w:rsid w:val="00510F4E"/>
    <w:rsid w:val="005110E4"/>
    <w:rsid w:val="00511981"/>
    <w:rsid w:val="00511BFE"/>
    <w:rsid w:val="00512377"/>
    <w:rsid w:val="00513024"/>
    <w:rsid w:val="00513780"/>
    <w:rsid w:val="005143A1"/>
    <w:rsid w:val="005145F6"/>
    <w:rsid w:val="00514887"/>
    <w:rsid w:val="00514EE9"/>
    <w:rsid w:val="00514F57"/>
    <w:rsid w:val="00515A0B"/>
    <w:rsid w:val="00516521"/>
    <w:rsid w:val="00516F1E"/>
    <w:rsid w:val="00517884"/>
    <w:rsid w:val="005200F6"/>
    <w:rsid w:val="005200FB"/>
    <w:rsid w:val="005206D7"/>
    <w:rsid w:val="005207B1"/>
    <w:rsid w:val="00520CC0"/>
    <w:rsid w:val="00521427"/>
    <w:rsid w:val="00521485"/>
    <w:rsid w:val="005216C3"/>
    <w:rsid w:val="005220BB"/>
    <w:rsid w:val="005223FE"/>
    <w:rsid w:val="005236EA"/>
    <w:rsid w:val="005239E5"/>
    <w:rsid w:val="00524CDB"/>
    <w:rsid w:val="00525431"/>
    <w:rsid w:val="005265EC"/>
    <w:rsid w:val="005268E4"/>
    <w:rsid w:val="00526970"/>
    <w:rsid w:val="00526D10"/>
    <w:rsid w:val="00526D94"/>
    <w:rsid w:val="00526DCB"/>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3FCB"/>
    <w:rsid w:val="005354A9"/>
    <w:rsid w:val="0053578B"/>
    <w:rsid w:val="00535B9E"/>
    <w:rsid w:val="00536342"/>
    <w:rsid w:val="0053669F"/>
    <w:rsid w:val="0053670D"/>
    <w:rsid w:val="00536726"/>
    <w:rsid w:val="00536DC0"/>
    <w:rsid w:val="00537521"/>
    <w:rsid w:val="005378B1"/>
    <w:rsid w:val="005402F8"/>
    <w:rsid w:val="00540EB3"/>
    <w:rsid w:val="005416FD"/>
    <w:rsid w:val="00542349"/>
    <w:rsid w:val="0054238C"/>
    <w:rsid w:val="00542585"/>
    <w:rsid w:val="0054316E"/>
    <w:rsid w:val="005433E2"/>
    <w:rsid w:val="00544321"/>
    <w:rsid w:val="00544794"/>
    <w:rsid w:val="00544A7D"/>
    <w:rsid w:val="00545404"/>
    <w:rsid w:val="005455CA"/>
    <w:rsid w:val="0054617C"/>
    <w:rsid w:val="00547203"/>
    <w:rsid w:val="00547B69"/>
    <w:rsid w:val="00547F28"/>
    <w:rsid w:val="00550D02"/>
    <w:rsid w:val="00551035"/>
    <w:rsid w:val="00551283"/>
    <w:rsid w:val="00551C90"/>
    <w:rsid w:val="00551D92"/>
    <w:rsid w:val="005521C0"/>
    <w:rsid w:val="00552753"/>
    <w:rsid w:val="005529BC"/>
    <w:rsid w:val="00553106"/>
    <w:rsid w:val="00553823"/>
    <w:rsid w:val="00553D22"/>
    <w:rsid w:val="00553FF4"/>
    <w:rsid w:val="005549FE"/>
    <w:rsid w:val="00554C0B"/>
    <w:rsid w:val="00554DEA"/>
    <w:rsid w:val="00554F5B"/>
    <w:rsid w:val="00555BDA"/>
    <w:rsid w:val="00555D82"/>
    <w:rsid w:val="005568AB"/>
    <w:rsid w:val="00556F81"/>
    <w:rsid w:val="00557000"/>
    <w:rsid w:val="005574C5"/>
    <w:rsid w:val="0055798A"/>
    <w:rsid w:val="00557ACD"/>
    <w:rsid w:val="00557B7E"/>
    <w:rsid w:val="00557FA5"/>
    <w:rsid w:val="0056003D"/>
    <w:rsid w:val="00560DC0"/>
    <w:rsid w:val="00561D9B"/>
    <w:rsid w:val="00562977"/>
    <w:rsid w:val="0056300B"/>
    <w:rsid w:val="00563184"/>
    <w:rsid w:val="005644D5"/>
    <w:rsid w:val="00565708"/>
    <w:rsid w:val="00565C39"/>
    <w:rsid w:val="00566BD9"/>
    <w:rsid w:val="005672CD"/>
    <w:rsid w:val="005675F6"/>
    <w:rsid w:val="00567C14"/>
    <w:rsid w:val="00567F60"/>
    <w:rsid w:val="00570647"/>
    <w:rsid w:val="00570A0E"/>
    <w:rsid w:val="005713EB"/>
    <w:rsid w:val="00571451"/>
    <w:rsid w:val="00571B0C"/>
    <w:rsid w:val="005724C2"/>
    <w:rsid w:val="00572677"/>
    <w:rsid w:val="00572E55"/>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A9A"/>
    <w:rsid w:val="00582BAE"/>
    <w:rsid w:val="00583951"/>
    <w:rsid w:val="00584564"/>
    <w:rsid w:val="00584F59"/>
    <w:rsid w:val="0058585F"/>
    <w:rsid w:val="00585ADD"/>
    <w:rsid w:val="00585B70"/>
    <w:rsid w:val="005862A2"/>
    <w:rsid w:val="0058640B"/>
    <w:rsid w:val="00586DA6"/>
    <w:rsid w:val="00586E57"/>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6D4"/>
    <w:rsid w:val="00595E1C"/>
    <w:rsid w:val="00595E53"/>
    <w:rsid w:val="00595F72"/>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B7EE7"/>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0ED7"/>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1FCD"/>
    <w:rsid w:val="005E20FC"/>
    <w:rsid w:val="005E236E"/>
    <w:rsid w:val="005E23F3"/>
    <w:rsid w:val="005E26E5"/>
    <w:rsid w:val="005E3077"/>
    <w:rsid w:val="005E375E"/>
    <w:rsid w:val="005E3824"/>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1F7"/>
    <w:rsid w:val="005F423E"/>
    <w:rsid w:val="005F43B2"/>
    <w:rsid w:val="005F47B7"/>
    <w:rsid w:val="005F493D"/>
    <w:rsid w:val="005F4AAD"/>
    <w:rsid w:val="005F5079"/>
    <w:rsid w:val="005F5521"/>
    <w:rsid w:val="005F57E7"/>
    <w:rsid w:val="005F5920"/>
    <w:rsid w:val="005F59C3"/>
    <w:rsid w:val="005F5E37"/>
    <w:rsid w:val="005F69C0"/>
    <w:rsid w:val="005F766B"/>
    <w:rsid w:val="00600184"/>
    <w:rsid w:val="00601177"/>
    <w:rsid w:val="006013F1"/>
    <w:rsid w:val="00601546"/>
    <w:rsid w:val="00601ECC"/>
    <w:rsid w:val="006026F8"/>
    <w:rsid w:val="00602E7A"/>
    <w:rsid w:val="006031AD"/>
    <w:rsid w:val="00603956"/>
    <w:rsid w:val="006042E7"/>
    <w:rsid w:val="006049EE"/>
    <w:rsid w:val="00605B30"/>
    <w:rsid w:val="00605F09"/>
    <w:rsid w:val="0060662B"/>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16"/>
    <w:rsid w:val="006163E5"/>
    <w:rsid w:val="0061675A"/>
    <w:rsid w:val="006173A3"/>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C5C"/>
    <w:rsid w:val="00630FF7"/>
    <w:rsid w:val="0063151F"/>
    <w:rsid w:val="00631870"/>
    <w:rsid w:val="00631DF0"/>
    <w:rsid w:val="00632644"/>
    <w:rsid w:val="006326CC"/>
    <w:rsid w:val="00632798"/>
    <w:rsid w:val="00632B7B"/>
    <w:rsid w:val="00632CB0"/>
    <w:rsid w:val="00632D66"/>
    <w:rsid w:val="00633235"/>
    <w:rsid w:val="006334BF"/>
    <w:rsid w:val="00633B10"/>
    <w:rsid w:val="00634030"/>
    <w:rsid w:val="00634433"/>
    <w:rsid w:val="00634936"/>
    <w:rsid w:val="00634E23"/>
    <w:rsid w:val="006352F9"/>
    <w:rsid w:val="00635705"/>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24A"/>
    <w:rsid w:val="0064650F"/>
    <w:rsid w:val="00646CE4"/>
    <w:rsid w:val="006473B3"/>
    <w:rsid w:val="006479B3"/>
    <w:rsid w:val="00647D99"/>
    <w:rsid w:val="00647FC0"/>
    <w:rsid w:val="006501A2"/>
    <w:rsid w:val="00650970"/>
    <w:rsid w:val="00650E66"/>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4AD4"/>
    <w:rsid w:val="006557A4"/>
    <w:rsid w:val="00655803"/>
    <w:rsid w:val="00655A1E"/>
    <w:rsid w:val="00656118"/>
    <w:rsid w:val="00656F03"/>
    <w:rsid w:val="00657CF1"/>
    <w:rsid w:val="00657DDC"/>
    <w:rsid w:val="006603AC"/>
    <w:rsid w:val="00660463"/>
    <w:rsid w:val="006608D4"/>
    <w:rsid w:val="00660954"/>
    <w:rsid w:val="00660C13"/>
    <w:rsid w:val="00662466"/>
    <w:rsid w:val="006625AC"/>
    <w:rsid w:val="0066298A"/>
    <w:rsid w:val="00662C85"/>
    <w:rsid w:val="00662EB9"/>
    <w:rsid w:val="006632AC"/>
    <w:rsid w:val="00663407"/>
    <w:rsid w:val="00663B72"/>
    <w:rsid w:val="00663DCF"/>
    <w:rsid w:val="006642BB"/>
    <w:rsid w:val="006642F5"/>
    <w:rsid w:val="00664489"/>
    <w:rsid w:val="00664A58"/>
    <w:rsid w:val="00664F82"/>
    <w:rsid w:val="00665951"/>
    <w:rsid w:val="006660F1"/>
    <w:rsid w:val="006662C5"/>
    <w:rsid w:val="006666A9"/>
    <w:rsid w:val="00666867"/>
    <w:rsid w:val="00666A47"/>
    <w:rsid w:val="006674DF"/>
    <w:rsid w:val="00670CB5"/>
    <w:rsid w:val="00670CBD"/>
    <w:rsid w:val="00670CE4"/>
    <w:rsid w:val="006728CC"/>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3AD"/>
    <w:rsid w:val="0068281C"/>
    <w:rsid w:val="00684004"/>
    <w:rsid w:val="0068405E"/>
    <w:rsid w:val="006847E4"/>
    <w:rsid w:val="006850DD"/>
    <w:rsid w:val="0068557B"/>
    <w:rsid w:val="00686C1B"/>
    <w:rsid w:val="006908CD"/>
    <w:rsid w:val="00690B90"/>
    <w:rsid w:val="00691000"/>
    <w:rsid w:val="00691A52"/>
    <w:rsid w:val="00691E7E"/>
    <w:rsid w:val="006927A5"/>
    <w:rsid w:val="00692A2C"/>
    <w:rsid w:val="00692CF0"/>
    <w:rsid w:val="00692DB1"/>
    <w:rsid w:val="006933AC"/>
    <w:rsid w:val="006934A7"/>
    <w:rsid w:val="00693BF3"/>
    <w:rsid w:val="00693F03"/>
    <w:rsid w:val="00694315"/>
    <w:rsid w:val="00694ABC"/>
    <w:rsid w:val="00694C16"/>
    <w:rsid w:val="00694C54"/>
    <w:rsid w:val="00694C8E"/>
    <w:rsid w:val="00695005"/>
    <w:rsid w:val="0069612A"/>
    <w:rsid w:val="00696746"/>
    <w:rsid w:val="00696979"/>
    <w:rsid w:val="00697E35"/>
    <w:rsid w:val="006A02B7"/>
    <w:rsid w:val="006A03AB"/>
    <w:rsid w:val="006A145D"/>
    <w:rsid w:val="006A164A"/>
    <w:rsid w:val="006A2040"/>
    <w:rsid w:val="006A204B"/>
    <w:rsid w:val="006A22DD"/>
    <w:rsid w:val="006A2366"/>
    <w:rsid w:val="006A2CD0"/>
    <w:rsid w:val="006A2F4C"/>
    <w:rsid w:val="006A305E"/>
    <w:rsid w:val="006A37A7"/>
    <w:rsid w:val="006A3AEF"/>
    <w:rsid w:val="006A3F3C"/>
    <w:rsid w:val="006A4C22"/>
    <w:rsid w:val="006A5D49"/>
    <w:rsid w:val="006A6A5C"/>
    <w:rsid w:val="006A6CAC"/>
    <w:rsid w:val="006A7099"/>
    <w:rsid w:val="006A7F61"/>
    <w:rsid w:val="006B059A"/>
    <w:rsid w:val="006B0B88"/>
    <w:rsid w:val="006B0D74"/>
    <w:rsid w:val="006B1CCB"/>
    <w:rsid w:val="006B1D96"/>
    <w:rsid w:val="006B2137"/>
    <w:rsid w:val="006B2A7B"/>
    <w:rsid w:val="006B344A"/>
    <w:rsid w:val="006B3522"/>
    <w:rsid w:val="006B365C"/>
    <w:rsid w:val="006B3B3A"/>
    <w:rsid w:val="006B3B7F"/>
    <w:rsid w:val="006B4376"/>
    <w:rsid w:val="006B5BED"/>
    <w:rsid w:val="006B627D"/>
    <w:rsid w:val="006B6E29"/>
    <w:rsid w:val="006B7129"/>
    <w:rsid w:val="006B75AC"/>
    <w:rsid w:val="006B77FA"/>
    <w:rsid w:val="006C08D3"/>
    <w:rsid w:val="006C142C"/>
    <w:rsid w:val="006C147D"/>
    <w:rsid w:val="006C178A"/>
    <w:rsid w:val="006C1992"/>
    <w:rsid w:val="006C1AB3"/>
    <w:rsid w:val="006C1B58"/>
    <w:rsid w:val="006C20A6"/>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6333"/>
    <w:rsid w:val="006C7761"/>
    <w:rsid w:val="006C78E5"/>
    <w:rsid w:val="006C79D4"/>
    <w:rsid w:val="006D0DB7"/>
    <w:rsid w:val="006D1931"/>
    <w:rsid w:val="006D20F2"/>
    <w:rsid w:val="006D26E1"/>
    <w:rsid w:val="006D2706"/>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B58"/>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1B"/>
    <w:rsid w:val="006F58B0"/>
    <w:rsid w:val="006F5A3D"/>
    <w:rsid w:val="006F626D"/>
    <w:rsid w:val="006F6446"/>
    <w:rsid w:val="006F6B3E"/>
    <w:rsid w:val="006F7494"/>
    <w:rsid w:val="006F7DB6"/>
    <w:rsid w:val="00700DD0"/>
    <w:rsid w:val="00701098"/>
    <w:rsid w:val="007013E8"/>
    <w:rsid w:val="00701FEB"/>
    <w:rsid w:val="007022B0"/>
    <w:rsid w:val="00702D43"/>
    <w:rsid w:val="007044C6"/>
    <w:rsid w:val="00705146"/>
    <w:rsid w:val="00705A25"/>
    <w:rsid w:val="00705BEA"/>
    <w:rsid w:val="00706165"/>
    <w:rsid w:val="0070748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2CC"/>
    <w:rsid w:val="00716422"/>
    <w:rsid w:val="00716676"/>
    <w:rsid w:val="00716FA6"/>
    <w:rsid w:val="00717415"/>
    <w:rsid w:val="007176F0"/>
    <w:rsid w:val="0072059E"/>
    <w:rsid w:val="00720639"/>
    <w:rsid w:val="00720758"/>
    <w:rsid w:val="00720EB2"/>
    <w:rsid w:val="0072103C"/>
    <w:rsid w:val="00721048"/>
    <w:rsid w:val="00721D49"/>
    <w:rsid w:val="007230A4"/>
    <w:rsid w:val="007232FF"/>
    <w:rsid w:val="007237EA"/>
    <w:rsid w:val="007243DC"/>
    <w:rsid w:val="007249EF"/>
    <w:rsid w:val="00724FE4"/>
    <w:rsid w:val="00725181"/>
    <w:rsid w:val="00725AE5"/>
    <w:rsid w:val="007267B6"/>
    <w:rsid w:val="00726D38"/>
    <w:rsid w:val="00726EE0"/>
    <w:rsid w:val="00727126"/>
    <w:rsid w:val="007273EF"/>
    <w:rsid w:val="007275D3"/>
    <w:rsid w:val="007277B1"/>
    <w:rsid w:val="00727B91"/>
    <w:rsid w:val="00730711"/>
    <w:rsid w:val="007308B2"/>
    <w:rsid w:val="00731284"/>
    <w:rsid w:val="00731555"/>
    <w:rsid w:val="0073276E"/>
    <w:rsid w:val="007328D1"/>
    <w:rsid w:val="00732E1A"/>
    <w:rsid w:val="00733177"/>
    <w:rsid w:val="007334AB"/>
    <w:rsid w:val="00733812"/>
    <w:rsid w:val="00733C9C"/>
    <w:rsid w:val="00733EC8"/>
    <w:rsid w:val="00733EDF"/>
    <w:rsid w:val="00734C40"/>
    <w:rsid w:val="007355A6"/>
    <w:rsid w:val="0073582A"/>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7B7"/>
    <w:rsid w:val="00756894"/>
    <w:rsid w:val="007575B8"/>
    <w:rsid w:val="00757965"/>
    <w:rsid w:val="00757CE0"/>
    <w:rsid w:val="00760751"/>
    <w:rsid w:val="00760CD8"/>
    <w:rsid w:val="00760FA9"/>
    <w:rsid w:val="0076144A"/>
    <w:rsid w:val="00761498"/>
    <w:rsid w:val="007625BD"/>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822"/>
    <w:rsid w:val="00765C16"/>
    <w:rsid w:val="007663B3"/>
    <w:rsid w:val="00766C89"/>
    <w:rsid w:val="00767214"/>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5ED7"/>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18B"/>
    <w:rsid w:val="007915AC"/>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A16"/>
    <w:rsid w:val="007A3E8B"/>
    <w:rsid w:val="007A3F1B"/>
    <w:rsid w:val="007A45A3"/>
    <w:rsid w:val="007A4810"/>
    <w:rsid w:val="007A4C12"/>
    <w:rsid w:val="007A5044"/>
    <w:rsid w:val="007A602C"/>
    <w:rsid w:val="007A6242"/>
    <w:rsid w:val="007A69F8"/>
    <w:rsid w:val="007A6C37"/>
    <w:rsid w:val="007A6E24"/>
    <w:rsid w:val="007A7FFB"/>
    <w:rsid w:val="007B0611"/>
    <w:rsid w:val="007B06BC"/>
    <w:rsid w:val="007B07C6"/>
    <w:rsid w:val="007B0A1A"/>
    <w:rsid w:val="007B0BD2"/>
    <w:rsid w:val="007B1735"/>
    <w:rsid w:val="007B1C55"/>
    <w:rsid w:val="007B2AD3"/>
    <w:rsid w:val="007B2B6D"/>
    <w:rsid w:val="007B2C2A"/>
    <w:rsid w:val="007B2CD4"/>
    <w:rsid w:val="007B33B7"/>
    <w:rsid w:val="007B36FD"/>
    <w:rsid w:val="007B398D"/>
    <w:rsid w:val="007B3A23"/>
    <w:rsid w:val="007B43CC"/>
    <w:rsid w:val="007B4655"/>
    <w:rsid w:val="007B4B60"/>
    <w:rsid w:val="007B5BBD"/>
    <w:rsid w:val="007B682B"/>
    <w:rsid w:val="007B6DAF"/>
    <w:rsid w:val="007C0872"/>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4B4"/>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B87"/>
    <w:rsid w:val="007D5F8C"/>
    <w:rsid w:val="007D70D0"/>
    <w:rsid w:val="007D79B3"/>
    <w:rsid w:val="007E07AE"/>
    <w:rsid w:val="007E098F"/>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74"/>
    <w:rsid w:val="007E629F"/>
    <w:rsid w:val="007E6506"/>
    <w:rsid w:val="007E6E8F"/>
    <w:rsid w:val="007E73DE"/>
    <w:rsid w:val="007E79D7"/>
    <w:rsid w:val="007F1012"/>
    <w:rsid w:val="007F139F"/>
    <w:rsid w:val="007F1BAD"/>
    <w:rsid w:val="007F1FA7"/>
    <w:rsid w:val="007F2079"/>
    <w:rsid w:val="007F22DF"/>
    <w:rsid w:val="007F3431"/>
    <w:rsid w:val="007F368C"/>
    <w:rsid w:val="007F391B"/>
    <w:rsid w:val="007F3C98"/>
    <w:rsid w:val="007F4A99"/>
    <w:rsid w:val="007F4BE5"/>
    <w:rsid w:val="007F4CB5"/>
    <w:rsid w:val="007F4E31"/>
    <w:rsid w:val="007F4EC6"/>
    <w:rsid w:val="007F5B75"/>
    <w:rsid w:val="007F5EB4"/>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8C9"/>
    <w:rsid w:val="008049CF"/>
    <w:rsid w:val="00804F16"/>
    <w:rsid w:val="0080523E"/>
    <w:rsid w:val="008061EC"/>
    <w:rsid w:val="00806579"/>
    <w:rsid w:val="00806876"/>
    <w:rsid w:val="00810AA6"/>
    <w:rsid w:val="00811174"/>
    <w:rsid w:val="00811762"/>
    <w:rsid w:val="008119C5"/>
    <w:rsid w:val="00811B49"/>
    <w:rsid w:val="00811CBC"/>
    <w:rsid w:val="00811E23"/>
    <w:rsid w:val="00812023"/>
    <w:rsid w:val="0081273D"/>
    <w:rsid w:val="008127B8"/>
    <w:rsid w:val="008134AE"/>
    <w:rsid w:val="00813661"/>
    <w:rsid w:val="00813DD6"/>
    <w:rsid w:val="00813F9F"/>
    <w:rsid w:val="00814786"/>
    <w:rsid w:val="00814DCC"/>
    <w:rsid w:val="0081511D"/>
    <w:rsid w:val="00815D0F"/>
    <w:rsid w:val="00815E48"/>
    <w:rsid w:val="008160C8"/>
    <w:rsid w:val="0081624D"/>
    <w:rsid w:val="008163F2"/>
    <w:rsid w:val="00816802"/>
    <w:rsid w:val="00816811"/>
    <w:rsid w:val="008178D9"/>
    <w:rsid w:val="00820300"/>
    <w:rsid w:val="008204D8"/>
    <w:rsid w:val="00821434"/>
    <w:rsid w:val="00821C5E"/>
    <w:rsid w:val="00822041"/>
    <w:rsid w:val="00822759"/>
    <w:rsid w:val="00822E56"/>
    <w:rsid w:val="0082308F"/>
    <w:rsid w:val="0082448E"/>
    <w:rsid w:val="00824DF6"/>
    <w:rsid w:val="0082558A"/>
    <w:rsid w:val="00825B12"/>
    <w:rsid w:val="00825C99"/>
    <w:rsid w:val="00826C47"/>
    <w:rsid w:val="00826F29"/>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61E"/>
    <w:rsid w:val="00844B03"/>
    <w:rsid w:val="008456D9"/>
    <w:rsid w:val="0084571A"/>
    <w:rsid w:val="00845A3F"/>
    <w:rsid w:val="00845D3F"/>
    <w:rsid w:val="00846200"/>
    <w:rsid w:val="008463FF"/>
    <w:rsid w:val="0084641B"/>
    <w:rsid w:val="0084665B"/>
    <w:rsid w:val="00846966"/>
    <w:rsid w:val="0085003A"/>
    <w:rsid w:val="008502AF"/>
    <w:rsid w:val="00850638"/>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1DB0"/>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78A"/>
    <w:rsid w:val="00870881"/>
    <w:rsid w:val="0087125A"/>
    <w:rsid w:val="00871650"/>
    <w:rsid w:val="008717BA"/>
    <w:rsid w:val="00872355"/>
    <w:rsid w:val="0087236F"/>
    <w:rsid w:val="00872CB5"/>
    <w:rsid w:val="008731C5"/>
    <w:rsid w:val="008738A0"/>
    <w:rsid w:val="00874044"/>
    <w:rsid w:val="008740CE"/>
    <w:rsid w:val="00874AEA"/>
    <w:rsid w:val="00874C62"/>
    <w:rsid w:val="00874C6D"/>
    <w:rsid w:val="008751B7"/>
    <w:rsid w:val="00875B0E"/>
    <w:rsid w:val="00875CFB"/>
    <w:rsid w:val="00875EAF"/>
    <w:rsid w:val="00875ED5"/>
    <w:rsid w:val="008762B7"/>
    <w:rsid w:val="00876CA0"/>
    <w:rsid w:val="00876E0A"/>
    <w:rsid w:val="00877372"/>
    <w:rsid w:val="008777DB"/>
    <w:rsid w:val="00877870"/>
    <w:rsid w:val="00877BE6"/>
    <w:rsid w:val="008807AE"/>
    <w:rsid w:val="0088094C"/>
    <w:rsid w:val="00880B59"/>
    <w:rsid w:val="00880B5D"/>
    <w:rsid w:val="00880BAA"/>
    <w:rsid w:val="00880C14"/>
    <w:rsid w:val="0088142A"/>
    <w:rsid w:val="00881788"/>
    <w:rsid w:val="00881A83"/>
    <w:rsid w:val="008823A3"/>
    <w:rsid w:val="0088256B"/>
    <w:rsid w:val="008828C6"/>
    <w:rsid w:val="008828FB"/>
    <w:rsid w:val="00883915"/>
    <w:rsid w:val="00883E2B"/>
    <w:rsid w:val="00884B82"/>
    <w:rsid w:val="00885CF3"/>
    <w:rsid w:val="00885D48"/>
    <w:rsid w:val="00885FFC"/>
    <w:rsid w:val="008864FB"/>
    <w:rsid w:val="008866A2"/>
    <w:rsid w:val="008867EF"/>
    <w:rsid w:val="0088732A"/>
    <w:rsid w:val="00887401"/>
    <w:rsid w:val="008904B8"/>
    <w:rsid w:val="0089060C"/>
    <w:rsid w:val="00890638"/>
    <w:rsid w:val="00890898"/>
    <w:rsid w:val="00891337"/>
    <w:rsid w:val="00891DCD"/>
    <w:rsid w:val="008927DE"/>
    <w:rsid w:val="0089305C"/>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301"/>
    <w:rsid w:val="008A297F"/>
    <w:rsid w:val="008A299E"/>
    <w:rsid w:val="008A2D98"/>
    <w:rsid w:val="008A3887"/>
    <w:rsid w:val="008A3B8C"/>
    <w:rsid w:val="008A44E1"/>
    <w:rsid w:val="008A5F85"/>
    <w:rsid w:val="008A6515"/>
    <w:rsid w:val="008A658E"/>
    <w:rsid w:val="008A68D1"/>
    <w:rsid w:val="008A6C7F"/>
    <w:rsid w:val="008A6E52"/>
    <w:rsid w:val="008A7927"/>
    <w:rsid w:val="008A7B7E"/>
    <w:rsid w:val="008B0CE2"/>
    <w:rsid w:val="008B1464"/>
    <w:rsid w:val="008B15D8"/>
    <w:rsid w:val="008B1D8F"/>
    <w:rsid w:val="008B22E8"/>
    <w:rsid w:val="008B2AAF"/>
    <w:rsid w:val="008B33A7"/>
    <w:rsid w:val="008B3468"/>
    <w:rsid w:val="008B3B5E"/>
    <w:rsid w:val="008B3E08"/>
    <w:rsid w:val="008B4CFE"/>
    <w:rsid w:val="008B5868"/>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3364"/>
    <w:rsid w:val="008C369D"/>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4D59"/>
    <w:rsid w:val="008D5B8B"/>
    <w:rsid w:val="008D5FB8"/>
    <w:rsid w:val="008D6312"/>
    <w:rsid w:val="008D6B31"/>
    <w:rsid w:val="008D74A2"/>
    <w:rsid w:val="008D799E"/>
    <w:rsid w:val="008D7A1D"/>
    <w:rsid w:val="008D7A28"/>
    <w:rsid w:val="008D7B00"/>
    <w:rsid w:val="008E0517"/>
    <w:rsid w:val="008E1A1B"/>
    <w:rsid w:val="008E1CD0"/>
    <w:rsid w:val="008E2689"/>
    <w:rsid w:val="008E304D"/>
    <w:rsid w:val="008E33A1"/>
    <w:rsid w:val="008E370A"/>
    <w:rsid w:val="008E3E46"/>
    <w:rsid w:val="008E4092"/>
    <w:rsid w:val="008E4B12"/>
    <w:rsid w:val="008E50A0"/>
    <w:rsid w:val="008E68B1"/>
    <w:rsid w:val="008E7049"/>
    <w:rsid w:val="008E70C3"/>
    <w:rsid w:val="008F01DF"/>
    <w:rsid w:val="008F022F"/>
    <w:rsid w:val="008F039D"/>
    <w:rsid w:val="008F04B0"/>
    <w:rsid w:val="008F0A73"/>
    <w:rsid w:val="008F11C8"/>
    <w:rsid w:val="008F2195"/>
    <w:rsid w:val="008F284F"/>
    <w:rsid w:val="008F29A1"/>
    <w:rsid w:val="008F2AB2"/>
    <w:rsid w:val="008F30BE"/>
    <w:rsid w:val="008F3730"/>
    <w:rsid w:val="008F3DF3"/>
    <w:rsid w:val="008F415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33"/>
    <w:rsid w:val="00905FCC"/>
    <w:rsid w:val="009061FE"/>
    <w:rsid w:val="009062E9"/>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5E90"/>
    <w:rsid w:val="00916DF2"/>
    <w:rsid w:val="00916F3D"/>
    <w:rsid w:val="00917B70"/>
    <w:rsid w:val="00920965"/>
    <w:rsid w:val="00920F25"/>
    <w:rsid w:val="00921171"/>
    <w:rsid w:val="009216B6"/>
    <w:rsid w:val="00922A53"/>
    <w:rsid w:val="00922E39"/>
    <w:rsid w:val="0092307C"/>
    <w:rsid w:val="009231D3"/>
    <w:rsid w:val="0092333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02A"/>
    <w:rsid w:val="00931764"/>
    <w:rsid w:val="00931814"/>
    <w:rsid w:val="00931C11"/>
    <w:rsid w:val="0093219B"/>
    <w:rsid w:val="009322D3"/>
    <w:rsid w:val="009326A6"/>
    <w:rsid w:val="00932D7B"/>
    <w:rsid w:val="00932E57"/>
    <w:rsid w:val="009332D3"/>
    <w:rsid w:val="0093388F"/>
    <w:rsid w:val="00933AAF"/>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8C8"/>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951"/>
    <w:rsid w:val="00953D24"/>
    <w:rsid w:val="00954497"/>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117"/>
    <w:rsid w:val="00962F4F"/>
    <w:rsid w:val="009630F6"/>
    <w:rsid w:val="009643C6"/>
    <w:rsid w:val="0096539F"/>
    <w:rsid w:val="0096573D"/>
    <w:rsid w:val="00966416"/>
    <w:rsid w:val="0096654A"/>
    <w:rsid w:val="009670AB"/>
    <w:rsid w:val="00967927"/>
    <w:rsid w:val="00970EC3"/>
    <w:rsid w:val="00971726"/>
    <w:rsid w:val="00971802"/>
    <w:rsid w:val="00971D6F"/>
    <w:rsid w:val="00972412"/>
    <w:rsid w:val="009726A7"/>
    <w:rsid w:val="00972DD8"/>
    <w:rsid w:val="00972F01"/>
    <w:rsid w:val="00973B91"/>
    <w:rsid w:val="00973BE7"/>
    <w:rsid w:val="00973EE1"/>
    <w:rsid w:val="00974518"/>
    <w:rsid w:val="0097494A"/>
    <w:rsid w:val="00975A2D"/>
    <w:rsid w:val="00975FC3"/>
    <w:rsid w:val="009762C3"/>
    <w:rsid w:val="00977496"/>
    <w:rsid w:val="009775C7"/>
    <w:rsid w:val="009775E6"/>
    <w:rsid w:val="0097785F"/>
    <w:rsid w:val="00977923"/>
    <w:rsid w:val="00977E03"/>
    <w:rsid w:val="009809FC"/>
    <w:rsid w:val="00980BB4"/>
    <w:rsid w:val="00981668"/>
    <w:rsid w:val="00981B80"/>
    <w:rsid w:val="00981E1A"/>
    <w:rsid w:val="0098244A"/>
    <w:rsid w:val="0098299E"/>
    <w:rsid w:val="00982AA4"/>
    <w:rsid w:val="00982C0A"/>
    <w:rsid w:val="00982C68"/>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8AA"/>
    <w:rsid w:val="00991CB2"/>
    <w:rsid w:val="00991D73"/>
    <w:rsid w:val="00991EFB"/>
    <w:rsid w:val="00992766"/>
    <w:rsid w:val="00992960"/>
    <w:rsid w:val="00992CAE"/>
    <w:rsid w:val="00992CF1"/>
    <w:rsid w:val="00993209"/>
    <w:rsid w:val="00993472"/>
    <w:rsid w:val="00993DFA"/>
    <w:rsid w:val="00993E22"/>
    <w:rsid w:val="00994E84"/>
    <w:rsid w:val="0099603C"/>
    <w:rsid w:val="00996B6E"/>
    <w:rsid w:val="009972A4"/>
    <w:rsid w:val="00997759"/>
    <w:rsid w:val="00997C03"/>
    <w:rsid w:val="00997E0C"/>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A7BFF"/>
    <w:rsid w:val="009B067C"/>
    <w:rsid w:val="009B13A0"/>
    <w:rsid w:val="009B286F"/>
    <w:rsid w:val="009B2C8D"/>
    <w:rsid w:val="009B2F08"/>
    <w:rsid w:val="009B356B"/>
    <w:rsid w:val="009B371B"/>
    <w:rsid w:val="009B392C"/>
    <w:rsid w:val="009B4B46"/>
    <w:rsid w:val="009B563A"/>
    <w:rsid w:val="009B582D"/>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704"/>
    <w:rsid w:val="009C48C9"/>
    <w:rsid w:val="009C4904"/>
    <w:rsid w:val="009C7A93"/>
    <w:rsid w:val="009D052A"/>
    <w:rsid w:val="009D0980"/>
    <w:rsid w:val="009D0C36"/>
    <w:rsid w:val="009D1699"/>
    <w:rsid w:val="009D2A6C"/>
    <w:rsid w:val="009D348E"/>
    <w:rsid w:val="009D4010"/>
    <w:rsid w:val="009D4A03"/>
    <w:rsid w:val="009D4FEE"/>
    <w:rsid w:val="009D5082"/>
    <w:rsid w:val="009D50D1"/>
    <w:rsid w:val="009D560A"/>
    <w:rsid w:val="009D5C3E"/>
    <w:rsid w:val="009D710A"/>
    <w:rsid w:val="009D726A"/>
    <w:rsid w:val="009D74BC"/>
    <w:rsid w:val="009D7904"/>
    <w:rsid w:val="009E0CAE"/>
    <w:rsid w:val="009E269C"/>
    <w:rsid w:val="009E2750"/>
    <w:rsid w:val="009E27B4"/>
    <w:rsid w:val="009E36BA"/>
    <w:rsid w:val="009E40E3"/>
    <w:rsid w:val="009E41F3"/>
    <w:rsid w:val="009E42F7"/>
    <w:rsid w:val="009E4CC9"/>
    <w:rsid w:val="009E53C6"/>
    <w:rsid w:val="009E6107"/>
    <w:rsid w:val="009E6B01"/>
    <w:rsid w:val="009E6CF1"/>
    <w:rsid w:val="009E72FB"/>
    <w:rsid w:val="009E7E3F"/>
    <w:rsid w:val="009F0FD6"/>
    <w:rsid w:val="009F12CA"/>
    <w:rsid w:val="009F18AC"/>
    <w:rsid w:val="009F2420"/>
    <w:rsid w:val="009F3002"/>
    <w:rsid w:val="009F31F4"/>
    <w:rsid w:val="009F33ED"/>
    <w:rsid w:val="009F4D03"/>
    <w:rsid w:val="009F5279"/>
    <w:rsid w:val="009F5E07"/>
    <w:rsid w:val="009F5E5D"/>
    <w:rsid w:val="009F5E8D"/>
    <w:rsid w:val="009F62FA"/>
    <w:rsid w:val="009F6A3E"/>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BAF"/>
    <w:rsid w:val="00A03F9C"/>
    <w:rsid w:val="00A0466D"/>
    <w:rsid w:val="00A047C6"/>
    <w:rsid w:val="00A0578F"/>
    <w:rsid w:val="00A058D9"/>
    <w:rsid w:val="00A06A84"/>
    <w:rsid w:val="00A06C04"/>
    <w:rsid w:val="00A06C7A"/>
    <w:rsid w:val="00A06D49"/>
    <w:rsid w:val="00A07987"/>
    <w:rsid w:val="00A10167"/>
    <w:rsid w:val="00A108BA"/>
    <w:rsid w:val="00A10F2D"/>
    <w:rsid w:val="00A110EF"/>
    <w:rsid w:val="00A119AD"/>
    <w:rsid w:val="00A1291F"/>
    <w:rsid w:val="00A12C1B"/>
    <w:rsid w:val="00A12ECD"/>
    <w:rsid w:val="00A13012"/>
    <w:rsid w:val="00A13133"/>
    <w:rsid w:val="00A13153"/>
    <w:rsid w:val="00A133AA"/>
    <w:rsid w:val="00A1387C"/>
    <w:rsid w:val="00A13A12"/>
    <w:rsid w:val="00A13AE3"/>
    <w:rsid w:val="00A13E57"/>
    <w:rsid w:val="00A13EAB"/>
    <w:rsid w:val="00A13F38"/>
    <w:rsid w:val="00A14CE0"/>
    <w:rsid w:val="00A15056"/>
    <w:rsid w:val="00A150BB"/>
    <w:rsid w:val="00A15244"/>
    <w:rsid w:val="00A153C5"/>
    <w:rsid w:val="00A15BB4"/>
    <w:rsid w:val="00A160F0"/>
    <w:rsid w:val="00A16713"/>
    <w:rsid w:val="00A168AD"/>
    <w:rsid w:val="00A16BE4"/>
    <w:rsid w:val="00A16EF0"/>
    <w:rsid w:val="00A1731E"/>
    <w:rsid w:val="00A17AAF"/>
    <w:rsid w:val="00A20EFA"/>
    <w:rsid w:val="00A220DC"/>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27BA7"/>
    <w:rsid w:val="00A30316"/>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60E"/>
    <w:rsid w:val="00A359A1"/>
    <w:rsid w:val="00A36909"/>
    <w:rsid w:val="00A3777A"/>
    <w:rsid w:val="00A37905"/>
    <w:rsid w:val="00A37F61"/>
    <w:rsid w:val="00A40F01"/>
    <w:rsid w:val="00A42390"/>
    <w:rsid w:val="00A4253C"/>
    <w:rsid w:val="00A42754"/>
    <w:rsid w:val="00A42F56"/>
    <w:rsid w:val="00A438B3"/>
    <w:rsid w:val="00A43AD7"/>
    <w:rsid w:val="00A43FB6"/>
    <w:rsid w:val="00A44550"/>
    <w:rsid w:val="00A44B67"/>
    <w:rsid w:val="00A44EAA"/>
    <w:rsid w:val="00A44EAC"/>
    <w:rsid w:val="00A45C23"/>
    <w:rsid w:val="00A46150"/>
    <w:rsid w:val="00A462EE"/>
    <w:rsid w:val="00A46611"/>
    <w:rsid w:val="00A46946"/>
    <w:rsid w:val="00A46CEC"/>
    <w:rsid w:val="00A46E1B"/>
    <w:rsid w:val="00A46F1D"/>
    <w:rsid w:val="00A47155"/>
    <w:rsid w:val="00A47310"/>
    <w:rsid w:val="00A474BF"/>
    <w:rsid w:val="00A47542"/>
    <w:rsid w:val="00A47A28"/>
    <w:rsid w:val="00A47F6F"/>
    <w:rsid w:val="00A50579"/>
    <w:rsid w:val="00A5060E"/>
    <w:rsid w:val="00A5083C"/>
    <w:rsid w:val="00A50CC8"/>
    <w:rsid w:val="00A50F88"/>
    <w:rsid w:val="00A51744"/>
    <w:rsid w:val="00A51B01"/>
    <w:rsid w:val="00A51CC9"/>
    <w:rsid w:val="00A51DC5"/>
    <w:rsid w:val="00A525F7"/>
    <w:rsid w:val="00A52B8F"/>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3DE4"/>
    <w:rsid w:val="00A63F18"/>
    <w:rsid w:val="00A64725"/>
    <w:rsid w:val="00A64FB3"/>
    <w:rsid w:val="00A65245"/>
    <w:rsid w:val="00A65462"/>
    <w:rsid w:val="00A66BCF"/>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2694"/>
    <w:rsid w:val="00A8339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67C"/>
    <w:rsid w:val="00AA3B0A"/>
    <w:rsid w:val="00AA3F44"/>
    <w:rsid w:val="00AA4374"/>
    <w:rsid w:val="00AA58B0"/>
    <w:rsid w:val="00AA6053"/>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B70E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5C5B"/>
    <w:rsid w:val="00AC62A8"/>
    <w:rsid w:val="00AC6CE2"/>
    <w:rsid w:val="00AC7409"/>
    <w:rsid w:val="00AD04AB"/>
    <w:rsid w:val="00AD0D1E"/>
    <w:rsid w:val="00AD1316"/>
    <w:rsid w:val="00AD1A67"/>
    <w:rsid w:val="00AD1DD0"/>
    <w:rsid w:val="00AD1E09"/>
    <w:rsid w:val="00AD1E10"/>
    <w:rsid w:val="00AD2CBB"/>
    <w:rsid w:val="00AD2EF1"/>
    <w:rsid w:val="00AD3E3C"/>
    <w:rsid w:val="00AD46ED"/>
    <w:rsid w:val="00AD4768"/>
    <w:rsid w:val="00AD4BCC"/>
    <w:rsid w:val="00AD4F13"/>
    <w:rsid w:val="00AD55CB"/>
    <w:rsid w:val="00AD55D2"/>
    <w:rsid w:val="00AD5756"/>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D1D"/>
    <w:rsid w:val="00AE4F91"/>
    <w:rsid w:val="00AE54C6"/>
    <w:rsid w:val="00AE5586"/>
    <w:rsid w:val="00AE5B4A"/>
    <w:rsid w:val="00AE5F52"/>
    <w:rsid w:val="00AE61EF"/>
    <w:rsid w:val="00AE6245"/>
    <w:rsid w:val="00AE6A72"/>
    <w:rsid w:val="00AE7B93"/>
    <w:rsid w:val="00AE7D92"/>
    <w:rsid w:val="00AE7E1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2E5"/>
    <w:rsid w:val="00AF398B"/>
    <w:rsid w:val="00AF3E34"/>
    <w:rsid w:val="00AF3F59"/>
    <w:rsid w:val="00AF40DE"/>
    <w:rsid w:val="00AF47DF"/>
    <w:rsid w:val="00AF5D96"/>
    <w:rsid w:val="00AF5F63"/>
    <w:rsid w:val="00AF6AB2"/>
    <w:rsid w:val="00AF6DD7"/>
    <w:rsid w:val="00AF7B6E"/>
    <w:rsid w:val="00B00C4C"/>
    <w:rsid w:val="00B00E7E"/>
    <w:rsid w:val="00B00E96"/>
    <w:rsid w:val="00B00F13"/>
    <w:rsid w:val="00B018B9"/>
    <w:rsid w:val="00B01FE0"/>
    <w:rsid w:val="00B02115"/>
    <w:rsid w:val="00B02692"/>
    <w:rsid w:val="00B02719"/>
    <w:rsid w:val="00B02B17"/>
    <w:rsid w:val="00B03E87"/>
    <w:rsid w:val="00B03FFD"/>
    <w:rsid w:val="00B043C1"/>
    <w:rsid w:val="00B0473F"/>
    <w:rsid w:val="00B04959"/>
    <w:rsid w:val="00B05121"/>
    <w:rsid w:val="00B054AB"/>
    <w:rsid w:val="00B063E2"/>
    <w:rsid w:val="00B06841"/>
    <w:rsid w:val="00B06EDB"/>
    <w:rsid w:val="00B070C5"/>
    <w:rsid w:val="00B07331"/>
    <w:rsid w:val="00B07EF4"/>
    <w:rsid w:val="00B10419"/>
    <w:rsid w:val="00B10EED"/>
    <w:rsid w:val="00B11517"/>
    <w:rsid w:val="00B12111"/>
    <w:rsid w:val="00B127CC"/>
    <w:rsid w:val="00B128AE"/>
    <w:rsid w:val="00B12B0E"/>
    <w:rsid w:val="00B12B5D"/>
    <w:rsid w:val="00B12C8F"/>
    <w:rsid w:val="00B132E7"/>
    <w:rsid w:val="00B1353C"/>
    <w:rsid w:val="00B137B8"/>
    <w:rsid w:val="00B13E97"/>
    <w:rsid w:val="00B13FB6"/>
    <w:rsid w:val="00B140FC"/>
    <w:rsid w:val="00B14D76"/>
    <w:rsid w:val="00B14DCD"/>
    <w:rsid w:val="00B153B3"/>
    <w:rsid w:val="00B1544D"/>
    <w:rsid w:val="00B157BD"/>
    <w:rsid w:val="00B16FB1"/>
    <w:rsid w:val="00B17440"/>
    <w:rsid w:val="00B17820"/>
    <w:rsid w:val="00B17958"/>
    <w:rsid w:val="00B17F0A"/>
    <w:rsid w:val="00B17FEF"/>
    <w:rsid w:val="00B2019D"/>
    <w:rsid w:val="00B243A0"/>
    <w:rsid w:val="00B24DAE"/>
    <w:rsid w:val="00B25129"/>
    <w:rsid w:val="00B254AD"/>
    <w:rsid w:val="00B25A89"/>
    <w:rsid w:val="00B261CF"/>
    <w:rsid w:val="00B26205"/>
    <w:rsid w:val="00B26784"/>
    <w:rsid w:val="00B278E3"/>
    <w:rsid w:val="00B305F0"/>
    <w:rsid w:val="00B30632"/>
    <w:rsid w:val="00B307DE"/>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5FD1"/>
    <w:rsid w:val="00B35FF2"/>
    <w:rsid w:val="00B3612D"/>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67F"/>
    <w:rsid w:val="00B43A83"/>
    <w:rsid w:val="00B46108"/>
    <w:rsid w:val="00B4610A"/>
    <w:rsid w:val="00B4655D"/>
    <w:rsid w:val="00B46AEB"/>
    <w:rsid w:val="00B46C56"/>
    <w:rsid w:val="00B46E4C"/>
    <w:rsid w:val="00B46F5D"/>
    <w:rsid w:val="00B47135"/>
    <w:rsid w:val="00B47552"/>
    <w:rsid w:val="00B47865"/>
    <w:rsid w:val="00B5003D"/>
    <w:rsid w:val="00B50183"/>
    <w:rsid w:val="00B51419"/>
    <w:rsid w:val="00B514EF"/>
    <w:rsid w:val="00B51B74"/>
    <w:rsid w:val="00B520C2"/>
    <w:rsid w:val="00B52247"/>
    <w:rsid w:val="00B52AF9"/>
    <w:rsid w:val="00B53CEF"/>
    <w:rsid w:val="00B54301"/>
    <w:rsid w:val="00B5440F"/>
    <w:rsid w:val="00B544B1"/>
    <w:rsid w:val="00B54779"/>
    <w:rsid w:val="00B54DEE"/>
    <w:rsid w:val="00B54FC9"/>
    <w:rsid w:val="00B555ED"/>
    <w:rsid w:val="00B5580C"/>
    <w:rsid w:val="00B561D7"/>
    <w:rsid w:val="00B56876"/>
    <w:rsid w:val="00B570A6"/>
    <w:rsid w:val="00B60BF7"/>
    <w:rsid w:val="00B619C2"/>
    <w:rsid w:val="00B61E79"/>
    <w:rsid w:val="00B6203D"/>
    <w:rsid w:val="00B620E7"/>
    <w:rsid w:val="00B62A7C"/>
    <w:rsid w:val="00B6335A"/>
    <w:rsid w:val="00B635A4"/>
    <w:rsid w:val="00B64004"/>
    <w:rsid w:val="00B649F9"/>
    <w:rsid w:val="00B655B5"/>
    <w:rsid w:val="00B66203"/>
    <w:rsid w:val="00B667E8"/>
    <w:rsid w:val="00B668A8"/>
    <w:rsid w:val="00B672EA"/>
    <w:rsid w:val="00B67538"/>
    <w:rsid w:val="00B67F5D"/>
    <w:rsid w:val="00B70699"/>
    <w:rsid w:val="00B70759"/>
    <w:rsid w:val="00B70844"/>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7E16"/>
    <w:rsid w:val="00B802E1"/>
    <w:rsid w:val="00B806DD"/>
    <w:rsid w:val="00B8087D"/>
    <w:rsid w:val="00B80C2A"/>
    <w:rsid w:val="00B80EAA"/>
    <w:rsid w:val="00B81071"/>
    <w:rsid w:val="00B813D5"/>
    <w:rsid w:val="00B8174F"/>
    <w:rsid w:val="00B81B08"/>
    <w:rsid w:val="00B81BD0"/>
    <w:rsid w:val="00B81F4F"/>
    <w:rsid w:val="00B824A3"/>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B46"/>
    <w:rsid w:val="00B87C59"/>
    <w:rsid w:val="00B87F5E"/>
    <w:rsid w:val="00B90481"/>
    <w:rsid w:val="00B90BF4"/>
    <w:rsid w:val="00B90D08"/>
    <w:rsid w:val="00B91091"/>
    <w:rsid w:val="00B91A74"/>
    <w:rsid w:val="00B91F2F"/>
    <w:rsid w:val="00B91F34"/>
    <w:rsid w:val="00B922F0"/>
    <w:rsid w:val="00B92354"/>
    <w:rsid w:val="00B92843"/>
    <w:rsid w:val="00B92911"/>
    <w:rsid w:val="00B92CB4"/>
    <w:rsid w:val="00B933EC"/>
    <w:rsid w:val="00B935C1"/>
    <w:rsid w:val="00B94292"/>
    <w:rsid w:val="00B9476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A3"/>
    <w:rsid w:val="00BA17CB"/>
    <w:rsid w:val="00BA184B"/>
    <w:rsid w:val="00BA1894"/>
    <w:rsid w:val="00BA19EE"/>
    <w:rsid w:val="00BA213A"/>
    <w:rsid w:val="00BA21DB"/>
    <w:rsid w:val="00BA2557"/>
    <w:rsid w:val="00BA25F4"/>
    <w:rsid w:val="00BA26D5"/>
    <w:rsid w:val="00BA2A77"/>
    <w:rsid w:val="00BA34FE"/>
    <w:rsid w:val="00BA37C0"/>
    <w:rsid w:val="00BA3B3D"/>
    <w:rsid w:val="00BA43D6"/>
    <w:rsid w:val="00BA4618"/>
    <w:rsid w:val="00BA51F3"/>
    <w:rsid w:val="00BA58BF"/>
    <w:rsid w:val="00BA64F7"/>
    <w:rsid w:val="00BA66B2"/>
    <w:rsid w:val="00BA7C18"/>
    <w:rsid w:val="00BA7ED4"/>
    <w:rsid w:val="00BB04A6"/>
    <w:rsid w:val="00BB07D7"/>
    <w:rsid w:val="00BB07E0"/>
    <w:rsid w:val="00BB08B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2B9"/>
    <w:rsid w:val="00BC0336"/>
    <w:rsid w:val="00BC0433"/>
    <w:rsid w:val="00BC0D4D"/>
    <w:rsid w:val="00BC1FCA"/>
    <w:rsid w:val="00BC2423"/>
    <w:rsid w:val="00BC2E90"/>
    <w:rsid w:val="00BC307C"/>
    <w:rsid w:val="00BC338E"/>
    <w:rsid w:val="00BC33D8"/>
    <w:rsid w:val="00BC3557"/>
    <w:rsid w:val="00BC3716"/>
    <w:rsid w:val="00BC432F"/>
    <w:rsid w:val="00BC4CC8"/>
    <w:rsid w:val="00BC4D3E"/>
    <w:rsid w:val="00BC50FD"/>
    <w:rsid w:val="00BC660B"/>
    <w:rsid w:val="00BC71E8"/>
    <w:rsid w:val="00BC73B6"/>
    <w:rsid w:val="00BC759D"/>
    <w:rsid w:val="00BC7745"/>
    <w:rsid w:val="00BC78FF"/>
    <w:rsid w:val="00BC7AB6"/>
    <w:rsid w:val="00BC7EC5"/>
    <w:rsid w:val="00BD0408"/>
    <w:rsid w:val="00BD0977"/>
    <w:rsid w:val="00BD0D3E"/>
    <w:rsid w:val="00BD0FD5"/>
    <w:rsid w:val="00BD112F"/>
    <w:rsid w:val="00BD1202"/>
    <w:rsid w:val="00BD17DF"/>
    <w:rsid w:val="00BD1F43"/>
    <w:rsid w:val="00BD2319"/>
    <w:rsid w:val="00BD2355"/>
    <w:rsid w:val="00BD2487"/>
    <w:rsid w:val="00BD27F8"/>
    <w:rsid w:val="00BD3048"/>
    <w:rsid w:val="00BD30B2"/>
    <w:rsid w:val="00BD36AF"/>
    <w:rsid w:val="00BD3A63"/>
    <w:rsid w:val="00BD3F2E"/>
    <w:rsid w:val="00BD3FEB"/>
    <w:rsid w:val="00BD4719"/>
    <w:rsid w:val="00BD4CEC"/>
    <w:rsid w:val="00BD4F61"/>
    <w:rsid w:val="00BD5050"/>
    <w:rsid w:val="00BD50D0"/>
    <w:rsid w:val="00BD58A3"/>
    <w:rsid w:val="00BD5A30"/>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6EF9"/>
    <w:rsid w:val="00BE73DF"/>
    <w:rsid w:val="00BE75C3"/>
    <w:rsid w:val="00BE774D"/>
    <w:rsid w:val="00BF05A8"/>
    <w:rsid w:val="00BF12A8"/>
    <w:rsid w:val="00BF1551"/>
    <w:rsid w:val="00BF186E"/>
    <w:rsid w:val="00BF270D"/>
    <w:rsid w:val="00BF2A6C"/>
    <w:rsid w:val="00BF36B3"/>
    <w:rsid w:val="00BF3A91"/>
    <w:rsid w:val="00BF3BDA"/>
    <w:rsid w:val="00BF3EA8"/>
    <w:rsid w:val="00BF469C"/>
    <w:rsid w:val="00BF55B6"/>
    <w:rsid w:val="00BF5C23"/>
    <w:rsid w:val="00BF670A"/>
    <w:rsid w:val="00BF6782"/>
    <w:rsid w:val="00BF7794"/>
    <w:rsid w:val="00BF7A2F"/>
    <w:rsid w:val="00C001EF"/>
    <w:rsid w:val="00C001FD"/>
    <w:rsid w:val="00C0045A"/>
    <w:rsid w:val="00C00927"/>
    <w:rsid w:val="00C00CFE"/>
    <w:rsid w:val="00C0168D"/>
    <w:rsid w:val="00C01D45"/>
    <w:rsid w:val="00C02CEF"/>
    <w:rsid w:val="00C02E02"/>
    <w:rsid w:val="00C035AF"/>
    <w:rsid w:val="00C03625"/>
    <w:rsid w:val="00C0383E"/>
    <w:rsid w:val="00C0446E"/>
    <w:rsid w:val="00C045B2"/>
    <w:rsid w:val="00C04958"/>
    <w:rsid w:val="00C049FB"/>
    <w:rsid w:val="00C04A14"/>
    <w:rsid w:val="00C07B82"/>
    <w:rsid w:val="00C10293"/>
    <w:rsid w:val="00C10469"/>
    <w:rsid w:val="00C10693"/>
    <w:rsid w:val="00C10D93"/>
    <w:rsid w:val="00C11059"/>
    <w:rsid w:val="00C1127F"/>
    <w:rsid w:val="00C1172E"/>
    <w:rsid w:val="00C1245A"/>
    <w:rsid w:val="00C129EF"/>
    <w:rsid w:val="00C12AB9"/>
    <w:rsid w:val="00C12EF1"/>
    <w:rsid w:val="00C13A5D"/>
    <w:rsid w:val="00C13A66"/>
    <w:rsid w:val="00C13AFF"/>
    <w:rsid w:val="00C14248"/>
    <w:rsid w:val="00C148D7"/>
    <w:rsid w:val="00C14970"/>
    <w:rsid w:val="00C15A30"/>
    <w:rsid w:val="00C15EAF"/>
    <w:rsid w:val="00C15EB5"/>
    <w:rsid w:val="00C15F87"/>
    <w:rsid w:val="00C16112"/>
    <w:rsid w:val="00C16498"/>
    <w:rsid w:val="00C16995"/>
    <w:rsid w:val="00C174AA"/>
    <w:rsid w:val="00C17A73"/>
    <w:rsid w:val="00C20D17"/>
    <w:rsid w:val="00C20D68"/>
    <w:rsid w:val="00C2160C"/>
    <w:rsid w:val="00C21A63"/>
    <w:rsid w:val="00C22255"/>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4741"/>
    <w:rsid w:val="00C34B5F"/>
    <w:rsid w:val="00C35270"/>
    <w:rsid w:val="00C356F9"/>
    <w:rsid w:val="00C359C9"/>
    <w:rsid w:val="00C3612A"/>
    <w:rsid w:val="00C36726"/>
    <w:rsid w:val="00C3740F"/>
    <w:rsid w:val="00C3782F"/>
    <w:rsid w:val="00C40581"/>
    <w:rsid w:val="00C40A92"/>
    <w:rsid w:val="00C40B0B"/>
    <w:rsid w:val="00C41089"/>
    <w:rsid w:val="00C41B42"/>
    <w:rsid w:val="00C42751"/>
    <w:rsid w:val="00C4313A"/>
    <w:rsid w:val="00C43985"/>
    <w:rsid w:val="00C43BFF"/>
    <w:rsid w:val="00C43E99"/>
    <w:rsid w:val="00C44288"/>
    <w:rsid w:val="00C44312"/>
    <w:rsid w:val="00C4440A"/>
    <w:rsid w:val="00C44F88"/>
    <w:rsid w:val="00C45B48"/>
    <w:rsid w:val="00C45FA1"/>
    <w:rsid w:val="00C464DA"/>
    <w:rsid w:val="00C46585"/>
    <w:rsid w:val="00C465BC"/>
    <w:rsid w:val="00C467E0"/>
    <w:rsid w:val="00C46A82"/>
    <w:rsid w:val="00C46FF1"/>
    <w:rsid w:val="00C47174"/>
    <w:rsid w:val="00C47A07"/>
    <w:rsid w:val="00C50B1C"/>
    <w:rsid w:val="00C50BD9"/>
    <w:rsid w:val="00C510AB"/>
    <w:rsid w:val="00C51990"/>
    <w:rsid w:val="00C52085"/>
    <w:rsid w:val="00C5216E"/>
    <w:rsid w:val="00C523BD"/>
    <w:rsid w:val="00C526A6"/>
    <w:rsid w:val="00C5279E"/>
    <w:rsid w:val="00C531A3"/>
    <w:rsid w:val="00C534E1"/>
    <w:rsid w:val="00C53812"/>
    <w:rsid w:val="00C54017"/>
    <w:rsid w:val="00C5474A"/>
    <w:rsid w:val="00C54E12"/>
    <w:rsid w:val="00C54FAD"/>
    <w:rsid w:val="00C550FD"/>
    <w:rsid w:val="00C55341"/>
    <w:rsid w:val="00C559EC"/>
    <w:rsid w:val="00C55EE6"/>
    <w:rsid w:val="00C5672F"/>
    <w:rsid w:val="00C569D7"/>
    <w:rsid w:val="00C56CEA"/>
    <w:rsid w:val="00C5723E"/>
    <w:rsid w:val="00C57BD2"/>
    <w:rsid w:val="00C60299"/>
    <w:rsid w:val="00C604D7"/>
    <w:rsid w:val="00C60722"/>
    <w:rsid w:val="00C6096C"/>
    <w:rsid w:val="00C61628"/>
    <w:rsid w:val="00C61A51"/>
    <w:rsid w:val="00C61C68"/>
    <w:rsid w:val="00C61D81"/>
    <w:rsid w:val="00C6227B"/>
    <w:rsid w:val="00C6239E"/>
    <w:rsid w:val="00C62BE4"/>
    <w:rsid w:val="00C62C92"/>
    <w:rsid w:val="00C63099"/>
    <w:rsid w:val="00C6367C"/>
    <w:rsid w:val="00C63886"/>
    <w:rsid w:val="00C64286"/>
    <w:rsid w:val="00C644BF"/>
    <w:rsid w:val="00C64A91"/>
    <w:rsid w:val="00C65468"/>
    <w:rsid w:val="00C6598C"/>
    <w:rsid w:val="00C65BB3"/>
    <w:rsid w:val="00C6603F"/>
    <w:rsid w:val="00C6624D"/>
    <w:rsid w:val="00C66BFE"/>
    <w:rsid w:val="00C66C47"/>
    <w:rsid w:val="00C66FE3"/>
    <w:rsid w:val="00C678EB"/>
    <w:rsid w:val="00C67DF9"/>
    <w:rsid w:val="00C70295"/>
    <w:rsid w:val="00C702F9"/>
    <w:rsid w:val="00C706E5"/>
    <w:rsid w:val="00C71231"/>
    <w:rsid w:val="00C717E5"/>
    <w:rsid w:val="00C718CD"/>
    <w:rsid w:val="00C71BE9"/>
    <w:rsid w:val="00C721C9"/>
    <w:rsid w:val="00C73150"/>
    <w:rsid w:val="00C744C9"/>
    <w:rsid w:val="00C75102"/>
    <w:rsid w:val="00C754E0"/>
    <w:rsid w:val="00C7585B"/>
    <w:rsid w:val="00C75EC4"/>
    <w:rsid w:val="00C760F3"/>
    <w:rsid w:val="00C761A9"/>
    <w:rsid w:val="00C76A43"/>
    <w:rsid w:val="00C76FBE"/>
    <w:rsid w:val="00C80863"/>
    <w:rsid w:val="00C808C1"/>
    <w:rsid w:val="00C8158C"/>
    <w:rsid w:val="00C817D6"/>
    <w:rsid w:val="00C81A82"/>
    <w:rsid w:val="00C8230F"/>
    <w:rsid w:val="00C82D0C"/>
    <w:rsid w:val="00C82E1B"/>
    <w:rsid w:val="00C83164"/>
    <w:rsid w:val="00C83D13"/>
    <w:rsid w:val="00C84407"/>
    <w:rsid w:val="00C847B4"/>
    <w:rsid w:val="00C84C0B"/>
    <w:rsid w:val="00C85275"/>
    <w:rsid w:val="00C85367"/>
    <w:rsid w:val="00C853CC"/>
    <w:rsid w:val="00C85A8F"/>
    <w:rsid w:val="00C8606C"/>
    <w:rsid w:val="00C86339"/>
    <w:rsid w:val="00C86A59"/>
    <w:rsid w:val="00C86D05"/>
    <w:rsid w:val="00C87080"/>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4A4"/>
    <w:rsid w:val="00C95AC9"/>
    <w:rsid w:val="00C95BCB"/>
    <w:rsid w:val="00C95BFF"/>
    <w:rsid w:val="00C971AD"/>
    <w:rsid w:val="00C9732C"/>
    <w:rsid w:val="00C97388"/>
    <w:rsid w:val="00C974D4"/>
    <w:rsid w:val="00C976DA"/>
    <w:rsid w:val="00CA0901"/>
    <w:rsid w:val="00CA1A31"/>
    <w:rsid w:val="00CA225A"/>
    <w:rsid w:val="00CA324C"/>
    <w:rsid w:val="00CA4A08"/>
    <w:rsid w:val="00CA5502"/>
    <w:rsid w:val="00CA5C35"/>
    <w:rsid w:val="00CA6ACC"/>
    <w:rsid w:val="00CA73D7"/>
    <w:rsid w:val="00CA7733"/>
    <w:rsid w:val="00CA7ACB"/>
    <w:rsid w:val="00CB0E1E"/>
    <w:rsid w:val="00CB100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B7FD9"/>
    <w:rsid w:val="00CC0AB4"/>
    <w:rsid w:val="00CC0DB4"/>
    <w:rsid w:val="00CC2211"/>
    <w:rsid w:val="00CC2FB5"/>
    <w:rsid w:val="00CC3450"/>
    <w:rsid w:val="00CC4CA6"/>
    <w:rsid w:val="00CC5144"/>
    <w:rsid w:val="00CC5691"/>
    <w:rsid w:val="00CC5999"/>
    <w:rsid w:val="00CC620E"/>
    <w:rsid w:val="00CC6B80"/>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6E9"/>
    <w:rsid w:val="00CE09E6"/>
    <w:rsid w:val="00CE0F85"/>
    <w:rsid w:val="00CE119C"/>
    <w:rsid w:val="00CE26B3"/>
    <w:rsid w:val="00CE3EAA"/>
    <w:rsid w:val="00CE4B95"/>
    <w:rsid w:val="00CE4FA2"/>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1579"/>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6F3B"/>
    <w:rsid w:val="00CF6FB6"/>
    <w:rsid w:val="00CF7129"/>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3AD1"/>
    <w:rsid w:val="00D14AB1"/>
    <w:rsid w:val="00D14F46"/>
    <w:rsid w:val="00D1563D"/>
    <w:rsid w:val="00D15B52"/>
    <w:rsid w:val="00D1612B"/>
    <w:rsid w:val="00D1624F"/>
    <w:rsid w:val="00D162C6"/>
    <w:rsid w:val="00D16975"/>
    <w:rsid w:val="00D16AD8"/>
    <w:rsid w:val="00D16E7A"/>
    <w:rsid w:val="00D16FE4"/>
    <w:rsid w:val="00D17415"/>
    <w:rsid w:val="00D174F8"/>
    <w:rsid w:val="00D175C4"/>
    <w:rsid w:val="00D200BE"/>
    <w:rsid w:val="00D203E1"/>
    <w:rsid w:val="00D205CA"/>
    <w:rsid w:val="00D20A66"/>
    <w:rsid w:val="00D21777"/>
    <w:rsid w:val="00D21CBA"/>
    <w:rsid w:val="00D21D64"/>
    <w:rsid w:val="00D225B0"/>
    <w:rsid w:val="00D22854"/>
    <w:rsid w:val="00D22D28"/>
    <w:rsid w:val="00D23836"/>
    <w:rsid w:val="00D241E2"/>
    <w:rsid w:val="00D2445C"/>
    <w:rsid w:val="00D24941"/>
    <w:rsid w:val="00D24EBB"/>
    <w:rsid w:val="00D25531"/>
    <w:rsid w:val="00D257A4"/>
    <w:rsid w:val="00D25F6D"/>
    <w:rsid w:val="00D2625C"/>
    <w:rsid w:val="00D26A8F"/>
    <w:rsid w:val="00D27153"/>
    <w:rsid w:val="00D278B3"/>
    <w:rsid w:val="00D30329"/>
    <w:rsid w:val="00D304E2"/>
    <w:rsid w:val="00D3059A"/>
    <w:rsid w:val="00D30930"/>
    <w:rsid w:val="00D30B78"/>
    <w:rsid w:val="00D3124D"/>
    <w:rsid w:val="00D316FA"/>
    <w:rsid w:val="00D31B2C"/>
    <w:rsid w:val="00D31DA5"/>
    <w:rsid w:val="00D325D0"/>
    <w:rsid w:val="00D329BA"/>
    <w:rsid w:val="00D33606"/>
    <w:rsid w:val="00D33696"/>
    <w:rsid w:val="00D33951"/>
    <w:rsid w:val="00D33A53"/>
    <w:rsid w:val="00D34004"/>
    <w:rsid w:val="00D34302"/>
    <w:rsid w:val="00D3433F"/>
    <w:rsid w:val="00D34C6A"/>
    <w:rsid w:val="00D34DF9"/>
    <w:rsid w:val="00D3512D"/>
    <w:rsid w:val="00D353C6"/>
    <w:rsid w:val="00D35DA8"/>
    <w:rsid w:val="00D36466"/>
    <w:rsid w:val="00D36B44"/>
    <w:rsid w:val="00D379DD"/>
    <w:rsid w:val="00D37DB1"/>
    <w:rsid w:val="00D37FA9"/>
    <w:rsid w:val="00D405F9"/>
    <w:rsid w:val="00D405FC"/>
    <w:rsid w:val="00D4139A"/>
    <w:rsid w:val="00D41BA2"/>
    <w:rsid w:val="00D42384"/>
    <w:rsid w:val="00D42875"/>
    <w:rsid w:val="00D42AAE"/>
    <w:rsid w:val="00D43896"/>
    <w:rsid w:val="00D439F8"/>
    <w:rsid w:val="00D44AA7"/>
    <w:rsid w:val="00D44FB8"/>
    <w:rsid w:val="00D45C5F"/>
    <w:rsid w:val="00D4626F"/>
    <w:rsid w:val="00D462EF"/>
    <w:rsid w:val="00D46A80"/>
    <w:rsid w:val="00D46B30"/>
    <w:rsid w:val="00D47306"/>
    <w:rsid w:val="00D476FE"/>
    <w:rsid w:val="00D47DF0"/>
    <w:rsid w:val="00D5002E"/>
    <w:rsid w:val="00D501BF"/>
    <w:rsid w:val="00D50EF0"/>
    <w:rsid w:val="00D50EF2"/>
    <w:rsid w:val="00D50FC1"/>
    <w:rsid w:val="00D511EF"/>
    <w:rsid w:val="00D513E3"/>
    <w:rsid w:val="00D51D9F"/>
    <w:rsid w:val="00D5251A"/>
    <w:rsid w:val="00D52640"/>
    <w:rsid w:val="00D538B5"/>
    <w:rsid w:val="00D540E6"/>
    <w:rsid w:val="00D5452F"/>
    <w:rsid w:val="00D54B4A"/>
    <w:rsid w:val="00D54DDF"/>
    <w:rsid w:val="00D55046"/>
    <w:rsid w:val="00D553C3"/>
    <w:rsid w:val="00D557BC"/>
    <w:rsid w:val="00D557FA"/>
    <w:rsid w:val="00D55A25"/>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484"/>
    <w:rsid w:val="00D66677"/>
    <w:rsid w:val="00D6718E"/>
    <w:rsid w:val="00D67E77"/>
    <w:rsid w:val="00D707B3"/>
    <w:rsid w:val="00D71401"/>
    <w:rsid w:val="00D718F5"/>
    <w:rsid w:val="00D71F7F"/>
    <w:rsid w:val="00D7203C"/>
    <w:rsid w:val="00D722CE"/>
    <w:rsid w:val="00D72919"/>
    <w:rsid w:val="00D729A6"/>
    <w:rsid w:val="00D72D69"/>
    <w:rsid w:val="00D73279"/>
    <w:rsid w:val="00D744AC"/>
    <w:rsid w:val="00D74F90"/>
    <w:rsid w:val="00D75179"/>
    <w:rsid w:val="00D7558B"/>
    <w:rsid w:val="00D757EC"/>
    <w:rsid w:val="00D758FA"/>
    <w:rsid w:val="00D76356"/>
    <w:rsid w:val="00D76765"/>
    <w:rsid w:val="00D7724D"/>
    <w:rsid w:val="00D77446"/>
    <w:rsid w:val="00D7796E"/>
    <w:rsid w:val="00D77BFB"/>
    <w:rsid w:val="00D77D4F"/>
    <w:rsid w:val="00D77EAE"/>
    <w:rsid w:val="00D80DD9"/>
    <w:rsid w:val="00D810FA"/>
    <w:rsid w:val="00D8144D"/>
    <w:rsid w:val="00D81615"/>
    <w:rsid w:val="00D82264"/>
    <w:rsid w:val="00D8235E"/>
    <w:rsid w:val="00D8240D"/>
    <w:rsid w:val="00D828A0"/>
    <w:rsid w:val="00D82A51"/>
    <w:rsid w:val="00D82F01"/>
    <w:rsid w:val="00D82FAF"/>
    <w:rsid w:val="00D83353"/>
    <w:rsid w:val="00D83C97"/>
    <w:rsid w:val="00D8437D"/>
    <w:rsid w:val="00D84781"/>
    <w:rsid w:val="00D84790"/>
    <w:rsid w:val="00D8485D"/>
    <w:rsid w:val="00D84E6A"/>
    <w:rsid w:val="00D85162"/>
    <w:rsid w:val="00D8565C"/>
    <w:rsid w:val="00D856F6"/>
    <w:rsid w:val="00D85BD3"/>
    <w:rsid w:val="00D86017"/>
    <w:rsid w:val="00D87040"/>
    <w:rsid w:val="00D874A4"/>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C6A"/>
    <w:rsid w:val="00D96EF3"/>
    <w:rsid w:val="00D97820"/>
    <w:rsid w:val="00DA02A0"/>
    <w:rsid w:val="00DA0EE7"/>
    <w:rsid w:val="00DA1178"/>
    <w:rsid w:val="00DA133A"/>
    <w:rsid w:val="00DA1853"/>
    <w:rsid w:val="00DA1A9D"/>
    <w:rsid w:val="00DA2B04"/>
    <w:rsid w:val="00DA2B4C"/>
    <w:rsid w:val="00DA2BA0"/>
    <w:rsid w:val="00DA33DB"/>
    <w:rsid w:val="00DA3756"/>
    <w:rsid w:val="00DA39C5"/>
    <w:rsid w:val="00DA3D5D"/>
    <w:rsid w:val="00DA4BC9"/>
    <w:rsid w:val="00DA54C8"/>
    <w:rsid w:val="00DA5AD4"/>
    <w:rsid w:val="00DA5F07"/>
    <w:rsid w:val="00DA602A"/>
    <w:rsid w:val="00DA672A"/>
    <w:rsid w:val="00DA708A"/>
    <w:rsid w:val="00DA7117"/>
    <w:rsid w:val="00DA7C4B"/>
    <w:rsid w:val="00DA7CCE"/>
    <w:rsid w:val="00DB1167"/>
    <w:rsid w:val="00DB1360"/>
    <w:rsid w:val="00DB19B0"/>
    <w:rsid w:val="00DB21EC"/>
    <w:rsid w:val="00DB2332"/>
    <w:rsid w:val="00DB26FB"/>
    <w:rsid w:val="00DB2CEA"/>
    <w:rsid w:val="00DB2DC0"/>
    <w:rsid w:val="00DB3A64"/>
    <w:rsid w:val="00DB436B"/>
    <w:rsid w:val="00DB51B3"/>
    <w:rsid w:val="00DB5E0F"/>
    <w:rsid w:val="00DB6214"/>
    <w:rsid w:val="00DB673B"/>
    <w:rsid w:val="00DB6A15"/>
    <w:rsid w:val="00DB6C6C"/>
    <w:rsid w:val="00DB709A"/>
    <w:rsid w:val="00DB70BE"/>
    <w:rsid w:val="00DB76D2"/>
    <w:rsid w:val="00DB7EB6"/>
    <w:rsid w:val="00DB7F67"/>
    <w:rsid w:val="00DC0FBB"/>
    <w:rsid w:val="00DC12BC"/>
    <w:rsid w:val="00DC12E1"/>
    <w:rsid w:val="00DC15CF"/>
    <w:rsid w:val="00DC15ED"/>
    <w:rsid w:val="00DC1780"/>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C7AAF"/>
    <w:rsid w:val="00DD0F99"/>
    <w:rsid w:val="00DD1090"/>
    <w:rsid w:val="00DD132F"/>
    <w:rsid w:val="00DD1CC5"/>
    <w:rsid w:val="00DD2ADA"/>
    <w:rsid w:val="00DD2C79"/>
    <w:rsid w:val="00DD30B2"/>
    <w:rsid w:val="00DD32EC"/>
    <w:rsid w:val="00DD3438"/>
    <w:rsid w:val="00DD3D7F"/>
    <w:rsid w:val="00DD5234"/>
    <w:rsid w:val="00DD59AA"/>
    <w:rsid w:val="00DD5C2C"/>
    <w:rsid w:val="00DD62D9"/>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AA0"/>
    <w:rsid w:val="00DE6EE2"/>
    <w:rsid w:val="00DE7474"/>
    <w:rsid w:val="00DE7E8F"/>
    <w:rsid w:val="00DF0BC0"/>
    <w:rsid w:val="00DF0EB0"/>
    <w:rsid w:val="00DF15F7"/>
    <w:rsid w:val="00DF2577"/>
    <w:rsid w:val="00DF2815"/>
    <w:rsid w:val="00DF2939"/>
    <w:rsid w:val="00DF2A02"/>
    <w:rsid w:val="00DF2E7F"/>
    <w:rsid w:val="00DF2EAF"/>
    <w:rsid w:val="00DF30EE"/>
    <w:rsid w:val="00DF3FAB"/>
    <w:rsid w:val="00DF4F27"/>
    <w:rsid w:val="00DF56AC"/>
    <w:rsid w:val="00DF5ABC"/>
    <w:rsid w:val="00DF629E"/>
    <w:rsid w:val="00DF691E"/>
    <w:rsid w:val="00DF6AE7"/>
    <w:rsid w:val="00DF6FFD"/>
    <w:rsid w:val="00DF7F37"/>
    <w:rsid w:val="00E00F2C"/>
    <w:rsid w:val="00E02403"/>
    <w:rsid w:val="00E027E8"/>
    <w:rsid w:val="00E03BC7"/>
    <w:rsid w:val="00E0496B"/>
    <w:rsid w:val="00E04F3B"/>
    <w:rsid w:val="00E05220"/>
    <w:rsid w:val="00E0525E"/>
    <w:rsid w:val="00E05B8E"/>
    <w:rsid w:val="00E05E3E"/>
    <w:rsid w:val="00E05F83"/>
    <w:rsid w:val="00E060C7"/>
    <w:rsid w:val="00E06511"/>
    <w:rsid w:val="00E06871"/>
    <w:rsid w:val="00E06B09"/>
    <w:rsid w:val="00E06FE5"/>
    <w:rsid w:val="00E07201"/>
    <w:rsid w:val="00E0746B"/>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16F"/>
    <w:rsid w:val="00E168E8"/>
    <w:rsid w:val="00E171A2"/>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4DCD"/>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4D02"/>
    <w:rsid w:val="00E458E3"/>
    <w:rsid w:val="00E45DCE"/>
    <w:rsid w:val="00E46480"/>
    <w:rsid w:val="00E466E5"/>
    <w:rsid w:val="00E467E8"/>
    <w:rsid w:val="00E47A88"/>
    <w:rsid w:val="00E47D74"/>
    <w:rsid w:val="00E50207"/>
    <w:rsid w:val="00E5035B"/>
    <w:rsid w:val="00E50967"/>
    <w:rsid w:val="00E50DB3"/>
    <w:rsid w:val="00E51794"/>
    <w:rsid w:val="00E519E0"/>
    <w:rsid w:val="00E52C1A"/>
    <w:rsid w:val="00E538CF"/>
    <w:rsid w:val="00E53C87"/>
    <w:rsid w:val="00E53D97"/>
    <w:rsid w:val="00E53DB8"/>
    <w:rsid w:val="00E54306"/>
    <w:rsid w:val="00E54491"/>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535"/>
    <w:rsid w:val="00E618D5"/>
    <w:rsid w:val="00E61A10"/>
    <w:rsid w:val="00E62318"/>
    <w:rsid w:val="00E6298B"/>
    <w:rsid w:val="00E62D33"/>
    <w:rsid w:val="00E62D7E"/>
    <w:rsid w:val="00E630AC"/>
    <w:rsid w:val="00E6329F"/>
    <w:rsid w:val="00E635AF"/>
    <w:rsid w:val="00E64086"/>
    <w:rsid w:val="00E640D2"/>
    <w:rsid w:val="00E6449F"/>
    <w:rsid w:val="00E64B1F"/>
    <w:rsid w:val="00E64C44"/>
    <w:rsid w:val="00E64D25"/>
    <w:rsid w:val="00E65FFE"/>
    <w:rsid w:val="00E667AD"/>
    <w:rsid w:val="00E66A25"/>
    <w:rsid w:val="00E66BE3"/>
    <w:rsid w:val="00E6700B"/>
    <w:rsid w:val="00E679F1"/>
    <w:rsid w:val="00E67F80"/>
    <w:rsid w:val="00E70AB7"/>
    <w:rsid w:val="00E70FA4"/>
    <w:rsid w:val="00E715EB"/>
    <w:rsid w:val="00E71798"/>
    <w:rsid w:val="00E7186A"/>
    <w:rsid w:val="00E71B51"/>
    <w:rsid w:val="00E71BC7"/>
    <w:rsid w:val="00E71FFF"/>
    <w:rsid w:val="00E72DAC"/>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1DB"/>
    <w:rsid w:val="00E7721C"/>
    <w:rsid w:val="00E77426"/>
    <w:rsid w:val="00E77B0B"/>
    <w:rsid w:val="00E800DE"/>
    <w:rsid w:val="00E802A1"/>
    <w:rsid w:val="00E8061A"/>
    <w:rsid w:val="00E80699"/>
    <w:rsid w:val="00E80725"/>
    <w:rsid w:val="00E81FD3"/>
    <w:rsid w:val="00E82446"/>
    <w:rsid w:val="00E82708"/>
    <w:rsid w:val="00E8279C"/>
    <w:rsid w:val="00E82977"/>
    <w:rsid w:val="00E82C39"/>
    <w:rsid w:val="00E83335"/>
    <w:rsid w:val="00E83634"/>
    <w:rsid w:val="00E83882"/>
    <w:rsid w:val="00E838BE"/>
    <w:rsid w:val="00E84324"/>
    <w:rsid w:val="00E84645"/>
    <w:rsid w:val="00E8478D"/>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00B"/>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782"/>
    <w:rsid w:val="00EB2EE9"/>
    <w:rsid w:val="00EB3216"/>
    <w:rsid w:val="00EB3A2B"/>
    <w:rsid w:val="00EB493D"/>
    <w:rsid w:val="00EB4A40"/>
    <w:rsid w:val="00EB50A0"/>
    <w:rsid w:val="00EB5BE2"/>
    <w:rsid w:val="00EB63CA"/>
    <w:rsid w:val="00EB6539"/>
    <w:rsid w:val="00EB6697"/>
    <w:rsid w:val="00EB7C30"/>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14F"/>
    <w:rsid w:val="00ED4412"/>
    <w:rsid w:val="00ED4606"/>
    <w:rsid w:val="00ED47EC"/>
    <w:rsid w:val="00ED48D3"/>
    <w:rsid w:val="00ED52C8"/>
    <w:rsid w:val="00ED5318"/>
    <w:rsid w:val="00ED6992"/>
    <w:rsid w:val="00ED69DE"/>
    <w:rsid w:val="00ED6B96"/>
    <w:rsid w:val="00ED709C"/>
    <w:rsid w:val="00ED7456"/>
    <w:rsid w:val="00ED74BA"/>
    <w:rsid w:val="00ED786F"/>
    <w:rsid w:val="00ED7B5B"/>
    <w:rsid w:val="00ED7F42"/>
    <w:rsid w:val="00EE02EB"/>
    <w:rsid w:val="00EE0C19"/>
    <w:rsid w:val="00EE1262"/>
    <w:rsid w:val="00EE1385"/>
    <w:rsid w:val="00EE265E"/>
    <w:rsid w:val="00EE280D"/>
    <w:rsid w:val="00EE2EC9"/>
    <w:rsid w:val="00EE3046"/>
    <w:rsid w:val="00EE385A"/>
    <w:rsid w:val="00EE3E16"/>
    <w:rsid w:val="00EE417D"/>
    <w:rsid w:val="00EE460E"/>
    <w:rsid w:val="00EE489D"/>
    <w:rsid w:val="00EE5241"/>
    <w:rsid w:val="00EE53A4"/>
    <w:rsid w:val="00EE55C6"/>
    <w:rsid w:val="00EE5687"/>
    <w:rsid w:val="00EE5E14"/>
    <w:rsid w:val="00EE618B"/>
    <w:rsid w:val="00EE6330"/>
    <w:rsid w:val="00EE651A"/>
    <w:rsid w:val="00EE6829"/>
    <w:rsid w:val="00EE6872"/>
    <w:rsid w:val="00EE6AFC"/>
    <w:rsid w:val="00EE6E27"/>
    <w:rsid w:val="00EE6E7C"/>
    <w:rsid w:val="00EE7578"/>
    <w:rsid w:val="00EE782D"/>
    <w:rsid w:val="00EE7BA6"/>
    <w:rsid w:val="00EF0408"/>
    <w:rsid w:val="00EF05E9"/>
    <w:rsid w:val="00EF0A5F"/>
    <w:rsid w:val="00EF0A73"/>
    <w:rsid w:val="00EF0C71"/>
    <w:rsid w:val="00EF109A"/>
    <w:rsid w:val="00EF166A"/>
    <w:rsid w:val="00EF2175"/>
    <w:rsid w:val="00EF26E2"/>
    <w:rsid w:val="00EF28EE"/>
    <w:rsid w:val="00EF2F72"/>
    <w:rsid w:val="00EF2FDC"/>
    <w:rsid w:val="00EF398A"/>
    <w:rsid w:val="00EF4A8B"/>
    <w:rsid w:val="00EF4EFE"/>
    <w:rsid w:val="00EF64BE"/>
    <w:rsid w:val="00EF6C6E"/>
    <w:rsid w:val="00EF6CF6"/>
    <w:rsid w:val="00EF6D1F"/>
    <w:rsid w:val="00EF6DC3"/>
    <w:rsid w:val="00EF73AC"/>
    <w:rsid w:val="00F00978"/>
    <w:rsid w:val="00F00B13"/>
    <w:rsid w:val="00F01E45"/>
    <w:rsid w:val="00F02206"/>
    <w:rsid w:val="00F02A69"/>
    <w:rsid w:val="00F02B02"/>
    <w:rsid w:val="00F02C10"/>
    <w:rsid w:val="00F02FE6"/>
    <w:rsid w:val="00F03DC7"/>
    <w:rsid w:val="00F04192"/>
    <w:rsid w:val="00F04383"/>
    <w:rsid w:val="00F047AA"/>
    <w:rsid w:val="00F0509D"/>
    <w:rsid w:val="00F0538C"/>
    <w:rsid w:val="00F0551D"/>
    <w:rsid w:val="00F05E94"/>
    <w:rsid w:val="00F065A4"/>
    <w:rsid w:val="00F072BC"/>
    <w:rsid w:val="00F07317"/>
    <w:rsid w:val="00F073D2"/>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21C"/>
    <w:rsid w:val="00F134C8"/>
    <w:rsid w:val="00F134D7"/>
    <w:rsid w:val="00F13603"/>
    <w:rsid w:val="00F13AD1"/>
    <w:rsid w:val="00F13BC9"/>
    <w:rsid w:val="00F14A72"/>
    <w:rsid w:val="00F15458"/>
    <w:rsid w:val="00F1592D"/>
    <w:rsid w:val="00F15C76"/>
    <w:rsid w:val="00F15D70"/>
    <w:rsid w:val="00F16A4B"/>
    <w:rsid w:val="00F16AC3"/>
    <w:rsid w:val="00F16EA6"/>
    <w:rsid w:val="00F1758E"/>
    <w:rsid w:val="00F17918"/>
    <w:rsid w:val="00F17D4C"/>
    <w:rsid w:val="00F20059"/>
    <w:rsid w:val="00F20699"/>
    <w:rsid w:val="00F20F9C"/>
    <w:rsid w:val="00F2127F"/>
    <w:rsid w:val="00F21976"/>
    <w:rsid w:val="00F21D9B"/>
    <w:rsid w:val="00F228E3"/>
    <w:rsid w:val="00F22EF9"/>
    <w:rsid w:val="00F23616"/>
    <w:rsid w:val="00F23D8B"/>
    <w:rsid w:val="00F23E06"/>
    <w:rsid w:val="00F250B2"/>
    <w:rsid w:val="00F26897"/>
    <w:rsid w:val="00F26C68"/>
    <w:rsid w:val="00F26DA1"/>
    <w:rsid w:val="00F2750E"/>
    <w:rsid w:val="00F27836"/>
    <w:rsid w:val="00F27B62"/>
    <w:rsid w:val="00F27F03"/>
    <w:rsid w:val="00F27FC0"/>
    <w:rsid w:val="00F30049"/>
    <w:rsid w:val="00F304F2"/>
    <w:rsid w:val="00F305D9"/>
    <w:rsid w:val="00F317C1"/>
    <w:rsid w:val="00F31B40"/>
    <w:rsid w:val="00F3221C"/>
    <w:rsid w:val="00F32FC8"/>
    <w:rsid w:val="00F3347A"/>
    <w:rsid w:val="00F337C1"/>
    <w:rsid w:val="00F33CE4"/>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508"/>
    <w:rsid w:val="00F46D77"/>
    <w:rsid w:val="00F470D4"/>
    <w:rsid w:val="00F47218"/>
    <w:rsid w:val="00F4754E"/>
    <w:rsid w:val="00F5064E"/>
    <w:rsid w:val="00F5070F"/>
    <w:rsid w:val="00F510E2"/>
    <w:rsid w:val="00F51467"/>
    <w:rsid w:val="00F519BE"/>
    <w:rsid w:val="00F51F39"/>
    <w:rsid w:val="00F52330"/>
    <w:rsid w:val="00F529F2"/>
    <w:rsid w:val="00F52DDA"/>
    <w:rsid w:val="00F530BF"/>
    <w:rsid w:val="00F53962"/>
    <w:rsid w:val="00F54086"/>
    <w:rsid w:val="00F54427"/>
    <w:rsid w:val="00F54572"/>
    <w:rsid w:val="00F546D2"/>
    <w:rsid w:val="00F54D19"/>
    <w:rsid w:val="00F54E5C"/>
    <w:rsid w:val="00F551FA"/>
    <w:rsid w:val="00F55396"/>
    <w:rsid w:val="00F553EF"/>
    <w:rsid w:val="00F555F0"/>
    <w:rsid w:val="00F55CE8"/>
    <w:rsid w:val="00F5674C"/>
    <w:rsid w:val="00F5685E"/>
    <w:rsid w:val="00F56C0A"/>
    <w:rsid w:val="00F5709F"/>
    <w:rsid w:val="00F575A4"/>
    <w:rsid w:val="00F577C1"/>
    <w:rsid w:val="00F604BA"/>
    <w:rsid w:val="00F606BE"/>
    <w:rsid w:val="00F610D9"/>
    <w:rsid w:val="00F6142B"/>
    <w:rsid w:val="00F614A1"/>
    <w:rsid w:val="00F61968"/>
    <w:rsid w:val="00F627CD"/>
    <w:rsid w:val="00F62E1B"/>
    <w:rsid w:val="00F63151"/>
    <w:rsid w:val="00F645D0"/>
    <w:rsid w:val="00F64834"/>
    <w:rsid w:val="00F64A4A"/>
    <w:rsid w:val="00F64E93"/>
    <w:rsid w:val="00F65203"/>
    <w:rsid w:val="00F65592"/>
    <w:rsid w:val="00F663F8"/>
    <w:rsid w:val="00F66909"/>
    <w:rsid w:val="00F66AF0"/>
    <w:rsid w:val="00F66EB5"/>
    <w:rsid w:val="00F66FC8"/>
    <w:rsid w:val="00F67183"/>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8E7"/>
    <w:rsid w:val="00F74D3A"/>
    <w:rsid w:val="00F74E2C"/>
    <w:rsid w:val="00F7555E"/>
    <w:rsid w:val="00F75859"/>
    <w:rsid w:val="00F75938"/>
    <w:rsid w:val="00F75BEE"/>
    <w:rsid w:val="00F75D8A"/>
    <w:rsid w:val="00F75FCC"/>
    <w:rsid w:val="00F760AC"/>
    <w:rsid w:val="00F7649F"/>
    <w:rsid w:val="00F76A6A"/>
    <w:rsid w:val="00F7703E"/>
    <w:rsid w:val="00F772F5"/>
    <w:rsid w:val="00F773A6"/>
    <w:rsid w:val="00F778EE"/>
    <w:rsid w:val="00F77D1F"/>
    <w:rsid w:val="00F77DC0"/>
    <w:rsid w:val="00F802E7"/>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3F15"/>
    <w:rsid w:val="00F9470A"/>
    <w:rsid w:val="00F94CF7"/>
    <w:rsid w:val="00F9519D"/>
    <w:rsid w:val="00F95688"/>
    <w:rsid w:val="00F96518"/>
    <w:rsid w:val="00F96AC8"/>
    <w:rsid w:val="00F97056"/>
    <w:rsid w:val="00F97074"/>
    <w:rsid w:val="00F970BE"/>
    <w:rsid w:val="00F97375"/>
    <w:rsid w:val="00FA0A87"/>
    <w:rsid w:val="00FA2822"/>
    <w:rsid w:val="00FA2E1B"/>
    <w:rsid w:val="00FA34F5"/>
    <w:rsid w:val="00FA34FF"/>
    <w:rsid w:val="00FA35A9"/>
    <w:rsid w:val="00FA3628"/>
    <w:rsid w:val="00FA3CF5"/>
    <w:rsid w:val="00FA3F2B"/>
    <w:rsid w:val="00FA3FEB"/>
    <w:rsid w:val="00FA4212"/>
    <w:rsid w:val="00FA4320"/>
    <w:rsid w:val="00FA445A"/>
    <w:rsid w:val="00FA5053"/>
    <w:rsid w:val="00FA59F5"/>
    <w:rsid w:val="00FA60F0"/>
    <w:rsid w:val="00FA6A2C"/>
    <w:rsid w:val="00FA709B"/>
    <w:rsid w:val="00FA791F"/>
    <w:rsid w:val="00FA79F8"/>
    <w:rsid w:val="00FA7A7E"/>
    <w:rsid w:val="00FA7C3C"/>
    <w:rsid w:val="00FB08AE"/>
    <w:rsid w:val="00FB0E8B"/>
    <w:rsid w:val="00FB15D0"/>
    <w:rsid w:val="00FB22A4"/>
    <w:rsid w:val="00FB26BC"/>
    <w:rsid w:val="00FB396D"/>
    <w:rsid w:val="00FB3D6E"/>
    <w:rsid w:val="00FB3FE9"/>
    <w:rsid w:val="00FB41BC"/>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0DF"/>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325"/>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C75"/>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551D92"/>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Menzionenonrisolta15">
    <w:name w:val="Menzione non risolta15"/>
    <w:basedOn w:val="Carpredefinitoparagrafo"/>
    <w:uiPriority w:val="99"/>
    <w:semiHidden/>
    <w:unhideWhenUsed/>
    <w:rsid w:val="00A018E7"/>
    <w:rPr>
      <w:color w:val="605E5C"/>
      <w:shd w:val="clear" w:color="auto" w:fill="E1DFDD"/>
    </w:rPr>
  </w:style>
  <w:style w:type="character" w:customStyle="1" w:styleId="Menzionenonrisolta16">
    <w:name w:val="Menzione non risolta16"/>
    <w:basedOn w:val="Carpredefinitoparagrafo"/>
    <w:uiPriority w:val="99"/>
    <w:semiHidden/>
    <w:unhideWhenUsed/>
    <w:rsid w:val="00D37FA9"/>
    <w:rPr>
      <w:color w:val="605E5C"/>
      <w:shd w:val="clear" w:color="auto" w:fill="E1DFDD"/>
    </w:rPr>
  </w:style>
  <w:style w:type="character" w:customStyle="1" w:styleId="Menzionenonrisolta17">
    <w:name w:val="Menzione non risolta17"/>
    <w:basedOn w:val="Carpredefinitoparagrafo"/>
    <w:uiPriority w:val="99"/>
    <w:semiHidden/>
    <w:unhideWhenUsed/>
    <w:rsid w:val="00905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24255750">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66391531">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291448860">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32555924">
      <w:bodyDiv w:val="1"/>
      <w:marLeft w:val="0"/>
      <w:marRight w:val="0"/>
      <w:marTop w:val="0"/>
      <w:marBottom w:val="0"/>
      <w:divBdr>
        <w:top w:val="none" w:sz="0" w:space="0" w:color="auto"/>
        <w:left w:val="none" w:sz="0" w:space="0" w:color="auto"/>
        <w:bottom w:val="none" w:sz="0" w:space="0" w:color="auto"/>
        <w:right w:val="none" w:sz="0" w:space="0" w:color="auto"/>
      </w:divBdr>
    </w:div>
    <w:div w:id="437454497">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583994295">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8583902">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4476266">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73383312">
      <w:bodyDiv w:val="1"/>
      <w:marLeft w:val="0"/>
      <w:marRight w:val="0"/>
      <w:marTop w:val="0"/>
      <w:marBottom w:val="0"/>
      <w:divBdr>
        <w:top w:val="none" w:sz="0" w:space="0" w:color="auto"/>
        <w:left w:val="none" w:sz="0" w:space="0" w:color="auto"/>
        <w:bottom w:val="none" w:sz="0" w:space="0" w:color="auto"/>
        <w:right w:val="none" w:sz="0" w:space="0" w:color="auto"/>
      </w:divBdr>
    </w:div>
    <w:div w:id="692540342">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31778537">
      <w:bodyDiv w:val="1"/>
      <w:marLeft w:val="0"/>
      <w:marRight w:val="0"/>
      <w:marTop w:val="0"/>
      <w:marBottom w:val="0"/>
      <w:divBdr>
        <w:top w:val="none" w:sz="0" w:space="0" w:color="auto"/>
        <w:left w:val="none" w:sz="0" w:space="0" w:color="auto"/>
        <w:bottom w:val="none" w:sz="0" w:space="0" w:color="auto"/>
        <w:right w:val="none" w:sz="0" w:space="0" w:color="auto"/>
      </w:divBdr>
    </w:div>
    <w:div w:id="735277342">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3423715">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0584027">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166637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083602629">
      <w:bodyDiv w:val="1"/>
      <w:marLeft w:val="0"/>
      <w:marRight w:val="0"/>
      <w:marTop w:val="0"/>
      <w:marBottom w:val="0"/>
      <w:divBdr>
        <w:top w:val="none" w:sz="0" w:space="0" w:color="auto"/>
        <w:left w:val="none" w:sz="0" w:space="0" w:color="auto"/>
        <w:bottom w:val="none" w:sz="0" w:space="0" w:color="auto"/>
        <w:right w:val="none" w:sz="0" w:space="0" w:color="auto"/>
      </w:divBdr>
    </w:div>
    <w:div w:id="1086539799">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70483289">
      <w:bodyDiv w:val="1"/>
      <w:marLeft w:val="0"/>
      <w:marRight w:val="0"/>
      <w:marTop w:val="0"/>
      <w:marBottom w:val="0"/>
      <w:divBdr>
        <w:top w:val="none" w:sz="0" w:space="0" w:color="auto"/>
        <w:left w:val="none" w:sz="0" w:space="0" w:color="auto"/>
        <w:bottom w:val="none" w:sz="0" w:space="0" w:color="auto"/>
        <w:right w:val="none" w:sz="0" w:space="0" w:color="auto"/>
      </w:divBdr>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23516492">
      <w:bodyDiv w:val="1"/>
      <w:marLeft w:val="0"/>
      <w:marRight w:val="0"/>
      <w:marTop w:val="0"/>
      <w:marBottom w:val="0"/>
      <w:divBdr>
        <w:top w:val="none" w:sz="0" w:space="0" w:color="auto"/>
        <w:left w:val="none" w:sz="0" w:space="0" w:color="auto"/>
        <w:bottom w:val="none" w:sz="0" w:space="0" w:color="auto"/>
        <w:right w:val="none" w:sz="0" w:space="0" w:color="auto"/>
      </w:divBdr>
    </w:div>
    <w:div w:id="1244802138">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017461">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1971440">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550707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894458524">
      <w:bodyDiv w:val="1"/>
      <w:marLeft w:val="0"/>
      <w:marRight w:val="0"/>
      <w:marTop w:val="0"/>
      <w:marBottom w:val="0"/>
      <w:divBdr>
        <w:top w:val="none" w:sz="0" w:space="0" w:color="auto"/>
        <w:left w:val="none" w:sz="0" w:space="0" w:color="auto"/>
        <w:bottom w:val="none" w:sz="0" w:space="0" w:color="auto"/>
        <w:right w:val="none" w:sz="0" w:space="0" w:color="auto"/>
      </w:divBdr>
      <w:divsChild>
        <w:div w:id="956327282">
          <w:marLeft w:val="0"/>
          <w:marRight w:val="0"/>
          <w:marTop w:val="0"/>
          <w:marBottom w:val="0"/>
          <w:divBdr>
            <w:top w:val="none" w:sz="0" w:space="0" w:color="auto"/>
            <w:left w:val="none" w:sz="0" w:space="0" w:color="auto"/>
            <w:bottom w:val="none" w:sz="0" w:space="0" w:color="auto"/>
            <w:right w:val="none" w:sz="0" w:space="0" w:color="auto"/>
          </w:divBdr>
        </w:div>
      </w:divsChild>
    </w:div>
    <w:div w:id="190841658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422524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1979031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gimbe.org/var/contenuti/Circolare_UCCV_13-07-2022.pdf"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trovanorme.salute.gov.it/norme/renderNormsanPdf?anno=2022&amp;codLeg=88043&amp;parte=1%20&amp;serie=null" TargetMode="External"/><Relationship Id="rId17" Type="http://schemas.openxmlformats.org/officeDocument/2006/relationships/hyperlink" Target="mailto:ufficio.stampa@gimbe.org"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coronavirus.gimbe.org"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dose-addizionale-booster.csv"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who.int/europe/publications/i/item/WHO-EURO-2022-5851-45616-65461"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17-agosto-2022.pdf" TargetMode="External"/><Relationship Id="rId14" Type="http://schemas.openxmlformats.org/officeDocument/2006/relationships/hyperlink" Target="https://github.com/italia/covid19-opendata-vaccini/blob/master/dati/platea-second-booster.cs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www.epicentro.iss.it/coronavirus/bollettino/Bollettino-sorveglianza-integrata-COVID-19_17-agosto-2022.pdf"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304C6-6C1B-4557-A407-276F5245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2783</Words>
  <Characters>15866</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Cartabellotta</dc:creator>
  <cp:lastModifiedBy>Roberto Luceri</cp:lastModifiedBy>
  <cp:revision>6</cp:revision>
  <cp:lastPrinted>2022-08-24T13:12:00Z</cp:lastPrinted>
  <dcterms:created xsi:type="dcterms:W3CDTF">2022-08-24T13:28:00Z</dcterms:created>
  <dcterms:modified xsi:type="dcterms:W3CDTF">2022-08-24T13:38:00Z</dcterms:modified>
</cp:coreProperties>
</file>