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82" w:rsidRPr="00B74102" w:rsidRDefault="00124E32" w:rsidP="00A94901">
      <w:pPr>
        <w:jc w:val="center"/>
        <w:rPr>
          <w:b/>
          <w:bCs/>
          <w:sz w:val="36"/>
        </w:rPr>
      </w:pPr>
      <w:r w:rsidRPr="00F544A5">
        <w:rPr>
          <w:rFonts w:ascii="Calibri" w:eastAsia="Calibri" w:hAnsi="Calibri" w:cs="Times New Roman"/>
          <w:b/>
          <w:bCs/>
          <w:sz w:val="32"/>
          <w:szCs w:val="32"/>
        </w:rPr>
        <w:t>COMUNICATO STAMPA</w:t>
      </w:r>
    </w:p>
    <w:p w:rsidR="00637EFB" w:rsidRPr="00637EFB" w:rsidRDefault="00AB415E" w:rsidP="00B05439">
      <w:pPr>
        <w:spacing w:after="120"/>
        <w:jc w:val="center"/>
        <w:rPr>
          <w:b/>
          <w:sz w:val="34"/>
          <w:szCs w:val="34"/>
          <w:lang w:eastAsia="it-IT"/>
        </w:rPr>
      </w:pPr>
      <w:r>
        <w:rPr>
          <w:b/>
          <w:sz w:val="34"/>
          <w:szCs w:val="34"/>
          <w:lang w:eastAsia="it-IT"/>
        </w:rPr>
        <w:t>CASI IN RI</w:t>
      </w:r>
      <w:bookmarkStart w:id="0" w:name="_GoBack"/>
      <w:bookmarkEnd w:id="0"/>
      <w:r>
        <w:rPr>
          <w:b/>
          <w:sz w:val="34"/>
          <w:szCs w:val="34"/>
          <w:lang w:eastAsia="it-IT"/>
        </w:rPr>
        <w:t>DUZIONE, MA TAMPONI IN</w:t>
      </w:r>
      <w:r w:rsidR="00702C85">
        <w:rPr>
          <w:b/>
          <w:sz w:val="34"/>
          <w:szCs w:val="34"/>
          <w:lang w:eastAsia="it-IT"/>
        </w:rPr>
        <w:t xml:space="preserve"> NETTO</w:t>
      </w:r>
      <w:r>
        <w:rPr>
          <w:b/>
          <w:sz w:val="34"/>
          <w:szCs w:val="34"/>
          <w:lang w:eastAsia="it-IT"/>
        </w:rPr>
        <w:t xml:space="preserve"> </w:t>
      </w:r>
      <w:r w:rsidR="00095FCA">
        <w:rPr>
          <w:b/>
          <w:sz w:val="34"/>
          <w:szCs w:val="34"/>
          <w:lang w:eastAsia="it-IT"/>
        </w:rPr>
        <w:t>CALO</w:t>
      </w:r>
      <w:r w:rsidR="00E45EDE">
        <w:rPr>
          <w:b/>
          <w:sz w:val="34"/>
          <w:szCs w:val="34"/>
          <w:lang w:eastAsia="it-IT"/>
        </w:rPr>
        <w:t>.</w:t>
      </w:r>
      <w:r w:rsidR="002509F9">
        <w:rPr>
          <w:b/>
          <w:sz w:val="34"/>
          <w:szCs w:val="34"/>
          <w:lang w:eastAsia="it-IT"/>
        </w:rPr>
        <w:br/>
      </w:r>
      <w:r w:rsidR="00E45EDE">
        <w:rPr>
          <w:b/>
          <w:sz w:val="34"/>
          <w:szCs w:val="34"/>
          <w:lang w:eastAsia="it-IT"/>
        </w:rPr>
        <w:t xml:space="preserve">NUOVI </w:t>
      </w:r>
      <w:r w:rsidR="003B3BA8">
        <w:rPr>
          <w:b/>
          <w:sz w:val="34"/>
          <w:szCs w:val="34"/>
          <w:lang w:eastAsia="it-IT"/>
        </w:rPr>
        <w:t xml:space="preserve">FOCOLAI </w:t>
      </w:r>
      <w:r w:rsidR="00E45EDE">
        <w:rPr>
          <w:b/>
          <w:sz w:val="34"/>
          <w:szCs w:val="34"/>
          <w:lang w:eastAsia="it-IT"/>
        </w:rPr>
        <w:t xml:space="preserve">ATTESTANO </w:t>
      </w:r>
      <w:r w:rsidR="007429A2">
        <w:rPr>
          <w:b/>
          <w:sz w:val="34"/>
          <w:szCs w:val="34"/>
          <w:lang w:eastAsia="it-IT"/>
        </w:rPr>
        <w:t xml:space="preserve">AMPIA </w:t>
      </w:r>
      <w:r w:rsidR="00991CD3">
        <w:rPr>
          <w:b/>
          <w:sz w:val="34"/>
          <w:szCs w:val="34"/>
          <w:lang w:eastAsia="it-IT"/>
        </w:rPr>
        <w:t xml:space="preserve">CIRCOLAZIONE </w:t>
      </w:r>
      <w:r w:rsidR="005A491E">
        <w:rPr>
          <w:b/>
          <w:sz w:val="34"/>
          <w:szCs w:val="34"/>
          <w:lang w:eastAsia="it-IT"/>
        </w:rPr>
        <w:t>CORONAVIRU</w:t>
      </w:r>
      <w:r w:rsidR="00991CD3">
        <w:rPr>
          <w:b/>
          <w:sz w:val="34"/>
          <w:szCs w:val="34"/>
          <w:lang w:eastAsia="it-IT"/>
        </w:rPr>
        <w:t>S</w:t>
      </w:r>
    </w:p>
    <w:p w:rsidR="00C64990" w:rsidRDefault="00AB415E" w:rsidP="00A94901">
      <w:pPr>
        <w:spacing w:after="120"/>
        <w:jc w:val="both"/>
        <w:rPr>
          <w:b/>
          <w:sz w:val="23"/>
          <w:szCs w:val="23"/>
          <w:lang w:eastAsia="it-IT"/>
        </w:rPr>
      </w:pPr>
      <w:r>
        <w:rPr>
          <w:b/>
          <w:sz w:val="23"/>
          <w:szCs w:val="23"/>
          <w:lang w:eastAsia="it-IT"/>
        </w:rPr>
        <w:t xml:space="preserve">CONTINUA </w:t>
      </w:r>
      <w:r w:rsidR="00062E06">
        <w:rPr>
          <w:b/>
          <w:sz w:val="23"/>
          <w:szCs w:val="23"/>
          <w:lang w:eastAsia="it-IT"/>
        </w:rPr>
        <w:t>IL CALO COSTANTE DEI PAZIENTI RICOVERATI CON SINTOMI E IN TERAPIA INTENSIVA</w:t>
      </w:r>
      <w:r w:rsidR="005A491E">
        <w:rPr>
          <w:b/>
          <w:sz w:val="23"/>
          <w:szCs w:val="23"/>
          <w:lang w:eastAsia="it-IT"/>
        </w:rPr>
        <w:t xml:space="preserve"> CHE </w:t>
      </w:r>
      <w:r>
        <w:rPr>
          <w:b/>
          <w:sz w:val="23"/>
          <w:szCs w:val="23"/>
          <w:lang w:eastAsia="it-IT"/>
        </w:rPr>
        <w:t xml:space="preserve">NON </w:t>
      </w:r>
      <w:r w:rsidR="00710B57">
        <w:rPr>
          <w:b/>
          <w:sz w:val="23"/>
          <w:szCs w:val="23"/>
          <w:lang w:eastAsia="it-IT"/>
        </w:rPr>
        <w:t xml:space="preserve">DEVE TUTTAVIA ESSERE CONFUSO </w:t>
      </w:r>
      <w:r w:rsidR="00062E06">
        <w:rPr>
          <w:b/>
          <w:sz w:val="23"/>
          <w:szCs w:val="23"/>
          <w:lang w:eastAsia="it-IT"/>
        </w:rPr>
        <w:t>CON L’</w:t>
      </w:r>
      <w:r w:rsidR="005A491E">
        <w:rPr>
          <w:b/>
          <w:sz w:val="23"/>
          <w:szCs w:val="23"/>
          <w:lang w:eastAsia="it-IT"/>
        </w:rPr>
        <w:t xml:space="preserve">ASSENZA DI </w:t>
      </w:r>
      <w:r w:rsidR="00710B57">
        <w:rPr>
          <w:b/>
          <w:sz w:val="23"/>
          <w:szCs w:val="23"/>
          <w:lang w:eastAsia="it-IT"/>
        </w:rPr>
        <w:t xml:space="preserve">NUOVI </w:t>
      </w:r>
      <w:r w:rsidR="005A491E">
        <w:rPr>
          <w:b/>
          <w:sz w:val="23"/>
          <w:szCs w:val="23"/>
          <w:lang w:eastAsia="it-IT"/>
        </w:rPr>
        <w:t xml:space="preserve">RICOVERI </w:t>
      </w:r>
      <w:r w:rsidR="00710B57">
        <w:rPr>
          <w:b/>
          <w:sz w:val="23"/>
          <w:szCs w:val="23"/>
          <w:lang w:eastAsia="it-IT"/>
        </w:rPr>
        <w:t>PER COVID</w:t>
      </w:r>
      <w:r w:rsidR="00E45EDE">
        <w:rPr>
          <w:b/>
          <w:sz w:val="23"/>
          <w:szCs w:val="23"/>
          <w:lang w:eastAsia="it-IT"/>
        </w:rPr>
        <w:t>-19</w:t>
      </w:r>
      <w:r w:rsidR="00062E06">
        <w:rPr>
          <w:b/>
          <w:sz w:val="23"/>
          <w:szCs w:val="23"/>
          <w:lang w:eastAsia="it-IT"/>
        </w:rPr>
        <w:t xml:space="preserve">. </w:t>
      </w:r>
      <w:r w:rsidR="00710B57">
        <w:rPr>
          <w:b/>
          <w:sz w:val="23"/>
          <w:szCs w:val="23"/>
          <w:lang w:eastAsia="it-IT"/>
        </w:rPr>
        <w:t xml:space="preserve">RISPETTO ALLA SETTIMANA PRECEDENTE </w:t>
      </w:r>
      <w:r w:rsidR="00062E06">
        <w:rPr>
          <w:b/>
          <w:sz w:val="23"/>
          <w:szCs w:val="23"/>
          <w:lang w:eastAsia="it-IT"/>
        </w:rPr>
        <w:t>SI RIDUCE L’INCREMENTO DEI NUOVI CASI (+</w:t>
      </w:r>
      <w:r w:rsidR="003B3BA8">
        <w:rPr>
          <w:b/>
          <w:sz w:val="23"/>
          <w:szCs w:val="23"/>
          <w:lang w:eastAsia="it-IT"/>
        </w:rPr>
        <w:t>0,6%</w:t>
      </w:r>
      <w:r w:rsidR="00062E06">
        <w:rPr>
          <w:b/>
          <w:sz w:val="23"/>
          <w:szCs w:val="23"/>
          <w:lang w:eastAsia="it-IT"/>
        </w:rPr>
        <w:t>)</w:t>
      </w:r>
      <w:r>
        <w:rPr>
          <w:b/>
          <w:sz w:val="23"/>
          <w:szCs w:val="23"/>
          <w:lang w:eastAsia="it-IT"/>
        </w:rPr>
        <w:t xml:space="preserve">, </w:t>
      </w:r>
      <w:r w:rsidR="00710B57">
        <w:rPr>
          <w:b/>
          <w:sz w:val="23"/>
          <w:szCs w:val="23"/>
          <w:lang w:eastAsia="it-IT"/>
        </w:rPr>
        <w:t xml:space="preserve">INEVITABILMENTE </w:t>
      </w:r>
      <w:r w:rsidR="003B3BA8">
        <w:rPr>
          <w:b/>
          <w:sz w:val="23"/>
          <w:szCs w:val="23"/>
          <w:lang w:eastAsia="it-IT"/>
        </w:rPr>
        <w:t>CONDIZIONATO DAL</w:t>
      </w:r>
      <w:r w:rsidR="00710B57">
        <w:rPr>
          <w:b/>
          <w:sz w:val="23"/>
          <w:szCs w:val="23"/>
          <w:lang w:eastAsia="it-IT"/>
        </w:rPr>
        <w:t xml:space="preserve"> </w:t>
      </w:r>
      <w:r w:rsidR="00702C85">
        <w:rPr>
          <w:b/>
          <w:sz w:val="23"/>
          <w:szCs w:val="23"/>
          <w:lang w:eastAsia="it-IT"/>
        </w:rPr>
        <w:t xml:space="preserve">NETTO </w:t>
      </w:r>
      <w:r w:rsidR="00095FCA">
        <w:rPr>
          <w:b/>
          <w:sz w:val="23"/>
          <w:szCs w:val="23"/>
          <w:lang w:eastAsia="it-IT"/>
        </w:rPr>
        <w:t xml:space="preserve">CALO </w:t>
      </w:r>
      <w:r>
        <w:rPr>
          <w:b/>
          <w:sz w:val="23"/>
          <w:szCs w:val="23"/>
          <w:lang w:eastAsia="it-IT"/>
        </w:rPr>
        <w:t>DEI</w:t>
      </w:r>
      <w:r w:rsidR="00062E06">
        <w:rPr>
          <w:b/>
          <w:sz w:val="23"/>
          <w:szCs w:val="23"/>
          <w:lang w:eastAsia="it-IT"/>
        </w:rPr>
        <w:t xml:space="preserve"> TAMPONI DIAGNOSTICI (-</w:t>
      </w:r>
      <w:r w:rsidR="00095FCA">
        <w:rPr>
          <w:b/>
          <w:sz w:val="23"/>
          <w:szCs w:val="23"/>
          <w:lang w:eastAsia="it-IT"/>
        </w:rPr>
        <w:t>26.876</w:t>
      </w:r>
      <w:r w:rsidR="00062E06">
        <w:rPr>
          <w:b/>
          <w:sz w:val="23"/>
          <w:szCs w:val="23"/>
          <w:lang w:eastAsia="it-IT"/>
        </w:rPr>
        <w:t xml:space="preserve">). UNA DECINA DI FOCOLAI SEGNALATI NELL’ULTIMA SETTIMANA </w:t>
      </w:r>
      <w:r>
        <w:rPr>
          <w:b/>
          <w:sz w:val="23"/>
          <w:szCs w:val="23"/>
          <w:lang w:eastAsia="it-IT"/>
        </w:rPr>
        <w:t>DIMOSTRANO</w:t>
      </w:r>
      <w:r w:rsidR="00062E06">
        <w:rPr>
          <w:b/>
          <w:sz w:val="23"/>
          <w:szCs w:val="23"/>
          <w:lang w:eastAsia="it-IT"/>
        </w:rPr>
        <w:t xml:space="preserve"> CHE IL VIRUS CONTINUA A CIRCOLARE </w:t>
      </w:r>
      <w:r>
        <w:rPr>
          <w:b/>
          <w:sz w:val="23"/>
          <w:szCs w:val="23"/>
          <w:lang w:eastAsia="it-IT"/>
        </w:rPr>
        <w:t xml:space="preserve">OVUNQUE </w:t>
      </w:r>
      <w:r w:rsidR="00062E06">
        <w:rPr>
          <w:b/>
          <w:sz w:val="23"/>
          <w:szCs w:val="23"/>
          <w:lang w:eastAsia="it-IT"/>
        </w:rPr>
        <w:t xml:space="preserve">E </w:t>
      </w:r>
      <w:r>
        <w:rPr>
          <w:b/>
          <w:sz w:val="23"/>
          <w:szCs w:val="23"/>
          <w:lang w:eastAsia="it-IT"/>
        </w:rPr>
        <w:t xml:space="preserve">NON </w:t>
      </w:r>
      <w:r w:rsidR="00062E06">
        <w:rPr>
          <w:b/>
          <w:sz w:val="23"/>
          <w:szCs w:val="23"/>
          <w:lang w:eastAsia="it-IT"/>
        </w:rPr>
        <w:t>BISOGNA ABBASSARE LA GUARDIA</w:t>
      </w:r>
      <w:r>
        <w:rPr>
          <w:b/>
          <w:sz w:val="23"/>
          <w:szCs w:val="23"/>
          <w:lang w:eastAsia="it-IT"/>
        </w:rPr>
        <w:t xml:space="preserve">: </w:t>
      </w:r>
      <w:r w:rsidR="00062E06">
        <w:rPr>
          <w:b/>
          <w:sz w:val="23"/>
          <w:szCs w:val="23"/>
          <w:lang w:eastAsia="it-IT"/>
        </w:rPr>
        <w:t>COMPORTAMENTI INDIVIDUALI, S</w:t>
      </w:r>
      <w:r>
        <w:rPr>
          <w:b/>
          <w:sz w:val="23"/>
          <w:szCs w:val="23"/>
          <w:lang w:eastAsia="it-IT"/>
        </w:rPr>
        <w:t>ORVEGLIANZA EPIDEMIOLOGICA E POTENZIAMENTO DELL’ATTIVITÀ DI TESTING</w:t>
      </w:r>
      <w:r w:rsidR="003B3BA8">
        <w:rPr>
          <w:b/>
          <w:sz w:val="23"/>
          <w:szCs w:val="23"/>
          <w:lang w:eastAsia="it-IT"/>
        </w:rPr>
        <w:t xml:space="preserve"> RIMANGONO </w:t>
      </w:r>
      <w:r w:rsidR="00710B57">
        <w:rPr>
          <w:b/>
          <w:sz w:val="23"/>
          <w:szCs w:val="23"/>
          <w:lang w:eastAsia="it-IT"/>
        </w:rPr>
        <w:t>ARMI INDISPENSABILI PER UNA “TRANQUILLA” CONVIVENZA COL VIRUS.</w:t>
      </w:r>
    </w:p>
    <w:p w:rsidR="00B443D8" w:rsidRDefault="003658CE" w:rsidP="00B443D8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25</w:t>
      </w:r>
      <w:r w:rsidR="007F3F63">
        <w:rPr>
          <w:rFonts w:ascii="Calibri" w:eastAsia="Calibri" w:hAnsi="Calibri" w:cs="Times New Roman"/>
          <w:b/>
          <w:bCs/>
          <w:sz w:val="24"/>
          <w:szCs w:val="24"/>
        </w:rPr>
        <w:t xml:space="preserve"> giugno 2020</w:t>
      </w:r>
      <w:r w:rsidR="00B443D8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B443D8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:rsidR="00F1238A" w:rsidRDefault="004A7DB9" w:rsidP="00FF53EC">
      <w:pPr>
        <w:spacing w:after="120"/>
        <w:jc w:val="both"/>
        <w:rPr>
          <w:lang w:eastAsia="it-IT"/>
        </w:rPr>
      </w:pPr>
      <w:r>
        <w:t xml:space="preserve">Nella settimana </w:t>
      </w:r>
      <w:r w:rsidR="006E488E">
        <w:t>17</w:t>
      </w:r>
      <w:r w:rsidR="003658CE">
        <w:t>-23</w:t>
      </w:r>
      <w:r>
        <w:t xml:space="preserve"> giugno</w:t>
      </w:r>
      <w:r>
        <w:rPr>
          <w:lang w:eastAsia="it-IT"/>
        </w:rPr>
        <w:t xml:space="preserve"> </w:t>
      </w:r>
      <w:r>
        <w:t xml:space="preserve">il </w:t>
      </w:r>
      <w:r w:rsidR="00AB35BB">
        <w:t>monitoraggio indi</w:t>
      </w:r>
      <w:r w:rsidR="00611E90">
        <w:t>pendente della Fondazione GIMBE</w:t>
      </w:r>
      <w:r w:rsidR="00FF53EC">
        <w:rPr>
          <w:lang w:eastAsia="it-IT"/>
        </w:rPr>
        <w:t xml:space="preserve"> </w:t>
      </w:r>
      <w:r w:rsidR="00AB35BB">
        <w:rPr>
          <w:lang w:eastAsia="it-IT"/>
        </w:rPr>
        <w:t>conferma</w:t>
      </w:r>
      <w:r w:rsidR="00611E90">
        <w:rPr>
          <w:lang w:eastAsia="it-IT"/>
        </w:rPr>
        <w:t>,</w:t>
      </w:r>
      <w:r w:rsidR="00AB35BB">
        <w:rPr>
          <w:lang w:eastAsia="it-IT"/>
        </w:rPr>
        <w:t xml:space="preserve"> </w:t>
      </w:r>
      <w:r w:rsidR="0013167A">
        <w:rPr>
          <w:lang w:eastAsia="it-IT"/>
        </w:rPr>
        <w:t>rispetto alla settimana precedente</w:t>
      </w:r>
      <w:r w:rsidR="00611E90">
        <w:rPr>
          <w:lang w:eastAsia="it-IT"/>
        </w:rPr>
        <w:t>,</w:t>
      </w:r>
      <w:r w:rsidR="0013167A">
        <w:rPr>
          <w:lang w:eastAsia="it-IT"/>
        </w:rPr>
        <w:t xml:space="preserve"> </w:t>
      </w:r>
      <w:r w:rsidR="00B05439">
        <w:rPr>
          <w:lang w:eastAsia="it-IT"/>
        </w:rPr>
        <w:t>l</w:t>
      </w:r>
      <w:r w:rsidR="00611E90">
        <w:rPr>
          <w:lang w:eastAsia="it-IT"/>
        </w:rPr>
        <w:t xml:space="preserve">a </w:t>
      </w:r>
      <w:r w:rsidR="00B05439">
        <w:rPr>
          <w:lang w:eastAsia="it-IT"/>
        </w:rPr>
        <w:t xml:space="preserve">costante </w:t>
      </w:r>
      <w:r w:rsidR="0013167A">
        <w:rPr>
          <w:lang w:eastAsia="it-IT"/>
        </w:rPr>
        <w:t>riduzione dei pazienti ricoverati</w:t>
      </w:r>
      <w:r w:rsidR="00ED248D">
        <w:rPr>
          <w:lang w:eastAsia="it-IT"/>
        </w:rPr>
        <w:t xml:space="preserve"> </w:t>
      </w:r>
      <w:r w:rsidR="0013167A">
        <w:rPr>
          <w:lang w:eastAsia="it-IT"/>
        </w:rPr>
        <w:t>con sintomi e in t</w:t>
      </w:r>
      <w:r w:rsidR="00A5468C">
        <w:rPr>
          <w:lang w:eastAsia="it-IT"/>
        </w:rPr>
        <w:t xml:space="preserve">erapia intensiva e </w:t>
      </w:r>
      <w:r w:rsidR="0013167A">
        <w:rPr>
          <w:lang w:eastAsia="it-IT"/>
        </w:rPr>
        <w:t>l’</w:t>
      </w:r>
      <w:r w:rsidR="00AB3446">
        <w:rPr>
          <w:lang w:eastAsia="it-IT"/>
        </w:rPr>
        <w:t xml:space="preserve">ulteriore </w:t>
      </w:r>
      <w:r w:rsidR="00B05439">
        <w:rPr>
          <w:lang w:eastAsia="it-IT"/>
        </w:rPr>
        <w:t xml:space="preserve">frenata nell’incremento </w:t>
      </w:r>
      <w:r w:rsidR="00153964">
        <w:rPr>
          <w:lang w:eastAsia="it-IT"/>
        </w:rPr>
        <w:t xml:space="preserve">dei nuovi casi, </w:t>
      </w:r>
      <w:r w:rsidR="00991CD3">
        <w:rPr>
          <w:lang w:eastAsia="it-IT"/>
        </w:rPr>
        <w:t xml:space="preserve">condizionata </w:t>
      </w:r>
      <w:r w:rsidR="00356D01">
        <w:rPr>
          <w:lang w:eastAsia="it-IT"/>
        </w:rPr>
        <w:t>tuttavia</w:t>
      </w:r>
      <w:r w:rsidR="00B05439">
        <w:rPr>
          <w:lang w:eastAsia="it-IT"/>
        </w:rPr>
        <w:t xml:space="preserve"> </w:t>
      </w:r>
      <w:r w:rsidR="00356D01">
        <w:rPr>
          <w:lang w:eastAsia="it-IT"/>
        </w:rPr>
        <w:t>dal</w:t>
      </w:r>
      <w:r w:rsidR="00B05439">
        <w:rPr>
          <w:lang w:eastAsia="it-IT"/>
        </w:rPr>
        <w:t xml:space="preserve"> </w:t>
      </w:r>
      <w:r w:rsidR="00702C85">
        <w:rPr>
          <w:lang w:eastAsia="it-IT"/>
        </w:rPr>
        <w:t xml:space="preserve">netto </w:t>
      </w:r>
      <w:r w:rsidR="00095FCA">
        <w:rPr>
          <w:lang w:eastAsia="it-IT"/>
        </w:rPr>
        <w:t xml:space="preserve">calo </w:t>
      </w:r>
      <w:r w:rsidR="00B05439">
        <w:rPr>
          <w:lang w:eastAsia="it-IT"/>
        </w:rPr>
        <w:t>dei tamponi diagnostici</w:t>
      </w:r>
      <w:r w:rsidR="00FD18A7">
        <w:rPr>
          <w:lang w:eastAsia="it-IT"/>
        </w:rPr>
        <w:t>, ovvero quelli finalizzati a identificare nuovi casi e non eseguiti per confermare le guarigioni o per altre necessità di ripetere il test (cd. tamponi di controllo)</w:t>
      </w:r>
      <w:r w:rsidR="00FF53EC">
        <w:rPr>
          <w:lang w:eastAsia="it-IT"/>
        </w:rPr>
        <w:t>. In sintesi:</w:t>
      </w:r>
    </w:p>
    <w:p w:rsidR="00260775" w:rsidRDefault="00260775" w:rsidP="00260775">
      <w:pPr>
        <w:pStyle w:val="Paragrafoelenco"/>
        <w:numPr>
          <w:ilvl w:val="0"/>
          <w:numId w:val="39"/>
        </w:numPr>
        <w:spacing w:after="120" w:line="276" w:lineRule="auto"/>
        <w:jc w:val="both"/>
      </w:pPr>
      <w:r>
        <w:t>Decessi: +270 (+0,8%)</w:t>
      </w:r>
    </w:p>
    <w:p w:rsidR="00260775" w:rsidRDefault="00260775" w:rsidP="00260775">
      <w:pPr>
        <w:pStyle w:val="Paragrafoelenco"/>
        <w:numPr>
          <w:ilvl w:val="0"/>
          <w:numId w:val="39"/>
        </w:numPr>
        <w:spacing w:after="120" w:line="276" w:lineRule="auto"/>
        <w:jc w:val="both"/>
      </w:pPr>
      <w:r>
        <w:t>Terapia intensiva: -62 (-35%)</w:t>
      </w:r>
    </w:p>
    <w:p w:rsidR="00260775" w:rsidRDefault="00260775" w:rsidP="00260775">
      <w:pPr>
        <w:pStyle w:val="Paragrafoelenco"/>
        <w:numPr>
          <w:ilvl w:val="0"/>
          <w:numId w:val="39"/>
        </w:numPr>
        <w:spacing w:after="120" w:line="276" w:lineRule="auto"/>
        <w:jc w:val="both"/>
      </w:pPr>
      <w:r>
        <w:t>Ricoverati con sintomi: -1.448 (-43,9%)</w:t>
      </w:r>
    </w:p>
    <w:p w:rsidR="00260775" w:rsidRDefault="00260775" w:rsidP="00260775">
      <w:pPr>
        <w:pStyle w:val="Paragrafoelenco"/>
        <w:numPr>
          <w:ilvl w:val="0"/>
          <w:numId w:val="39"/>
        </w:numPr>
        <w:spacing w:after="120" w:line="276" w:lineRule="auto"/>
        <w:jc w:val="both"/>
      </w:pPr>
      <w:r>
        <w:t>Casi totali: +1.133 (+0,6%)</w:t>
      </w:r>
    </w:p>
    <w:p w:rsidR="00260775" w:rsidRDefault="00260775" w:rsidP="00260775">
      <w:pPr>
        <w:pStyle w:val="Paragrafoelenco"/>
        <w:numPr>
          <w:ilvl w:val="0"/>
          <w:numId w:val="39"/>
        </w:numPr>
        <w:spacing w:after="120" w:line="276" w:lineRule="auto"/>
        <w:jc w:val="both"/>
      </w:pPr>
      <w:r>
        <w:t>Tamponi diagnostici -</w:t>
      </w:r>
      <w:r w:rsidR="00095FCA">
        <w:t>26.876</w:t>
      </w:r>
      <w:r>
        <w:t>‬ (-</w:t>
      </w:r>
      <w:r w:rsidR="00095FCA">
        <w:t>12</w:t>
      </w:r>
      <w:r>
        <w:t>,</w:t>
      </w:r>
      <w:r w:rsidR="00095FCA">
        <w:t>4</w:t>
      </w:r>
      <w:r>
        <w:t>%)</w:t>
      </w:r>
    </w:p>
    <w:p w:rsidR="00260775" w:rsidRDefault="00260775" w:rsidP="00260775">
      <w:pPr>
        <w:pStyle w:val="Paragrafoelenco"/>
        <w:numPr>
          <w:ilvl w:val="0"/>
          <w:numId w:val="39"/>
        </w:numPr>
        <w:spacing w:after="120" w:line="276" w:lineRule="auto"/>
        <w:jc w:val="both"/>
      </w:pPr>
      <w:r>
        <w:t>Tamponi totali: -</w:t>
      </w:r>
      <w:r w:rsidR="00095FCA">
        <w:t>18</w:t>
      </w:r>
      <w:r>
        <w:t>.</w:t>
      </w:r>
      <w:r w:rsidR="00095FCA">
        <w:t xml:space="preserve">937 </w:t>
      </w:r>
      <w:r>
        <w:t>(-</w:t>
      </w:r>
      <w:r w:rsidR="00095FCA">
        <w:t>5</w:t>
      </w:r>
      <w:r>
        <w:t>%)</w:t>
      </w:r>
    </w:p>
    <w:p w:rsidR="00611E90" w:rsidRDefault="00611E90" w:rsidP="00611E90">
      <w:pPr>
        <w:spacing w:after="120"/>
        <w:jc w:val="both"/>
        <w:rPr>
          <w:lang w:eastAsia="it-IT"/>
        </w:rPr>
      </w:pPr>
      <w:r w:rsidRPr="00E51040">
        <w:t>«</w:t>
      </w:r>
      <w:r w:rsidR="00575FE4">
        <w:t xml:space="preserve">I dati </w:t>
      </w:r>
      <w:r w:rsidR="00E74C75" w:rsidRPr="00A24080">
        <w:rPr>
          <w:lang w:eastAsia="it-IT"/>
        </w:rPr>
        <w:t>–</w:t>
      </w:r>
      <w:r w:rsidR="00E74C75">
        <w:t xml:space="preserve"> </w:t>
      </w:r>
      <w:r w:rsidR="00E74C75">
        <w:rPr>
          <w:lang w:eastAsia="it-IT"/>
        </w:rPr>
        <w:t xml:space="preserve">afferma Nino Cartabellotta, presidente della Fondazione GIMBE </w:t>
      </w:r>
      <w:r w:rsidR="00E74C75" w:rsidRPr="00A24080">
        <w:rPr>
          <w:lang w:eastAsia="it-IT"/>
        </w:rPr>
        <w:t>–</w:t>
      </w:r>
      <w:r w:rsidR="00E74C75">
        <w:rPr>
          <w:lang w:eastAsia="it-IT"/>
        </w:rPr>
        <w:t xml:space="preserve"> </w:t>
      </w:r>
      <w:r w:rsidR="00575FE4">
        <w:t xml:space="preserve">confermano </w:t>
      </w:r>
      <w:r w:rsidR="00575FE4">
        <w:rPr>
          <w:lang w:eastAsia="it-IT"/>
        </w:rPr>
        <w:t xml:space="preserve">che </w:t>
      </w:r>
      <w:r w:rsidR="00260775">
        <w:rPr>
          <w:lang w:eastAsia="it-IT"/>
        </w:rPr>
        <w:t xml:space="preserve">il numero dei pazienti </w:t>
      </w:r>
      <w:r w:rsidR="00E60B1F">
        <w:rPr>
          <w:lang w:eastAsia="it-IT"/>
        </w:rPr>
        <w:t xml:space="preserve">attualmente </w:t>
      </w:r>
      <w:r w:rsidR="00E11C42">
        <w:rPr>
          <w:lang w:eastAsia="it-IT"/>
        </w:rPr>
        <w:t xml:space="preserve">ospedalizzati </w:t>
      </w:r>
      <w:r w:rsidR="00260775">
        <w:rPr>
          <w:lang w:eastAsia="it-IT"/>
        </w:rPr>
        <w:t>è in discesa costante e progressiva</w:t>
      </w:r>
      <w:r w:rsidR="00E11C42">
        <w:rPr>
          <w:lang w:eastAsia="it-IT"/>
        </w:rPr>
        <w:t xml:space="preserve"> dai primi di aprile, quando si contavano </w:t>
      </w:r>
      <w:r w:rsidR="00E74C75">
        <w:rPr>
          <w:lang w:eastAsia="it-IT"/>
        </w:rPr>
        <w:t>oltre 4.000</w:t>
      </w:r>
      <w:r w:rsidR="00991CD3">
        <w:rPr>
          <w:lang w:eastAsia="it-IT"/>
        </w:rPr>
        <w:t xml:space="preserve"> </w:t>
      </w:r>
      <w:r w:rsidR="00EC7EE7">
        <w:rPr>
          <w:lang w:eastAsia="it-IT"/>
        </w:rPr>
        <w:t xml:space="preserve">pazienti in terapia intensiva </w:t>
      </w:r>
      <w:r w:rsidR="00E11C42">
        <w:rPr>
          <w:lang w:eastAsia="it-IT"/>
        </w:rPr>
        <w:t xml:space="preserve">e </w:t>
      </w:r>
      <w:r w:rsidR="00E74C75">
        <w:rPr>
          <w:lang w:eastAsia="it-IT"/>
        </w:rPr>
        <w:t xml:space="preserve">più di </w:t>
      </w:r>
      <w:r w:rsidR="00EC7EE7">
        <w:rPr>
          <w:lang w:eastAsia="it-IT"/>
        </w:rPr>
        <w:t>29.</w:t>
      </w:r>
      <w:r w:rsidR="00E74C75">
        <w:rPr>
          <w:lang w:eastAsia="it-IT"/>
        </w:rPr>
        <w:t xml:space="preserve">000 </w:t>
      </w:r>
      <w:r w:rsidR="00EC7EE7">
        <w:rPr>
          <w:lang w:eastAsia="it-IT"/>
        </w:rPr>
        <w:t>ricoverati con sintomi</w:t>
      </w:r>
      <w:r w:rsidR="00153964">
        <w:rPr>
          <w:lang w:eastAsia="it-IT"/>
        </w:rPr>
        <w:t xml:space="preserve">. Tuttavia, </w:t>
      </w:r>
      <w:r w:rsidR="00EC7EE7">
        <w:rPr>
          <w:lang w:eastAsia="it-IT"/>
        </w:rPr>
        <w:t xml:space="preserve">il progressivo decongestionamento </w:t>
      </w:r>
      <w:r w:rsidR="00E11C42">
        <w:rPr>
          <w:lang w:eastAsia="it-IT"/>
        </w:rPr>
        <w:t xml:space="preserve">degli ospedali </w:t>
      </w:r>
      <w:r w:rsidR="00EC7EE7">
        <w:rPr>
          <w:lang w:eastAsia="it-IT"/>
        </w:rPr>
        <w:t xml:space="preserve">non </w:t>
      </w:r>
      <w:r w:rsidR="00E74C75">
        <w:rPr>
          <w:lang w:eastAsia="it-IT"/>
        </w:rPr>
        <w:t>implica, come impropriamente si sente</w:t>
      </w:r>
      <w:r w:rsidR="00522819">
        <w:rPr>
          <w:lang w:eastAsia="it-IT"/>
        </w:rPr>
        <w:t xml:space="preserve"> spesso affermare, </w:t>
      </w:r>
      <w:r w:rsidR="00EC7EE7">
        <w:rPr>
          <w:lang w:eastAsia="it-IT"/>
        </w:rPr>
        <w:t>l’azzeramento dei ricoveri</w:t>
      </w:r>
      <w:r w:rsidRPr="00A24080">
        <w:rPr>
          <w:rFonts w:cstheme="minorHAnsi"/>
        </w:rPr>
        <w:t>»</w:t>
      </w:r>
      <w:r w:rsidR="00153964">
        <w:rPr>
          <w:lang w:eastAsia="it-IT"/>
        </w:rPr>
        <w:t xml:space="preserve">. </w:t>
      </w:r>
      <w:r w:rsidR="00EC7EE7">
        <w:rPr>
          <w:lang w:eastAsia="it-IT"/>
        </w:rPr>
        <w:t>Infatti, i</w:t>
      </w:r>
      <w:r w:rsidR="00153964" w:rsidRPr="00153964">
        <w:rPr>
          <w:lang w:eastAsia="it-IT"/>
        </w:rPr>
        <w:t xml:space="preserve"> dati </w:t>
      </w:r>
      <w:r w:rsidR="00522819">
        <w:rPr>
          <w:lang w:eastAsia="it-IT"/>
        </w:rPr>
        <w:t xml:space="preserve">ufficiali </w:t>
      </w:r>
      <w:r w:rsidR="00153964" w:rsidRPr="00153964">
        <w:rPr>
          <w:lang w:eastAsia="it-IT"/>
        </w:rPr>
        <w:t xml:space="preserve">relativi </w:t>
      </w:r>
      <w:r w:rsidR="00570E0C">
        <w:rPr>
          <w:lang w:eastAsia="it-IT"/>
        </w:rPr>
        <w:t>alle ospedalizzazioni per COVID-19</w:t>
      </w:r>
      <w:r w:rsidR="00EC7EE7">
        <w:rPr>
          <w:lang w:eastAsia="it-IT"/>
        </w:rPr>
        <w:t xml:space="preserve"> </w:t>
      </w:r>
      <w:r w:rsidR="00153964" w:rsidRPr="00153964">
        <w:rPr>
          <w:lang w:eastAsia="it-IT"/>
        </w:rPr>
        <w:t>si riferiscono a</w:t>
      </w:r>
      <w:r w:rsidR="00EC7EE7">
        <w:rPr>
          <w:lang w:eastAsia="it-IT"/>
        </w:rPr>
        <w:t xml:space="preserve">ll’occupazione dei posti letto, utili </w:t>
      </w:r>
      <w:r w:rsidR="00153964" w:rsidRPr="00153964">
        <w:rPr>
          <w:lang w:eastAsia="it-IT"/>
        </w:rPr>
        <w:t>per valutare i segnali di sovraccarico ospedaliero</w:t>
      </w:r>
      <w:r w:rsidR="00E11C42">
        <w:rPr>
          <w:lang w:eastAsia="it-IT"/>
        </w:rPr>
        <w:t xml:space="preserve">, ma </w:t>
      </w:r>
      <w:r w:rsidR="00570E0C">
        <w:rPr>
          <w:lang w:eastAsia="it-IT"/>
        </w:rPr>
        <w:t xml:space="preserve">che </w:t>
      </w:r>
      <w:r w:rsidR="00153964" w:rsidRPr="00153964">
        <w:rPr>
          <w:lang w:eastAsia="it-IT"/>
        </w:rPr>
        <w:t xml:space="preserve">al di là del “saldo” </w:t>
      </w:r>
      <w:r w:rsidR="00E11C42">
        <w:rPr>
          <w:lang w:eastAsia="it-IT"/>
        </w:rPr>
        <w:t xml:space="preserve">in progressiva riduzione </w:t>
      </w:r>
      <w:r w:rsidR="00153964" w:rsidRPr="00153964">
        <w:rPr>
          <w:lang w:eastAsia="it-IT"/>
        </w:rPr>
        <w:t xml:space="preserve">non </w:t>
      </w:r>
      <w:r w:rsidR="00522819">
        <w:rPr>
          <w:lang w:eastAsia="it-IT"/>
        </w:rPr>
        <w:t xml:space="preserve">permettono di </w:t>
      </w:r>
      <w:r w:rsidR="00E11C42">
        <w:rPr>
          <w:lang w:eastAsia="it-IT"/>
        </w:rPr>
        <w:t>conosce</w:t>
      </w:r>
      <w:r w:rsidR="00570E0C">
        <w:rPr>
          <w:lang w:eastAsia="it-IT"/>
        </w:rPr>
        <w:t>re</w:t>
      </w:r>
      <w:r w:rsidR="00E11C42">
        <w:rPr>
          <w:lang w:eastAsia="it-IT"/>
        </w:rPr>
        <w:t xml:space="preserve"> </w:t>
      </w:r>
      <w:r w:rsidR="00153964" w:rsidRPr="00153964">
        <w:rPr>
          <w:lang w:eastAsia="it-IT"/>
        </w:rPr>
        <w:t xml:space="preserve">il </w:t>
      </w:r>
      <w:r w:rsidR="00722404">
        <w:rPr>
          <w:lang w:eastAsia="it-IT"/>
        </w:rPr>
        <w:t xml:space="preserve">reale </w:t>
      </w:r>
      <w:r w:rsidR="00153964" w:rsidRPr="00153964">
        <w:rPr>
          <w:lang w:eastAsia="it-IT"/>
        </w:rPr>
        <w:t xml:space="preserve">numero di pazienti </w:t>
      </w:r>
      <w:r w:rsidR="00722404">
        <w:rPr>
          <w:lang w:eastAsia="it-IT"/>
        </w:rPr>
        <w:t>quotidianamente</w:t>
      </w:r>
      <w:r w:rsidR="00722404" w:rsidRPr="00153964">
        <w:rPr>
          <w:lang w:eastAsia="it-IT"/>
        </w:rPr>
        <w:t xml:space="preserve"> </w:t>
      </w:r>
      <w:r w:rsidR="00824D1D">
        <w:rPr>
          <w:lang w:eastAsia="it-IT"/>
        </w:rPr>
        <w:t xml:space="preserve">entrano ed escono dalle statistiche ospedaliere (nuovi ricoveri, dimissioni, decessi). </w:t>
      </w:r>
    </w:p>
    <w:p w:rsidR="00611E90" w:rsidRDefault="00C502C7" w:rsidP="00E11C42">
      <w:pPr>
        <w:spacing w:after="120"/>
        <w:jc w:val="both"/>
        <w:rPr>
          <w:lang w:eastAsia="it-IT"/>
        </w:rPr>
      </w:pPr>
      <w:r>
        <w:rPr>
          <w:lang w:eastAsia="it-IT"/>
        </w:rPr>
        <w:t xml:space="preserve">Sul </w:t>
      </w:r>
      <w:r w:rsidR="00E11C42">
        <w:rPr>
          <w:lang w:eastAsia="it-IT"/>
        </w:rPr>
        <w:t xml:space="preserve">ridotto incremento dei casi totali (+0,6%) è </w:t>
      </w:r>
      <w:r w:rsidR="002A4DEE">
        <w:rPr>
          <w:lang w:eastAsia="it-IT"/>
        </w:rPr>
        <w:t>evidente</w:t>
      </w:r>
      <w:r w:rsidR="00E11C42">
        <w:rPr>
          <w:lang w:eastAsia="it-IT"/>
        </w:rPr>
        <w:t xml:space="preserve"> l’impatto della riduzione dei tamponi diagnostici, oltre </w:t>
      </w:r>
      <w:r w:rsidR="00095FCA">
        <w:rPr>
          <w:lang w:eastAsia="it-IT"/>
        </w:rPr>
        <w:t>26.000</w:t>
      </w:r>
      <w:r w:rsidR="00E11C42">
        <w:rPr>
          <w:lang w:eastAsia="it-IT"/>
        </w:rPr>
        <w:t xml:space="preserve"> in meno rispetto alla settimana precedente, </w:t>
      </w:r>
      <w:r w:rsidR="000559EC">
        <w:rPr>
          <w:lang w:eastAsia="it-IT"/>
        </w:rPr>
        <w:t xml:space="preserve">comunque </w:t>
      </w:r>
      <w:r w:rsidR="00E11C42">
        <w:rPr>
          <w:lang w:eastAsia="it-IT"/>
        </w:rPr>
        <w:t>superiore a quello dei tamponi di controllo (</w:t>
      </w:r>
      <w:r w:rsidR="00095FCA">
        <w:rPr>
          <w:lang w:eastAsia="it-IT"/>
        </w:rPr>
        <w:t>quasi 19.000</w:t>
      </w:r>
      <w:r w:rsidR="00E60B1F">
        <w:rPr>
          <w:lang w:eastAsia="it-IT"/>
        </w:rPr>
        <w:t xml:space="preserve"> in meno</w:t>
      </w:r>
      <w:r w:rsidR="00E11C42">
        <w:rPr>
          <w:lang w:eastAsia="it-IT"/>
        </w:rPr>
        <w:t>)</w:t>
      </w:r>
      <w:r w:rsidR="002A4DEE">
        <w:rPr>
          <w:lang w:eastAsia="it-IT"/>
        </w:rPr>
        <w:t xml:space="preserve">. </w:t>
      </w:r>
    </w:p>
    <w:p w:rsidR="003658CE" w:rsidRDefault="00FF6B22" w:rsidP="003925EF">
      <w:pPr>
        <w:jc w:val="both"/>
      </w:pPr>
      <w:r w:rsidRPr="00145AFE">
        <w:t>«</w:t>
      </w:r>
      <w:r>
        <w:t xml:space="preserve">Considerato </w:t>
      </w:r>
      <w:r w:rsidR="00914A26">
        <w:t xml:space="preserve">il </w:t>
      </w:r>
      <w:r w:rsidR="003658CE">
        <w:t xml:space="preserve">numero di casi sempre più esiguo </w:t>
      </w:r>
      <w:r w:rsidRPr="00145AFE">
        <w:t xml:space="preserve">– </w:t>
      </w:r>
      <w:r>
        <w:t>spiega</w:t>
      </w:r>
      <w:r w:rsidRPr="00145AFE">
        <w:t xml:space="preserve"> Cartabellotta –</w:t>
      </w:r>
      <w:r>
        <w:t xml:space="preserve"> </w:t>
      </w:r>
      <w:r w:rsidR="00B01F54">
        <w:t xml:space="preserve">la nostra </w:t>
      </w:r>
      <w:r w:rsidR="00341741">
        <w:t>analisi</w:t>
      </w:r>
      <w:r w:rsidR="00B01F54">
        <w:t xml:space="preserve"> </w:t>
      </w:r>
      <w:r w:rsidR="003658CE">
        <w:t xml:space="preserve">settimanale </w:t>
      </w:r>
      <w:r w:rsidR="00B01F54">
        <w:t xml:space="preserve">si </w:t>
      </w:r>
      <w:r w:rsidR="00E11C42">
        <w:t>concentra</w:t>
      </w:r>
      <w:r w:rsidR="00B01F54">
        <w:t xml:space="preserve"> </w:t>
      </w:r>
      <w:r w:rsidR="003658CE">
        <w:t>sulle variazioni provinciali, dove gli incrementi sono conseguenti a</w:t>
      </w:r>
      <w:r w:rsidR="00FD18A7">
        <w:t>ll’identificazione di</w:t>
      </w:r>
      <w:r w:rsidR="003658CE">
        <w:t xml:space="preserve"> focolai </w:t>
      </w:r>
      <w:r w:rsidR="00611E90">
        <w:t xml:space="preserve">immediatamente </w:t>
      </w:r>
      <w:r w:rsidR="00FD18A7">
        <w:t>circoscritti</w:t>
      </w:r>
      <w:r w:rsidRPr="00145AFE">
        <w:t>».</w:t>
      </w:r>
      <w:r w:rsidR="002306E8">
        <w:t xml:space="preserve"> </w:t>
      </w:r>
      <w:r w:rsidR="00FD18A7">
        <w:t xml:space="preserve">L’analisi esclude le province della Sicilia, oggetto di consistenti ricalcoli. </w:t>
      </w:r>
      <w:r w:rsidR="004A46F7">
        <w:t>Complessivamente nella settimana 17-23 giugno, rispetto alla precedente</w:t>
      </w:r>
      <w:r w:rsidR="00FD18A7">
        <w:t>,</w:t>
      </w:r>
      <w:r w:rsidR="004A46F7">
        <w:t xml:space="preserve"> </w:t>
      </w:r>
      <w:r w:rsidR="002306E8">
        <w:t xml:space="preserve">in </w:t>
      </w:r>
      <w:r w:rsidR="00E61960">
        <w:t xml:space="preserve">36 </w:t>
      </w:r>
      <w:r w:rsidR="002306E8">
        <w:t>province</w:t>
      </w:r>
      <w:r w:rsidR="00413E8E">
        <w:t xml:space="preserve"> </w:t>
      </w:r>
      <w:r w:rsidR="000559EC">
        <w:t>si rileva</w:t>
      </w:r>
      <w:r w:rsidR="002306E8">
        <w:t xml:space="preserve"> un incremento complessivo di </w:t>
      </w:r>
      <w:r w:rsidR="00E61960" w:rsidRPr="00413E8E">
        <w:t xml:space="preserve">186 </w:t>
      </w:r>
      <w:r w:rsidR="002306E8">
        <w:t xml:space="preserve">casi, di cui si riportano </w:t>
      </w:r>
      <w:r w:rsidR="00E60B1F">
        <w:t xml:space="preserve">i dati </w:t>
      </w:r>
      <w:r w:rsidR="002306E8">
        <w:t xml:space="preserve">relativi a </w:t>
      </w:r>
      <w:r w:rsidR="00F8431D">
        <w:t xml:space="preserve">13 </w:t>
      </w:r>
      <w:r w:rsidR="004A46F7">
        <w:t>province</w:t>
      </w:r>
      <w:r w:rsidR="00E60B1F">
        <w:t xml:space="preserve"> che registrano aumenti </w:t>
      </w:r>
      <w:r w:rsidR="00C20D5E">
        <w:t xml:space="preserve">di </w:t>
      </w:r>
      <w:r w:rsidR="00C20D5E">
        <w:lastRenderedPageBreak/>
        <w:t xml:space="preserve">almeno 5 casi, </w:t>
      </w:r>
      <w:r w:rsidR="00991CD3">
        <w:t xml:space="preserve">per un totale di 135 casi distribuiti </w:t>
      </w:r>
      <w:r w:rsidR="00C20D5E">
        <w:t xml:space="preserve">in </w:t>
      </w:r>
      <w:r w:rsidR="00991CD3">
        <w:t>9</w:t>
      </w:r>
      <w:r w:rsidR="00F8431D">
        <w:t xml:space="preserve"> </w:t>
      </w:r>
      <w:r w:rsidR="004A46F7">
        <w:t>Regioni</w:t>
      </w:r>
      <w:r w:rsidR="002A4DEE">
        <w:t xml:space="preserve"> (</w:t>
      </w:r>
      <w:r w:rsidR="002A4DEE" w:rsidRPr="004A46F7">
        <w:rPr>
          <w:highlight w:val="yellow"/>
        </w:rPr>
        <w:t>tabella</w:t>
      </w:r>
      <w:r w:rsidR="002A4DEE">
        <w:t>)</w:t>
      </w:r>
      <w:r w:rsidR="004A46F7">
        <w:t>: Calabria, Campania, Emilia Romagna, Liguria, Lombardia, P.A. Bolzano, P.A. Trento, Piemonte</w:t>
      </w:r>
      <w:r w:rsidR="00F8431D">
        <w:t>, Toscana</w:t>
      </w:r>
      <w:r w:rsidR="002306E8">
        <w:t xml:space="preserve">. Tali incrementi sono </w:t>
      </w:r>
      <w:r w:rsidR="00991CD3">
        <w:t xml:space="preserve">in parte </w:t>
      </w:r>
      <w:r w:rsidR="002306E8">
        <w:t>riconducibili</w:t>
      </w:r>
      <w:r w:rsidR="002A4DEE">
        <w:t xml:space="preserve"> a focolai </w:t>
      </w:r>
      <w:r w:rsidR="00DD473C">
        <w:t>identificati nell’</w:t>
      </w:r>
      <w:r w:rsidR="00062E06">
        <w:t>ultima settimana, di seguito riportati con i relativi casi segnalati</w:t>
      </w:r>
      <w:r w:rsidR="00991CD3">
        <w:t xml:space="preserve"> da </w:t>
      </w:r>
      <w:r w:rsidR="00F70D2E">
        <w:t xml:space="preserve">fonti locali. </w:t>
      </w:r>
    </w:p>
    <w:p w:rsidR="002A4DEE" w:rsidRDefault="002A4DEE" w:rsidP="002A4DEE">
      <w:pPr>
        <w:pStyle w:val="Paragrafoelenco"/>
        <w:numPr>
          <w:ilvl w:val="0"/>
          <w:numId w:val="41"/>
        </w:numPr>
        <w:spacing w:line="276" w:lineRule="auto"/>
        <w:jc w:val="both"/>
      </w:pPr>
      <w:r>
        <w:t>Mondragone (Caserta): quarantena per i residenti dei Palazzi ex Cirio</w:t>
      </w:r>
      <w:r w:rsidR="00DD473C">
        <w:t xml:space="preserve"> (30 positivi)</w:t>
      </w:r>
    </w:p>
    <w:p w:rsidR="002A4DEE" w:rsidRDefault="002A4DEE" w:rsidP="002A4DEE">
      <w:pPr>
        <w:pStyle w:val="Paragrafoelenco"/>
        <w:numPr>
          <w:ilvl w:val="0"/>
          <w:numId w:val="41"/>
        </w:numPr>
        <w:spacing w:line="276" w:lineRule="auto"/>
        <w:jc w:val="both"/>
      </w:pPr>
      <w:r>
        <w:t xml:space="preserve">Palmi (Reggio Calabria): “zona rossa” istituita nei quartieri </w:t>
      </w:r>
      <w:proofErr w:type="spellStart"/>
      <w:r>
        <w:t>Pietrenere</w:t>
      </w:r>
      <w:proofErr w:type="spellEnd"/>
      <w:r>
        <w:t>-Tonnara-Scinà</w:t>
      </w:r>
      <w:r w:rsidR="00DD473C">
        <w:t xml:space="preserve"> (8 positivi)</w:t>
      </w:r>
    </w:p>
    <w:p w:rsidR="002A4DEE" w:rsidRDefault="002A4DEE" w:rsidP="002A4DEE">
      <w:pPr>
        <w:pStyle w:val="Paragrafoelenco"/>
        <w:numPr>
          <w:ilvl w:val="0"/>
          <w:numId w:val="41"/>
        </w:numPr>
        <w:spacing w:line="276" w:lineRule="auto"/>
        <w:jc w:val="both"/>
      </w:pPr>
      <w:r>
        <w:t>Bologna: in un’azienda (14</w:t>
      </w:r>
      <w:r>
        <w:rPr>
          <w:rFonts w:asciiTheme="minorHAnsi" w:hAnsiTheme="minorHAnsi" w:cstheme="minorBidi"/>
          <w:lang w:eastAsia="en-US"/>
        </w:rPr>
        <w:t xml:space="preserve"> </w:t>
      </w:r>
      <w:r>
        <w:t xml:space="preserve">positivi) e in un’attività commerciale (12 positivi) </w:t>
      </w:r>
    </w:p>
    <w:p w:rsidR="002A4DEE" w:rsidRDefault="002A4DEE" w:rsidP="002A4DEE">
      <w:pPr>
        <w:pStyle w:val="Paragrafoelenco"/>
        <w:numPr>
          <w:ilvl w:val="0"/>
          <w:numId w:val="41"/>
        </w:numPr>
        <w:spacing w:line="276" w:lineRule="auto"/>
        <w:jc w:val="both"/>
      </w:pPr>
      <w:r>
        <w:t xml:space="preserve">Montecchio (Reggio Emilia): focolaio in due famiglie </w:t>
      </w:r>
      <w:r w:rsidR="00F70D2E">
        <w:t xml:space="preserve">con legami parentali </w:t>
      </w:r>
      <w:r w:rsidR="00DD473C">
        <w:t>(7 positivi)</w:t>
      </w:r>
    </w:p>
    <w:p w:rsidR="002A4DEE" w:rsidRDefault="002A4DEE" w:rsidP="002A4DEE">
      <w:pPr>
        <w:pStyle w:val="Paragrafoelenco"/>
        <w:numPr>
          <w:ilvl w:val="0"/>
          <w:numId w:val="41"/>
        </w:numPr>
        <w:spacing w:line="276" w:lineRule="auto"/>
        <w:jc w:val="both"/>
      </w:pPr>
      <w:r>
        <w:t>Bolzano: focolaio familiare (11 positivi)</w:t>
      </w:r>
    </w:p>
    <w:p w:rsidR="002A4DEE" w:rsidRDefault="002A4DEE" w:rsidP="002A4DEE">
      <w:pPr>
        <w:pStyle w:val="Paragrafoelenco"/>
        <w:numPr>
          <w:ilvl w:val="0"/>
          <w:numId w:val="41"/>
        </w:numPr>
        <w:spacing w:line="276" w:lineRule="auto"/>
        <w:jc w:val="both"/>
      </w:pPr>
      <w:r>
        <w:t>Como: casa di accoglienza per persone bisognose (7 positivi)</w:t>
      </w:r>
    </w:p>
    <w:p w:rsidR="002A4DEE" w:rsidRDefault="002A4DEE" w:rsidP="002A4DEE">
      <w:pPr>
        <w:pStyle w:val="Paragrafoelenco"/>
        <w:numPr>
          <w:ilvl w:val="0"/>
          <w:numId w:val="41"/>
        </w:numPr>
        <w:spacing w:line="276" w:lineRule="auto"/>
        <w:jc w:val="both"/>
      </w:pPr>
      <w:r>
        <w:t>Province di Prato e Pistoia (19 positivi)</w:t>
      </w:r>
    </w:p>
    <w:p w:rsidR="002A4DEE" w:rsidRDefault="002A4DEE" w:rsidP="002A4DEE">
      <w:pPr>
        <w:pStyle w:val="Paragrafoelenco"/>
        <w:numPr>
          <w:ilvl w:val="0"/>
          <w:numId w:val="41"/>
        </w:numPr>
        <w:spacing w:line="276" w:lineRule="auto"/>
        <w:jc w:val="both"/>
      </w:pPr>
      <w:r>
        <w:t xml:space="preserve">Porto Empedocle (Agrigento) focolaio nella nave dei migranti portati dalla Sea Watch (28 positivi) </w:t>
      </w:r>
    </w:p>
    <w:p w:rsidR="002A4DEE" w:rsidRDefault="002A4DEE" w:rsidP="002A4DEE">
      <w:pPr>
        <w:pStyle w:val="Paragrafoelenco"/>
        <w:numPr>
          <w:ilvl w:val="0"/>
          <w:numId w:val="41"/>
        </w:numPr>
        <w:spacing w:line="276" w:lineRule="auto"/>
        <w:jc w:val="both"/>
      </w:pPr>
      <w:r>
        <w:t>Alessandria: casa di riposo (13 positivi)</w:t>
      </w:r>
    </w:p>
    <w:p w:rsidR="002A4DEE" w:rsidRDefault="00DD473C" w:rsidP="00DD473C">
      <w:pPr>
        <w:pStyle w:val="Paragrafoelenco"/>
        <w:numPr>
          <w:ilvl w:val="0"/>
          <w:numId w:val="41"/>
        </w:numPr>
        <w:spacing w:line="276" w:lineRule="auto"/>
        <w:jc w:val="both"/>
      </w:pPr>
      <w:r>
        <w:t xml:space="preserve">Roma: </w:t>
      </w:r>
      <w:r w:rsidRPr="00DD473C">
        <w:t>istituto religioso</w:t>
      </w:r>
      <w:r>
        <w:t xml:space="preserve"> (4 positivi), oltre ai </w:t>
      </w:r>
      <w:r w:rsidR="003B3BA8">
        <w:t>ben</w:t>
      </w:r>
      <w:r>
        <w:t xml:space="preserve"> noti focolai della Garbatella e dell’ospedale San Raffaele Pisana relativi alle settimane precedenti</w:t>
      </w:r>
    </w:p>
    <w:p w:rsidR="00DF0857" w:rsidRDefault="00DF0857" w:rsidP="003925EF">
      <w:pPr>
        <w:jc w:val="both"/>
      </w:pPr>
    </w:p>
    <w:p w:rsidR="00341741" w:rsidRDefault="00BE4CBF" w:rsidP="003925EF">
      <w:pPr>
        <w:jc w:val="both"/>
      </w:pPr>
      <w:r w:rsidRPr="00145AFE">
        <w:t>«</w:t>
      </w:r>
      <w:r w:rsidR="002A4DEE">
        <w:t xml:space="preserve">Tutte queste segnalazioni </w:t>
      </w:r>
      <w:r w:rsidR="003D530D" w:rsidRPr="00145AFE">
        <w:t>–</w:t>
      </w:r>
      <w:r w:rsidR="003D530D">
        <w:t xml:space="preserve"> </w:t>
      </w:r>
      <w:r w:rsidR="002A4DEE">
        <w:t>precisa</w:t>
      </w:r>
      <w:r w:rsidR="003D530D">
        <w:t xml:space="preserve"> il Presidente </w:t>
      </w:r>
      <w:r w:rsidR="003D530D" w:rsidRPr="00145AFE">
        <w:t>–</w:t>
      </w:r>
      <w:r w:rsidR="002A4DEE">
        <w:t xml:space="preserve"> confermano,</w:t>
      </w:r>
      <w:r w:rsidR="00DD473C">
        <w:t xml:space="preserve"> oltre ogni ragionevole dubbio, </w:t>
      </w:r>
      <w:r w:rsidR="002A4DEE">
        <w:t>che il virus è sempre presente</w:t>
      </w:r>
      <w:r w:rsidR="00DD473C">
        <w:t xml:space="preserve"> e</w:t>
      </w:r>
      <w:r w:rsidR="002A4DEE">
        <w:t xml:space="preserve"> rialza la testa ogni qualvolta le condizioni ambientali favoriscono una ripresa </w:t>
      </w:r>
      <w:r w:rsidR="00710B57">
        <w:t xml:space="preserve">del </w:t>
      </w:r>
      <w:r w:rsidR="002A4DEE">
        <w:t>contagi</w:t>
      </w:r>
      <w:r w:rsidR="00710B57">
        <w:t>o</w:t>
      </w:r>
      <w:r w:rsidR="00DD473C">
        <w:t xml:space="preserve">. In particolare, </w:t>
      </w:r>
      <w:r w:rsidR="00AB415E">
        <w:t xml:space="preserve">accanto alle </w:t>
      </w:r>
      <w:r w:rsidR="00DD473C">
        <w:t xml:space="preserve">ben note residenze per anziani, sembrano a rischio </w:t>
      </w:r>
      <w:r w:rsidR="00AB415E">
        <w:t xml:space="preserve">sia </w:t>
      </w:r>
      <w:r w:rsidR="00DD473C">
        <w:t>cont</w:t>
      </w:r>
      <w:r w:rsidR="002509F9">
        <w:t>esti</w:t>
      </w:r>
      <w:r w:rsidR="00AB415E">
        <w:t xml:space="preserve"> familiari sia aree sociali</w:t>
      </w:r>
      <w:r w:rsidR="002509F9">
        <w:t xml:space="preserve"> disagiat</w:t>
      </w:r>
      <w:r w:rsidR="000559EC">
        <w:t>e</w:t>
      </w:r>
      <w:r w:rsidR="002509F9">
        <w:t xml:space="preserve">, oltre </w:t>
      </w:r>
      <w:r w:rsidR="000559EC">
        <w:t xml:space="preserve">gli inevitabili </w:t>
      </w:r>
      <w:r w:rsidR="00DD473C">
        <w:t>“casi di rientro” dall’estero</w:t>
      </w:r>
      <w:r w:rsidR="005A491E">
        <w:t xml:space="preserve">. Di conseguenza, è indispensabile mantenere i comportamenti individuali raccomandati e continuare con </w:t>
      </w:r>
      <w:r w:rsidR="000559EC">
        <w:t>una stretta</w:t>
      </w:r>
      <w:r w:rsidR="005A491E">
        <w:t xml:space="preserve"> sorveglianza epidemiologica, potenziando</w:t>
      </w:r>
      <w:r w:rsidR="00710B57">
        <w:t xml:space="preserve"> contestualmente</w:t>
      </w:r>
      <w:r w:rsidR="005A491E">
        <w:t xml:space="preserve"> l’attività di testing e tracciamento, di fatto in netta riduzione</w:t>
      </w:r>
      <w:r w:rsidRPr="00145AFE">
        <w:t>».</w:t>
      </w:r>
    </w:p>
    <w:p w:rsidR="00BF7AD5" w:rsidRDefault="003C28C9" w:rsidP="003925EF">
      <w:pPr>
        <w:jc w:val="both"/>
      </w:pPr>
      <w:r w:rsidRPr="00145AFE">
        <w:t>«</w:t>
      </w:r>
      <w:r w:rsidR="005A491E">
        <w:t>Evidenze scientifiche e dati</w:t>
      </w:r>
      <w:r w:rsidR="00710B57">
        <w:t xml:space="preserve"> dal</w:t>
      </w:r>
      <w:r w:rsidR="005A491E">
        <w:t xml:space="preserve"> </w:t>
      </w:r>
      <w:proofErr w:type="spellStart"/>
      <w:r w:rsidR="005A491E">
        <w:rPr>
          <w:i/>
        </w:rPr>
        <w:t>real</w:t>
      </w:r>
      <w:proofErr w:type="spellEnd"/>
      <w:r w:rsidR="005A491E">
        <w:rPr>
          <w:i/>
        </w:rPr>
        <w:t xml:space="preserve"> world </w:t>
      </w:r>
      <w:r w:rsidR="009F4108" w:rsidRPr="00145AFE">
        <w:t>–</w:t>
      </w:r>
      <w:r w:rsidR="005A491E">
        <w:t xml:space="preserve"> conclude Cartabellotta </w:t>
      </w:r>
      <w:r w:rsidR="005A491E" w:rsidRPr="00145AFE">
        <w:t>–</w:t>
      </w:r>
      <w:r w:rsidR="005A491E">
        <w:t xml:space="preserve"> invitano a diffidare dal senso </w:t>
      </w:r>
      <w:r w:rsidR="005A491E" w:rsidRPr="00AB415E">
        <w:t xml:space="preserve">di falsa sicurezza che </w:t>
      </w:r>
      <w:r w:rsidR="00710B57">
        <w:t>traspare da</w:t>
      </w:r>
      <w:r w:rsidR="003B3BA8">
        <w:t xml:space="preserve"> improvvide </w:t>
      </w:r>
      <w:r w:rsidR="00710B57">
        <w:t xml:space="preserve">dichiarazioni </w:t>
      </w:r>
      <w:r w:rsidR="00991CD3">
        <w:t>prive di</w:t>
      </w:r>
      <w:r w:rsidR="003B3BA8">
        <w:t xml:space="preserve"> basi scientifiche e</w:t>
      </w:r>
      <w:r w:rsidR="00710B57">
        <w:t xml:space="preserve"> che </w:t>
      </w:r>
      <w:r w:rsidR="005A491E">
        <w:t xml:space="preserve">rischia di alimentare </w:t>
      </w:r>
      <w:r w:rsidR="00710B57">
        <w:t xml:space="preserve">pericolosi </w:t>
      </w:r>
      <w:r w:rsidR="005A491E" w:rsidRPr="00AB415E">
        <w:t xml:space="preserve">comportamenti </w:t>
      </w:r>
      <w:r w:rsidR="00710B57">
        <w:t>individuali</w:t>
      </w:r>
      <w:r w:rsidR="005A491E">
        <w:t xml:space="preserve">. Il peggio è </w:t>
      </w:r>
      <w:r w:rsidR="00991CD3">
        <w:t xml:space="preserve">indubbiamente </w:t>
      </w:r>
      <w:r w:rsidR="005A491E">
        <w:t xml:space="preserve">passato, ma </w:t>
      </w:r>
      <w:r w:rsidR="00710B57">
        <w:t xml:space="preserve">resta cruciale </w:t>
      </w:r>
      <w:r w:rsidR="005A491E">
        <w:t xml:space="preserve">disinnescare ogni </w:t>
      </w:r>
      <w:r w:rsidR="005A491E" w:rsidRPr="00AB415E">
        <w:t>cortocircuito cognitivo-comportamentale che ci porta, complice anche la bella stagione, a mettere da parte ogni preoccupazione (legittimo), ma soprattutto ogni precauzione (inaccettabile</w:t>
      </w:r>
      <w:r w:rsidR="005A491E">
        <w:t>)</w:t>
      </w:r>
      <w:r w:rsidR="00080943" w:rsidRPr="00145AFE">
        <w:t>».</w:t>
      </w:r>
    </w:p>
    <w:p w:rsidR="005127EB" w:rsidRDefault="005127EB" w:rsidP="005127EB">
      <w:pPr>
        <w:spacing w:after="120"/>
        <w:rPr>
          <w:rFonts w:ascii="Trebuchet MS" w:eastAsia="Calibri" w:hAnsi="Trebuchet MS" w:cs="Times New Roman"/>
        </w:rPr>
      </w:pPr>
      <w:r w:rsidRPr="00A24080">
        <w:rPr>
          <w:rFonts w:cstheme="minorHAnsi"/>
          <w:i/>
        </w:rPr>
        <w:t xml:space="preserve">Il monitoraggio GIMBE dell'epidemia di COVID-19 è disponibile a: </w:t>
      </w:r>
      <w:hyperlink r:id="rId8" w:history="1">
        <w:r w:rsidRPr="00A24080">
          <w:rPr>
            <w:rStyle w:val="Collegamentoipertestuale"/>
            <w:rFonts w:cstheme="minorHAnsi"/>
            <w:i/>
          </w:rPr>
          <w:t>https://coronavirus.gimbe.org</w:t>
        </w:r>
      </w:hyperlink>
      <w:r w:rsidRPr="00A24080">
        <w:rPr>
          <w:rFonts w:cstheme="minorHAnsi"/>
          <w:i/>
        </w:rPr>
        <w:t xml:space="preserve"> </w:t>
      </w:r>
      <w:r>
        <w:rPr>
          <w:rFonts w:ascii="Calibri" w:eastAsia="Calibri" w:hAnsi="Calibri" w:cs="Times New Roman"/>
          <w:b/>
          <w:bCs/>
        </w:rPr>
        <w:br/>
      </w:r>
      <w:r>
        <w:rPr>
          <w:rFonts w:ascii="Calibri" w:eastAsia="Calibri" w:hAnsi="Calibri" w:cs="Times New Roman"/>
          <w:b/>
          <w:bCs/>
        </w:rPr>
        <w:br/>
      </w:r>
      <w:r w:rsidRPr="00A24080">
        <w:rPr>
          <w:rFonts w:ascii="Calibri" w:eastAsia="Calibri" w:hAnsi="Calibri" w:cs="Times New Roman"/>
          <w:b/>
          <w:bCs/>
        </w:rPr>
        <w:t>CONTATTI</w:t>
      </w:r>
      <w:r>
        <w:rPr>
          <w:i/>
          <w:lang w:eastAsia="it-IT"/>
        </w:rPr>
        <w:br/>
      </w:r>
      <w:r w:rsidRPr="00A24080">
        <w:rPr>
          <w:b/>
        </w:rPr>
        <w:t>Fondazione GIMBE</w:t>
      </w:r>
    </w:p>
    <w:p w:rsidR="005127EB" w:rsidRPr="00AB7473" w:rsidRDefault="005127EB" w:rsidP="005127EB">
      <w:pPr>
        <w:spacing w:after="120"/>
        <w:rPr>
          <w:rStyle w:val="Collegamentoipertestuale"/>
          <w:rFonts w:ascii="Calibri" w:eastAsia="Calibri" w:hAnsi="Calibri" w:cs="Times New Roman"/>
          <w:sz w:val="20"/>
        </w:rPr>
      </w:pPr>
      <w:r w:rsidRPr="00652364">
        <w:rPr>
          <w:rFonts w:ascii="Calibri" w:eastAsia="Calibri" w:hAnsi="Calibri" w:cs="Times New Roman"/>
          <w:sz w:val="20"/>
        </w:rPr>
        <w:t>Via Amendola 2 - 40121 Bologna</w:t>
      </w:r>
      <w:r>
        <w:rPr>
          <w:rFonts w:ascii="Calibri" w:eastAsia="Calibri" w:hAnsi="Calibri" w:cs="Times New Roman"/>
          <w:sz w:val="20"/>
        </w:rPr>
        <w:t xml:space="preserve"> </w:t>
      </w:r>
      <w:r>
        <w:rPr>
          <w:rFonts w:ascii="Calibri" w:eastAsia="Calibri" w:hAnsi="Calibri" w:cs="Times New Roman"/>
          <w:sz w:val="20"/>
        </w:rPr>
        <w:br/>
      </w:r>
      <w:r w:rsidRPr="00652364">
        <w:rPr>
          <w:rFonts w:ascii="Calibri" w:eastAsia="Calibri" w:hAnsi="Calibri" w:cs="Times New Roman"/>
          <w:sz w:val="20"/>
        </w:rPr>
        <w:t>Tel. 051 5883920 - Fax 051 4075774</w:t>
      </w:r>
      <w:r>
        <w:rPr>
          <w:rFonts w:ascii="Calibri" w:eastAsia="Calibri" w:hAnsi="Calibri" w:cs="Times New Roman"/>
          <w:sz w:val="20"/>
        </w:rPr>
        <w:t xml:space="preserve"> </w:t>
      </w:r>
      <w:r>
        <w:rPr>
          <w:rFonts w:ascii="Calibri" w:eastAsia="Calibri" w:hAnsi="Calibri" w:cs="Times New Roman"/>
          <w:sz w:val="20"/>
        </w:rPr>
        <w:br/>
      </w:r>
      <w:r w:rsidRPr="00652364">
        <w:rPr>
          <w:rFonts w:ascii="Calibri" w:eastAsia="Calibri" w:hAnsi="Calibri" w:cs="Times New Roman"/>
          <w:sz w:val="20"/>
        </w:rPr>
        <w:t xml:space="preserve">E-mail: </w:t>
      </w:r>
      <w:hyperlink r:id="rId9" w:history="1">
        <w:r w:rsidRPr="00652364">
          <w:rPr>
            <w:rStyle w:val="Collegamentoipertestuale"/>
            <w:rFonts w:ascii="Calibri" w:eastAsia="Calibri" w:hAnsi="Calibri" w:cs="Times New Roman"/>
            <w:sz w:val="20"/>
          </w:rPr>
          <w:t>ufficio.stampa@gimbe.org</w:t>
        </w:r>
      </w:hyperlink>
    </w:p>
    <w:p w:rsidR="005127EB" w:rsidRDefault="005127EB" w:rsidP="003925EF">
      <w:pPr>
        <w:jc w:val="both"/>
      </w:pPr>
    </w:p>
    <w:p w:rsidR="003658CE" w:rsidRDefault="003658CE" w:rsidP="00E66F49">
      <w:pPr>
        <w:spacing w:after="120"/>
        <w:rPr>
          <w:b/>
          <w:noProof/>
          <w:lang w:eastAsia="it-IT"/>
        </w:rPr>
      </w:pPr>
    </w:p>
    <w:p w:rsidR="00991CD3" w:rsidRDefault="00991CD3" w:rsidP="00E66F49">
      <w:pPr>
        <w:spacing w:after="120"/>
        <w:rPr>
          <w:b/>
          <w:noProof/>
          <w:lang w:eastAsia="it-IT"/>
        </w:rPr>
      </w:pPr>
    </w:p>
    <w:p w:rsidR="00991CD3" w:rsidRDefault="00991CD3" w:rsidP="00E66F49">
      <w:pPr>
        <w:spacing w:after="120"/>
        <w:rPr>
          <w:b/>
          <w:noProof/>
          <w:lang w:eastAsia="it-IT"/>
        </w:rPr>
      </w:pPr>
    </w:p>
    <w:p w:rsidR="003658CE" w:rsidRPr="003D1F04" w:rsidRDefault="003D1F04" w:rsidP="003D1F04">
      <w:pPr>
        <w:jc w:val="center"/>
        <w:rPr>
          <w:b/>
        </w:rPr>
      </w:pPr>
      <w:r w:rsidRPr="003D1F04">
        <w:rPr>
          <w:b/>
        </w:rPr>
        <w:lastRenderedPageBreak/>
        <w:t xml:space="preserve">Tabella. Province con un incremento di </w:t>
      </w:r>
      <w:r w:rsidR="00413E8E">
        <w:rPr>
          <w:b/>
        </w:rPr>
        <w:t xml:space="preserve">almeno </w:t>
      </w:r>
      <w:r w:rsidRPr="003D1F04">
        <w:rPr>
          <w:b/>
        </w:rPr>
        <w:t xml:space="preserve">5 casi nella settimana 17-23 giugno </w:t>
      </w:r>
      <w:r w:rsidR="00413E8E">
        <w:rPr>
          <w:b/>
        </w:rPr>
        <w:br/>
      </w:r>
      <w:r w:rsidRPr="003D1F04">
        <w:rPr>
          <w:b/>
        </w:rPr>
        <w:t>rispetto a</w:t>
      </w:r>
      <w:r w:rsidR="00413E8E">
        <w:rPr>
          <w:b/>
        </w:rPr>
        <w:t xml:space="preserve"> quella </w:t>
      </w:r>
      <w:r w:rsidRPr="003D1F04">
        <w:rPr>
          <w:b/>
        </w:rPr>
        <w:t>precedente</w:t>
      </w:r>
    </w:p>
    <w:tbl>
      <w:tblPr>
        <w:tblW w:w="0" w:type="auto"/>
        <w:jc w:val="center"/>
        <w:tblBorders>
          <w:top w:val="single" w:sz="8" w:space="0" w:color="00457D"/>
          <w:left w:val="single" w:sz="8" w:space="0" w:color="00457D"/>
          <w:bottom w:val="single" w:sz="8" w:space="0" w:color="00457D"/>
          <w:right w:val="single" w:sz="8" w:space="0" w:color="00457D"/>
          <w:insideH w:val="single" w:sz="8" w:space="0" w:color="00457D"/>
          <w:insideV w:val="single" w:sz="8" w:space="0" w:color="00457D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691"/>
        <w:gridCol w:w="2127"/>
        <w:gridCol w:w="1380"/>
        <w:gridCol w:w="1380"/>
        <w:gridCol w:w="1201"/>
        <w:gridCol w:w="1017"/>
      </w:tblGrid>
      <w:tr w:rsidR="00002E3E" w:rsidTr="00E60B1F">
        <w:trPr>
          <w:trHeight w:val="600"/>
          <w:jc w:val="center"/>
        </w:trPr>
        <w:tc>
          <w:tcPr>
            <w:tcW w:w="1691" w:type="dxa"/>
            <w:tcBorders>
              <w:right w:val="single" w:sz="8" w:space="0" w:color="FFFFFF" w:themeColor="background1"/>
            </w:tcBorders>
            <w:shd w:val="clear" w:color="auto" w:fill="00457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2E3E" w:rsidRDefault="00002E3E" w:rsidP="00E60B1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eastAsia="it-IT"/>
              </w:rPr>
            </w:pPr>
            <w:r>
              <w:rPr>
                <w:b/>
                <w:bCs/>
                <w:color w:val="FFFFFF"/>
                <w:lang w:eastAsia="it-IT"/>
              </w:rPr>
              <w:t>Regione</w:t>
            </w:r>
            <w:r w:rsidR="00413E8E">
              <w:rPr>
                <w:b/>
                <w:bCs/>
                <w:color w:val="FFFFFF"/>
                <w:lang w:eastAsia="it-IT"/>
              </w:rPr>
              <w:t>*</w:t>
            </w:r>
          </w:p>
        </w:tc>
        <w:tc>
          <w:tcPr>
            <w:tcW w:w="212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457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2E3E" w:rsidRDefault="00002E3E" w:rsidP="00E60B1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eastAsia="it-IT"/>
              </w:rPr>
            </w:pPr>
            <w:r>
              <w:rPr>
                <w:b/>
                <w:bCs/>
                <w:color w:val="FFFFFF"/>
                <w:lang w:eastAsia="it-IT"/>
              </w:rPr>
              <w:t>Provincia</w:t>
            </w:r>
          </w:p>
        </w:tc>
        <w:tc>
          <w:tcPr>
            <w:tcW w:w="1380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457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2E3E" w:rsidRDefault="00002E3E" w:rsidP="00E60B1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eastAsia="it-IT"/>
              </w:rPr>
            </w:pPr>
            <w:r>
              <w:rPr>
                <w:b/>
                <w:bCs/>
                <w:color w:val="FFFFFF"/>
                <w:lang w:eastAsia="it-IT"/>
              </w:rPr>
              <w:t xml:space="preserve">N° casi totali </w:t>
            </w:r>
            <w:r>
              <w:rPr>
                <w:b/>
                <w:bCs/>
                <w:color w:val="FFFFFF"/>
                <w:lang w:eastAsia="it-IT"/>
              </w:rPr>
              <w:br/>
              <w:t>10-16 giugno</w:t>
            </w:r>
          </w:p>
        </w:tc>
        <w:tc>
          <w:tcPr>
            <w:tcW w:w="1380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457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2E3E" w:rsidRDefault="00002E3E" w:rsidP="00E60B1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eastAsia="it-IT"/>
              </w:rPr>
            </w:pPr>
            <w:r>
              <w:rPr>
                <w:b/>
                <w:bCs/>
                <w:color w:val="FFFFFF"/>
                <w:lang w:eastAsia="it-IT"/>
              </w:rPr>
              <w:t xml:space="preserve">N° casi totali </w:t>
            </w:r>
            <w:r>
              <w:rPr>
                <w:b/>
                <w:bCs/>
                <w:color w:val="FFFFFF"/>
                <w:lang w:eastAsia="it-IT"/>
              </w:rPr>
              <w:br/>
              <w:t>17-23 giugno</w:t>
            </w:r>
          </w:p>
        </w:tc>
        <w:tc>
          <w:tcPr>
            <w:tcW w:w="120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457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2E3E" w:rsidRDefault="00002E3E" w:rsidP="00E60B1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eastAsia="it-IT"/>
              </w:rPr>
            </w:pPr>
            <w:r>
              <w:rPr>
                <w:b/>
                <w:bCs/>
                <w:color w:val="FFFFFF"/>
                <w:lang w:eastAsia="it-IT"/>
              </w:rPr>
              <w:t>Incremento</w:t>
            </w:r>
            <w:r w:rsidR="00413E8E">
              <w:rPr>
                <w:b/>
                <w:bCs/>
                <w:color w:val="FFFFFF"/>
                <w:lang w:eastAsia="it-IT"/>
              </w:rPr>
              <w:br/>
              <w:t>casi</w:t>
            </w:r>
          </w:p>
        </w:tc>
        <w:tc>
          <w:tcPr>
            <w:tcW w:w="1017" w:type="dxa"/>
            <w:tcBorders>
              <w:left w:val="single" w:sz="8" w:space="0" w:color="FFFFFF" w:themeColor="background1"/>
            </w:tcBorders>
            <w:shd w:val="clear" w:color="auto" w:fill="00457D"/>
            <w:vAlign w:val="center"/>
          </w:tcPr>
          <w:p w:rsidR="00002E3E" w:rsidRDefault="00002E3E" w:rsidP="00E60B1F">
            <w:pPr>
              <w:spacing w:after="0" w:line="240" w:lineRule="auto"/>
              <w:jc w:val="center"/>
              <w:rPr>
                <w:b/>
                <w:bCs/>
                <w:color w:val="FFFFFF"/>
                <w:lang w:eastAsia="it-IT"/>
              </w:rPr>
            </w:pPr>
            <w:r>
              <w:rPr>
                <w:b/>
                <w:bCs/>
                <w:color w:val="FFFFFF"/>
                <w:lang w:eastAsia="it-IT"/>
              </w:rPr>
              <w:t xml:space="preserve">Focolai </w:t>
            </w:r>
            <w:r>
              <w:rPr>
                <w:b/>
                <w:bCs/>
                <w:color w:val="FFFFFF"/>
                <w:lang w:eastAsia="it-IT"/>
              </w:rPr>
              <w:br/>
              <w:t>segnalati</w:t>
            </w:r>
          </w:p>
        </w:tc>
      </w:tr>
      <w:tr w:rsidR="00002E3E" w:rsidTr="00E60B1F">
        <w:trPr>
          <w:trHeight w:val="20"/>
          <w:jc w:val="center"/>
        </w:trPr>
        <w:tc>
          <w:tcPr>
            <w:tcW w:w="16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Calabria</w:t>
            </w:r>
          </w:p>
        </w:tc>
        <w:tc>
          <w:tcPr>
            <w:tcW w:w="21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Reggio di Calabria</w:t>
            </w:r>
          </w:p>
        </w:tc>
        <w:tc>
          <w:tcPr>
            <w:tcW w:w="1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</w:t>
            </w:r>
          </w:p>
        </w:tc>
        <w:tc>
          <w:tcPr>
            <w:tcW w:w="1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12</w:t>
            </w:r>
          </w:p>
        </w:tc>
        <w:tc>
          <w:tcPr>
            <w:tcW w:w="12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3D1F04" w:rsidP="00E60B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+</w:t>
            </w:r>
            <w:r w:rsidR="00002E3E">
              <w:rPr>
                <w:color w:val="000000"/>
                <w:lang w:eastAsia="it-IT"/>
              </w:rPr>
              <w:t>11</w:t>
            </w:r>
          </w:p>
        </w:tc>
        <w:tc>
          <w:tcPr>
            <w:tcW w:w="1017" w:type="dxa"/>
          </w:tcPr>
          <w:p w:rsidR="00002E3E" w:rsidRDefault="00002E3E" w:rsidP="00E60B1F">
            <w:pPr>
              <w:spacing w:after="0" w:line="240" w:lineRule="auto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Sì</w:t>
            </w:r>
          </w:p>
        </w:tc>
      </w:tr>
      <w:tr w:rsidR="00002E3E" w:rsidTr="00E60B1F">
        <w:trPr>
          <w:trHeight w:val="20"/>
          <w:jc w:val="center"/>
        </w:trPr>
        <w:tc>
          <w:tcPr>
            <w:tcW w:w="16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Campania</w:t>
            </w:r>
          </w:p>
        </w:tc>
        <w:tc>
          <w:tcPr>
            <w:tcW w:w="21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Caserta</w:t>
            </w:r>
          </w:p>
        </w:tc>
        <w:tc>
          <w:tcPr>
            <w:tcW w:w="1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</w:t>
            </w:r>
          </w:p>
        </w:tc>
        <w:tc>
          <w:tcPr>
            <w:tcW w:w="1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13</w:t>
            </w:r>
          </w:p>
        </w:tc>
        <w:tc>
          <w:tcPr>
            <w:tcW w:w="12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3D1F04" w:rsidP="00E60B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+</w:t>
            </w:r>
            <w:r w:rsidR="00002E3E">
              <w:rPr>
                <w:color w:val="000000"/>
                <w:lang w:eastAsia="it-IT"/>
              </w:rPr>
              <w:t>11</w:t>
            </w:r>
          </w:p>
        </w:tc>
        <w:tc>
          <w:tcPr>
            <w:tcW w:w="1017" w:type="dxa"/>
          </w:tcPr>
          <w:p w:rsidR="00002E3E" w:rsidRDefault="00002E3E" w:rsidP="00E60B1F">
            <w:pPr>
              <w:spacing w:after="0" w:line="240" w:lineRule="auto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Sì</w:t>
            </w:r>
          </w:p>
        </w:tc>
      </w:tr>
      <w:tr w:rsidR="00002E3E" w:rsidTr="00E60B1F">
        <w:trPr>
          <w:trHeight w:val="20"/>
          <w:jc w:val="center"/>
        </w:trPr>
        <w:tc>
          <w:tcPr>
            <w:tcW w:w="1691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2E3E" w:rsidRDefault="00002E3E" w:rsidP="00E60B1F">
            <w:pPr>
              <w:spacing w:after="0" w:line="240" w:lineRule="auto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Emilia Romagna</w:t>
            </w:r>
          </w:p>
        </w:tc>
        <w:tc>
          <w:tcPr>
            <w:tcW w:w="21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Bologna</w:t>
            </w:r>
          </w:p>
        </w:tc>
        <w:tc>
          <w:tcPr>
            <w:tcW w:w="1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55</w:t>
            </w:r>
          </w:p>
        </w:tc>
        <w:tc>
          <w:tcPr>
            <w:tcW w:w="1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72</w:t>
            </w:r>
          </w:p>
        </w:tc>
        <w:tc>
          <w:tcPr>
            <w:tcW w:w="12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3D1F04" w:rsidP="00E60B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+</w:t>
            </w:r>
            <w:r w:rsidR="00002E3E">
              <w:rPr>
                <w:color w:val="000000"/>
                <w:lang w:eastAsia="it-IT"/>
              </w:rPr>
              <w:t>17</w:t>
            </w:r>
          </w:p>
        </w:tc>
        <w:tc>
          <w:tcPr>
            <w:tcW w:w="1017" w:type="dxa"/>
          </w:tcPr>
          <w:p w:rsidR="00002E3E" w:rsidRDefault="00002E3E" w:rsidP="00E60B1F">
            <w:pPr>
              <w:spacing w:after="0" w:line="240" w:lineRule="auto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Sì</w:t>
            </w:r>
          </w:p>
        </w:tc>
      </w:tr>
      <w:tr w:rsidR="00002E3E" w:rsidTr="00E60B1F">
        <w:trPr>
          <w:trHeight w:val="20"/>
          <w:jc w:val="center"/>
        </w:trPr>
        <w:tc>
          <w:tcPr>
            <w:tcW w:w="1691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21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Forlì-Cesena</w:t>
            </w:r>
          </w:p>
        </w:tc>
        <w:tc>
          <w:tcPr>
            <w:tcW w:w="1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4</w:t>
            </w:r>
          </w:p>
        </w:tc>
        <w:tc>
          <w:tcPr>
            <w:tcW w:w="1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10</w:t>
            </w:r>
          </w:p>
        </w:tc>
        <w:tc>
          <w:tcPr>
            <w:tcW w:w="12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3D1F04" w:rsidP="00E60B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+</w:t>
            </w:r>
            <w:r w:rsidR="00002E3E">
              <w:rPr>
                <w:color w:val="000000"/>
                <w:lang w:eastAsia="it-IT"/>
              </w:rPr>
              <w:t>6</w:t>
            </w:r>
          </w:p>
        </w:tc>
        <w:tc>
          <w:tcPr>
            <w:tcW w:w="1017" w:type="dxa"/>
          </w:tcPr>
          <w:p w:rsidR="00002E3E" w:rsidRDefault="003D1F04" w:rsidP="00E60B1F">
            <w:pPr>
              <w:spacing w:after="0" w:line="240" w:lineRule="auto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-</w:t>
            </w:r>
          </w:p>
        </w:tc>
      </w:tr>
      <w:tr w:rsidR="00002E3E" w:rsidTr="00E60B1F">
        <w:trPr>
          <w:trHeight w:val="20"/>
          <w:jc w:val="center"/>
        </w:trPr>
        <w:tc>
          <w:tcPr>
            <w:tcW w:w="1691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21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Reggio nell'Emilia</w:t>
            </w:r>
          </w:p>
        </w:tc>
        <w:tc>
          <w:tcPr>
            <w:tcW w:w="1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7</w:t>
            </w:r>
          </w:p>
        </w:tc>
        <w:tc>
          <w:tcPr>
            <w:tcW w:w="1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19</w:t>
            </w:r>
          </w:p>
        </w:tc>
        <w:tc>
          <w:tcPr>
            <w:tcW w:w="12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3D1F04" w:rsidP="00E60B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+</w:t>
            </w:r>
            <w:r w:rsidR="00002E3E">
              <w:rPr>
                <w:color w:val="000000"/>
                <w:lang w:eastAsia="it-IT"/>
              </w:rPr>
              <w:t>12</w:t>
            </w:r>
          </w:p>
        </w:tc>
        <w:tc>
          <w:tcPr>
            <w:tcW w:w="1017" w:type="dxa"/>
          </w:tcPr>
          <w:p w:rsidR="00002E3E" w:rsidRDefault="003D1F04" w:rsidP="00E60B1F">
            <w:pPr>
              <w:spacing w:after="0" w:line="240" w:lineRule="auto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Sì</w:t>
            </w:r>
          </w:p>
        </w:tc>
      </w:tr>
      <w:tr w:rsidR="00002E3E" w:rsidTr="00E60B1F">
        <w:trPr>
          <w:trHeight w:val="20"/>
          <w:jc w:val="center"/>
        </w:trPr>
        <w:tc>
          <w:tcPr>
            <w:tcW w:w="1691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2E3E" w:rsidRDefault="00002E3E" w:rsidP="00E60B1F">
            <w:pPr>
              <w:spacing w:after="0" w:line="240" w:lineRule="auto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Liguria</w:t>
            </w:r>
          </w:p>
        </w:tc>
        <w:tc>
          <w:tcPr>
            <w:tcW w:w="21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Genova</w:t>
            </w:r>
          </w:p>
        </w:tc>
        <w:tc>
          <w:tcPr>
            <w:tcW w:w="1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33</w:t>
            </w:r>
          </w:p>
        </w:tc>
        <w:tc>
          <w:tcPr>
            <w:tcW w:w="1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41</w:t>
            </w:r>
          </w:p>
        </w:tc>
        <w:tc>
          <w:tcPr>
            <w:tcW w:w="12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3D1F04" w:rsidP="00E60B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+</w:t>
            </w:r>
            <w:r w:rsidR="00002E3E">
              <w:rPr>
                <w:color w:val="000000"/>
                <w:lang w:eastAsia="it-IT"/>
              </w:rPr>
              <w:t>8</w:t>
            </w:r>
          </w:p>
        </w:tc>
        <w:tc>
          <w:tcPr>
            <w:tcW w:w="1017" w:type="dxa"/>
          </w:tcPr>
          <w:p w:rsidR="00002E3E" w:rsidRDefault="003D1F04" w:rsidP="00E60B1F">
            <w:pPr>
              <w:spacing w:after="0" w:line="240" w:lineRule="auto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-</w:t>
            </w:r>
          </w:p>
        </w:tc>
      </w:tr>
      <w:tr w:rsidR="00002E3E" w:rsidTr="00E60B1F">
        <w:trPr>
          <w:trHeight w:val="20"/>
          <w:jc w:val="center"/>
        </w:trPr>
        <w:tc>
          <w:tcPr>
            <w:tcW w:w="1691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21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Savona</w:t>
            </w:r>
          </w:p>
        </w:tc>
        <w:tc>
          <w:tcPr>
            <w:tcW w:w="1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3</w:t>
            </w:r>
          </w:p>
        </w:tc>
        <w:tc>
          <w:tcPr>
            <w:tcW w:w="1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9</w:t>
            </w:r>
          </w:p>
        </w:tc>
        <w:tc>
          <w:tcPr>
            <w:tcW w:w="12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3D1F04" w:rsidP="00E60B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+</w:t>
            </w:r>
            <w:r w:rsidR="00002E3E">
              <w:rPr>
                <w:color w:val="000000"/>
                <w:lang w:eastAsia="it-IT"/>
              </w:rPr>
              <w:t>6</w:t>
            </w:r>
          </w:p>
        </w:tc>
        <w:tc>
          <w:tcPr>
            <w:tcW w:w="1017" w:type="dxa"/>
          </w:tcPr>
          <w:p w:rsidR="00002E3E" w:rsidRDefault="003D1F04" w:rsidP="00E60B1F">
            <w:pPr>
              <w:spacing w:after="0" w:line="240" w:lineRule="auto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-</w:t>
            </w:r>
          </w:p>
        </w:tc>
      </w:tr>
      <w:tr w:rsidR="00002E3E" w:rsidTr="00E60B1F">
        <w:trPr>
          <w:trHeight w:val="20"/>
          <w:jc w:val="center"/>
        </w:trPr>
        <w:tc>
          <w:tcPr>
            <w:tcW w:w="1691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2E3E" w:rsidRDefault="00002E3E" w:rsidP="00E60B1F">
            <w:pPr>
              <w:spacing w:after="0" w:line="240" w:lineRule="auto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Lombardia</w:t>
            </w:r>
          </w:p>
        </w:tc>
        <w:tc>
          <w:tcPr>
            <w:tcW w:w="21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Bergamo</w:t>
            </w:r>
          </w:p>
        </w:tc>
        <w:tc>
          <w:tcPr>
            <w:tcW w:w="1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248</w:t>
            </w:r>
          </w:p>
        </w:tc>
        <w:tc>
          <w:tcPr>
            <w:tcW w:w="1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268</w:t>
            </w:r>
          </w:p>
        </w:tc>
        <w:tc>
          <w:tcPr>
            <w:tcW w:w="12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3D1F04" w:rsidP="00E60B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+</w:t>
            </w:r>
            <w:r w:rsidR="00002E3E">
              <w:rPr>
                <w:color w:val="000000"/>
                <w:lang w:eastAsia="it-IT"/>
              </w:rPr>
              <w:t>20</w:t>
            </w:r>
          </w:p>
        </w:tc>
        <w:tc>
          <w:tcPr>
            <w:tcW w:w="1017" w:type="dxa"/>
          </w:tcPr>
          <w:p w:rsidR="00002E3E" w:rsidRDefault="003D1F04" w:rsidP="00E60B1F">
            <w:pPr>
              <w:spacing w:after="0" w:line="240" w:lineRule="auto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-</w:t>
            </w:r>
          </w:p>
        </w:tc>
      </w:tr>
      <w:tr w:rsidR="00002E3E" w:rsidTr="00E60B1F">
        <w:trPr>
          <w:trHeight w:val="20"/>
          <w:jc w:val="center"/>
        </w:trPr>
        <w:tc>
          <w:tcPr>
            <w:tcW w:w="1691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21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Monza e Brianza</w:t>
            </w:r>
          </w:p>
        </w:tc>
        <w:tc>
          <w:tcPr>
            <w:tcW w:w="1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72</w:t>
            </w:r>
          </w:p>
        </w:tc>
        <w:tc>
          <w:tcPr>
            <w:tcW w:w="1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77</w:t>
            </w:r>
          </w:p>
        </w:tc>
        <w:tc>
          <w:tcPr>
            <w:tcW w:w="12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3D1F04" w:rsidP="00E60B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+</w:t>
            </w:r>
            <w:r w:rsidR="00002E3E">
              <w:rPr>
                <w:color w:val="000000"/>
                <w:lang w:eastAsia="it-IT"/>
              </w:rPr>
              <w:t>5</w:t>
            </w:r>
          </w:p>
        </w:tc>
        <w:tc>
          <w:tcPr>
            <w:tcW w:w="1017" w:type="dxa"/>
          </w:tcPr>
          <w:p w:rsidR="00002E3E" w:rsidRDefault="003D1F04" w:rsidP="00E60B1F">
            <w:pPr>
              <w:spacing w:after="0" w:line="240" w:lineRule="auto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-</w:t>
            </w:r>
          </w:p>
        </w:tc>
      </w:tr>
      <w:tr w:rsidR="00002E3E" w:rsidTr="00E60B1F">
        <w:trPr>
          <w:trHeight w:val="20"/>
          <w:jc w:val="center"/>
        </w:trPr>
        <w:tc>
          <w:tcPr>
            <w:tcW w:w="16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P.A. Bolzano</w:t>
            </w:r>
          </w:p>
        </w:tc>
        <w:tc>
          <w:tcPr>
            <w:tcW w:w="21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Bolzano</w:t>
            </w:r>
          </w:p>
        </w:tc>
        <w:tc>
          <w:tcPr>
            <w:tcW w:w="1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7</w:t>
            </w:r>
          </w:p>
        </w:tc>
        <w:tc>
          <w:tcPr>
            <w:tcW w:w="1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22</w:t>
            </w:r>
          </w:p>
        </w:tc>
        <w:tc>
          <w:tcPr>
            <w:tcW w:w="12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3D1F04" w:rsidP="00E60B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+</w:t>
            </w:r>
            <w:r w:rsidR="00002E3E">
              <w:rPr>
                <w:color w:val="000000"/>
                <w:lang w:eastAsia="it-IT"/>
              </w:rPr>
              <w:t>15</w:t>
            </w:r>
          </w:p>
        </w:tc>
        <w:tc>
          <w:tcPr>
            <w:tcW w:w="1017" w:type="dxa"/>
          </w:tcPr>
          <w:p w:rsidR="00002E3E" w:rsidRDefault="004A46F7" w:rsidP="00E60B1F">
            <w:pPr>
              <w:spacing w:after="0" w:line="240" w:lineRule="auto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Sì</w:t>
            </w:r>
          </w:p>
        </w:tc>
      </w:tr>
      <w:tr w:rsidR="00002E3E" w:rsidTr="00E60B1F">
        <w:trPr>
          <w:trHeight w:val="20"/>
          <w:jc w:val="center"/>
        </w:trPr>
        <w:tc>
          <w:tcPr>
            <w:tcW w:w="16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P.A. Trento</w:t>
            </w:r>
          </w:p>
        </w:tc>
        <w:tc>
          <w:tcPr>
            <w:tcW w:w="21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Trento</w:t>
            </w:r>
          </w:p>
        </w:tc>
        <w:tc>
          <w:tcPr>
            <w:tcW w:w="1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9</w:t>
            </w:r>
          </w:p>
        </w:tc>
        <w:tc>
          <w:tcPr>
            <w:tcW w:w="1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17</w:t>
            </w:r>
          </w:p>
        </w:tc>
        <w:tc>
          <w:tcPr>
            <w:tcW w:w="12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3D1F04" w:rsidP="00E60B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+</w:t>
            </w:r>
            <w:r w:rsidR="00002E3E">
              <w:rPr>
                <w:color w:val="000000"/>
                <w:lang w:eastAsia="it-IT"/>
              </w:rPr>
              <w:t>8</w:t>
            </w:r>
          </w:p>
        </w:tc>
        <w:tc>
          <w:tcPr>
            <w:tcW w:w="1017" w:type="dxa"/>
          </w:tcPr>
          <w:p w:rsidR="00002E3E" w:rsidRDefault="003D1F04" w:rsidP="00E60B1F">
            <w:pPr>
              <w:spacing w:after="0" w:line="240" w:lineRule="auto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-</w:t>
            </w:r>
          </w:p>
        </w:tc>
      </w:tr>
      <w:tr w:rsidR="00002E3E" w:rsidTr="00413E8E">
        <w:trPr>
          <w:trHeight w:val="20"/>
          <w:jc w:val="center"/>
        </w:trPr>
        <w:tc>
          <w:tcPr>
            <w:tcW w:w="16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Piemonte</w:t>
            </w:r>
          </w:p>
        </w:tc>
        <w:tc>
          <w:tcPr>
            <w:tcW w:w="21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Novara</w:t>
            </w:r>
          </w:p>
        </w:tc>
        <w:tc>
          <w:tcPr>
            <w:tcW w:w="1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18</w:t>
            </w:r>
          </w:p>
        </w:tc>
        <w:tc>
          <w:tcPr>
            <w:tcW w:w="1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002E3E" w:rsidP="00E60B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29</w:t>
            </w:r>
          </w:p>
        </w:tc>
        <w:tc>
          <w:tcPr>
            <w:tcW w:w="12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2E3E" w:rsidRDefault="003D1F04" w:rsidP="00E60B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+</w:t>
            </w:r>
            <w:r w:rsidR="00002E3E">
              <w:rPr>
                <w:color w:val="000000"/>
                <w:lang w:eastAsia="it-IT"/>
              </w:rPr>
              <w:t>11</w:t>
            </w:r>
          </w:p>
        </w:tc>
        <w:tc>
          <w:tcPr>
            <w:tcW w:w="1017" w:type="dxa"/>
          </w:tcPr>
          <w:p w:rsidR="00002E3E" w:rsidRDefault="003D1F04" w:rsidP="00E60B1F">
            <w:pPr>
              <w:spacing w:after="0" w:line="240" w:lineRule="auto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-</w:t>
            </w:r>
          </w:p>
        </w:tc>
      </w:tr>
      <w:tr w:rsidR="00E60B1F" w:rsidTr="00413E8E">
        <w:trPr>
          <w:trHeight w:val="20"/>
          <w:jc w:val="center"/>
        </w:trPr>
        <w:tc>
          <w:tcPr>
            <w:tcW w:w="1691" w:type="dxa"/>
            <w:tcBorders>
              <w:bottom w:val="single" w:sz="8" w:space="0" w:color="0045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60B1F" w:rsidRDefault="00E60B1F" w:rsidP="00E60B1F">
            <w:pPr>
              <w:spacing w:after="0" w:line="240" w:lineRule="auto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Toscana</w:t>
            </w:r>
          </w:p>
        </w:tc>
        <w:tc>
          <w:tcPr>
            <w:tcW w:w="2127" w:type="dxa"/>
            <w:tcBorders>
              <w:bottom w:val="single" w:sz="8" w:space="0" w:color="0045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60B1F" w:rsidRDefault="00E60B1F" w:rsidP="00E60B1F">
            <w:pPr>
              <w:spacing w:after="0" w:line="240" w:lineRule="auto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Prato</w:t>
            </w:r>
          </w:p>
        </w:tc>
        <w:tc>
          <w:tcPr>
            <w:tcW w:w="1380" w:type="dxa"/>
            <w:tcBorders>
              <w:bottom w:val="single" w:sz="8" w:space="0" w:color="0045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60B1F" w:rsidRDefault="00E60B1F" w:rsidP="00E60B1F">
            <w:pPr>
              <w:spacing w:after="0" w:line="240" w:lineRule="auto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</w:t>
            </w:r>
          </w:p>
        </w:tc>
        <w:tc>
          <w:tcPr>
            <w:tcW w:w="1380" w:type="dxa"/>
            <w:tcBorders>
              <w:bottom w:val="single" w:sz="8" w:space="0" w:color="0045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60B1F" w:rsidRDefault="00E60B1F" w:rsidP="00E60B1F">
            <w:pPr>
              <w:spacing w:after="0" w:line="240" w:lineRule="auto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6</w:t>
            </w:r>
          </w:p>
        </w:tc>
        <w:tc>
          <w:tcPr>
            <w:tcW w:w="1201" w:type="dxa"/>
            <w:tcBorders>
              <w:bottom w:val="single" w:sz="8" w:space="0" w:color="0045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60B1F" w:rsidRDefault="00E60B1F" w:rsidP="00E60B1F">
            <w:pPr>
              <w:spacing w:after="0" w:line="240" w:lineRule="auto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+5</w:t>
            </w:r>
          </w:p>
        </w:tc>
        <w:tc>
          <w:tcPr>
            <w:tcW w:w="1017" w:type="dxa"/>
            <w:tcBorders>
              <w:bottom w:val="single" w:sz="8" w:space="0" w:color="00457D"/>
            </w:tcBorders>
          </w:tcPr>
          <w:p w:rsidR="00E60B1F" w:rsidRDefault="00F8431D" w:rsidP="00E60B1F">
            <w:pPr>
              <w:spacing w:after="0" w:line="240" w:lineRule="auto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-</w:t>
            </w:r>
          </w:p>
        </w:tc>
      </w:tr>
      <w:tr w:rsidR="00413E8E" w:rsidTr="00413E8E">
        <w:trPr>
          <w:trHeight w:val="20"/>
          <w:jc w:val="center"/>
        </w:trPr>
        <w:tc>
          <w:tcPr>
            <w:tcW w:w="8796" w:type="dxa"/>
            <w:gridSpan w:val="6"/>
            <w:tcBorders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13E8E" w:rsidRDefault="00413E8E" w:rsidP="00413E8E">
            <w:pPr>
              <w:spacing w:after="0" w:line="240" w:lineRule="auto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 xml:space="preserve">*Le province della </w:t>
            </w:r>
            <w:r w:rsidRPr="00413E8E">
              <w:rPr>
                <w:color w:val="000000"/>
                <w:lang w:eastAsia="it-IT"/>
              </w:rPr>
              <w:t xml:space="preserve">Sicilia </w:t>
            </w:r>
            <w:r>
              <w:rPr>
                <w:color w:val="000000"/>
                <w:lang w:eastAsia="it-IT"/>
              </w:rPr>
              <w:t xml:space="preserve">sono </w:t>
            </w:r>
            <w:r w:rsidR="003B3BA8">
              <w:rPr>
                <w:color w:val="000000"/>
                <w:lang w:eastAsia="it-IT"/>
              </w:rPr>
              <w:t xml:space="preserve">state </w:t>
            </w:r>
            <w:r>
              <w:rPr>
                <w:color w:val="000000"/>
                <w:lang w:eastAsia="it-IT"/>
              </w:rPr>
              <w:t xml:space="preserve">escluse in quanto </w:t>
            </w:r>
            <w:r w:rsidRPr="00413E8E">
              <w:rPr>
                <w:color w:val="000000"/>
                <w:lang w:eastAsia="it-IT"/>
              </w:rPr>
              <w:t>oggetto di ricalcoli</w:t>
            </w:r>
            <w:r>
              <w:rPr>
                <w:color w:val="000000"/>
                <w:lang w:eastAsia="it-IT"/>
              </w:rPr>
              <w:t xml:space="preserve"> rilevanti</w:t>
            </w:r>
          </w:p>
        </w:tc>
      </w:tr>
    </w:tbl>
    <w:p w:rsidR="00095FCA" w:rsidRDefault="00095FCA" w:rsidP="003658CE">
      <w:pPr>
        <w:rPr>
          <w:rFonts w:ascii="Calibri" w:hAnsi="Calibri" w:cs="Calibri"/>
          <w:color w:val="00457D"/>
        </w:rPr>
      </w:pPr>
    </w:p>
    <w:p w:rsidR="003658CE" w:rsidRDefault="003658CE" w:rsidP="002705E8">
      <w:pPr>
        <w:spacing w:after="120"/>
        <w:jc w:val="center"/>
        <w:rPr>
          <w:b/>
          <w:noProof/>
          <w:lang w:eastAsia="it-IT"/>
        </w:rPr>
      </w:pPr>
    </w:p>
    <w:sectPr w:rsidR="003658CE" w:rsidSect="00413E8E">
      <w:headerReference w:type="default" r:id="rId10"/>
      <w:footerReference w:type="default" r:id="rId11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4D3" w:rsidRDefault="00F754D3">
      <w:pPr>
        <w:spacing w:after="0" w:line="240" w:lineRule="auto"/>
      </w:pPr>
      <w:r>
        <w:separator/>
      </w:r>
    </w:p>
  </w:endnote>
  <w:endnote w:type="continuationSeparator" w:id="0">
    <w:p w:rsidR="00F754D3" w:rsidRDefault="00F7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D69" w:rsidRDefault="00AC1D69">
    <w:pPr>
      <w:pStyle w:val="Pidipagina"/>
    </w:pPr>
  </w:p>
  <w:p w:rsidR="00AC1D69" w:rsidRDefault="00AC1D69">
    <w:pPr>
      <w:pStyle w:val="Pidipagina"/>
    </w:pPr>
  </w:p>
  <w:p w:rsidR="00AC1D69" w:rsidRDefault="00AC1D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4D3" w:rsidRDefault="00F754D3">
      <w:pPr>
        <w:spacing w:after="0" w:line="240" w:lineRule="auto"/>
      </w:pPr>
      <w:r>
        <w:separator/>
      </w:r>
    </w:p>
  </w:footnote>
  <w:footnote w:type="continuationSeparator" w:id="0">
    <w:p w:rsidR="00F754D3" w:rsidRDefault="00F75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D69" w:rsidRPr="008B1878" w:rsidRDefault="00AC1D69" w:rsidP="0017590C">
    <w:pPr>
      <w:pStyle w:val="Intestazione"/>
      <w:jc w:val="center"/>
      <w:rPr>
        <w:b/>
        <w:color w:val="FF0000"/>
        <w:sz w:val="36"/>
      </w:rPr>
    </w:pPr>
  </w:p>
  <w:p w:rsidR="00AC1D69" w:rsidRPr="007F63C2" w:rsidRDefault="00AC1D69" w:rsidP="009E35C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651"/>
    <w:multiLevelType w:val="multilevel"/>
    <w:tmpl w:val="170E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54604"/>
    <w:multiLevelType w:val="hybridMultilevel"/>
    <w:tmpl w:val="A57E85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43303"/>
    <w:multiLevelType w:val="hybridMultilevel"/>
    <w:tmpl w:val="8A5A2E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BB3C11"/>
    <w:multiLevelType w:val="hybridMultilevel"/>
    <w:tmpl w:val="C5A49B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BD5F3E"/>
    <w:multiLevelType w:val="hybridMultilevel"/>
    <w:tmpl w:val="3BA470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2724CA"/>
    <w:multiLevelType w:val="hybridMultilevel"/>
    <w:tmpl w:val="3A541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73CF3"/>
    <w:multiLevelType w:val="hybridMultilevel"/>
    <w:tmpl w:val="103C1148"/>
    <w:lvl w:ilvl="0" w:tplc="B54EF48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1B15A8"/>
    <w:multiLevelType w:val="hybridMultilevel"/>
    <w:tmpl w:val="0400BF2C"/>
    <w:lvl w:ilvl="0" w:tplc="998AB3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AE03AC"/>
    <w:multiLevelType w:val="hybridMultilevel"/>
    <w:tmpl w:val="3252F7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AD4321"/>
    <w:multiLevelType w:val="hybridMultilevel"/>
    <w:tmpl w:val="0ED2F1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5A5C25"/>
    <w:multiLevelType w:val="hybridMultilevel"/>
    <w:tmpl w:val="2F483850"/>
    <w:lvl w:ilvl="0" w:tplc="E3F4A4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5B668B"/>
    <w:multiLevelType w:val="hybridMultilevel"/>
    <w:tmpl w:val="7F127C10"/>
    <w:lvl w:ilvl="0" w:tplc="E52EADB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E3BCC"/>
    <w:multiLevelType w:val="hybridMultilevel"/>
    <w:tmpl w:val="7A1CF9AE"/>
    <w:lvl w:ilvl="0" w:tplc="5448A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168D9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A1AAD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8AA2EE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86821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3B6920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E2AE0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5F0ECB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AC2696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1E002442"/>
    <w:multiLevelType w:val="hybridMultilevel"/>
    <w:tmpl w:val="479EDB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673E18"/>
    <w:multiLevelType w:val="hybridMultilevel"/>
    <w:tmpl w:val="B928D4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D03F0C"/>
    <w:multiLevelType w:val="hybridMultilevel"/>
    <w:tmpl w:val="22CAFF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4843B9"/>
    <w:multiLevelType w:val="hybridMultilevel"/>
    <w:tmpl w:val="813AF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A8410F"/>
    <w:multiLevelType w:val="hybridMultilevel"/>
    <w:tmpl w:val="56FC71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1533DF"/>
    <w:multiLevelType w:val="hybridMultilevel"/>
    <w:tmpl w:val="5F8611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2C2053"/>
    <w:multiLevelType w:val="hybridMultilevel"/>
    <w:tmpl w:val="AF4C7A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5019C3"/>
    <w:multiLevelType w:val="hybridMultilevel"/>
    <w:tmpl w:val="E04C4B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E698F"/>
    <w:multiLevelType w:val="hybridMultilevel"/>
    <w:tmpl w:val="2DF684FC"/>
    <w:lvl w:ilvl="0" w:tplc="04100001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F712DA"/>
    <w:multiLevelType w:val="hybridMultilevel"/>
    <w:tmpl w:val="F7C299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771EB7"/>
    <w:multiLevelType w:val="hybridMultilevel"/>
    <w:tmpl w:val="11C29F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B75DF4"/>
    <w:multiLevelType w:val="hybridMultilevel"/>
    <w:tmpl w:val="919C8C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0A5F29"/>
    <w:multiLevelType w:val="hybridMultilevel"/>
    <w:tmpl w:val="D54428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A8253A0"/>
    <w:multiLevelType w:val="hybridMultilevel"/>
    <w:tmpl w:val="1BC6BC42"/>
    <w:lvl w:ilvl="0" w:tplc="DA0444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4868F7"/>
    <w:multiLevelType w:val="hybridMultilevel"/>
    <w:tmpl w:val="33A81A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DF10459"/>
    <w:multiLevelType w:val="hybridMultilevel"/>
    <w:tmpl w:val="002E28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DB19ED"/>
    <w:multiLevelType w:val="hybridMultilevel"/>
    <w:tmpl w:val="9266E57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091C98"/>
    <w:multiLevelType w:val="hybridMultilevel"/>
    <w:tmpl w:val="65E47A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516321D"/>
    <w:multiLevelType w:val="hybridMultilevel"/>
    <w:tmpl w:val="29421BFC"/>
    <w:lvl w:ilvl="0" w:tplc="19982E7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3E6A16"/>
    <w:multiLevelType w:val="hybridMultilevel"/>
    <w:tmpl w:val="1E586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973289"/>
    <w:multiLevelType w:val="hybridMultilevel"/>
    <w:tmpl w:val="DA9639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7D21414"/>
    <w:multiLevelType w:val="hybridMultilevel"/>
    <w:tmpl w:val="E7AA0E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8EA6FAD"/>
    <w:multiLevelType w:val="hybridMultilevel"/>
    <w:tmpl w:val="1F44E246"/>
    <w:lvl w:ilvl="0" w:tplc="968CF78A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EA84739"/>
    <w:multiLevelType w:val="hybridMultilevel"/>
    <w:tmpl w:val="346A4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835E95"/>
    <w:multiLevelType w:val="hybridMultilevel"/>
    <w:tmpl w:val="9C3ACFBE"/>
    <w:lvl w:ilvl="0" w:tplc="41860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958AF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70CFA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7ECE5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8B66C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8903B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BAAD5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BE65C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A26DE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8" w15:restartNumberingAfterBreak="0">
    <w:nsid w:val="64A556C3"/>
    <w:multiLevelType w:val="hybridMultilevel"/>
    <w:tmpl w:val="65A615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FF4981"/>
    <w:multiLevelType w:val="hybridMultilevel"/>
    <w:tmpl w:val="20C6D6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C31ACA"/>
    <w:multiLevelType w:val="hybridMultilevel"/>
    <w:tmpl w:val="C0D66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28"/>
  </w:num>
  <w:num w:numId="4">
    <w:abstractNumId w:val="12"/>
  </w:num>
  <w:num w:numId="5">
    <w:abstractNumId w:val="37"/>
  </w:num>
  <w:num w:numId="6">
    <w:abstractNumId w:val="6"/>
  </w:num>
  <w:num w:numId="7">
    <w:abstractNumId w:val="10"/>
  </w:num>
  <w:num w:numId="8">
    <w:abstractNumId w:val="31"/>
  </w:num>
  <w:num w:numId="9">
    <w:abstractNumId w:val="8"/>
  </w:num>
  <w:num w:numId="10">
    <w:abstractNumId w:val="25"/>
  </w:num>
  <w:num w:numId="11">
    <w:abstractNumId w:val="15"/>
  </w:num>
  <w:num w:numId="12">
    <w:abstractNumId w:val="24"/>
  </w:num>
  <w:num w:numId="13">
    <w:abstractNumId w:val="5"/>
  </w:num>
  <w:num w:numId="14">
    <w:abstractNumId w:val="23"/>
  </w:num>
  <w:num w:numId="15">
    <w:abstractNumId w:val="1"/>
  </w:num>
  <w:num w:numId="16">
    <w:abstractNumId w:val="2"/>
  </w:num>
  <w:num w:numId="17">
    <w:abstractNumId w:val="29"/>
  </w:num>
  <w:num w:numId="18">
    <w:abstractNumId w:val="9"/>
  </w:num>
  <w:num w:numId="19">
    <w:abstractNumId w:val="35"/>
  </w:num>
  <w:num w:numId="20">
    <w:abstractNumId w:val="7"/>
  </w:num>
  <w:num w:numId="21">
    <w:abstractNumId w:val="34"/>
  </w:num>
  <w:num w:numId="22">
    <w:abstractNumId w:val="38"/>
  </w:num>
  <w:num w:numId="23">
    <w:abstractNumId w:val="40"/>
  </w:num>
  <w:num w:numId="24">
    <w:abstractNumId w:val="13"/>
  </w:num>
  <w:num w:numId="25">
    <w:abstractNumId w:val="17"/>
  </w:num>
  <w:num w:numId="26">
    <w:abstractNumId w:val="27"/>
  </w:num>
  <w:num w:numId="27">
    <w:abstractNumId w:val="39"/>
  </w:num>
  <w:num w:numId="28">
    <w:abstractNumId w:val="11"/>
  </w:num>
  <w:num w:numId="29">
    <w:abstractNumId w:val="32"/>
  </w:num>
  <w:num w:numId="30">
    <w:abstractNumId w:val="22"/>
  </w:num>
  <w:num w:numId="31">
    <w:abstractNumId w:val="16"/>
  </w:num>
  <w:num w:numId="32">
    <w:abstractNumId w:val="0"/>
  </w:num>
  <w:num w:numId="33">
    <w:abstractNumId w:val="4"/>
  </w:num>
  <w:num w:numId="34">
    <w:abstractNumId w:val="20"/>
  </w:num>
  <w:num w:numId="35">
    <w:abstractNumId w:val="18"/>
  </w:num>
  <w:num w:numId="36">
    <w:abstractNumId w:val="3"/>
  </w:num>
  <w:num w:numId="37">
    <w:abstractNumId w:val="14"/>
  </w:num>
  <w:num w:numId="38">
    <w:abstractNumId w:val="26"/>
  </w:num>
  <w:num w:numId="39">
    <w:abstractNumId w:val="30"/>
  </w:num>
  <w:num w:numId="40">
    <w:abstractNumId w:val="36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4D"/>
    <w:rsid w:val="00001504"/>
    <w:rsid w:val="00002908"/>
    <w:rsid w:val="00002E3E"/>
    <w:rsid w:val="00007E2D"/>
    <w:rsid w:val="00010AEF"/>
    <w:rsid w:val="00012955"/>
    <w:rsid w:val="000171CE"/>
    <w:rsid w:val="000177CD"/>
    <w:rsid w:val="000179EC"/>
    <w:rsid w:val="000200E1"/>
    <w:rsid w:val="00023F18"/>
    <w:rsid w:val="00026DC0"/>
    <w:rsid w:val="000328C9"/>
    <w:rsid w:val="00035405"/>
    <w:rsid w:val="0004029D"/>
    <w:rsid w:val="00043A85"/>
    <w:rsid w:val="00047EE0"/>
    <w:rsid w:val="000529FD"/>
    <w:rsid w:val="000534AE"/>
    <w:rsid w:val="000548AC"/>
    <w:rsid w:val="000559EC"/>
    <w:rsid w:val="0005649A"/>
    <w:rsid w:val="00057675"/>
    <w:rsid w:val="00060A3C"/>
    <w:rsid w:val="00062E06"/>
    <w:rsid w:val="000648AF"/>
    <w:rsid w:val="000650A3"/>
    <w:rsid w:val="00066FEB"/>
    <w:rsid w:val="0007007A"/>
    <w:rsid w:val="000713E0"/>
    <w:rsid w:val="00071F3F"/>
    <w:rsid w:val="00075811"/>
    <w:rsid w:val="00075B48"/>
    <w:rsid w:val="0007670E"/>
    <w:rsid w:val="00080943"/>
    <w:rsid w:val="00083222"/>
    <w:rsid w:val="00087618"/>
    <w:rsid w:val="00090BE2"/>
    <w:rsid w:val="00091C99"/>
    <w:rsid w:val="00092A9D"/>
    <w:rsid w:val="00093477"/>
    <w:rsid w:val="000943CF"/>
    <w:rsid w:val="00094EF2"/>
    <w:rsid w:val="00095FCA"/>
    <w:rsid w:val="000A5D42"/>
    <w:rsid w:val="000A7474"/>
    <w:rsid w:val="000B0330"/>
    <w:rsid w:val="000B1503"/>
    <w:rsid w:val="000B23AC"/>
    <w:rsid w:val="000B2A0D"/>
    <w:rsid w:val="000B2A60"/>
    <w:rsid w:val="000B6E50"/>
    <w:rsid w:val="000C1558"/>
    <w:rsid w:val="000C1EDD"/>
    <w:rsid w:val="000C22C6"/>
    <w:rsid w:val="000D1769"/>
    <w:rsid w:val="000D1D78"/>
    <w:rsid w:val="000D56B8"/>
    <w:rsid w:val="000D64BB"/>
    <w:rsid w:val="000D6AC6"/>
    <w:rsid w:val="000E2B65"/>
    <w:rsid w:val="000E4C32"/>
    <w:rsid w:val="000F136B"/>
    <w:rsid w:val="000F23C9"/>
    <w:rsid w:val="000F2E5C"/>
    <w:rsid w:val="000F381E"/>
    <w:rsid w:val="000F41B1"/>
    <w:rsid w:val="000F4E69"/>
    <w:rsid w:val="000F655E"/>
    <w:rsid w:val="000F6B97"/>
    <w:rsid w:val="000F7D28"/>
    <w:rsid w:val="000F7EE8"/>
    <w:rsid w:val="00103E7D"/>
    <w:rsid w:val="00104759"/>
    <w:rsid w:val="0010550E"/>
    <w:rsid w:val="001059AD"/>
    <w:rsid w:val="00113053"/>
    <w:rsid w:val="00113554"/>
    <w:rsid w:val="001218DD"/>
    <w:rsid w:val="00123005"/>
    <w:rsid w:val="0012440D"/>
    <w:rsid w:val="00124E32"/>
    <w:rsid w:val="00126676"/>
    <w:rsid w:val="001305E0"/>
    <w:rsid w:val="0013167A"/>
    <w:rsid w:val="001320B9"/>
    <w:rsid w:val="00133E24"/>
    <w:rsid w:val="001341D8"/>
    <w:rsid w:val="001348C4"/>
    <w:rsid w:val="00136710"/>
    <w:rsid w:val="0014018F"/>
    <w:rsid w:val="001408D2"/>
    <w:rsid w:val="00143377"/>
    <w:rsid w:val="001435C6"/>
    <w:rsid w:val="00143BB8"/>
    <w:rsid w:val="00145AFE"/>
    <w:rsid w:val="00146588"/>
    <w:rsid w:val="001509C3"/>
    <w:rsid w:val="00153115"/>
    <w:rsid w:val="00153964"/>
    <w:rsid w:val="00156186"/>
    <w:rsid w:val="00166D9E"/>
    <w:rsid w:val="0017590C"/>
    <w:rsid w:val="001767BB"/>
    <w:rsid w:val="00183566"/>
    <w:rsid w:val="00183F81"/>
    <w:rsid w:val="00186CF1"/>
    <w:rsid w:val="001A0964"/>
    <w:rsid w:val="001A25A5"/>
    <w:rsid w:val="001A3813"/>
    <w:rsid w:val="001A3EC6"/>
    <w:rsid w:val="001A642A"/>
    <w:rsid w:val="001C07D8"/>
    <w:rsid w:val="001C3871"/>
    <w:rsid w:val="001D0755"/>
    <w:rsid w:val="001D1D83"/>
    <w:rsid w:val="001D59FE"/>
    <w:rsid w:val="001D6AC1"/>
    <w:rsid w:val="001D6D39"/>
    <w:rsid w:val="001D7BC3"/>
    <w:rsid w:val="001E06CF"/>
    <w:rsid w:val="001E15A7"/>
    <w:rsid w:val="001E16B1"/>
    <w:rsid w:val="001E235C"/>
    <w:rsid w:val="001E456C"/>
    <w:rsid w:val="001E6000"/>
    <w:rsid w:val="001E66B3"/>
    <w:rsid w:val="001F06CD"/>
    <w:rsid w:val="001F2345"/>
    <w:rsid w:val="001F69E0"/>
    <w:rsid w:val="00204E2D"/>
    <w:rsid w:val="0020632D"/>
    <w:rsid w:val="00207983"/>
    <w:rsid w:val="00210F6C"/>
    <w:rsid w:val="002115AE"/>
    <w:rsid w:val="00213097"/>
    <w:rsid w:val="002149D9"/>
    <w:rsid w:val="00217534"/>
    <w:rsid w:val="00217C7C"/>
    <w:rsid w:val="002205C9"/>
    <w:rsid w:val="00223CBF"/>
    <w:rsid w:val="00223FDE"/>
    <w:rsid w:val="0022503B"/>
    <w:rsid w:val="002273E1"/>
    <w:rsid w:val="002306E8"/>
    <w:rsid w:val="0023472D"/>
    <w:rsid w:val="0023571B"/>
    <w:rsid w:val="002409AC"/>
    <w:rsid w:val="00240B0E"/>
    <w:rsid w:val="002419BE"/>
    <w:rsid w:val="00241BC8"/>
    <w:rsid w:val="002442BE"/>
    <w:rsid w:val="00246085"/>
    <w:rsid w:val="002509F9"/>
    <w:rsid w:val="00252E88"/>
    <w:rsid w:val="0025387F"/>
    <w:rsid w:val="00255F11"/>
    <w:rsid w:val="0025799B"/>
    <w:rsid w:val="00260775"/>
    <w:rsid w:val="00260A99"/>
    <w:rsid w:val="002666F4"/>
    <w:rsid w:val="002705E8"/>
    <w:rsid w:val="00272F32"/>
    <w:rsid w:val="00275D83"/>
    <w:rsid w:val="00276946"/>
    <w:rsid w:val="00280213"/>
    <w:rsid w:val="002813A7"/>
    <w:rsid w:val="002815AC"/>
    <w:rsid w:val="0028323F"/>
    <w:rsid w:val="002837E8"/>
    <w:rsid w:val="00284702"/>
    <w:rsid w:val="00287EB2"/>
    <w:rsid w:val="00292F53"/>
    <w:rsid w:val="00296100"/>
    <w:rsid w:val="00297824"/>
    <w:rsid w:val="002A2099"/>
    <w:rsid w:val="002A4DEE"/>
    <w:rsid w:val="002A4E8D"/>
    <w:rsid w:val="002A55EA"/>
    <w:rsid w:val="002A59D9"/>
    <w:rsid w:val="002A5FA2"/>
    <w:rsid w:val="002B170F"/>
    <w:rsid w:val="002B1BF9"/>
    <w:rsid w:val="002B2BF2"/>
    <w:rsid w:val="002B4392"/>
    <w:rsid w:val="002B49E9"/>
    <w:rsid w:val="002B7A9C"/>
    <w:rsid w:val="002C25F3"/>
    <w:rsid w:val="002D4C97"/>
    <w:rsid w:val="002D559D"/>
    <w:rsid w:val="002D63E0"/>
    <w:rsid w:val="002D7694"/>
    <w:rsid w:val="002D76E0"/>
    <w:rsid w:val="002E0DAB"/>
    <w:rsid w:val="002E182B"/>
    <w:rsid w:val="002F1137"/>
    <w:rsid w:val="002F1666"/>
    <w:rsid w:val="002F70DB"/>
    <w:rsid w:val="00300FDE"/>
    <w:rsid w:val="00304BC8"/>
    <w:rsid w:val="003055A2"/>
    <w:rsid w:val="00306D88"/>
    <w:rsid w:val="00317538"/>
    <w:rsid w:val="00320449"/>
    <w:rsid w:val="00325971"/>
    <w:rsid w:val="00326A22"/>
    <w:rsid w:val="00327AF6"/>
    <w:rsid w:val="00327D55"/>
    <w:rsid w:val="00327D6B"/>
    <w:rsid w:val="00330B57"/>
    <w:rsid w:val="0033740A"/>
    <w:rsid w:val="00341741"/>
    <w:rsid w:val="00343D23"/>
    <w:rsid w:val="00345D05"/>
    <w:rsid w:val="0034652C"/>
    <w:rsid w:val="003515F5"/>
    <w:rsid w:val="003522D4"/>
    <w:rsid w:val="00352733"/>
    <w:rsid w:val="00352A02"/>
    <w:rsid w:val="00355D9B"/>
    <w:rsid w:val="00356D01"/>
    <w:rsid w:val="003573F0"/>
    <w:rsid w:val="003624F9"/>
    <w:rsid w:val="00363CCA"/>
    <w:rsid w:val="003658CE"/>
    <w:rsid w:val="0037366F"/>
    <w:rsid w:val="00375555"/>
    <w:rsid w:val="00376334"/>
    <w:rsid w:val="00376B13"/>
    <w:rsid w:val="00384F8E"/>
    <w:rsid w:val="00387426"/>
    <w:rsid w:val="003925EF"/>
    <w:rsid w:val="003944F4"/>
    <w:rsid w:val="0039540D"/>
    <w:rsid w:val="003A0175"/>
    <w:rsid w:val="003B3BA8"/>
    <w:rsid w:val="003B4B8E"/>
    <w:rsid w:val="003B7ED5"/>
    <w:rsid w:val="003C28C9"/>
    <w:rsid w:val="003C3A9A"/>
    <w:rsid w:val="003C545F"/>
    <w:rsid w:val="003C6EB4"/>
    <w:rsid w:val="003D1749"/>
    <w:rsid w:val="003D1F04"/>
    <w:rsid w:val="003D2181"/>
    <w:rsid w:val="003D3898"/>
    <w:rsid w:val="003D530D"/>
    <w:rsid w:val="003D5C6D"/>
    <w:rsid w:val="003E228A"/>
    <w:rsid w:val="003E318E"/>
    <w:rsid w:val="003E62A0"/>
    <w:rsid w:val="003E7BE4"/>
    <w:rsid w:val="003F24A4"/>
    <w:rsid w:val="003F4964"/>
    <w:rsid w:val="003F5E91"/>
    <w:rsid w:val="003F66ED"/>
    <w:rsid w:val="003F7AAD"/>
    <w:rsid w:val="00400B49"/>
    <w:rsid w:val="00406927"/>
    <w:rsid w:val="00410301"/>
    <w:rsid w:val="00410F0D"/>
    <w:rsid w:val="00411BE2"/>
    <w:rsid w:val="00412031"/>
    <w:rsid w:val="0041302D"/>
    <w:rsid w:val="00413E8E"/>
    <w:rsid w:val="004173E1"/>
    <w:rsid w:val="00417C1C"/>
    <w:rsid w:val="004207EF"/>
    <w:rsid w:val="00420C20"/>
    <w:rsid w:val="00420CC8"/>
    <w:rsid w:val="004214E3"/>
    <w:rsid w:val="00423ED3"/>
    <w:rsid w:val="00425C3A"/>
    <w:rsid w:val="00427B58"/>
    <w:rsid w:val="00435198"/>
    <w:rsid w:val="004374D6"/>
    <w:rsid w:val="00437BB8"/>
    <w:rsid w:val="00441414"/>
    <w:rsid w:val="004421F3"/>
    <w:rsid w:val="0044462E"/>
    <w:rsid w:val="004534C0"/>
    <w:rsid w:val="004549CB"/>
    <w:rsid w:val="00455B93"/>
    <w:rsid w:val="00455F70"/>
    <w:rsid w:val="00456FB9"/>
    <w:rsid w:val="00460478"/>
    <w:rsid w:val="0046399E"/>
    <w:rsid w:val="004640C3"/>
    <w:rsid w:val="004642D0"/>
    <w:rsid w:val="004653C6"/>
    <w:rsid w:val="00467C46"/>
    <w:rsid w:val="004703BD"/>
    <w:rsid w:val="00470ED4"/>
    <w:rsid w:val="0047278C"/>
    <w:rsid w:val="00476735"/>
    <w:rsid w:val="00476F10"/>
    <w:rsid w:val="004805BB"/>
    <w:rsid w:val="00480CC3"/>
    <w:rsid w:val="00487CA2"/>
    <w:rsid w:val="00487DFA"/>
    <w:rsid w:val="00490381"/>
    <w:rsid w:val="00493007"/>
    <w:rsid w:val="00494318"/>
    <w:rsid w:val="00494885"/>
    <w:rsid w:val="0049718B"/>
    <w:rsid w:val="004A0133"/>
    <w:rsid w:val="004A46F7"/>
    <w:rsid w:val="004A574D"/>
    <w:rsid w:val="004A6E52"/>
    <w:rsid w:val="004A7DB9"/>
    <w:rsid w:val="004B2FB3"/>
    <w:rsid w:val="004B3D68"/>
    <w:rsid w:val="004B4E74"/>
    <w:rsid w:val="004C12A9"/>
    <w:rsid w:val="004C3A9A"/>
    <w:rsid w:val="004C41A8"/>
    <w:rsid w:val="004C50A7"/>
    <w:rsid w:val="004C60DC"/>
    <w:rsid w:val="004D26DF"/>
    <w:rsid w:val="004D3220"/>
    <w:rsid w:val="004D3455"/>
    <w:rsid w:val="004D5A05"/>
    <w:rsid w:val="004D6BE7"/>
    <w:rsid w:val="004E1A67"/>
    <w:rsid w:val="004E1AC9"/>
    <w:rsid w:val="004E7D1A"/>
    <w:rsid w:val="004F173B"/>
    <w:rsid w:val="004F2759"/>
    <w:rsid w:val="004F29CC"/>
    <w:rsid w:val="004F61AA"/>
    <w:rsid w:val="00500FEB"/>
    <w:rsid w:val="005015C7"/>
    <w:rsid w:val="0050196C"/>
    <w:rsid w:val="00502A03"/>
    <w:rsid w:val="00503976"/>
    <w:rsid w:val="005052B2"/>
    <w:rsid w:val="005126FA"/>
    <w:rsid w:val="005127EB"/>
    <w:rsid w:val="005165ED"/>
    <w:rsid w:val="00521CAE"/>
    <w:rsid w:val="00522819"/>
    <w:rsid w:val="00523087"/>
    <w:rsid w:val="0052545F"/>
    <w:rsid w:val="00526F9F"/>
    <w:rsid w:val="005356F3"/>
    <w:rsid w:val="00535B99"/>
    <w:rsid w:val="005378EA"/>
    <w:rsid w:val="00541FCE"/>
    <w:rsid w:val="0054575E"/>
    <w:rsid w:val="00546091"/>
    <w:rsid w:val="0054649D"/>
    <w:rsid w:val="00547577"/>
    <w:rsid w:val="005531F6"/>
    <w:rsid w:val="00557FAC"/>
    <w:rsid w:val="00563171"/>
    <w:rsid w:val="00565896"/>
    <w:rsid w:val="00565B01"/>
    <w:rsid w:val="00570E0C"/>
    <w:rsid w:val="005721B6"/>
    <w:rsid w:val="00572631"/>
    <w:rsid w:val="0057286A"/>
    <w:rsid w:val="00573CE1"/>
    <w:rsid w:val="00575FE4"/>
    <w:rsid w:val="00582B47"/>
    <w:rsid w:val="00584F34"/>
    <w:rsid w:val="005850C4"/>
    <w:rsid w:val="005879F9"/>
    <w:rsid w:val="00595C29"/>
    <w:rsid w:val="00596FA8"/>
    <w:rsid w:val="005A3752"/>
    <w:rsid w:val="005A491E"/>
    <w:rsid w:val="005A4C86"/>
    <w:rsid w:val="005A69DC"/>
    <w:rsid w:val="005A7071"/>
    <w:rsid w:val="005B1421"/>
    <w:rsid w:val="005B1EBE"/>
    <w:rsid w:val="005B6533"/>
    <w:rsid w:val="005B67AE"/>
    <w:rsid w:val="005C08B9"/>
    <w:rsid w:val="005C092C"/>
    <w:rsid w:val="005C5D3F"/>
    <w:rsid w:val="005D08B3"/>
    <w:rsid w:val="005D12FA"/>
    <w:rsid w:val="005D2F9E"/>
    <w:rsid w:val="005D38E6"/>
    <w:rsid w:val="005D59BB"/>
    <w:rsid w:val="005E053F"/>
    <w:rsid w:val="005E3CCE"/>
    <w:rsid w:val="005E4864"/>
    <w:rsid w:val="005E6366"/>
    <w:rsid w:val="005E6613"/>
    <w:rsid w:val="005E6C0B"/>
    <w:rsid w:val="005F0188"/>
    <w:rsid w:val="005F5D57"/>
    <w:rsid w:val="005F6212"/>
    <w:rsid w:val="005F7A93"/>
    <w:rsid w:val="00602DF1"/>
    <w:rsid w:val="00604DAE"/>
    <w:rsid w:val="006074AF"/>
    <w:rsid w:val="00611E90"/>
    <w:rsid w:val="00612F59"/>
    <w:rsid w:val="00615B1C"/>
    <w:rsid w:val="0062113D"/>
    <w:rsid w:val="00622F59"/>
    <w:rsid w:val="00631EE7"/>
    <w:rsid w:val="00632682"/>
    <w:rsid w:val="006344FF"/>
    <w:rsid w:val="006347C6"/>
    <w:rsid w:val="00637EFB"/>
    <w:rsid w:val="0064233C"/>
    <w:rsid w:val="00644B51"/>
    <w:rsid w:val="006477D2"/>
    <w:rsid w:val="00652253"/>
    <w:rsid w:val="00652364"/>
    <w:rsid w:val="00652B1A"/>
    <w:rsid w:val="00653022"/>
    <w:rsid w:val="006532E3"/>
    <w:rsid w:val="00654D58"/>
    <w:rsid w:val="00655479"/>
    <w:rsid w:val="00655810"/>
    <w:rsid w:val="00656B65"/>
    <w:rsid w:val="006602C7"/>
    <w:rsid w:val="00661625"/>
    <w:rsid w:val="00664F08"/>
    <w:rsid w:val="00672099"/>
    <w:rsid w:val="00674F78"/>
    <w:rsid w:val="00676036"/>
    <w:rsid w:val="00687318"/>
    <w:rsid w:val="006876EB"/>
    <w:rsid w:val="00690ACD"/>
    <w:rsid w:val="00691E9D"/>
    <w:rsid w:val="006A3B33"/>
    <w:rsid w:val="006A5AB0"/>
    <w:rsid w:val="006B2769"/>
    <w:rsid w:val="006B6C0F"/>
    <w:rsid w:val="006C0A61"/>
    <w:rsid w:val="006C22E4"/>
    <w:rsid w:val="006C3FBD"/>
    <w:rsid w:val="006C458D"/>
    <w:rsid w:val="006C61CF"/>
    <w:rsid w:val="006D0D40"/>
    <w:rsid w:val="006D127C"/>
    <w:rsid w:val="006D28FA"/>
    <w:rsid w:val="006D4E98"/>
    <w:rsid w:val="006D696D"/>
    <w:rsid w:val="006E02A4"/>
    <w:rsid w:val="006E2575"/>
    <w:rsid w:val="006E488E"/>
    <w:rsid w:val="006E5D20"/>
    <w:rsid w:val="006F20F9"/>
    <w:rsid w:val="006F24CB"/>
    <w:rsid w:val="006F6445"/>
    <w:rsid w:val="007006C3"/>
    <w:rsid w:val="00702C85"/>
    <w:rsid w:val="00706AE0"/>
    <w:rsid w:val="00710B57"/>
    <w:rsid w:val="00711A1B"/>
    <w:rsid w:val="00712DE3"/>
    <w:rsid w:val="00714DD1"/>
    <w:rsid w:val="00716462"/>
    <w:rsid w:val="00716D6F"/>
    <w:rsid w:val="00716E9B"/>
    <w:rsid w:val="00717187"/>
    <w:rsid w:val="007202C9"/>
    <w:rsid w:val="00722404"/>
    <w:rsid w:val="00723A22"/>
    <w:rsid w:val="0072783E"/>
    <w:rsid w:val="00732E2F"/>
    <w:rsid w:val="0073695C"/>
    <w:rsid w:val="00737FDA"/>
    <w:rsid w:val="007429A2"/>
    <w:rsid w:val="00742B69"/>
    <w:rsid w:val="00743648"/>
    <w:rsid w:val="00743DAB"/>
    <w:rsid w:val="0074492B"/>
    <w:rsid w:val="007456CB"/>
    <w:rsid w:val="007476C5"/>
    <w:rsid w:val="00753608"/>
    <w:rsid w:val="0075480B"/>
    <w:rsid w:val="00755114"/>
    <w:rsid w:val="00757AB3"/>
    <w:rsid w:val="00757E7A"/>
    <w:rsid w:val="0076048C"/>
    <w:rsid w:val="00760663"/>
    <w:rsid w:val="007606A9"/>
    <w:rsid w:val="007607AB"/>
    <w:rsid w:val="007620F2"/>
    <w:rsid w:val="007626CA"/>
    <w:rsid w:val="0076281B"/>
    <w:rsid w:val="0076336E"/>
    <w:rsid w:val="007762D0"/>
    <w:rsid w:val="00777568"/>
    <w:rsid w:val="00780B5E"/>
    <w:rsid w:val="00780B6B"/>
    <w:rsid w:val="00780CCA"/>
    <w:rsid w:val="007836E4"/>
    <w:rsid w:val="00787430"/>
    <w:rsid w:val="00787494"/>
    <w:rsid w:val="007934E9"/>
    <w:rsid w:val="00797683"/>
    <w:rsid w:val="007A2B7E"/>
    <w:rsid w:val="007A3025"/>
    <w:rsid w:val="007A5918"/>
    <w:rsid w:val="007A5CE7"/>
    <w:rsid w:val="007A70DF"/>
    <w:rsid w:val="007B16AC"/>
    <w:rsid w:val="007B2B63"/>
    <w:rsid w:val="007B2D95"/>
    <w:rsid w:val="007B3BB0"/>
    <w:rsid w:val="007C2BCE"/>
    <w:rsid w:val="007C3065"/>
    <w:rsid w:val="007C48EB"/>
    <w:rsid w:val="007C62A1"/>
    <w:rsid w:val="007D0C94"/>
    <w:rsid w:val="007D1284"/>
    <w:rsid w:val="007D21EE"/>
    <w:rsid w:val="007D7805"/>
    <w:rsid w:val="007E1F0A"/>
    <w:rsid w:val="007E2BA6"/>
    <w:rsid w:val="007E2C64"/>
    <w:rsid w:val="007E6483"/>
    <w:rsid w:val="007F276F"/>
    <w:rsid w:val="007F3F63"/>
    <w:rsid w:val="007F6282"/>
    <w:rsid w:val="008006DB"/>
    <w:rsid w:val="00801134"/>
    <w:rsid w:val="00802724"/>
    <w:rsid w:val="00805F05"/>
    <w:rsid w:val="0080704D"/>
    <w:rsid w:val="00807B71"/>
    <w:rsid w:val="00811C30"/>
    <w:rsid w:val="00812008"/>
    <w:rsid w:val="00812DAD"/>
    <w:rsid w:val="00813DA2"/>
    <w:rsid w:val="00813FAA"/>
    <w:rsid w:val="008141B0"/>
    <w:rsid w:val="00815132"/>
    <w:rsid w:val="00816B69"/>
    <w:rsid w:val="00822659"/>
    <w:rsid w:val="00824D1D"/>
    <w:rsid w:val="0082682D"/>
    <w:rsid w:val="0083016D"/>
    <w:rsid w:val="00834413"/>
    <w:rsid w:val="00835264"/>
    <w:rsid w:val="008376AC"/>
    <w:rsid w:val="0084002B"/>
    <w:rsid w:val="00840E9B"/>
    <w:rsid w:val="0084133F"/>
    <w:rsid w:val="0084753A"/>
    <w:rsid w:val="008505F6"/>
    <w:rsid w:val="00851073"/>
    <w:rsid w:val="008515EF"/>
    <w:rsid w:val="00852832"/>
    <w:rsid w:val="00852CA1"/>
    <w:rsid w:val="00854B36"/>
    <w:rsid w:val="00855916"/>
    <w:rsid w:val="00856676"/>
    <w:rsid w:val="008613A9"/>
    <w:rsid w:val="00862990"/>
    <w:rsid w:val="00863411"/>
    <w:rsid w:val="00873715"/>
    <w:rsid w:val="00873E22"/>
    <w:rsid w:val="00873FF0"/>
    <w:rsid w:val="00877452"/>
    <w:rsid w:val="008822E7"/>
    <w:rsid w:val="00882A5C"/>
    <w:rsid w:val="0088398F"/>
    <w:rsid w:val="00885C9E"/>
    <w:rsid w:val="00886215"/>
    <w:rsid w:val="00886B2E"/>
    <w:rsid w:val="00891E62"/>
    <w:rsid w:val="00893D88"/>
    <w:rsid w:val="00893E02"/>
    <w:rsid w:val="008957D2"/>
    <w:rsid w:val="008A55F7"/>
    <w:rsid w:val="008A5BA9"/>
    <w:rsid w:val="008A6587"/>
    <w:rsid w:val="008A7176"/>
    <w:rsid w:val="008A7D9C"/>
    <w:rsid w:val="008B0811"/>
    <w:rsid w:val="008B1878"/>
    <w:rsid w:val="008B791C"/>
    <w:rsid w:val="008D2367"/>
    <w:rsid w:val="008D2AAD"/>
    <w:rsid w:val="008D4DF1"/>
    <w:rsid w:val="008E086F"/>
    <w:rsid w:val="008E5187"/>
    <w:rsid w:val="008E5D9E"/>
    <w:rsid w:val="008E6971"/>
    <w:rsid w:val="008E7910"/>
    <w:rsid w:val="008F0A5C"/>
    <w:rsid w:val="008F1612"/>
    <w:rsid w:val="008F4115"/>
    <w:rsid w:val="008F50B0"/>
    <w:rsid w:val="008F675F"/>
    <w:rsid w:val="00900D84"/>
    <w:rsid w:val="00901A6B"/>
    <w:rsid w:val="00902148"/>
    <w:rsid w:val="0090383F"/>
    <w:rsid w:val="009049BC"/>
    <w:rsid w:val="00906C3E"/>
    <w:rsid w:val="00911CAF"/>
    <w:rsid w:val="00911D2E"/>
    <w:rsid w:val="0091396B"/>
    <w:rsid w:val="00913C78"/>
    <w:rsid w:val="00914A26"/>
    <w:rsid w:val="00921D60"/>
    <w:rsid w:val="00924455"/>
    <w:rsid w:val="009249AB"/>
    <w:rsid w:val="00925D82"/>
    <w:rsid w:val="00932B6D"/>
    <w:rsid w:val="0093426F"/>
    <w:rsid w:val="00936453"/>
    <w:rsid w:val="009369B6"/>
    <w:rsid w:val="00940309"/>
    <w:rsid w:val="00941121"/>
    <w:rsid w:val="009435DE"/>
    <w:rsid w:val="00943DE0"/>
    <w:rsid w:val="00944EF6"/>
    <w:rsid w:val="00945A20"/>
    <w:rsid w:val="00945E9B"/>
    <w:rsid w:val="00946221"/>
    <w:rsid w:val="00947579"/>
    <w:rsid w:val="009475F0"/>
    <w:rsid w:val="00954287"/>
    <w:rsid w:val="00955E2A"/>
    <w:rsid w:val="0095608C"/>
    <w:rsid w:val="00956331"/>
    <w:rsid w:val="00967957"/>
    <w:rsid w:val="00974EC8"/>
    <w:rsid w:val="00975612"/>
    <w:rsid w:val="00984DF6"/>
    <w:rsid w:val="00990E18"/>
    <w:rsid w:val="00991CD3"/>
    <w:rsid w:val="009956AF"/>
    <w:rsid w:val="009970D3"/>
    <w:rsid w:val="009A1612"/>
    <w:rsid w:val="009A33DB"/>
    <w:rsid w:val="009A64A5"/>
    <w:rsid w:val="009B0507"/>
    <w:rsid w:val="009B1C75"/>
    <w:rsid w:val="009B314F"/>
    <w:rsid w:val="009B7B66"/>
    <w:rsid w:val="009C113E"/>
    <w:rsid w:val="009C6BF7"/>
    <w:rsid w:val="009D34A4"/>
    <w:rsid w:val="009D4A19"/>
    <w:rsid w:val="009D5834"/>
    <w:rsid w:val="009E0E19"/>
    <w:rsid w:val="009E1E52"/>
    <w:rsid w:val="009E35CB"/>
    <w:rsid w:val="009E6748"/>
    <w:rsid w:val="009E7573"/>
    <w:rsid w:val="009F2B01"/>
    <w:rsid w:val="009F4108"/>
    <w:rsid w:val="009F7BF1"/>
    <w:rsid w:val="00A02B9F"/>
    <w:rsid w:val="00A05149"/>
    <w:rsid w:val="00A05DA4"/>
    <w:rsid w:val="00A061E7"/>
    <w:rsid w:val="00A07778"/>
    <w:rsid w:val="00A10324"/>
    <w:rsid w:val="00A125C6"/>
    <w:rsid w:val="00A148E1"/>
    <w:rsid w:val="00A176D4"/>
    <w:rsid w:val="00A208E0"/>
    <w:rsid w:val="00A20C16"/>
    <w:rsid w:val="00A2329E"/>
    <w:rsid w:val="00A24080"/>
    <w:rsid w:val="00A245F6"/>
    <w:rsid w:val="00A26E17"/>
    <w:rsid w:val="00A3202F"/>
    <w:rsid w:val="00A32A97"/>
    <w:rsid w:val="00A33EF5"/>
    <w:rsid w:val="00A37A23"/>
    <w:rsid w:val="00A4164F"/>
    <w:rsid w:val="00A42648"/>
    <w:rsid w:val="00A42764"/>
    <w:rsid w:val="00A42FDA"/>
    <w:rsid w:val="00A43D16"/>
    <w:rsid w:val="00A44F25"/>
    <w:rsid w:val="00A4525F"/>
    <w:rsid w:val="00A4555F"/>
    <w:rsid w:val="00A45A8E"/>
    <w:rsid w:val="00A46BA1"/>
    <w:rsid w:val="00A5468C"/>
    <w:rsid w:val="00A54F2C"/>
    <w:rsid w:val="00A57EE9"/>
    <w:rsid w:val="00A60230"/>
    <w:rsid w:val="00A63180"/>
    <w:rsid w:val="00A651A2"/>
    <w:rsid w:val="00A6607A"/>
    <w:rsid w:val="00A67218"/>
    <w:rsid w:val="00A67B4E"/>
    <w:rsid w:val="00A73BBD"/>
    <w:rsid w:val="00A8160A"/>
    <w:rsid w:val="00A8226A"/>
    <w:rsid w:val="00A833AA"/>
    <w:rsid w:val="00A86612"/>
    <w:rsid w:val="00A8692E"/>
    <w:rsid w:val="00A94901"/>
    <w:rsid w:val="00A953E6"/>
    <w:rsid w:val="00AA1769"/>
    <w:rsid w:val="00AA1782"/>
    <w:rsid w:val="00AA2BFF"/>
    <w:rsid w:val="00AA2F2F"/>
    <w:rsid w:val="00AA3B9C"/>
    <w:rsid w:val="00AA7482"/>
    <w:rsid w:val="00AB0CE2"/>
    <w:rsid w:val="00AB3446"/>
    <w:rsid w:val="00AB35BB"/>
    <w:rsid w:val="00AB3B81"/>
    <w:rsid w:val="00AB415E"/>
    <w:rsid w:val="00AB6F51"/>
    <w:rsid w:val="00AB7A6D"/>
    <w:rsid w:val="00AC1D69"/>
    <w:rsid w:val="00AC2A51"/>
    <w:rsid w:val="00AC4710"/>
    <w:rsid w:val="00AC546F"/>
    <w:rsid w:val="00AC55D6"/>
    <w:rsid w:val="00AD3147"/>
    <w:rsid w:val="00AD4714"/>
    <w:rsid w:val="00AD510C"/>
    <w:rsid w:val="00AD7137"/>
    <w:rsid w:val="00AE0068"/>
    <w:rsid w:val="00AE3EA3"/>
    <w:rsid w:val="00AF55DD"/>
    <w:rsid w:val="00AF71E2"/>
    <w:rsid w:val="00B01615"/>
    <w:rsid w:val="00B01F54"/>
    <w:rsid w:val="00B021EA"/>
    <w:rsid w:val="00B04792"/>
    <w:rsid w:val="00B050EF"/>
    <w:rsid w:val="00B05439"/>
    <w:rsid w:val="00B11737"/>
    <w:rsid w:val="00B17140"/>
    <w:rsid w:val="00B23F66"/>
    <w:rsid w:val="00B241CC"/>
    <w:rsid w:val="00B24821"/>
    <w:rsid w:val="00B27A9C"/>
    <w:rsid w:val="00B3670B"/>
    <w:rsid w:val="00B41CDA"/>
    <w:rsid w:val="00B443D8"/>
    <w:rsid w:val="00B45494"/>
    <w:rsid w:val="00B47F95"/>
    <w:rsid w:val="00B552B6"/>
    <w:rsid w:val="00B57331"/>
    <w:rsid w:val="00B635C6"/>
    <w:rsid w:val="00B639F9"/>
    <w:rsid w:val="00B65D9C"/>
    <w:rsid w:val="00B661A5"/>
    <w:rsid w:val="00B701A5"/>
    <w:rsid w:val="00B73CBB"/>
    <w:rsid w:val="00B74102"/>
    <w:rsid w:val="00B76857"/>
    <w:rsid w:val="00B812D1"/>
    <w:rsid w:val="00B82B20"/>
    <w:rsid w:val="00B82FEA"/>
    <w:rsid w:val="00B8711E"/>
    <w:rsid w:val="00B92D75"/>
    <w:rsid w:val="00B95C5D"/>
    <w:rsid w:val="00B97121"/>
    <w:rsid w:val="00BA08BE"/>
    <w:rsid w:val="00BA095D"/>
    <w:rsid w:val="00BA3DDE"/>
    <w:rsid w:val="00BA5083"/>
    <w:rsid w:val="00BA798E"/>
    <w:rsid w:val="00BA7A01"/>
    <w:rsid w:val="00BA7AE5"/>
    <w:rsid w:val="00BB0200"/>
    <w:rsid w:val="00BB1A7D"/>
    <w:rsid w:val="00BB2E70"/>
    <w:rsid w:val="00BC045A"/>
    <w:rsid w:val="00BC1400"/>
    <w:rsid w:val="00BC29E2"/>
    <w:rsid w:val="00BC46EA"/>
    <w:rsid w:val="00BC7AAD"/>
    <w:rsid w:val="00BD12F3"/>
    <w:rsid w:val="00BD2441"/>
    <w:rsid w:val="00BD618E"/>
    <w:rsid w:val="00BD689A"/>
    <w:rsid w:val="00BE2807"/>
    <w:rsid w:val="00BE4CBF"/>
    <w:rsid w:val="00BF0218"/>
    <w:rsid w:val="00BF22E3"/>
    <w:rsid w:val="00BF55EA"/>
    <w:rsid w:val="00BF656A"/>
    <w:rsid w:val="00BF7AD5"/>
    <w:rsid w:val="00C01B35"/>
    <w:rsid w:val="00C024D8"/>
    <w:rsid w:val="00C075E0"/>
    <w:rsid w:val="00C1065A"/>
    <w:rsid w:val="00C12018"/>
    <w:rsid w:val="00C15FCE"/>
    <w:rsid w:val="00C20D5E"/>
    <w:rsid w:val="00C249E7"/>
    <w:rsid w:val="00C276DD"/>
    <w:rsid w:val="00C34525"/>
    <w:rsid w:val="00C3563E"/>
    <w:rsid w:val="00C41C75"/>
    <w:rsid w:val="00C44FA0"/>
    <w:rsid w:val="00C45232"/>
    <w:rsid w:val="00C4623F"/>
    <w:rsid w:val="00C502C7"/>
    <w:rsid w:val="00C50340"/>
    <w:rsid w:val="00C5094C"/>
    <w:rsid w:val="00C520DC"/>
    <w:rsid w:val="00C552C3"/>
    <w:rsid w:val="00C55BF6"/>
    <w:rsid w:val="00C56E82"/>
    <w:rsid w:val="00C57B75"/>
    <w:rsid w:val="00C6226B"/>
    <w:rsid w:val="00C63D79"/>
    <w:rsid w:val="00C64990"/>
    <w:rsid w:val="00C71643"/>
    <w:rsid w:val="00C7252C"/>
    <w:rsid w:val="00C83CAC"/>
    <w:rsid w:val="00C90BDE"/>
    <w:rsid w:val="00C91496"/>
    <w:rsid w:val="00C9165C"/>
    <w:rsid w:val="00C93E25"/>
    <w:rsid w:val="00C95A2F"/>
    <w:rsid w:val="00C97145"/>
    <w:rsid w:val="00C977DF"/>
    <w:rsid w:val="00CA3BC7"/>
    <w:rsid w:val="00CA461A"/>
    <w:rsid w:val="00CA71BA"/>
    <w:rsid w:val="00CB5127"/>
    <w:rsid w:val="00CB71D2"/>
    <w:rsid w:val="00CB7EB6"/>
    <w:rsid w:val="00CC25F5"/>
    <w:rsid w:val="00CC3BE0"/>
    <w:rsid w:val="00CC4F6E"/>
    <w:rsid w:val="00CC6930"/>
    <w:rsid w:val="00CC76C8"/>
    <w:rsid w:val="00CD019A"/>
    <w:rsid w:val="00CD173C"/>
    <w:rsid w:val="00CD2388"/>
    <w:rsid w:val="00CE0186"/>
    <w:rsid w:val="00CE02BB"/>
    <w:rsid w:val="00CE10AB"/>
    <w:rsid w:val="00CE1598"/>
    <w:rsid w:val="00CE2DBC"/>
    <w:rsid w:val="00CE6335"/>
    <w:rsid w:val="00CE71FC"/>
    <w:rsid w:val="00CF1F59"/>
    <w:rsid w:val="00CF475E"/>
    <w:rsid w:val="00CF4849"/>
    <w:rsid w:val="00CF77FD"/>
    <w:rsid w:val="00D021F1"/>
    <w:rsid w:val="00D06D81"/>
    <w:rsid w:val="00D10DBB"/>
    <w:rsid w:val="00D14A88"/>
    <w:rsid w:val="00D14FA1"/>
    <w:rsid w:val="00D152EE"/>
    <w:rsid w:val="00D17AA3"/>
    <w:rsid w:val="00D2064A"/>
    <w:rsid w:val="00D218D6"/>
    <w:rsid w:val="00D23C21"/>
    <w:rsid w:val="00D24EEE"/>
    <w:rsid w:val="00D31C5A"/>
    <w:rsid w:val="00D332DE"/>
    <w:rsid w:val="00D40BC4"/>
    <w:rsid w:val="00D40DE5"/>
    <w:rsid w:val="00D41B85"/>
    <w:rsid w:val="00D44392"/>
    <w:rsid w:val="00D50BC0"/>
    <w:rsid w:val="00D5109E"/>
    <w:rsid w:val="00D51B40"/>
    <w:rsid w:val="00D53A14"/>
    <w:rsid w:val="00D60482"/>
    <w:rsid w:val="00D648FE"/>
    <w:rsid w:val="00D67259"/>
    <w:rsid w:val="00D67E77"/>
    <w:rsid w:val="00D70181"/>
    <w:rsid w:val="00D7556D"/>
    <w:rsid w:val="00D75B91"/>
    <w:rsid w:val="00D76D04"/>
    <w:rsid w:val="00D77456"/>
    <w:rsid w:val="00D80343"/>
    <w:rsid w:val="00D81C78"/>
    <w:rsid w:val="00D8626A"/>
    <w:rsid w:val="00D8774A"/>
    <w:rsid w:val="00D90AB3"/>
    <w:rsid w:val="00D914F7"/>
    <w:rsid w:val="00D932BA"/>
    <w:rsid w:val="00D93C9B"/>
    <w:rsid w:val="00D94B97"/>
    <w:rsid w:val="00D96620"/>
    <w:rsid w:val="00DA1BAE"/>
    <w:rsid w:val="00DC0CA0"/>
    <w:rsid w:val="00DC3221"/>
    <w:rsid w:val="00DC4DE7"/>
    <w:rsid w:val="00DD0598"/>
    <w:rsid w:val="00DD24D5"/>
    <w:rsid w:val="00DD473C"/>
    <w:rsid w:val="00DD5296"/>
    <w:rsid w:val="00DE42BF"/>
    <w:rsid w:val="00DE6438"/>
    <w:rsid w:val="00DE7F13"/>
    <w:rsid w:val="00DF0857"/>
    <w:rsid w:val="00DF1142"/>
    <w:rsid w:val="00DF26C3"/>
    <w:rsid w:val="00DF33AF"/>
    <w:rsid w:val="00DF4924"/>
    <w:rsid w:val="00DF792A"/>
    <w:rsid w:val="00DF7EF2"/>
    <w:rsid w:val="00E0214D"/>
    <w:rsid w:val="00E025AE"/>
    <w:rsid w:val="00E02ACD"/>
    <w:rsid w:val="00E04696"/>
    <w:rsid w:val="00E101A8"/>
    <w:rsid w:val="00E1162E"/>
    <w:rsid w:val="00E11C42"/>
    <w:rsid w:val="00E12171"/>
    <w:rsid w:val="00E15139"/>
    <w:rsid w:val="00E153B6"/>
    <w:rsid w:val="00E2044B"/>
    <w:rsid w:val="00E23B0B"/>
    <w:rsid w:val="00E23DCC"/>
    <w:rsid w:val="00E243CC"/>
    <w:rsid w:val="00E244E2"/>
    <w:rsid w:val="00E256CA"/>
    <w:rsid w:val="00E25F3D"/>
    <w:rsid w:val="00E33E7F"/>
    <w:rsid w:val="00E34B7A"/>
    <w:rsid w:val="00E35646"/>
    <w:rsid w:val="00E36F43"/>
    <w:rsid w:val="00E37F8D"/>
    <w:rsid w:val="00E405FE"/>
    <w:rsid w:val="00E414C1"/>
    <w:rsid w:val="00E4211E"/>
    <w:rsid w:val="00E4222C"/>
    <w:rsid w:val="00E423EB"/>
    <w:rsid w:val="00E4322D"/>
    <w:rsid w:val="00E45DC4"/>
    <w:rsid w:val="00E45EDE"/>
    <w:rsid w:val="00E46C79"/>
    <w:rsid w:val="00E474D3"/>
    <w:rsid w:val="00E51040"/>
    <w:rsid w:val="00E519F2"/>
    <w:rsid w:val="00E51A21"/>
    <w:rsid w:val="00E51FB7"/>
    <w:rsid w:val="00E51FEC"/>
    <w:rsid w:val="00E53E33"/>
    <w:rsid w:val="00E60B1F"/>
    <w:rsid w:val="00E6154F"/>
    <w:rsid w:val="00E61960"/>
    <w:rsid w:val="00E61AF4"/>
    <w:rsid w:val="00E66F49"/>
    <w:rsid w:val="00E74431"/>
    <w:rsid w:val="00E74C75"/>
    <w:rsid w:val="00E751C2"/>
    <w:rsid w:val="00E766DD"/>
    <w:rsid w:val="00E81093"/>
    <w:rsid w:val="00E81B54"/>
    <w:rsid w:val="00E83D64"/>
    <w:rsid w:val="00E861DE"/>
    <w:rsid w:val="00E87BB1"/>
    <w:rsid w:val="00E90376"/>
    <w:rsid w:val="00E92498"/>
    <w:rsid w:val="00E92D33"/>
    <w:rsid w:val="00E97258"/>
    <w:rsid w:val="00EA2F90"/>
    <w:rsid w:val="00EA4E3A"/>
    <w:rsid w:val="00EA5993"/>
    <w:rsid w:val="00EA6343"/>
    <w:rsid w:val="00EB3915"/>
    <w:rsid w:val="00EC3C73"/>
    <w:rsid w:val="00EC7463"/>
    <w:rsid w:val="00EC7EE7"/>
    <w:rsid w:val="00ED248D"/>
    <w:rsid w:val="00ED3D3F"/>
    <w:rsid w:val="00ED47E6"/>
    <w:rsid w:val="00ED6961"/>
    <w:rsid w:val="00ED6D28"/>
    <w:rsid w:val="00ED7975"/>
    <w:rsid w:val="00ED7ACE"/>
    <w:rsid w:val="00EE2B8E"/>
    <w:rsid w:val="00EE2C05"/>
    <w:rsid w:val="00EE3BD8"/>
    <w:rsid w:val="00EE4E87"/>
    <w:rsid w:val="00EF24A6"/>
    <w:rsid w:val="00EF29A0"/>
    <w:rsid w:val="00EF50D7"/>
    <w:rsid w:val="00EF6DF5"/>
    <w:rsid w:val="00F02F06"/>
    <w:rsid w:val="00F072AF"/>
    <w:rsid w:val="00F10001"/>
    <w:rsid w:val="00F1238A"/>
    <w:rsid w:val="00F16223"/>
    <w:rsid w:val="00F25F97"/>
    <w:rsid w:val="00F273A2"/>
    <w:rsid w:val="00F302CB"/>
    <w:rsid w:val="00F348D4"/>
    <w:rsid w:val="00F37E81"/>
    <w:rsid w:val="00F4306A"/>
    <w:rsid w:val="00F432D2"/>
    <w:rsid w:val="00F434A1"/>
    <w:rsid w:val="00F43895"/>
    <w:rsid w:val="00F544A5"/>
    <w:rsid w:val="00F60151"/>
    <w:rsid w:val="00F6381A"/>
    <w:rsid w:val="00F66FD8"/>
    <w:rsid w:val="00F70C6F"/>
    <w:rsid w:val="00F70D2E"/>
    <w:rsid w:val="00F71726"/>
    <w:rsid w:val="00F72378"/>
    <w:rsid w:val="00F754D3"/>
    <w:rsid w:val="00F768CD"/>
    <w:rsid w:val="00F769EE"/>
    <w:rsid w:val="00F839F8"/>
    <w:rsid w:val="00F8431D"/>
    <w:rsid w:val="00F84B69"/>
    <w:rsid w:val="00F8519A"/>
    <w:rsid w:val="00F8554D"/>
    <w:rsid w:val="00F8568B"/>
    <w:rsid w:val="00F86095"/>
    <w:rsid w:val="00F8697E"/>
    <w:rsid w:val="00F876F6"/>
    <w:rsid w:val="00F90BF9"/>
    <w:rsid w:val="00F94702"/>
    <w:rsid w:val="00F95A9B"/>
    <w:rsid w:val="00FA5125"/>
    <w:rsid w:val="00FB1F92"/>
    <w:rsid w:val="00FB3E94"/>
    <w:rsid w:val="00FB5DBA"/>
    <w:rsid w:val="00FC236B"/>
    <w:rsid w:val="00FC4217"/>
    <w:rsid w:val="00FC5603"/>
    <w:rsid w:val="00FC7002"/>
    <w:rsid w:val="00FC7925"/>
    <w:rsid w:val="00FD18A7"/>
    <w:rsid w:val="00FD2C21"/>
    <w:rsid w:val="00FD4603"/>
    <w:rsid w:val="00FD6645"/>
    <w:rsid w:val="00FE25D1"/>
    <w:rsid w:val="00FE2BE5"/>
    <w:rsid w:val="00FE3A84"/>
    <w:rsid w:val="00FE4674"/>
    <w:rsid w:val="00FE4936"/>
    <w:rsid w:val="00FE6830"/>
    <w:rsid w:val="00FE6E72"/>
    <w:rsid w:val="00FF02D1"/>
    <w:rsid w:val="00FF1316"/>
    <w:rsid w:val="00FF1617"/>
    <w:rsid w:val="00FF53EC"/>
    <w:rsid w:val="00FF6B22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34483"/>
  <w15:docId w15:val="{04EDED3C-F860-4DE7-A120-C58BE667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4E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4E3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24E3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12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24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E32"/>
  </w:style>
  <w:style w:type="paragraph" w:styleId="NormaleWeb">
    <w:name w:val="Normal (Web)"/>
    <w:basedOn w:val="Normale"/>
    <w:uiPriority w:val="99"/>
    <w:semiHidden/>
    <w:unhideWhenUsed/>
    <w:rsid w:val="0012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435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435D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435D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35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35D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5DE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477D2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F76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9EE"/>
  </w:style>
  <w:style w:type="character" w:customStyle="1" w:styleId="css-901oao">
    <w:name w:val="css-901oao"/>
    <w:basedOn w:val="Carpredefinitoparagrafo"/>
    <w:rsid w:val="00BA3DDE"/>
  </w:style>
  <w:style w:type="character" w:styleId="Collegamentovisitato">
    <w:name w:val="FollowedHyperlink"/>
    <w:basedOn w:val="Carpredefinitoparagrafo"/>
    <w:uiPriority w:val="99"/>
    <w:semiHidden/>
    <w:unhideWhenUsed/>
    <w:rsid w:val="008505F6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24EEE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101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onavirus.gimb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fficio.stampa@gimbe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F562B-AB6E-401D-8E6F-4E2179FC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 Cartabellotta</dc:creator>
  <cp:lastModifiedBy>Roberto Luceri</cp:lastModifiedBy>
  <cp:revision>10</cp:revision>
  <dcterms:created xsi:type="dcterms:W3CDTF">2020-06-25T06:20:00Z</dcterms:created>
  <dcterms:modified xsi:type="dcterms:W3CDTF">2020-06-25T07:31:00Z</dcterms:modified>
</cp:coreProperties>
</file>