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82B" w:rsidRDefault="00CE577D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COMUNICATO STAMPA</w:t>
      </w:r>
    </w:p>
    <w:p w:rsidR="007B682B" w:rsidRPr="009C44C5" w:rsidRDefault="00CE577D">
      <w:pPr>
        <w:spacing w:after="0"/>
        <w:jc w:val="center"/>
        <w:rPr>
          <w:b/>
          <w:bCs/>
          <w:color w:val="000000" w:themeColor="text1"/>
          <w:sz w:val="32"/>
          <w:szCs w:val="32"/>
        </w:rPr>
      </w:pPr>
      <w:r w:rsidRPr="009C44C5">
        <w:rPr>
          <w:b/>
          <w:bCs/>
          <w:color w:val="000000" w:themeColor="text1"/>
          <w:sz w:val="32"/>
          <w:szCs w:val="32"/>
        </w:rPr>
        <w:t>CORONAVIRUS</w:t>
      </w:r>
      <w:r w:rsidR="00485811">
        <w:rPr>
          <w:b/>
          <w:bCs/>
          <w:color w:val="000000" w:themeColor="text1"/>
          <w:sz w:val="32"/>
          <w:szCs w:val="32"/>
        </w:rPr>
        <w:t>:</w:t>
      </w:r>
      <w:r w:rsidR="00420736" w:rsidRPr="009C44C5">
        <w:rPr>
          <w:b/>
          <w:bCs/>
          <w:color w:val="000000" w:themeColor="text1"/>
          <w:sz w:val="32"/>
          <w:szCs w:val="32"/>
        </w:rPr>
        <w:t xml:space="preserve"> </w:t>
      </w:r>
      <w:r w:rsidR="00A72492" w:rsidRPr="009C44C5">
        <w:rPr>
          <w:b/>
          <w:bCs/>
          <w:color w:val="000000" w:themeColor="text1"/>
          <w:sz w:val="32"/>
          <w:szCs w:val="32"/>
        </w:rPr>
        <w:t xml:space="preserve">NUOVI CASI </w:t>
      </w:r>
      <w:r w:rsidR="00A72492">
        <w:rPr>
          <w:b/>
          <w:bCs/>
          <w:color w:val="000000" w:themeColor="text1"/>
          <w:sz w:val="32"/>
          <w:szCs w:val="32"/>
        </w:rPr>
        <w:t xml:space="preserve">STABILI </w:t>
      </w:r>
      <w:r w:rsidR="00420736" w:rsidRPr="009C44C5">
        <w:rPr>
          <w:b/>
          <w:bCs/>
          <w:color w:val="000000" w:themeColor="text1"/>
          <w:sz w:val="32"/>
          <w:szCs w:val="32"/>
        </w:rPr>
        <w:t>DA TRE SETTIMANE</w:t>
      </w:r>
      <w:r w:rsidR="00A72492">
        <w:rPr>
          <w:b/>
          <w:bCs/>
          <w:color w:val="000000" w:themeColor="text1"/>
          <w:sz w:val="32"/>
          <w:szCs w:val="32"/>
        </w:rPr>
        <w:t>,</w:t>
      </w:r>
      <w:r w:rsidR="00A72492">
        <w:rPr>
          <w:b/>
          <w:bCs/>
          <w:color w:val="000000" w:themeColor="text1"/>
          <w:sz w:val="32"/>
          <w:szCs w:val="32"/>
        </w:rPr>
        <w:br/>
        <w:t xml:space="preserve">MA </w:t>
      </w:r>
      <w:r w:rsidR="004D5525">
        <w:rPr>
          <w:b/>
          <w:bCs/>
          <w:color w:val="000000" w:themeColor="text1"/>
          <w:sz w:val="32"/>
          <w:szCs w:val="32"/>
        </w:rPr>
        <w:t xml:space="preserve">CONTINUANO A SALIRE </w:t>
      </w:r>
      <w:r w:rsidR="00D7724D" w:rsidRPr="009C44C5">
        <w:rPr>
          <w:b/>
          <w:bCs/>
          <w:color w:val="000000" w:themeColor="text1"/>
          <w:sz w:val="32"/>
          <w:szCs w:val="32"/>
        </w:rPr>
        <w:t xml:space="preserve">I RICOVERI </w:t>
      </w:r>
      <w:r w:rsidR="001A1D07">
        <w:rPr>
          <w:b/>
          <w:bCs/>
          <w:color w:val="000000" w:themeColor="text1"/>
          <w:sz w:val="32"/>
          <w:szCs w:val="32"/>
        </w:rPr>
        <w:t>TRA I</w:t>
      </w:r>
      <w:r w:rsidR="001A1D07" w:rsidRPr="009C44C5">
        <w:rPr>
          <w:b/>
          <w:bCs/>
          <w:color w:val="000000" w:themeColor="text1"/>
          <w:sz w:val="32"/>
          <w:szCs w:val="32"/>
        </w:rPr>
        <w:t xml:space="preserve"> </w:t>
      </w:r>
      <w:r w:rsidR="00420736" w:rsidRPr="009C44C5">
        <w:rPr>
          <w:b/>
          <w:bCs/>
          <w:color w:val="000000" w:themeColor="text1"/>
          <w:sz w:val="32"/>
          <w:szCs w:val="32"/>
        </w:rPr>
        <w:t>NON VACCINATI.</w:t>
      </w:r>
    </w:p>
    <w:p w:rsidR="00F441F1" w:rsidRPr="00A74C39" w:rsidRDefault="00CE577D" w:rsidP="008D5FB8">
      <w:pPr>
        <w:spacing w:after="0"/>
        <w:jc w:val="center"/>
        <w:rPr>
          <w:b/>
          <w:bCs/>
          <w:color w:val="auto"/>
          <w:sz w:val="32"/>
          <w:szCs w:val="32"/>
        </w:rPr>
      </w:pPr>
      <w:r w:rsidRPr="009C44C5">
        <w:rPr>
          <w:b/>
          <w:bCs/>
          <w:color w:val="000000" w:themeColor="text1"/>
          <w:sz w:val="32"/>
          <w:szCs w:val="32"/>
        </w:rPr>
        <w:t xml:space="preserve">VACCINI: </w:t>
      </w:r>
      <w:r w:rsidR="00A72492">
        <w:rPr>
          <w:b/>
          <w:bCs/>
          <w:color w:val="000000" w:themeColor="text1"/>
          <w:sz w:val="32"/>
          <w:szCs w:val="32"/>
        </w:rPr>
        <w:t>CROLLO DI</w:t>
      </w:r>
      <w:r w:rsidR="00D7724D">
        <w:rPr>
          <w:b/>
          <w:bCs/>
          <w:color w:val="000000" w:themeColor="text1"/>
          <w:sz w:val="32"/>
          <w:szCs w:val="32"/>
        </w:rPr>
        <w:t xml:space="preserve"> SOMMINISTRAZIONI AD AGOSTO</w:t>
      </w:r>
      <w:r w:rsidR="009A647E">
        <w:rPr>
          <w:b/>
          <w:bCs/>
          <w:color w:val="000000" w:themeColor="text1"/>
          <w:sz w:val="32"/>
          <w:szCs w:val="32"/>
        </w:rPr>
        <w:t xml:space="preserve"> (-66,5%)</w:t>
      </w:r>
      <w:r w:rsidR="00456315">
        <w:rPr>
          <w:b/>
          <w:bCs/>
          <w:color w:val="000000" w:themeColor="text1"/>
          <w:sz w:val="32"/>
          <w:szCs w:val="32"/>
        </w:rPr>
        <w:t>,</w:t>
      </w:r>
      <w:r w:rsidR="00D7724D">
        <w:rPr>
          <w:b/>
          <w:bCs/>
          <w:color w:val="000000" w:themeColor="text1"/>
          <w:sz w:val="32"/>
          <w:szCs w:val="32"/>
        </w:rPr>
        <w:t xml:space="preserve"> </w:t>
      </w:r>
      <w:r w:rsidR="00A72492">
        <w:rPr>
          <w:b/>
          <w:bCs/>
          <w:color w:val="000000" w:themeColor="text1"/>
          <w:sz w:val="32"/>
          <w:szCs w:val="32"/>
        </w:rPr>
        <w:br/>
      </w:r>
      <w:r w:rsidR="00D7724D" w:rsidRPr="009C44C5">
        <w:rPr>
          <w:b/>
          <w:bCs/>
          <w:color w:val="000000" w:themeColor="text1"/>
          <w:sz w:val="32"/>
          <w:szCs w:val="32"/>
        </w:rPr>
        <w:t>SENZA COPERTURA</w:t>
      </w:r>
      <w:r w:rsidR="008D5FB8">
        <w:rPr>
          <w:b/>
          <w:bCs/>
          <w:color w:val="000000" w:themeColor="text1"/>
          <w:sz w:val="32"/>
          <w:szCs w:val="32"/>
        </w:rPr>
        <w:t xml:space="preserve"> ANCORA</w:t>
      </w:r>
      <w:r w:rsidR="00D7724D" w:rsidRPr="009C44C5">
        <w:rPr>
          <w:b/>
          <w:bCs/>
          <w:color w:val="000000" w:themeColor="text1"/>
          <w:sz w:val="32"/>
          <w:szCs w:val="32"/>
        </w:rPr>
        <w:t xml:space="preserve"> </w:t>
      </w:r>
      <w:r w:rsidR="009C44C5" w:rsidRPr="009C44C5">
        <w:rPr>
          <w:b/>
          <w:bCs/>
          <w:color w:val="000000" w:themeColor="text1"/>
          <w:sz w:val="32"/>
          <w:szCs w:val="32"/>
        </w:rPr>
        <w:t xml:space="preserve">OLTRE </w:t>
      </w:r>
      <w:r w:rsidR="00420736" w:rsidRPr="009C44C5">
        <w:rPr>
          <w:b/>
          <w:bCs/>
          <w:color w:val="000000" w:themeColor="text1"/>
          <w:sz w:val="32"/>
          <w:szCs w:val="32"/>
        </w:rPr>
        <w:t>3,5 MILIONI DI OVER 50</w:t>
      </w:r>
      <w:r w:rsidR="00A76391">
        <w:rPr>
          <w:b/>
          <w:bCs/>
          <w:color w:val="000000" w:themeColor="text1"/>
          <w:sz w:val="32"/>
          <w:szCs w:val="32"/>
        </w:rPr>
        <w:t>.</w:t>
      </w:r>
      <w:r w:rsidR="00175709">
        <w:rPr>
          <w:b/>
          <w:bCs/>
          <w:color w:val="000000" w:themeColor="text1"/>
          <w:sz w:val="32"/>
          <w:szCs w:val="32"/>
        </w:rPr>
        <w:br/>
      </w:r>
      <w:r w:rsidR="00175709" w:rsidRPr="00A74C39">
        <w:rPr>
          <w:b/>
          <w:bCs/>
          <w:color w:val="auto"/>
          <w:sz w:val="32"/>
          <w:szCs w:val="32"/>
        </w:rPr>
        <w:t xml:space="preserve">ESTENSIONE GREEN PASS A 12 MESI </w:t>
      </w:r>
      <w:r w:rsidR="00972DD8" w:rsidRPr="00A74C39">
        <w:rPr>
          <w:b/>
          <w:bCs/>
          <w:color w:val="auto"/>
          <w:sz w:val="32"/>
          <w:szCs w:val="32"/>
        </w:rPr>
        <w:t>NON BASATA SU EVIDENZE SCIENTIFICHE</w:t>
      </w:r>
      <w:r w:rsidR="00175709" w:rsidRPr="00A74C39">
        <w:rPr>
          <w:b/>
          <w:bCs/>
          <w:color w:val="auto"/>
          <w:sz w:val="32"/>
          <w:szCs w:val="32"/>
        </w:rPr>
        <w:t>.</w:t>
      </w:r>
      <w:r w:rsidR="002171F6">
        <w:rPr>
          <w:b/>
          <w:bCs/>
          <w:color w:val="auto"/>
          <w:sz w:val="32"/>
          <w:szCs w:val="32"/>
        </w:rPr>
        <w:t xml:space="preserve"> NON CONVINCE IL PIANO SCUOLA.</w:t>
      </w:r>
    </w:p>
    <w:p w:rsidR="007B682B" w:rsidRPr="00D54B4A" w:rsidRDefault="00CE577D" w:rsidP="00DC23FC">
      <w:pPr>
        <w:spacing w:after="0" w:line="276" w:lineRule="auto"/>
        <w:jc w:val="both"/>
        <w:rPr>
          <w:b/>
          <w:bCs/>
          <w:color w:val="FF0000"/>
          <w:sz w:val="24"/>
          <w:szCs w:val="24"/>
          <w:u w:color="FF0000"/>
        </w:rPr>
      </w:pPr>
      <w:r w:rsidRPr="009C44C5">
        <w:rPr>
          <w:b/>
          <w:bCs/>
          <w:color w:val="000000" w:themeColor="text1"/>
          <w:sz w:val="24"/>
          <w:szCs w:val="24"/>
        </w:rPr>
        <w:t xml:space="preserve">IL MONITORAGGIO DELLA FONDAZIONE GIMBE, NELLA SETTIMANA </w:t>
      </w:r>
      <w:r w:rsidR="009C44C5" w:rsidRPr="009C44C5">
        <w:rPr>
          <w:b/>
          <w:bCs/>
          <w:color w:val="000000" w:themeColor="text1"/>
          <w:sz w:val="24"/>
          <w:szCs w:val="24"/>
        </w:rPr>
        <w:t>18-24</w:t>
      </w:r>
      <w:r w:rsidRPr="009C44C5">
        <w:rPr>
          <w:b/>
          <w:bCs/>
          <w:color w:val="000000" w:themeColor="text1"/>
          <w:sz w:val="24"/>
          <w:szCs w:val="24"/>
        </w:rPr>
        <w:t xml:space="preserve"> AGOSTO, RILEVA UN </w:t>
      </w:r>
      <w:r w:rsidR="009C44C5" w:rsidRPr="009C44C5">
        <w:rPr>
          <w:b/>
          <w:bCs/>
          <w:color w:val="000000" w:themeColor="text1"/>
          <w:sz w:val="24"/>
          <w:szCs w:val="24"/>
        </w:rPr>
        <w:t>LIEVE AUMENTO</w:t>
      </w:r>
      <w:r w:rsidRPr="009C44C5">
        <w:rPr>
          <w:b/>
          <w:bCs/>
          <w:color w:val="000000" w:themeColor="text1"/>
          <w:sz w:val="24"/>
          <w:szCs w:val="24"/>
        </w:rPr>
        <w:t xml:space="preserve"> </w:t>
      </w:r>
      <w:r w:rsidR="00E7721C">
        <w:rPr>
          <w:b/>
          <w:bCs/>
          <w:color w:val="000000" w:themeColor="text1"/>
          <w:sz w:val="24"/>
          <w:szCs w:val="24"/>
        </w:rPr>
        <w:t>DEI</w:t>
      </w:r>
      <w:r w:rsidRPr="009C44C5">
        <w:rPr>
          <w:b/>
          <w:bCs/>
          <w:color w:val="000000" w:themeColor="text1"/>
          <w:sz w:val="24"/>
          <w:szCs w:val="24"/>
        </w:rPr>
        <w:t xml:space="preserve"> NUOVI CASI</w:t>
      </w:r>
      <w:r w:rsidR="001A1D07">
        <w:rPr>
          <w:b/>
          <w:bCs/>
          <w:color w:val="000000" w:themeColor="text1"/>
          <w:sz w:val="24"/>
          <w:szCs w:val="24"/>
        </w:rPr>
        <w:t xml:space="preserve"> (+4,3%)</w:t>
      </w:r>
      <w:r w:rsidR="008F11C8" w:rsidRPr="009C44C5">
        <w:rPr>
          <w:b/>
          <w:bCs/>
          <w:color w:val="000000" w:themeColor="text1"/>
          <w:sz w:val="24"/>
          <w:szCs w:val="24"/>
        </w:rPr>
        <w:t>.</w:t>
      </w:r>
      <w:r w:rsidRPr="009C44C5">
        <w:rPr>
          <w:b/>
          <w:bCs/>
          <w:color w:val="000000" w:themeColor="text1"/>
          <w:sz w:val="24"/>
          <w:szCs w:val="24"/>
        </w:rPr>
        <w:t xml:space="preserve"> CONTINUANO A SALIRE I PAZIENTI RICOVERATI IN AREA MEDICA (+</w:t>
      </w:r>
      <w:r w:rsidR="009C44C5" w:rsidRPr="009C44C5">
        <w:rPr>
          <w:b/>
          <w:bCs/>
          <w:color w:val="000000" w:themeColor="text1"/>
          <w:sz w:val="24"/>
          <w:szCs w:val="24"/>
        </w:rPr>
        <w:t>16,2</w:t>
      </w:r>
      <w:r w:rsidRPr="009C44C5">
        <w:rPr>
          <w:b/>
          <w:bCs/>
          <w:color w:val="000000" w:themeColor="text1"/>
          <w:sz w:val="24"/>
          <w:szCs w:val="24"/>
        </w:rPr>
        <w:t>%) E NELLE TERAPIE INTENSIVE</w:t>
      </w:r>
      <w:r w:rsidR="00EB6539" w:rsidRPr="009C44C5">
        <w:rPr>
          <w:b/>
          <w:bCs/>
          <w:color w:val="000000" w:themeColor="text1"/>
          <w:sz w:val="24"/>
          <w:szCs w:val="24"/>
        </w:rPr>
        <w:t xml:space="preserve"> (+</w:t>
      </w:r>
      <w:r w:rsidR="009C44C5" w:rsidRPr="009C44C5">
        <w:rPr>
          <w:b/>
          <w:bCs/>
          <w:color w:val="000000" w:themeColor="text1"/>
          <w:sz w:val="24"/>
          <w:szCs w:val="24"/>
        </w:rPr>
        <w:t>19,1</w:t>
      </w:r>
      <w:r w:rsidR="00B86D74">
        <w:rPr>
          <w:b/>
          <w:bCs/>
          <w:color w:val="000000" w:themeColor="text1"/>
          <w:sz w:val="24"/>
          <w:szCs w:val="24"/>
        </w:rPr>
        <w:t>%</w:t>
      </w:r>
      <w:r w:rsidR="00A76391">
        <w:rPr>
          <w:b/>
          <w:bCs/>
          <w:color w:val="000000" w:themeColor="text1"/>
          <w:sz w:val="24"/>
          <w:szCs w:val="24"/>
        </w:rPr>
        <w:t xml:space="preserve">) </w:t>
      </w:r>
      <w:r w:rsidR="009C44C5">
        <w:rPr>
          <w:b/>
          <w:bCs/>
          <w:color w:val="000000" w:themeColor="text1"/>
          <w:sz w:val="24"/>
          <w:szCs w:val="24"/>
        </w:rPr>
        <w:t>E</w:t>
      </w:r>
      <w:r w:rsidRPr="009C44C5">
        <w:rPr>
          <w:b/>
          <w:bCs/>
          <w:color w:val="000000" w:themeColor="text1"/>
          <w:sz w:val="24"/>
          <w:szCs w:val="24"/>
        </w:rPr>
        <w:t xml:space="preserve"> </w:t>
      </w:r>
      <w:r w:rsidR="009C44C5" w:rsidRPr="009C44C5">
        <w:rPr>
          <w:b/>
          <w:bCs/>
          <w:color w:val="000000" w:themeColor="text1"/>
          <w:sz w:val="24"/>
          <w:szCs w:val="24"/>
        </w:rPr>
        <w:t>AUMENTANO</w:t>
      </w:r>
      <w:r w:rsidR="00567F60" w:rsidRPr="009C44C5">
        <w:rPr>
          <w:b/>
          <w:bCs/>
          <w:color w:val="000000" w:themeColor="text1"/>
          <w:sz w:val="24"/>
          <w:szCs w:val="24"/>
        </w:rPr>
        <w:t xml:space="preserve"> I DECESSI</w:t>
      </w:r>
      <w:r w:rsidR="00F441F1">
        <w:rPr>
          <w:b/>
          <w:bCs/>
          <w:color w:val="000000" w:themeColor="text1"/>
          <w:sz w:val="24"/>
          <w:szCs w:val="24"/>
        </w:rPr>
        <w:t>.</w:t>
      </w:r>
      <w:r w:rsidR="001A1D07">
        <w:rPr>
          <w:b/>
          <w:bCs/>
          <w:color w:val="000000" w:themeColor="text1"/>
          <w:sz w:val="24"/>
          <w:szCs w:val="24"/>
        </w:rPr>
        <w:t xml:space="preserve"> SUL FRONTE CAMPAGNA VACCINALE </w:t>
      </w:r>
      <w:r w:rsidR="008703FF">
        <w:rPr>
          <w:b/>
          <w:bCs/>
          <w:color w:val="000000" w:themeColor="text1"/>
          <w:sz w:val="24"/>
          <w:szCs w:val="24"/>
        </w:rPr>
        <w:t>IL</w:t>
      </w:r>
      <w:r w:rsidR="00DC23FC" w:rsidRPr="00DC23FC">
        <w:rPr>
          <w:b/>
          <w:bCs/>
          <w:color w:val="000000" w:themeColor="text1"/>
          <w:sz w:val="24"/>
          <w:szCs w:val="24"/>
        </w:rPr>
        <w:t xml:space="preserve"> NUMERO DI SOMMINISTRAZIONI</w:t>
      </w:r>
      <w:r w:rsidR="00DC23FC">
        <w:rPr>
          <w:b/>
          <w:bCs/>
          <w:color w:val="000000" w:themeColor="text1"/>
          <w:sz w:val="24"/>
          <w:szCs w:val="24"/>
        </w:rPr>
        <w:t xml:space="preserve"> </w:t>
      </w:r>
      <w:r w:rsidR="008703FF">
        <w:rPr>
          <w:b/>
          <w:bCs/>
          <w:color w:val="000000" w:themeColor="text1"/>
          <w:sz w:val="24"/>
          <w:szCs w:val="24"/>
        </w:rPr>
        <w:t xml:space="preserve">NELL’ULTIMA SETTIMANA </w:t>
      </w:r>
      <w:r w:rsidR="00DC23FC">
        <w:rPr>
          <w:b/>
          <w:bCs/>
          <w:color w:val="000000" w:themeColor="text1"/>
          <w:sz w:val="24"/>
          <w:szCs w:val="24"/>
        </w:rPr>
        <w:t xml:space="preserve">SI </w:t>
      </w:r>
      <w:r w:rsidR="008703FF">
        <w:rPr>
          <w:b/>
          <w:bCs/>
          <w:color w:val="000000" w:themeColor="text1"/>
          <w:sz w:val="24"/>
          <w:szCs w:val="24"/>
        </w:rPr>
        <w:t xml:space="preserve">FERMA </w:t>
      </w:r>
      <w:r w:rsidR="00DC23FC">
        <w:rPr>
          <w:b/>
          <w:bCs/>
          <w:color w:val="000000" w:themeColor="text1"/>
          <w:sz w:val="24"/>
          <w:szCs w:val="24"/>
        </w:rPr>
        <w:t xml:space="preserve">A </w:t>
      </w:r>
      <w:r w:rsidR="008703FF">
        <w:rPr>
          <w:b/>
          <w:bCs/>
          <w:color w:val="000000" w:themeColor="text1"/>
          <w:sz w:val="24"/>
          <w:szCs w:val="24"/>
        </w:rPr>
        <w:t xml:space="preserve">QUOTA </w:t>
      </w:r>
      <w:r w:rsidR="00DC23FC">
        <w:rPr>
          <w:b/>
          <w:bCs/>
          <w:color w:val="000000" w:themeColor="text1"/>
          <w:sz w:val="24"/>
          <w:szCs w:val="24"/>
        </w:rPr>
        <w:t>223 MILA</w:t>
      </w:r>
      <w:r w:rsidR="00DC23FC" w:rsidRPr="00DC23FC">
        <w:rPr>
          <w:b/>
          <w:bCs/>
          <w:color w:val="000000" w:themeColor="text1"/>
          <w:sz w:val="24"/>
          <w:szCs w:val="24"/>
        </w:rPr>
        <w:t xml:space="preserve"> DOSI</w:t>
      </w:r>
      <w:r w:rsidR="008703FF">
        <w:rPr>
          <w:b/>
          <w:bCs/>
          <w:color w:val="000000" w:themeColor="text1"/>
          <w:sz w:val="24"/>
          <w:szCs w:val="24"/>
        </w:rPr>
        <w:t xml:space="preserve"> AL GIORNO</w:t>
      </w:r>
      <w:r w:rsidR="00DC23FC">
        <w:rPr>
          <w:b/>
          <w:bCs/>
          <w:color w:val="000000" w:themeColor="text1"/>
          <w:sz w:val="24"/>
          <w:szCs w:val="24"/>
        </w:rPr>
        <w:t>.</w:t>
      </w:r>
      <w:r w:rsidR="00DC23FC" w:rsidRPr="00DC23FC">
        <w:rPr>
          <w:b/>
          <w:bCs/>
          <w:color w:val="000000" w:themeColor="text1"/>
          <w:sz w:val="24"/>
          <w:szCs w:val="24"/>
        </w:rPr>
        <w:t xml:space="preserve"> </w:t>
      </w:r>
      <w:r w:rsidR="009C44C5">
        <w:rPr>
          <w:b/>
          <w:bCs/>
          <w:color w:val="000000" w:themeColor="text1"/>
          <w:sz w:val="24"/>
          <w:szCs w:val="24"/>
        </w:rPr>
        <w:t xml:space="preserve">SI </w:t>
      </w:r>
      <w:r w:rsidR="009C44C5" w:rsidRPr="009C44C5">
        <w:rPr>
          <w:b/>
          <w:bCs/>
          <w:color w:val="000000" w:themeColor="text1"/>
          <w:sz w:val="24"/>
          <w:szCs w:val="24"/>
        </w:rPr>
        <w:t xml:space="preserve">CONFERMA L’ESITAZIONE VACCINALE DEGLI OVER 50 </w:t>
      </w:r>
      <w:r w:rsidR="004821B7">
        <w:rPr>
          <w:b/>
          <w:bCs/>
          <w:color w:val="000000" w:themeColor="text1"/>
          <w:sz w:val="24"/>
          <w:szCs w:val="24"/>
        </w:rPr>
        <w:t xml:space="preserve">DI CUI ANCORA 3,5 MILIONI </w:t>
      </w:r>
      <w:r w:rsidR="009C44C5" w:rsidRPr="009C44C5">
        <w:rPr>
          <w:b/>
          <w:bCs/>
          <w:color w:val="000000" w:themeColor="text1"/>
          <w:sz w:val="24"/>
          <w:szCs w:val="24"/>
        </w:rPr>
        <w:t>MANCANO ALL’APPELLO DELL’IMMUNIZZAZIONE</w:t>
      </w:r>
      <w:r w:rsidR="00322C39">
        <w:rPr>
          <w:b/>
          <w:bCs/>
          <w:color w:val="000000" w:themeColor="text1"/>
          <w:sz w:val="24"/>
          <w:szCs w:val="24"/>
        </w:rPr>
        <w:t>,</w:t>
      </w:r>
      <w:r w:rsidR="009C44C5">
        <w:rPr>
          <w:b/>
          <w:bCs/>
          <w:color w:val="000000" w:themeColor="text1"/>
          <w:sz w:val="24"/>
          <w:szCs w:val="24"/>
        </w:rPr>
        <w:t xml:space="preserve"> MENTRE CRESCONO</w:t>
      </w:r>
      <w:r w:rsidR="009C44C5" w:rsidRPr="009C44C5">
        <w:rPr>
          <w:b/>
          <w:bCs/>
          <w:color w:val="000000" w:themeColor="text1"/>
          <w:sz w:val="24"/>
          <w:szCs w:val="24"/>
        </w:rPr>
        <w:t xml:space="preserve"> </w:t>
      </w:r>
      <w:r w:rsidR="004821B7">
        <w:rPr>
          <w:b/>
          <w:bCs/>
          <w:color w:val="000000" w:themeColor="text1"/>
          <w:sz w:val="24"/>
          <w:szCs w:val="24"/>
        </w:rPr>
        <w:t xml:space="preserve">I TASSI DI COPERTURE </w:t>
      </w:r>
      <w:r w:rsidR="00655A1E">
        <w:rPr>
          <w:b/>
          <w:bCs/>
          <w:color w:val="000000" w:themeColor="text1"/>
          <w:sz w:val="24"/>
          <w:szCs w:val="24"/>
        </w:rPr>
        <w:t>DEI</w:t>
      </w:r>
      <w:r w:rsidR="009C44C5" w:rsidRPr="009C44C5">
        <w:rPr>
          <w:b/>
          <w:bCs/>
          <w:color w:val="000000" w:themeColor="text1"/>
          <w:sz w:val="24"/>
          <w:szCs w:val="24"/>
        </w:rPr>
        <w:t xml:space="preserve"> PIÙ GIOVANI</w:t>
      </w:r>
      <w:r w:rsidR="001A1D07">
        <w:rPr>
          <w:b/>
          <w:bCs/>
          <w:color w:val="000000" w:themeColor="text1"/>
          <w:sz w:val="24"/>
          <w:szCs w:val="24"/>
        </w:rPr>
        <w:t xml:space="preserve">. </w:t>
      </w:r>
    </w:p>
    <w:p w:rsidR="007B682B" w:rsidRDefault="00D54B4A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26</w:t>
      </w:r>
      <w:r w:rsidR="00CE577D">
        <w:rPr>
          <w:b/>
          <w:bCs/>
          <w:sz w:val="24"/>
          <w:szCs w:val="24"/>
        </w:rPr>
        <w:t xml:space="preserve"> agosto 2021 - Fondazione GIMBE, Bologna</w:t>
      </w:r>
    </w:p>
    <w:p w:rsidR="00F45600" w:rsidRPr="00F45600" w:rsidRDefault="00F45600" w:rsidP="006176B8">
      <w:pPr>
        <w:spacing w:after="120" w:line="276" w:lineRule="auto"/>
        <w:jc w:val="both"/>
        <w:rPr>
          <w:color w:val="auto"/>
        </w:rPr>
      </w:pPr>
      <w:r w:rsidRPr="00F45600">
        <w:rPr>
          <w:color w:val="auto"/>
        </w:rPr>
        <w:t>Il monitoraggio indipendente della Fondazione GIMBE rileva nella settimana 18-24 agosto 2021, rispetto alla precedente, un incremento di nuovi casi (45.251 vs 43.365) (</w:t>
      </w:r>
      <w:r w:rsidRPr="00F45600">
        <w:rPr>
          <w:color w:val="auto"/>
          <w:highlight w:val="yellow"/>
        </w:rPr>
        <w:t>figura 1</w:t>
      </w:r>
      <w:r w:rsidRPr="00F45600">
        <w:rPr>
          <w:color w:val="auto"/>
        </w:rPr>
        <w:t>) e decessi (345 vs 237) (</w:t>
      </w:r>
      <w:r w:rsidRPr="00F45600">
        <w:rPr>
          <w:color w:val="auto"/>
          <w:highlight w:val="yellow"/>
        </w:rPr>
        <w:t>figura 2</w:t>
      </w:r>
      <w:r w:rsidRPr="00F45600">
        <w:rPr>
          <w:color w:val="auto"/>
        </w:rPr>
        <w:t>). In aumento anche i casi attualmente positivi (135.325 vs 129.116), le persone in isolamento domiciliare (130.785 vs 125.221), i ricoveri con sintomi (4.036 vs 3.472) e le terapie intensive (504 vs 423) (</w:t>
      </w:r>
      <w:r w:rsidRPr="00F45600">
        <w:rPr>
          <w:color w:val="auto"/>
          <w:highlight w:val="yellow"/>
        </w:rPr>
        <w:t>figura 3</w:t>
      </w:r>
      <w:r w:rsidRPr="00F45600">
        <w:rPr>
          <w:color w:val="auto"/>
        </w:rPr>
        <w:t>). In dettaglio, rispetto alla settimana precedente, si registrano le seguenti variazioni:</w:t>
      </w:r>
    </w:p>
    <w:p w:rsidR="00F45600" w:rsidRPr="00F45600" w:rsidRDefault="00F45600" w:rsidP="00F4560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F45600">
        <w:rPr>
          <w:color w:val="auto"/>
        </w:rPr>
        <w:t>Decessi: 345 (+45,6%)</w:t>
      </w:r>
    </w:p>
    <w:p w:rsidR="00F45600" w:rsidRPr="00F45600" w:rsidRDefault="00F45600" w:rsidP="00F4560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F45600">
        <w:rPr>
          <w:color w:val="auto"/>
        </w:rPr>
        <w:t>Terapia intensiva: +81 (+19,1%)</w:t>
      </w:r>
    </w:p>
    <w:p w:rsidR="00F45600" w:rsidRPr="00F45600" w:rsidRDefault="00F45600" w:rsidP="00F4560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F45600">
        <w:rPr>
          <w:color w:val="auto"/>
        </w:rPr>
        <w:t>Ricoverati con sintomi: +564 (+16,2%)</w:t>
      </w:r>
    </w:p>
    <w:p w:rsidR="00F45600" w:rsidRPr="00F45600" w:rsidRDefault="00F45600" w:rsidP="00F4560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F45600">
        <w:rPr>
          <w:color w:val="auto"/>
        </w:rPr>
        <w:t>Isolamento domiciliare: +5.564 (+4,4%)</w:t>
      </w:r>
    </w:p>
    <w:p w:rsidR="00F45600" w:rsidRPr="00F45600" w:rsidRDefault="00F45600" w:rsidP="00F4560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F45600">
        <w:rPr>
          <w:color w:val="auto"/>
        </w:rPr>
        <w:t>Nuovi casi: 45.251 (+4,3%)</w:t>
      </w:r>
    </w:p>
    <w:p w:rsidR="00F45600" w:rsidRPr="00F45600" w:rsidRDefault="00F45600" w:rsidP="00F45600">
      <w:pPr>
        <w:pStyle w:val="Paragrafoelenco"/>
        <w:numPr>
          <w:ilvl w:val="0"/>
          <w:numId w:val="2"/>
        </w:numPr>
        <w:spacing w:line="276" w:lineRule="auto"/>
        <w:ind w:left="357" w:hanging="357"/>
        <w:jc w:val="both"/>
        <w:rPr>
          <w:color w:val="auto"/>
        </w:rPr>
      </w:pPr>
      <w:r w:rsidRPr="00F45600">
        <w:rPr>
          <w:color w:val="auto"/>
        </w:rPr>
        <w:t xml:space="preserve">Casi attualmente positivi: +6.209 (+4,8%) </w:t>
      </w:r>
    </w:p>
    <w:p w:rsidR="00797AB7" w:rsidRPr="00797AB7" w:rsidRDefault="00797AB7" w:rsidP="00B86D74">
      <w:pPr>
        <w:spacing w:line="276" w:lineRule="auto"/>
        <w:jc w:val="both"/>
        <w:rPr>
          <w:color w:val="auto"/>
        </w:rPr>
      </w:pPr>
      <w:r w:rsidRPr="00797AB7">
        <w:rPr>
          <w:color w:val="auto"/>
        </w:rPr>
        <w:t xml:space="preserve">«I nuovi casi settimanali – dichiara Nino Cartabellotta, Presidente della Fondazione GIMBE – dopo </w:t>
      </w:r>
      <w:r w:rsidR="00655A1E">
        <w:rPr>
          <w:color w:val="auto"/>
        </w:rPr>
        <w:t>la</w:t>
      </w:r>
      <w:r w:rsidR="00655A1E" w:rsidRPr="00797AB7">
        <w:rPr>
          <w:color w:val="auto"/>
        </w:rPr>
        <w:t xml:space="preserve"> </w:t>
      </w:r>
      <w:r w:rsidRPr="00797AB7">
        <w:rPr>
          <w:color w:val="auto"/>
        </w:rPr>
        <w:t xml:space="preserve">stabilizzazione </w:t>
      </w:r>
      <w:r w:rsidR="00655A1E">
        <w:rPr>
          <w:color w:val="auto"/>
        </w:rPr>
        <w:t>del</w:t>
      </w:r>
      <w:r w:rsidRPr="00797AB7">
        <w:rPr>
          <w:color w:val="auto"/>
        </w:rPr>
        <w:t>la scorsa settimana, fanno registrare un lieve incremento visibile anche nella media mobile dei casi giornalieri (</w:t>
      </w:r>
      <w:r w:rsidRPr="00797AB7">
        <w:rPr>
          <w:color w:val="auto"/>
          <w:highlight w:val="yellow"/>
        </w:rPr>
        <w:t xml:space="preserve">figura </w:t>
      </w:r>
      <w:r w:rsidR="00B86D74">
        <w:rPr>
          <w:color w:val="auto"/>
          <w:highlight w:val="yellow"/>
        </w:rPr>
        <w:t>4</w:t>
      </w:r>
      <w:r w:rsidRPr="00797AB7">
        <w:rPr>
          <w:color w:val="auto"/>
        </w:rPr>
        <w:t>),</w:t>
      </w:r>
      <w:r w:rsidR="00322C39">
        <w:rPr>
          <w:color w:val="auto"/>
        </w:rPr>
        <w:t xml:space="preserve"> pur rimanendo </w:t>
      </w:r>
      <w:r w:rsidRPr="00797AB7">
        <w:rPr>
          <w:color w:val="auto"/>
        </w:rPr>
        <w:t xml:space="preserve">sottostimati dall’insufficiente attività di testing e dalla limitata attività di tracciamento dei contatti». </w:t>
      </w:r>
      <w:r w:rsidR="00D77EAE">
        <w:rPr>
          <w:color w:val="auto"/>
        </w:rPr>
        <w:t>Nella</w:t>
      </w:r>
      <w:r w:rsidRPr="00797AB7">
        <w:rPr>
          <w:color w:val="auto"/>
        </w:rPr>
        <w:t xml:space="preserve"> settimana 18-24 agosto, rispetto alla precedente, </w:t>
      </w:r>
      <w:r w:rsidR="00B86D74" w:rsidRPr="00797AB7">
        <w:rPr>
          <w:color w:val="auto"/>
        </w:rPr>
        <w:t xml:space="preserve">si rileva </w:t>
      </w:r>
      <w:r w:rsidR="00B86D74">
        <w:rPr>
          <w:color w:val="auto"/>
        </w:rPr>
        <w:t xml:space="preserve">un </w:t>
      </w:r>
      <w:r w:rsidRPr="00797AB7">
        <w:rPr>
          <w:color w:val="auto"/>
        </w:rPr>
        <w:t xml:space="preserve">incremento percentuale dei nuovi casi in 8 Regioni e quello dei casi attualmente positivi </w:t>
      </w:r>
      <w:r w:rsidR="002B20E2" w:rsidRPr="00797AB7">
        <w:rPr>
          <w:color w:val="auto"/>
        </w:rPr>
        <w:t xml:space="preserve">in 13 Regioni </w:t>
      </w:r>
      <w:r w:rsidRPr="00797AB7">
        <w:rPr>
          <w:color w:val="auto"/>
        </w:rPr>
        <w:t>(</w:t>
      </w:r>
      <w:r w:rsidRPr="00797AB7">
        <w:rPr>
          <w:color w:val="auto"/>
          <w:shd w:val="clear" w:color="auto" w:fill="FFFF00"/>
        </w:rPr>
        <w:t>tabella 1</w:t>
      </w:r>
      <w:r w:rsidRPr="00797AB7">
        <w:rPr>
          <w:color w:val="auto"/>
        </w:rPr>
        <w:t>). In 68 Province l’incidenza è pari o superiore a 50 casi per 100.000 abitanti</w:t>
      </w:r>
      <w:r w:rsidR="00D77EAE">
        <w:rPr>
          <w:color w:val="auto"/>
        </w:rPr>
        <w:t>:</w:t>
      </w:r>
      <w:r w:rsidRPr="00797AB7">
        <w:rPr>
          <w:color w:val="auto"/>
        </w:rPr>
        <w:t xml:space="preserve"> in Emilia-Romagna, Liguria, Sardegna, Sicilia, Toscana e Umbria tutte le Province raggiungono o superano tale soglia. </w:t>
      </w:r>
      <w:r w:rsidR="00B86D74">
        <w:rPr>
          <w:color w:val="auto"/>
        </w:rPr>
        <w:t>S</w:t>
      </w:r>
      <w:r w:rsidR="00D77EAE">
        <w:rPr>
          <w:color w:val="auto"/>
        </w:rPr>
        <w:t xml:space="preserve">ono </w:t>
      </w:r>
      <w:r w:rsidR="00B86D74">
        <w:rPr>
          <w:color w:val="auto"/>
        </w:rPr>
        <w:t xml:space="preserve">13 </w:t>
      </w:r>
      <w:r w:rsidR="00D77EAE">
        <w:rPr>
          <w:color w:val="auto"/>
        </w:rPr>
        <w:t xml:space="preserve">le </w:t>
      </w:r>
      <w:r w:rsidRPr="00797AB7">
        <w:rPr>
          <w:color w:val="auto"/>
        </w:rPr>
        <w:t xml:space="preserve">Province </w:t>
      </w:r>
      <w:r w:rsidR="00D77EAE">
        <w:rPr>
          <w:color w:val="auto"/>
        </w:rPr>
        <w:t>con</w:t>
      </w:r>
      <w:r w:rsidRPr="00797AB7">
        <w:rPr>
          <w:color w:val="auto"/>
        </w:rPr>
        <w:t xml:space="preserve"> oltre 150 casi per 100.000 abitanti: Caltanissetta (318), Ragusa (281), Enna (268), Cagliari (239), Siracusa (234), Trapani (195), Messina (185), Catania (180), Reggio Calabria (169), Sud Sardegna (167), Palermo (163), Prato (163) e Agrigento (156) (</w:t>
      </w:r>
      <w:r w:rsidRPr="00797AB7">
        <w:rPr>
          <w:color w:val="auto"/>
          <w:shd w:val="clear" w:color="auto" w:fill="FFFF00"/>
        </w:rPr>
        <w:t>tabella 2</w:t>
      </w:r>
      <w:r w:rsidRPr="00797AB7">
        <w:rPr>
          <w:color w:val="auto"/>
        </w:rPr>
        <w:t xml:space="preserve">). </w:t>
      </w:r>
      <w:bookmarkStart w:id="0" w:name="_Hlk74138709"/>
      <w:r w:rsidRPr="00797AB7">
        <w:rPr>
          <w:color w:val="FF0000"/>
        </w:rPr>
        <w:t xml:space="preserve"> </w:t>
      </w:r>
      <w:r w:rsidR="002B20E2">
        <w:rPr>
          <w:color w:val="auto"/>
        </w:rPr>
        <w:t>Aumentano</w:t>
      </w:r>
      <w:r w:rsidRPr="00797AB7">
        <w:rPr>
          <w:color w:val="auto"/>
        </w:rPr>
        <w:t xml:space="preserve"> i decessi: 345 negli ultimi 7 giorni, con una media di 49 al giorno rispetto ai 34 della settimana precedente</w:t>
      </w:r>
      <w:bookmarkEnd w:id="0"/>
      <w:r w:rsidRPr="00797AB7">
        <w:rPr>
          <w:color w:val="auto"/>
        </w:rPr>
        <w:t>.</w:t>
      </w:r>
    </w:p>
    <w:p w:rsidR="007B682B" w:rsidRDefault="00CE577D" w:rsidP="002B7A43">
      <w:pPr>
        <w:spacing w:line="276" w:lineRule="auto"/>
        <w:jc w:val="both"/>
        <w:rPr>
          <w:color w:val="auto"/>
        </w:rPr>
      </w:pPr>
      <w:r w:rsidRPr="008D00D2">
        <w:rPr>
          <w:color w:val="auto"/>
        </w:rPr>
        <w:t>«</w:t>
      </w:r>
      <w:r w:rsidR="008D00D2" w:rsidRPr="008D00D2">
        <w:rPr>
          <w:color w:val="auto"/>
        </w:rPr>
        <w:t xml:space="preserve">Seppur in maniera meno netta </w:t>
      </w:r>
      <w:r w:rsidRPr="008D00D2">
        <w:rPr>
          <w:color w:val="auto"/>
        </w:rPr>
        <w:t xml:space="preserve">– afferma Renata Gili, responsabile Ricerca sui Servizi Sanitari della Fondazione GIMBE – </w:t>
      </w:r>
      <w:r w:rsidR="008D00D2" w:rsidRPr="008D00D2">
        <w:rPr>
          <w:color w:val="auto"/>
        </w:rPr>
        <w:t>continua a salire il numero dei posti letto occupati in ospedale</w:t>
      </w:r>
      <w:r w:rsidRPr="008D00D2">
        <w:rPr>
          <w:color w:val="auto"/>
        </w:rPr>
        <w:t xml:space="preserve">: </w:t>
      </w:r>
      <w:r w:rsidR="007B6DAF">
        <w:rPr>
          <w:color w:val="auto"/>
        </w:rPr>
        <w:t xml:space="preserve">rispetto alla settimana precedente </w:t>
      </w:r>
      <w:r w:rsidRPr="008D00D2">
        <w:rPr>
          <w:color w:val="auto"/>
        </w:rPr>
        <w:t>+</w:t>
      </w:r>
      <w:r w:rsidR="00F45600" w:rsidRPr="00F45600">
        <w:rPr>
          <w:color w:val="auto"/>
        </w:rPr>
        <w:t>16,2</w:t>
      </w:r>
      <w:r w:rsidRPr="00F45600">
        <w:rPr>
          <w:color w:val="auto"/>
        </w:rPr>
        <w:t>% in area medica e +</w:t>
      </w:r>
      <w:r w:rsidR="00F45600" w:rsidRPr="00F45600">
        <w:rPr>
          <w:color w:val="auto"/>
        </w:rPr>
        <w:t>19,1</w:t>
      </w:r>
      <w:r w:rsidRPr="00F45600">
        <w:rPr>
          <w:color w:val="auto"/>
        </w:rPr>
        <w:t xml:space="preserve">% in terapia intensiva».  In termini assoluti, il numero di posti letto occupati da parte di pazienti COVID in area medica è passato </w:t>
      </w:r>
      <w:r w:rsidR="006176B8" w:rsidRPr="00F45600">
        <w:rPr>
          <w:color w:val="auto"/>
        </w:rPr>
        <w:t>da</w:t>
      </w:r>
      <w:r w:rsidR="008D00D2">
        <w:rPr>
          <w:color w:val="auto"/>
        </w:rPr>
        <w:t xml:space="preserve">i </w:t>
      </w:r>
      <w:r w:rsidRPr="00F45600">
        <w:rPr>
          <w:color w:val="auto"/>
        </w:rPr>
        <w:t xml:space="preserve">1.088 del 16 luglio ai </w:t>
      </w:r>
      <w:r w:rsidR="00F45600" w:rsidRPr="00F45600">
        <w:rPr>
          <w:color w:val="auto"/>
        </w:rPr>
        <w:t>4.036</w:t>
      </w:r>
      <w:r w:rsidRPr="00F45600">
        <w:rPr>
          <w:color w:val="auto"/>
        </w:rPr>
        <w:t xml:space="preserve"> del </w:t>
      </w:r>
      <w:r w:rsidR="00F45600" w:rsidRPr="00F45600">
        <w:rPr>
          <w:color w:val="auto"/>
        </w:rPr>
        <w:t>24</w:t>
      </w:r>
      <w:r w:rsidRPr="00F45600">
        <w:rPr>
          <w:color w:val="auto"/>
        </w:rPr>
        <w:t xml:space="preserve"> agosto</w:t>
      </w:r>
      <w:r w:rsidR="007B6DAF">
        <w:rPr>
          <w:color w:val="auto"/>
        </w:rPr>
        <w:t xml:space="preserve"> (+271%)</w:t>
      </w:r>
      <w:r w:rsidRPr="00F45600">
        <w:rPr>
          <w:color w:val="auto"/>
        </w:rPr>
        <w:t xml:space="preserve"> e quello delle terapie intensive </w:t>
      </w:r>
      <w:r w:rsidR="008D00D2">
        <w:rPr>
          <w:color w:val="auto"/>
        </w:rPr>
        <w:t xml:space="preserve">dai </w:t>
      </w:r>
      <w:r w:rsidRPr="00F45600">
        <w:rPr>
          <w:color w:val="auto"/>
        </w:rPr>
        <w:t>151 del 14 l</w:t>
      </w:r>
      <w:r w:rsidRPr="002B7A43">
        <w:rPr>
          <w:color w:val="auto"/>
        </w:rPr>
        <w:t xml:space="preserve">uglio ai </w:t>
      </w:r>
      <w:r w:rsidR="00F45600" w:rsidRPr="002B7A43">
        <w:rPr>
          <w:color w:val="auto"/>
        </w:rPr>
        <w:t>504</w:t>
      </w:r>
      <w:r w:rsidRPr="002B7A43">
        <w:rPr>
          <w:color w:val="auto"/>
        </w:rPr>
        <w:t xml:space="preserve"> del </w:t>
      </w:r>
      <w:r w:rsidR="00F45600" w:rsidRPr="002B7A43">
        <w:rPr>
          <w:color w:val="auto"/>
        </w:rPr>
        <w:t>24</w:t>
      </w:r>
      <w:r w:rsidRPr="002B7A43">
        <w:rPr>
          <w:color w:val="auto"/>
        </w:rPr>
        <w:t xml:space="preserve"> agosto</w:t>
      </w:r>
      <w:r w:rsidR="007B6DAF">
        <w:rPr>
          <w:color w:val="auto"/>
        </w:rPr>
        <w:t xml:space="preserve"> (+234%)</w:t>
      </w:r>
      <w:r w:rsidR="004642E7" w:rsidRPr="002B7A43">
        <w:rPr>
          <w:color w:val="auto"/>
        </w:rPr>
        <w:t>,</w:t>
      </w:r>
      <w:r w:rsidRPr="002B7A43">
        <w:rPr>
          <w:color w:val="auto"/>
        </w:rPr>
        <w:t xml:space="preserve"> </w:t>
      </w:r>
      <w:r w:rsidR="00CF5DEB">
        <w:rPr>
          <w:color w:val="auto"/>
        </w:rPr>
        <w:t>anche se</w:t>
      </w:r>
      <w:r w:rsidR="00CF5DEB" w:rsidRPr="002B7A43">
        <w:rPr>
          <w:color w:val="auto"/>
        </w:rPr>
        <w:t xml:space="preserve"> </w:t>
      </w:r>
      <w:r w:rsidR="00322C39">
        <w:rPr>
          <w:color w:val="auto"/>
        </w:rPr>
        <w:t>il dato</w:t>
      </w:r>
      <w:r w:rsidR="00985E6B" w:rsidRPr="002B7A43">
        <w:rPr>
          <w:color w:val="auto"/>
        </w:rPr>
        <w:t xml:space="preserve"> </w:t>
      </w:r>
      <w:r w:rsidR="00733EDF" w:rsidRPr="002B7A43">
        <w:rPr>
          <w:color w:val="auto"/>
        </w:rPr>
        <w:t xml:space="preserve">nazionale </w:t>
      </w:r>
      <w:r w:rsidR="00322C39" w:rsidRPr="002B7A43">
        <w:rPr>
          <w:color w:val="auto"/>
        </w:rPr>
        <w:t>riman</w:t>
      </w:r>
      <w:r w:rsidR="00322C39">
        <w:rPr>
          <w:color w:val="auto"/>
        </w:rPr>
        <w:t>e</w:t>
      </w:r>
      <w:r w:rsidR="00322C39" w:rsidRPr="002B7A43">
        <w:rPr>
          <w:color w:val="auto"/>
        </w:rPr>
        <w:t xml:space="preserve"> bass</w:t>
      </w:r>
      <w:r w:rsidR="00322C39">
        <w:rPr>
          <w:color w:val="auto"/>
        </w:rPr>
        <w:t>o</w:t>
      </w:r>
      <w:r w:rsidRPr="002B7A43">
        <w:rPr>
          <w:color w:val="auto"/>
        </w:rPr>
        <w:t xml:space="preserve">: </w:t>
      </w:r>
      <w:r w:rsidR="00F45600" w:rsidRPr="002B7A43">
        <w:rPr>
          <w:color w:val="auto"/>
        </w:rPr>
        <w:t>7</w:t>
      </w:r>
      <w:r w:rsidRPr="002B7A43">
        <w:rPr>
          <w:color w:val="auto"/>
        </w:rPr>
        <w:t xml:space="preserve">% in area medica e </w:t>
      </w:r>
      <w:r w:rsidR="00F45600" w:rsidRPr="002B7A43">
        <w:rPr>
          <w:color w:val="auto"/>
        </w:rPr>
        <w:t>6</w:t>
      </w:r>
      <w:r w:rsidRPr="002B7A43">
        <w:rPr>
          <w:color w:val="auto"/>
        </w:rPr>
        <w:t xml:space="preserve">% </w:t>
      </w:r>
      <w:r w:rsidR="00655A1E">
        <w:rPr>
          <w:color w:val="auto"/>
        </w:rPr>
        <w:t>in area critica</w:t>
      </w:r>
      <w:r w:rsidR="00216973" w:rsidRPr="002B7A43">
        <w:rPr>
          <w:color w:val="auto"/>
        </w:rPr>
        <w:t xml:space="preserve">. </w:t>
      </w:r>
      <w:r w:rsidR="00CF5DEB">
        <w:rPr>
          <w:color w:val="auto"/>
        </w:rPr>
        <w:t>Rilevanti tuttavia le differenze a livello</w:t>
      </w:r>
      <w:r w:rsidR="00216973" w:rsidRPr="002B7A43">
        <w:rPr>
          <w:color w:val="auto"/>
        </w:rPr>
        <w:t xml:space="preserve"> </w:t>
      </w:r>
      <w:r w:rsidR="007E629F" w:rsidRPr="002B7A43">
        <w:rPr>
          <w:color w:val="auto"/>
        </w:rPr>
        <w:lastRenderedPageBreak/>
        <w:t>regionale: per l’area medica si collocano sopra la</w:t>
      </w:r>
      <w:r w:rsidR="00B86D74">
        <w:rPr>
          <w:color w:val="auto"/>
        </w:rPr>
        <w:t xml:space="preserve"> soglia del 15%</w:t>
      </w:r>
      <w:r w:rsidR="007E629F" w:rsidRPr="002B7A43">
        <w:rPr>
          <w:color w:val="auto"/>
        </w:rPr>
        <w:t xml:space="preserve"> </w:t>
      </w:r>
      <w:r w:rsidR="002B7A43" w:rsidRPr="002B7A43">
        <w:rPr>
          <w:color w:val="auto"/>
        </w:rPr>
        <w:t>Sicilia (19%)</w:t>
      </w:r>
      <w:r w:rsidR="00B86D74">
        <w:rPr>
          <w:color w:val="auto"/>
        </w:rPr>
        <w:t xml:space="preserve"> e</w:t>
      </w:r>
      <w:r w:rsidR="002B7A43" w:rsidRPr="002B7A43">
        <w:rPr>
          <w:color w:val="auto"/>
        </w:rPr>
        <w:t xml:space="preserve"> Calabria (15</w:t>
      </w:r>
      <w:r w:rsidR="00924D28">
        <w:rPr>
          <w:color w:val="auto"/>
        </w:rPr>
        <w:t>,2</w:t>
      </w:r>
      <w:r w:rsidR="002B7A43" w:rsidRPr="002B7A43">
        <w:rPr>
          <w:color w:val="auto"/>
        </w:rPr>
        <w:t xml:space="preserve">%) </w:t>
      </w:r>
      <w:r w:rsidRPr="002B7A43">
        <w:rPr>
          <w:color w:val="auto"/>
        </w:rPr>
        <w:t>(</w:t>
      </w:r>
      <w:r w:rsidRPr="002B7A43">
        <w:rPr>
          <w:color w:val="auto"/>
          <w:shd w:val="clear" w:color="auto" w:fill="FFFF00"/>
        </w:rPr>
        <w:t>figura 5</w:t>
      </w:r>
      <w:r w:rsidR="007E629F" w:rsidRPr="002B7A43">
        <w:rPr>
          <w:color w:val="auto"/>
        </w:rPr>
        <w:t xml:space="preserve">); per l’area critica sopra </w:t>
      </w:r>
      <w:r w:rsidR="00B86D74">
        <w:rPr>
          <w:color w:val="auto"/>
        </w:rPr>
        <w:t xml:space="preserve">la soglia del 10% </w:t>
      </w:r>
      <w:r w:rsidR="002B7A43" w:rsidRPr="002B7A43">
        <w:rPr>
          <w:color w:val="auto"/>
        </w:rPr>
        <w:t>Sardegna (11%)</w:t>
      </w:r>
      <w:r w:rsidR="00B86D74">
        <w:rPr>
          <w:color w:val="auto"/>
        </w:rPr>
        <w:t xml:space="preserve"> e</w:t>
      </w:r>
      <w:r w:rsidR="002B7A43" w:rsidRPr="002B7A43">
        <w:rPr>
          <w:color w:val="auto"/>
        </w:rPr>
        <w:t xml:space="preserve"> Sicilia (11%)</w:t>
      </w:r>
      <w:r w:rsidR="007E629F" w:rsidRPr="002B7A43">
        <w:rPr>
          <w:color w:val="auto"/>
        </w:rPr>
        <w:t xml:space="preserve"> </w:t>
      </w:r>
      <w:r w:rsidRPr="002B7A43">
        <w:rPr>
          <w:color w:val="auto"/>
        </w:rPr>
        <w:t>(</w:t>
      </w:r>
      <w:r w:rsidRPr="002B7A43">
        <w:rPr>
          <w:color w:val="auto"/>
          <w:shd w:val="clear" w:color="auto" w:fill="FFFF00"/>
        </w:rPr>
        <w:t>figura 6</w:t>
      </w:r>
      <w:r w:rsidRPr="002B7A43">
        <w:rPr>
          <w:color w:val="auto"/>
        </w:rPr>
        <w:t>). «</w:t>
      </w:r>
      <w:r w:rsidR="00F441F1">
        <w:rPr>
          <w:color w:val="auto"/>
        </w:rPr>
        <w:t xml:space="preserve">Lieve aumento degli </w:t>
      </w:r>
      <w:r w:rsidRPr="002B7A43">
        <w:rPr>
          <w:color w:val="auto"/>
        </w:rPr>
        <w:t xml:space="preserve">ingressi giornalieri in terapia intensiva – spiega Marco Mosti, Direttore Operativo della Fondazione GIMBE – </w:t>
      </w:r>
      <w:r w:rsidR="009E0CAE" w:rsidRPr="002B7A43">
        <w:rPr>
          <w:color w:val="auto"/>
        </w:rPr>
        <w:t xml:space="preserve">con una </w:t>
      </w:r>
      <w:r w:rsidRPr="002B7A43">
        <w:rPr>
          <w:color w:val="auto"/>
        </w:rPr>
        <w:t xml:space="preserve">media mobile a 7 giorni </w:t>
      </w:r>
      <w:r w:rsidR="00216973" w:rsidRPr="002B7A43">
        <w:rPr>
          <w:color w:val="auto"/>
        </w:rPr>
        <w:t>di</w:t>
      </w:r>
      <w:r w:rsidRPr="002B7A43">
        <w:rPr>
          <w:color w:val="auto"/>
        </w:rPr>
        <w:t xml:space="preserve"> </w:t>
      </w:r>
      <w:r w:rsidR="002B7A43" w:rsidRPr="002B7A43">
        <w:rPr>
          <w:color w:val="auto"/>
        </w:rPr>
        <w:t>40</w:t>
      </w:r>
      <w:r w:rsidRPr="002B7A43">
        <w:rPr>
          <w:color w:val="auto"/>
        </w:rPr>
        <w:t xml:space="preserve"> ingressi/die rispetto ai </w:t>
      </w:r>
      <w:r w:rsidR="002B7A43" w:rsidRPr="002B7A43">
        <w:rPr>
          <w:color w:val="auto"/>
        </w:rPr>
        <w:t>37</w:t>
      </w:r>
      <w:r w:rsidRPr="002B7A43">
        <w:rPr>
          <w:color w:val="auto"/>
        </w:rPr>
        <w:t xml:space="preserve"> della settimana precedente» (</w:t>
      </w:r>
      <w:r w:rsidRPr="002B7A43">
        <w:rPr>
          <w:color w:val="auto"/>
          <w:shd w:val="clear" w:color="auto" w:fill="FFFF00"/>
        </w:rPr>
        <w:t>figura 7</w:t>
      </w:r>
      <w:r w:rsidRPr="002B7A43">
        <w:rPr>
          <w:color w:val="auto"/>
        </w:rPr>
        <w:t>).</w:t>
      </w:r>
    </w:p>
    <w:p w:rsidR="00D325D0" w:rsidRPr="00A30AC5" w:rsidRDefault="00D325D0" w:rsidP="00D325D0">
      <w:pPr>
        <w:spacing w:line="276" w:lineRule="auto"/>
        <w:jc w:val="both"/>
        <w:rPr>
          <w:color w:val="auto"/>
        </w:rPr>
      </w:pPr>
      <w:r w:rsidRPr="000A72BA">
        <w:rPr>
          <w:b/>
          <w:bCs/>
          <w:color w:val="auto"/>
        </w:rPr>
        <w:t>Vaccini: forniture</w:t>
      </w:r>
      <w:r w:rsidRPr="000A72BA">
        <w:rPr>
          <w:color w:val="auto"/>
        </w:rPr>
        <w:t>. A</w:t>
      </w:r>
      <w:r>
        <w:rPr>
          <w:color w:val="auto"/>
        </w:rPr>
        <w:t xml:space="preserve">l 25 agosto (aggiornamento ore </w:t>
      </w:r>
      <w:r w:rsidRPr="000A72BA">
        <w:rPr>
          <w:color w:val="auto"/>
        </w:rPr>
        <w:t>6</w:t>
      </w:r>
      <w:r>
        <w:rPr>
          <w:color w:val="auto"/>
        </w:rPr>
        <w:t>.</w:t>
      </w:r>
      <w:r w:rsidRPr="000A72BA">
        <w:rPr>
          <w:color w:val="auto"/>
        </w:rPr>
        <w:t>12) risultano consegnate 82.612.</w:t>
      </w:r>
      <w:r w:rsidRPr="003F38D5">
        <w:rPr>
          <w:color w:val="auto"/>
        </w:rPr>
        <w:t xml:space="preserve">430 dosi. </w:t>
      </w:r>
      <w:r w:rsidR="001533DC" w:rsidRPr="001533DC">
        <w:rPr>
          <w:color w:val="auto"/>
        </w:rPr>
        <w:t xml:space="preserve">Dopo la stabilizzazione delle consegne settimanali </w:t>
      </w:r>
      <w:r w:rsidR="00CB5E57">
        <w:rPr>
          <w:color w:val="auto"/>
        </w:rPr>
        <w:t>di</w:t>
      </w:r>
      <w:r w:rsidR="00CB5E57" w:rsidRPr="001533DC">
        <w:rPr>
          <w:color w:val="auto"/>
        </w:rPr>
        <w:t xml:space="preserve"> luglio </w:t>
      </w:r>
      <w:r w:rsidR="001533DC" w:rsidRPr="001533DC">
        <w:rPr>
          <w:color w:val="auto"/>
        </w:rPr>
        <w:t>(</w:t>
      </w:r>
      <w:r w:rsidR="00CB5E57">
        <w:rPr>
          <w:color w:val="auto"/>
        </w:rPr>
        <w:t xml:space="preserve">range </w:t>
      </w:r>
      <w:r w:rsidR="001533DC" w:rsidRPr="001533DC">
        <w:rPr>
          <w:color w:val="auto"/>
        </w:rPr>
        <w:t xml:space="preserve">2,3-2,7 milioni), </w:t>
      </w:r>
      <w:r w:rsidR="002B20E2">
        <w:rPr>
          <w:color w:val="auto"/>
        </w:rPr>
        <w:t xml:space="preserve">ad </w:t>
      </w:r>
      <w:r w:rsidR="00CB5E57">
        <w:rPr>
          <w:color w:val="auto"/>
        </w:rPr>
        <w:t xml:space="preserve">agosto </w:t>
      </w:r>
      <w:r w:rsidR="001533DC" w:rsidRPr="001533DC">
        <w:rPr>
          <w:color w:val="auto"/>
        </w:rPr>
        <w:t>si è registrato un cambio di passo</w:t>
      </w:r>
      <w:r w:rsidR="00CB5E57">
        <w:rPr>
          <w:color w:val="auto"/>
        </w:rPr>
        <w:t>:</w:t>
      </w:r>
      <w:r w:rsidR="001533DC" w:rsidRPr="001533DC">
        <w:rPr>
          <w:color w:val="auto"/>
        </w:rPr>
        <w:t xml:space="preserve"> 3,3 milioni </w:t>
      </w:r>
      <w:r w:rsidR="00CB5E57">
        <w:rPr>
          <w:color w:val="auto"/>
        </w:rPr>
        <w:t xml:space="preserve">di dosi consegnate </w:t>
      </w:r>
      <w:r w:rsidR="001533DC" w:rsidRPr="001533DC">
        <w:rPr>
          <w:color w:val="auto"/>
        </w:rPr>
        <w:t xml:space="preserve">nella </w:t>
      </w:r>
      <w:r w:rsidR="00B85EBA">
        <w:rPr>
          <w:color w:val="auto"/>
        </w:rPr>
        <w:t xml:space="preserve">prima </w:t>
      </w:r>
      <w:r w:rsidR="001533DC" w:rsidRPr="001533DC">
        <w:rPr>
          <w:color w:val="auto"/>
        </w:rPr>
        <w:t>settimana, 2,9 milioni la successiva e 3,</w:t>
      </w:r>
      <w:r w:rsidR="001533DC">
        <w:rPr>
          <w:color w:val="auto"/>
        </w:rPr>
        <w:t xml:space="preserve">9 milioni nell’ultima </w:t>
      </w:r>
      <w:r w:rsidRPr="003F38D5">
        <w:rPr>
          <w:color w:val="auto"/>
        </w:rPr>
        <w:t>(</w:t>
      </w:r>
      <w:r w:rsidRPr="003F38D5">
        <w:rPr>
          <w:color w:val="auto"/>
          <w:shd w:val="clear" w:color="auto" w:fill="FFFF00"/>
        </w:rPr>
        <w:t>figura 8</w:t>
      </w:r>
      <w:r w:rsidRPr="003F38D5">
        <w:rPr>
          <w:color w:val="auto"/>
        </w:rPr>
        <w:t>).</w:t>
      </w:r>
      <w:r>
        <w:rPr>
          <w:color w:val="auto"/>
        </w:rPr>
        <w:t xml:space="preserve"> </w:t>
      </w:r>
      <w:r w:rsidR="0096748A" w:rsidRPr="0096748A">
        <w:rPr>
          <w:color w:val="auto"/>
        </w:rPr>
        <w:t xml:space="preserve">Secondo le ultime </w:t>
      </w:r>
      <w:hyperlink r:id="rId8" w:history="1">
        <w:r w:rsidR="0096748A" w:rsidRPr="0032488E">
          <w:rPr>
            <w:rStyle w:val="Collegamentoipertestuale"/>
          </w:rPr>
          <w:t>dichiarazioni del Commissario Figliuolo</w:t>
        </w:r>
      </w:hyperlink>
      <w:r w:rsidR="0096748A" w:rsidRPr="0096748A">
        <w:rPr>
          <w:color w:val="auto"/>
        </w:rPr>
        <w:t xml:space="preserve">, altre 5,3 milioni di dosi sono previste per questa settimana: 1,6 milioni di dosi di Moderna (di cui 1,4 già consegnate) e 3,7 milioni di dosi di Pfizer. «Contato che le scorte nazionali ammontano già ad oltre 6,2 milioni di dosi di vaccini a </w:t>
      </w:r>
      <w:proofErr w:type="spellStart"/>
      <w:r w:rsidR="0096748A" w:rsidRPr="0096748A">
        <w:rPr>
          <w:color w:val="auto"/>
        </w:rPr>
        <w:t>mRNA</w:t>
      </w:r>
      <w:proofErr w:type="spellEnd"/>
      <w:r w:rsidR="0096748A" w:rsidRPr="0096748A">
        <w:rPr>
          <w:color w:val="auto"/>
        </w:rPr>
        <w:t xml:space="preserve"> – spiega Marco Mosti – con le nuove forniture in arrivo da Pfizer entro fine settimana potremo contare su quasi 10 milioni di dosi».</w:t>
      </w:r>
    </w:p>
    <w:p w:rsidR="00A40F01" w:rsidRDefault="00CE577D" w:rsidP="00A40F01">
      <w:pPr>
        <w:spacing w:line="276" w:lineRule="auto"/>
        <w:jc w:val="both"/>
      </w:pPr>
      <w:r w:rsidRPr="008947F5">
        <w:rPr>
          <w:b/>
          <w:bCs/>
          <w:color w:val="auto"/>
        </w:rPr>
        <w:t xml:space="preserve">Vaccini: somministrazioni. </w:t>
      </w:r>
      <w:r w:rsidR="008947F5" w:rsidRPr="008947F5">
        <w:rPr>
          <w:color w:val="auto"/>
        </w:rPr>
        <w:t>Al 25 agosto (aggiornamento ore 6.12) il 70,5% della popolazione (n. 41.767.543) ha ricevuto almeno una dose di vaccino (+788.108 rispetto alla settimana precedente) e il 61,9% (n. 36.686.910) ha completato il ciclo vaccinale (+839.012) (</w:t>
      </w:r>
      <w:r w:rsidR="008947F5" w:rsidRPr="00B85EBA">
        <w:rPr>
          <w:color w:val="auto"/>
          <w:highlight w:val="yellow"/>
        </w:rPr>
        <w:t>figura</w:t>
      </w:r>
      <w:r w:rsidR="00941445">
        <w:rPr>
          <w:color w:val="auto"/>
          <w:highlight w:val="yellow"/>
        </w:rPr>
        <w:t xml:space="preserve"> 9</w:t>
      </w:r>
      <w:r w:rsidR="008947F5" w:rsidRPr="008947F5">
        <w:rPr>
          <w:color w:val="auto"/>
        </w:rPr>
        <w:t xml:space="preserve">). </w:t>
      </w:r>
      <w:r w:rsidR="00B86D74">
        <w:rPr>
          <w:color w:val="auto"/>
        </w:rPr>
        <w:t xml:space="preserve">Il numero di somministrazioni, in calo da 4 settimane consecutive, </w:t>
      </w:r>
      <w:r w:rsidR="00212F66">
        <w:rPr>
          <w:color w:val="auto"/>
        </w:rPr>
        <w:t>è crollato</w:t>
      </w:r>
      <w:r w:rsidR="00B86D74">
        <w:rPr>
          <w:color w:val="auto"/>
        </w:rPr>
        <w:t xml:space="preserve"> </w:t>
      </w:r>
      <w:r w:rsidR="008947F5" w:rsidRPr="008947F5">
        <w:rPr>
          <w:color w:val="auto"/>
        </w:rPr>
        <w:t>nell’ultima settimana (n. 1.474.992) (</w:t>
      </w:r>
      <w:r w:rsidR="008947F5" w:rsidRPr="00617672">
        <w:rPr>
          <w:color w:val="auto"/>
          <w:highlight w:val="yellow"/>
        </w:rPr>
        <w:t xml:space="preserve">figura </w:t>
      </w:r>
      <w:r w:rsidR="00941445">
        <w:rPr>
          <w:color w:val="auto"/>
          <w:highlight w:val="yellow"/>
        </w:rPr>
        <w:t>10</w:t>
      </w:r>
      <w:r w:rsidR="008947F5" w:rsidRPr="008947F5">
        <w:rPr>
          <w:color w:val="auto"/>
        </w:rPr>
        <w:t xml:space="preserve">), con una media mobile a 7 giorni </w:t>
      </w:r>
      <w:r w:rsidR="002E1532">
        <w:rPr>
          <w:color w:val="auto"/>
        </w:rPr>
        <w:t>a</w:t>
      </w:r>
      <w:r w:rsidR="00BE3F28">
        <w:rPr>
          <w:color w:val="auto"/>
        </w:rPr>
        <w:t xml:space="preserve"> quota</w:t>
      </w:r>
      <w:r w:rsidR="002E1532">
        <w:rPr>
          <w:color w:val="auto"/>
        </w:rPr>
        <w:t xml:space="preserve"> </w:t>
      </w:r>
      <w:r w:rsidR="008947F5" w:rsidRPr="008947F5">
        <w:rPr>
          <w:color w:val="auto"/>
        </w:rPr>
        <w:t>222.9</w:t>
      </w:r>
      <w:r w:rsidR="00617672">
        <w:rPr>
          <w:color w:val="auto"/>
        </w:rPr>
        <w:t>93 dosi/die (</w:t>
      </w:r>
      <w:r w:rsidR="00617672" w:rsidRPr="00617672">
        <w:rPr>
          <w:color w:val="auto"/>
          <w:highlight w:val="yellow"/>
        </w:rPr>
        <w:t>figura 1</w:t>
      </w:r>
      <w:r w:rsidR="00941445">
        <w:rPr>
          <w:color w:val="auto"/>
          <w:highlight w:val="yellow"/>
        </w:rPr>
        <w:t>1</w:t>
      </w:r>
      <w:r w:rsidR="00617672">
        <w:rPr>
          <w:color w:val="auto"/>
        </w:rPr>
        <w:t>)</w:t>
      </w:r>
      <w:r w:rsidRPr="008947F5">
        <w:rPr>
          <w:color w:val="auto"/>
        </w:rPr>
        <w:t xml:space="preserve">. </w:t>
      </w:r>
      <w:r w:rsidR="00A40F01">
        <w:t>«Durante il mese di agosto – commenta Cartabellotta –</w:t>
      </w:r>
      <w:r w:rsidR="002B20E2">
        <w:t xml:space="preserve"> </w:t>
      </w:r>
      <w:r w:rsidR="00A40F01">
        <w:t xml:space="preserve">si è assistito ad un crollo </w:t>
      </w:r>
      <w:r w:rsidR="00445E8D">
        <w:t>del 66,5%</w:t>
      </w:r>
      <w:r w:rsidR="002B20E2">
        <w:t xml:space="preserve"> delle somministrazioni</w:t>
      </w:r>
      <w:r w:rsidR="00A40F01">
        <w:t>: la media mobile a 7 giorni è passata dal picco di oltre 592 mila del 28 luglio a po</w:t>
      </w:r>
      <w:r w:rsidR="002B20E2">
        <w:t>co più di 198 mila il 20 agosto</w:t>
      </w:r>
      <w:r w:rsidR="00A40F01">
        <w:t xml:space="preserve">». </w:t>
      </w:r>
      <w:r w:rsidR="002B20E2">
        <w:rPr>
          <w:color w:val="auto"/>
          <w:u w:color="FF0000"/>
        </w:rPr>
        <w:t xml:space="preserve">Oltre all’esitazione vaccinale, varie </w:t>
      </w:r>
      <w:r w:rsidR="00BE3F28">
        <w:rPr>
          <w:color w:val="auto"/>
          <w:u w:color="FF0000"/>
        </w:rPr>
        <w:t xml:space="preserve">le </w:t>
      </w:r>
      <w:r w:rsidR="002B20E2">
        <w:rPr>
          <w:color w:val="auto"/>
          <w:u w:color="FF0000"/>
        </w:rPr>
        <w:t xml:space="preserve">motivazioni alla base di questa brusca frenata: mancate prenotazioni durante le vacanze da parte degli utenti, ferie degli operatori sanitari, progressiva riduzione delle seconde dosi da somministrare. </w:t>
      </w:r>
      <w:r w:rsidR="002B20E2">
        <w:t>«</w:t>
      </w:r>
      <w:r w:rsidR="002B20E2">
        <w:rPr>
          <w:color w:val="auto"/>
          <w:u w:color="FF0000"/>
        </w:rPr>
        <w:t xml:space="preserve">D’altro canto </w:t>
      </w:r>
      <w:r w:rsidR="002B20E2">
        <w:t>– ribadisce il Presidente Cartabellotta –</w:t>
      </w:r>
      <w:r w:rsidR="002B20E2">
        <w:rPr>
          <w:color w:val="auto"/>
          <w:u w:color="FF0000"/>
        </w:rPr>
        <w:t xml:space="preserve"> </w:t>
      </w:r>
      <w:r w:rsidR="00212F66">
        <w:rPr>
          <w:color w:val="auto"/>
          <w:u w:color="FF0000"/>
        </w:rPr>
        <w:t xml:space="preserve">con </w:t>
      </w:r>
      <w:r w:rsidR="002B20E2">
        <w:rPr>
          <w:color w:val="auto"/>
          <w:u w:color="FF0000"/>
        </w:rPr>
        <w:t>la disponibilità di un consistente nu</w:t>
      </w:r>
      <w:bookmarkStart w:id="1" w:name="_GoBack"/>
      <w:bookmarkEnd w:id="1"/>
      <w:r w:rsidR="002B20E2">
        <w:rPr>
          <w:color w:val="auto"/>
          <w:u w:color="FF0000"/>
        </w:rPr>
        <w:t xml:space="preserve">mero di dosi </w:t>
      </w:r>
      <w:r w:rsidR="00212F66">
        <w:rPr>
          <w:color w:val="auto"/>
          <w:u w:color="FF0000"/>
        </w:rPr>
        <w:t xml:space="preserve">abbiamo perso l’opportunità </w:t>
      </w:r>
      <w:r w:rsidR="002B20E2">
        <w:rPr>
          <w:color w:val="auto"/>
          <w:u w:color="FF0000"/>
        </w:rPr>
        <w:t>di accelerare la campagna in alcune fasce d’età, soprattutto in quella 12-19 anni cruciale per l’imminente inizio delle scuole</w:t>
      </w:r>
      <w:r w:rsidR="002B20E2">
        <w:t>»</w:t>
      </w:r>
    </w:p>
    <w:p w:rsidR="007D5A05" w:rsidRPr="006D60A3" w:rsidRDefault="007D5A05">
      <w:pPr>
        <w:spacing w:line="276" w:lineRule="auto"/>
        <w:jc w:val="both"/>
        <w:rPr>
          <w:color w:val="auto"/>
          <w:u w:color="FF0000"/>
        </w:rPr>
      </w:pPr>
      <w:r w:rsidRPr="006D60A3">
        <w:rPr>
          <w:b/>
          <w:bCs/>
          <w:color w:val="auto"/>
        </w:rPr>
        <w:t xml:space="preserve">Vaccini: copertura degli over 50. </w:t>
      </w:r>
      <w:r w:rsidR="00E42527" w:rsidRPr="006D60A3">
        <w:rPr>
          <w:color w:val="auto"/>
        </w:rPr>
        <w:t xml:space="preserve">L’87,1% </w:t>
      </w:r>
      <w:r w:rsidR="00E42527">
        <w:rPr>
          <w:color w:val="auto"/>
        </w:rPr>
        <w:t xml:space="preserve">della popolazione over 50 </w:t>
      </w:r>
      <w:r w:rsidR="00E42527" w:rsidRPr="006D60A3">
        <w:rPr>
          <w:color w:val="auto"/>
        </w:rPr>
        <w:t xml:space="preserve">ha ricevuto almeno la prima dose di vaccino, con un </w:t>
      </w:r>
      <w:r w:rsidR="00E42527">
        <w:rPr>
          <w:color w:val="auto"/>
        </w:rPr>
        <w:t xml:space="preserve">irrisorio </w:t>
      </w:r>
      <w:r w:rsidR="00E42527" w:rsidRPr="006D60A3">
        <w:rPr>
          <w:color w:val="auto"/>
        </w:rPr>
        <w:t xml:space="preserve">incremento settimanale nazionale (+0,5%) e nette differenze regionali: </w:t>
      </w:r>
      <w:r w:rsidR="00E42527">
        <w:rPr>
          <w:color w:val="auto"/>
        </w:rPr>
        <w:t xml:space="preserve">dal </w:t>
      </w:r>
      <w:r w:rsidR="00E42527" w:rsidRPr="006D60A3">
        <w:rPr>
          <w:color w:val="auto"/>
        </w:rPr>
        <w:t xml:space="preserve">91,8% </w:t>
      </w:r>
      <w:r w:rsidR="00E42527">
        <w:rPr>
          <w:color w:val="auto"/>
        </w:rPr>
        <w:t>della Puglia all’</w:t>
      </w:r>
      <w:r w:rsidR="00E42527" w:rsidRPr="006D60A3">
        <w:rPr>
          <w:color w:val="auto"/>
        </w:rPr>
        <w:t>80,4%</w:t>
      </w:r>
      <w:r w:rsidR="00E42527">
        <w:rPr>
          <w:color w:val="auto"/>
        </w:rPr>
        <w:t xml:space="preserve"> del</w:t>
      </w:r>
      <w:r w:rsidR="00E42527" w:rsidRPr="006D60A3">
        <w:rPr>
          <w:color w:val="auto"/>
        </w:rPr>
        <w:t>la</w:t>
      </w:r>
      <w:r w:rsidR="00E42527">
        <w:rPr>
          <w:color w:val="auto"/>
        </w:rPr>
        <w:t xml:space="preserve"> Sicilia</w:t>
      </w:r>
      <w:r w:rsidR="00E42527" w:rsidRPr="006D60A3">
        <w:rPr>
          <w:color w:val="auto"/>
        </w:rPr>
        <w:t>. In dettaglio:</w:t>
      </w:r>
    </w:p>
    <w:p w:rsidR="008947F5" w:rsidRPr="008947F5" w:rsidRDefault="008947F5" w:rsidP="008947F5">
      <w:pPr>
        <w:pStyle w:val="Paragrafoelenco"/>
        <w:numPr>
          <w:ilvl w:val="0"/>
          <w:numId w:val="4"/>
        </w:numPr>
        <w:spacing w:after="0" w:line="276" w:lineRule="auto"/>
        <w:jc w:val="both"/>
        <w:rPr>
          <w:color w:val="auto"/>
        </w:rPr>
      </w:pPr>
      <w:r w:rsidRPr="008947F5">
        <w:rPr>
          <w:b/>
          <w:color w:val="auto"/>
        </w:rPr>
        <w:t>Over 80:</w:t>
      </w:r>
      <w:r w:rsidRPr="008947F5">
        <w:rPr>
          <w:color w:val="auto"/>
        </w:rPr>
        <w:t xml:space="preserve"> degli oltre 4,4 milioni, 4.172.652 (93,1%) hanno completato il ciclo vaccinale e 107.588 (2,4%) hanno ricevuto solo la prima dose.</w:t>
      </w:r>
    </w:p>
    <w:p w:rsidR="008947F5" w:rsidRPr="008947F5" w:rsidRDefault="008947F5" w:rsidP="008947F5">
      <w:pPr>
        <w:pStyle w:val="Paragrafoelenco"/>
        <w:numPr>
          <w:ilvl w:val="0"/>
          <w:numId w:val="4"/>
        </w:numPr>
        <w:spacing w:after="0" w:line="276" w:lineRule="auto"/>
        <w:jc w:val="both"/>
        <w:rPr>
          <w:color w:val="auto"/>
        </w:rPr>
      </w:pPr>
      <w:r w:rsidRPr="008947F5">
        <w:rPr>
          <w:b/>
          <w:color w:val="auto"/>
        </w:rPr>
        <w:t>Fascia 70-79 anni:</w:t>
      </w:r>
      <w:r w:rsidRPr="008947F5">
        <w:rPr>
          <w:color w:val="auto"/>
        </w:rPr>
        <w:t xml:space="preserve"> degli oltre 5,9 milioni, 5.267.981 (88,3%) hanno completato il ciclo vaccinale e 152.894 (2,6%) hanno ricevuto solo la prima dose.</w:t>
      </w:r>
    </w:p>
    <w:p w:rsidR="008947F5" w:rsidRDefault="008947F5" w:rsidP="007F6C2C">
      <w:pPr>
        <w:pStyle w:val="Paragrafoelenco"/>
        <w:numPr>
          <w:ilvl w:val="0"/>
          <w:numId w:val="4"/>
        </w:numPr>
        <w:spacing w:after="0" w:line="276" w:lineRule="auto"/>
        <w:ind w:left="357" w:hanging="357"/>
        <w:jc w:val="both"/>
        <w:rPr>
          <w:color w:val="auto"/>
        </w:rPr>
      </w:pPr>
      <w:r w:rsidRPr="008947F5">
        <w:rPr>
          <w:b/>
          <w:color w:val="auto"/>
        </w:rPr>
        <w:t xml:space="preserve">Fascia 60-69 anni: </w:t>
      </w:r>
      <w:r w:rsidRPr="008947F5">
        <w:rPr>
          <w:color w:val="auto"/>
        </w:rPr>
        <w:t>degli oltre 7,3 milioni, 6.196.591 (83,3%) hanno completato il ciclo vaccinale e 269.108 (3,6%) hanno ricevuto solo la prima dose.</w:t>
      </w:r>
    </w:p>
    <w:p w:rsidR="007F6C2C" w:rsidRPr="008947F5" w:rsidRDefault="007F6C2C" w:rsidP="007F6C2C">
      <w:pPr>
        <w:pStyle w:val="Paragrafoelenco"/>
        <w:numPr>
          <w:ilvl w:val="0"/>
          <w:numId w:val="4"/>
        </w:numPr>
        <w:spacing w:line="276" w:lineRule="auto"/>
        <w:jc w:val="both"/>
        <w:rPr>
          <w:color w:val="auto"/>
        </w:rPr>
      </w:pPr>
      <w:r w:rsidRPr="007F6C2C">
        <w:rPr>
          <w:b/>
          <w:color w:val="auto"/>
        </w:rPr>
        <w:t>Fascia 50-59 anni:</w:t>
      </w:r>
      <w:r w:rsidRPr="007F6C2C">
        <w:rPr>
          <w:color w:val="auto"/>
        </w:rPr>
        <w:t xml:space="preserve"> degli oltre 9,4 milioni, 7.113.356 (75,1%) hanno completato il ciclo vaccinale e 552.766 (5,8%) hanno ricevuto solo la prima dose.</w:t>
      </w:r>
    </w:p>
    <w:p w:rsidR="00B85EBA" w:rsidRDefault="00770468" w:rsidP="00A40F01">
      <w:pPr>
        <w:spacing w:after="0" w:line="276" w:lineRule="auto"/>
        <w:jc w:val="both"/>
        <w:rPr>
          <w:color w:val="auto"/>
        </w:rPr>
      </w:pPr>
      <w:r w:rsidRPr="00770468">
        <w:rPr>
          <w:color w:val="auto"/>
        </w:rPr>
        <w:t xml:space="preserve">Complessivamente, </w:t>
      </w:r>
      <w:r w:rsidR="00BE3F28">
        <w:rPr>
          <w:color w:val="auto"/>
        </w:rPr>
        <w:t xml:space="preserve">sono </w:t>
      </w:r>
      <w:r w:rsidRPr="00770468">
        <w:rPr>
          <w:color w:val="auto"/>
        </w:rPr>
        <w:t xml:space="preserve">4,6 milioni </w:t>
      </w:r>
      <w:r w:rsidR="00BE3F28">
        <w:rPr>
          <w:color w:val="auto"/>
        </w:rPr>
        <w:t>gli</w:t>
      </w:r>
      <w:r w:rsidR="00BE3F28" w:rsidRPr="00770468">
        <w:rPr>
          <w:color w:val="auto"/>
        </w:rPr>
        <w:t xml:space="preserve"> </w:t>
      </w:r>
      <w:r w:rsidRPr="00770468">
        <w:rPr>
          <w:color w:val="auto"/>
        </w:rPr>
        <w:t>over 50</w:t>
      </w:r>
      <w:r w:rsidR="00BE3F28">
        <w:rPr>
          <w:color w:val="auto"/>
        </w:rPr>
        <w:t xml:space="preserve"> che</w:t>
      </w:r>
      <w:r w:rsidRPr="00770468">
        <w:rPr>
          <w:color w:val="auto"/>
        </w:rPr>
        <w:t xml:space="preserve"> </w:t>
      </w:r>
      <w:r w:rsidR="00265ECF">
        <w:rPr>
          <w:color w:val="auto"/>
        </w:rPr>
        <w:t xml:space="preserve">non hanno </w:t>
      </w:r>
      <w:r w:rsidRPr="00770468">
        <w:rPr>
          <w:color w:val="auto"/>
        </w:rPr>
        <w:t>ancora completato il ciclo vaccinale (</w:t>
      </w:r>
      <w:r w:rsidRPr="00770468">
        <w:rPr>
          <w:color w:val="auto"/>
          <w:shd w:val="clear" w:color="auto" w:fill="FFFF00"/>
        </w:rPr>
        <w:t>figura 12</w:t>
      </w:r>
      <w:r w:rsidRPr="00770468">
        <w:rPr>
          <w:color w:val="auto"/>
        </w:rPr>
        <w:t>)</w:t>
      </w:r>
      <w:r>
        <w:rPr>
          <w:color w:val="auto"/>
        </w:rPr>
        <w:t>,</w:t>
      </w:r>
      <w:r w:rsidRPr="00770468">
        <w:rPr>
          <w:color w:val="auto"/>
        </w:rPr>
        <w:t xml:space="preserve"> di cui 3,52 milioni (12,9%) non hanno ancora ricevuto nemmeno una dose</w:t>
      </w:r>
      <w:r w:rsidR="002E1669">
        <w:rPr>
          <w:color w:val="auto"/>
        </w:rPr>
        <w:t>,</w:t>
      </w:r>
      <w:r w:rsidRPr="00770468">
        <w:rPr>
          <w:color w:val="auto"/>
        </w:rPr>
        <w:t xml:space="preserve"> con rilevanti differenze regionali (dal 19,6% della Sicilia al 8,2% della Puglia) (</w:t>
      </w:r>
      <w:r w:rsidRPr="00770468">
        <w:rPr>
          <w:color w:val="auto"/>
          <w:shd w:val="clear" w:color="auto" w:fill="FFFF00"/>
        </w:rPr>
        <w:t>figura 13</w:t>
      </w:r>
      <w:r w:rsidRPr="00770468">
        <w:rPr>
          <w:color w:val="auto"/>
        </w:rPr>
        <w:t>). Visto il sostanziale appiattimento dei trend di vaccinazione in queste fasce d’età, i dati confermano l’esitazione vaccinale degli over 50</w:t>
      </w:r>
      <w:r w:rsidR="00265ECF">
        <w:rPr>
          <w:color w:val="auto"/>
        </w:rPr>
        <w:t>, mentre s</w:t>
      </w:r>
      <w:r w:rsidR="00D7724D">
        <w:rPr>
          <w:color w:val="auto"/>
        </w:rPr>
        <w:t xml:space="preserve">algono </w:t>
      </w:r>
      <w:r w:rsidR="00265ECF">
        <w:rPr>
          <w:color w:val="auto"/>
        </w:rPr>
        <w:t xml:space="preserve">tutte </w:t>
      </w:r>
      <w:r w:rsidRPr="00770468">
        <w:rPr>
          <w:color w:val="auto"/>
        </w:rPr>
        <w:t xml:space="preserve">le curve </w:t>
      </w:r>
      <w:r w:rsidR="00265ECF">
        <w:rPr>
          <w:color w:val="auto"/>
        </w:rPr>
        <w:t xml:space="preserve">degli under 40 </w:t>
      </w:r>
      <w:r w:rsidR="00941445" w:rsidRPr="00770468">
        <w:rPr>
          <w:color w:val="auto"/>
        </w:rPr>
        <w:t>(</w:t>
      </w:r>
      <w:r w:rsidR="00941445" w:rsidRPr="00770468">
        <w:rPr>
          <w:color w:val="auto"/>
          <w:shd w:val="clear" w:color="auto" w:fill="FFFF00"/>
        </w:rPr>
        <w:t>figura 1</w:t>
      </w:r>
      <w:r w:rsidR="00941445">
        <w:rPr>
          <w:color w:val="auto"/>
          <w:shd w:val="clear" w:color="auto" w:fill="FFFF00"/>
        </w:rPr>
        <w:t>4</w:t>
      </w:r>
      <w:r w:rsidR="00941445" w:rsidRPr="00770468">
        <w:rPr>
          <w:color w:val="auto"/>
        </w:rPr>
        <w:t>)</w:t>
      </w:r>
      <w:r w:rsidRPr="00770468">
        <w:rPr>
          <w:color w:val="auto"/>
        </w:rPr>
        <w:t>.</w:t>
      </w:r>
      <w:r w:rsidR="00655A1E">
        <w:rPr>
          <w:color w:val="auto"/>
        </w:rPr>
        <w:t xml:space="preserve"> </w:t>
      </w:r>
      <w:r w:rsidR="00265ECF">
        <w:rPr>
          <w:color w:val="auto"/>
        </w:rPr>
        <w:t xml:space="preserve">Rimangono ancora notevoli differenze di copertura vaccinale </w:t>
      </w:r>
      <w:r w:rsidR="00655A1E" w:rsidRPr="00655A1E">
        <w:rPr>
          <w:color w:val="auto"/>
        </w:rPr>
        <w:t xml:space="preserve">tra le </w:t>
      </w:r>
      <w:r w:rsidR="00265ECF">
        <w:rPr>
          <w:color w:val="auto"/>
        </w:rPr>
        <w:t xml:space="preserve">diverse </w:t>
      </w:r>
      <w:r w:rsidR="00655A1E" w:rsidRPr="00655A1E">
        <w:rPr>
          <w:color w:val="auto"/>
        </w:rPr>
        <w:t>classi anagrafiche</w:t>
      </w:r>
      <w:r w:rsidR="00655A1E">
        <w:rPr>
          <w:color w:val="auto"/>
        </w:rPr>
        <w:t xml:space="preserve"> (</w:t>
      </w:r>
      <w:r w:rsidR="00655A1E" w:rsidRPr="00051038">
        <w:rPr>
          <w:color w:val="auto"/>
          <w:highlight w:val="yellow"/>
        </w:rPr>
        <w:t>figura 15</w:t>
      </w:r>
      <w:r w:rsidR="00655A1E">
        <w:rPr>
          <w:color w:val="auto"/>
        </w:rPr>
        <w:t xml:space="preserve">). </w:t>
      </w:r>
    </w:p>
    <w:p w:rsidR="00265ECF" w:rsidRDefault="00265ECF" w:rsidP="00A40F01">
      <w:pPr>
        <w:spacing w:after="0" w:line="276" w:lineRule="auto"/>
        <w:jc w:val="both"/>
        <w:rPr>
          <w:color w:val="auto"/>
        </w:rPr>
      </w:pPr>
    </w:p>
    <w:p w:rsidR="00A40F01" w:rsidRPr="00B85EBA" w:rsidRDefault="00D325D0" w:rsidP="00A40F01">
      <w:pPr>
        <w:spacing w:after="0" w:line="276" w:lineRule="auto"/>
        <w:jc w:val="both"/>
        <w:rPr>
          <w:color w:val="auto"/>
        </w:rPr>
      </w:pPr>
      <w:r w:rsidRPr="008947F5">
        <w:rPr>
          <w:b/>
          <w:bCs/>
          <w:color w:val="auto"/>
        </w:rPr>
        <w:t xml:space="preserve">Vaccini: </w:t>
      </w:r>
      <w:r>
        <w:rPr>
          <w:b/>
          <w:bCs/>
          <w:color w:val="auto"/>
        </w:rPr>
        <w:t>efficacia</w:t>
      </w:r>
      <w:r w:rsidR="00A40F01" w:rsidRPr="000F3AC7">
        <w:rPr>
          <w:b/>
          <w:bCs/>
          <w:color w:val="auto"/>
        </w:rPr>
        <w:t>.</w:t>
      </w:r>
      <w:r w:rsidR="00A40F01">
        <w:rPr>
          <w:color w:val="FF0000"/>
        </w:rPr>
        <w:t xml:space="preserve"> </w:t>
      </w:r>
      <w:r w:rsidR="00A40F01">
        <w:t xml:space="preserve">Secondo gli ultimi dati </w:t>
      </w:r>
      <w:r w:rsidR="00A72492">
        <w:t>de</w:t>
      </w:r>
      <w:r w:rsidR="00A40F01">
        <w:t>ll’</w:t>
      </w:r>
      <w:hyperlink r:id="rId9" w:history="1">
        <w:r w:rsidR="00A40F01" w:rsidRPr="002530E1">
          <w:rPr>
            <w:rStyle w:val="Collegamentoipertestuale"/>
          </w:rPr>
          <w:t>Istituto Superiore di Sanità</w:t>
        </w:r>
      </w:hyperlink>
      <w:r w:rsidR="00A40F01">
        <w:t xml:space="preserve">, </w:t>
      </w:r>
      <w:r w:rsidR="007237EA">
        <w:t xml:space="preserve">l’efficacia del </w:t>
      </w:r>
      <w:r w:rsidR="00A40F01">
        <w:t>ciclo com</w:t>
      </w:r>
      <w:r w:rsidR="00A72492">
        <w:t xml:space="preserve">pleto di vaccinazione, rispetto ai non vaccinati, </w:t>
      </w:r>
      <w:r w:rsidR="00A40F01">
        <w:t xml:space="preserve">raggiunge l’82,5% sulle </w:t>
      </w:r>
      <w:r w:rsidR="00A72492">
        <w:t>diagnosi</w:t>
      </w:r>
      <w:r w:rsidR="00A40F01">
        <w:t>, il 94,9% sulle ospedalizzazioni, il 97% sui ricoveri in terapia i</w:t>
      </w:r>
      <w:r w:rsidR="00A72492">
        <w:t>ntensiva e il 97,1% sui decessi</w:t>
      </w:r>
      <w:r w:rsidR="00655A1E">
        <w:t xml:space="preserve">. Se guardando i numeri assoluti potrebbe paradossalmente sembrare che </w:t>
      </w:r>
      <w:r w:rsidR="002E1669">
        <w:t>ospedalizzazioni</w:t>
      </w:r>
      <w:r w:rsidR="00655A1E">
        <w:t xml:space="preserve"> e decessi </w:t>
      </w:r>
      <w:r w:rsidR="00247670">
        <w:t>siano più frequenti</w:t>
      </w:r>
      <w:r w:rsidR="00655A1E">
        <w:t xml:space="preserve"> negli individui vaccinati, </w:t>
      </w:r>
      <w:r w:rsidR="00655A1E">
        <w:lastRenderedPageBreak/>
        <w:t xml:space="preserve">rapportando il dato alla popolazione e standardizzandolo per 100.000 abitanti, </w:t>
      </w:r>
      <w:r w:rsidR="00247670">
        <w:t xml:space="preserve">appare </w:t>
      </w:r>
      <w:r w:rsidR="00A72492">
        <w:t xml:space="preserve">molto netta </w:t>
      </w:r>
      <w:r w:rsidR="00655A1E">
        <w:t>la minore incidenza di eventi gravi ne</w:t>
      </w:r>
      <w:r w:rsidR="00A72492">
        <w:t xml:space="preserve">i vaccinati </w:t>
      </w:r>
      <w:r w:rsidR="00655A1E">
        <w:t>con doppia dose. «</w:t>
      </w:r>
      <w:r w:rsidR="00A72492">
        <w:t>I</w:t>
      </w:r>
      <w:r w:rsidR="00655A1E">
        <w:t>nfatti</w:t>
      </w:r>
      <w:r w:rsidR="00655A1E">
        <w:rPr>
          <w:color w:val="auto"/>
        </w:rPr>
        <w:t xml:space="preserve"> </w:t>
      </w:r>
      <w:r w:rsidR="00655A1E">
        <w:t>– commenta Gili –</w:t>
      </w:r>
      <w:r w:rsidR="00A72492">
        <w:t xml:space="preserve"> </w:t>
      </w:r>
      <w:r w:rsidR="00655A1E">
        <w:t xml:space="preserve">ospedalizzazioni, ricoveri in terapia intensiva e decessi </w:t>
      </w:r>
      <w:r w:rsidR="00033800">
        <w:t>sono ridotti</w:t>
      </w:r>
      <w:r w:rsidR="00655A1E">
        <w:t xml:space="preserve"> rispettivamente </w:t>
      </w:r>
      <w:r w:rsidR="00033800">
        <w:t>de</w:t>
      </w:r>
      <w:r w:rsidR="00655A1E">
        <w:t xml:space="preserve">ll’84,4%, </w:t>
      </w:r>
      <w:r w:rsidR="002E1669">
        <w:t>89</w:t>
      </w:r>
      <w:r w:rsidR="00655A1E">
        <w:t xml:space="preserve">,5% e </w:t>
      </w:r>
      <w:r w:rsidR="002E1669">
        <w:t>80</w:t>
      </w:r>
      <w:r w:rsidR="00655A1E">
        <w:t>% nei soggetti che hanno effettuato il ciclo completo rispetto a chi non ha ricevuto nemmeno una dose di vaccino</w:t>
      </w:r>
      <w:r w:rsidR="002E1669">
        <w:t>»</w:t>
      </w:r>
      <w:r w:rsidR="00655A1E">
        <w:t xml:space="preserve">. </w:t>
      </w:r>
    </w:p>
    <w:p w:rsidR="00A40F01" w:rsidRDefault="00A40F01" w:rsidP="00A40F01">
      <w:pPr>
        <w:spacing w:after="0" w:line="276" w:lineRule="auto"/>
        <w:jc w:val="both"/>
      </w:pPr>
    </w:p>
    <w:p w:rsidR="007D5A05" w:rsidRDefault="000D7E45" w:rsidP="000B2449">
      <w:pPr>
        <w:spacing w:after="0"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8DC4326" wp14:editId="1508F0BC">
            <wp:extent cx="5040000" cy="3643476"/>
            <wp:effectExtent l="0" t="0" r="825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4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426" w:rsidRDefault="00E77426" w:rsidP="008947F5">
      <w:pPr>
        <w:spacing w:after="0" w:line="276" w:lineRule="auto"/>
        <w:jc w:val="both"/>
        <w:rPr>
          <w:color w:val="FF0000"/>
        </w:rPr>
      </w:pPr>
    </w:p>
    <w:p w:rsidR="00684004" w:rsidRPr="008B347D" w:rsidRDefault="00684004" w:rsidP="00684004">
      <w:pPr>
        <w:spacing w:line="276" w:lineRule="auto"/>
        <w:jc w:val="both"/>
        <w:rPr>
          <w:color w:val="auto"/>
        </w:rPr>
      </w:pPr>
      <w:r w:rsidRPr="008B347D">
        <w:rPr>
          <w:b/>
          <w:color w:val="auto"/>
        </w:rPr>
        <w:t>Scenari futuri</w:t>
      </w:r>
      <w:r w:rsidRPr="008B347D">
        <w:rPr>
          <w:color w:val="auto"/>
        </w:rPr>
        <w:t xml:space="preserve">. </w:t>
      </w:r>
      <w:r>
        <w:rPr>
          <w:color w:val="auto"/>
        </w:rPr>
        <w:t>«Con l’imminente</w:t>
      </w:r>
      <w:r w:rsidRPr="008B347D">
        <w:rPr>
          <w:color w:val="auto"/>
        </w:rPr>
        <w:t xml:space="preserve"> </w:t>
      </w:r>
      <w:r>
        <w:rPr>
          <w:color w:val="auto"/>
        </w:rPr>
        <w:t xml:space="preserve">ripresa delle attività lavorative e scolastiche </w:t>
      </w:r>
      <w:r w:rsidRPr="008B347D">
        <w:rPr>
          <w:color w:val="auto"/>
        </w:rPr>
        <w:t xml:space="preserve">– conclude Cartabellotta – la Fondazione GIMBE </w:t>
      </w:r>
      <w:r>
        <w:rPr>
          <w:color w:val="auto"/>
        </w:rPr>
        <w:t>propone</w:t>
      </w:r>
      <w:r w:rsidRPr="008B347D">
        <w:rPr>
          <w:color w:val="auto"/>
        </w:rPr>
        <w:t xml:space="preserve"> una revisione delle dinamiche della circolazione del SARS-CoV-2</w:t>
      </w:r>
      <w:r>
        <w:rPr>
          <w:color w:val="auto"/>
        </w:rPr>
        <w:t xml:space="preserve">, </w:t>
      </w:r>
      <w:r w:rsidRPr="008B347D">
        <w:rPr>
          <w:color w:val="auto"/>
        </w:rPr>
        <w:t>dell’impatto della COVID-19 sugli ospedali</w:t>
      </w:r>
      <w:r>
        <w:rPr>
          <w:color w:val="auto"/>
        </w:rPr>
        <w:t xml:space="preserve"> e delle strategie da mettere in campo nei prossimi mesi per mitigare gli effetti della pandemia e scongiurare possibili chiusure</w:t>
      </w:r>
      <w:r w:rsidRPr="008B347D">
        <w:rPr>
          <w:color w:val="auto"/>
        </w:rPr>
        <w:t>». In sintesi:</w:t>
      </w:r>
    </w:p>
    <w:p w:rsidR="00684004" w:rsidRDefault="00684004" w:rsidP="009A1C72">
      <w:pPr>
        <w:pStyle w:val="Paragrafoelenco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357" w:hanging="357"/>
        <w:contextualSpacing/>
        <w:jc w:val="both"/>
        <w:rPr>
          <w:color w:val="auto"/>
        </w:rPr>
      </w:pPr>
      <w:r w:rsidRPr="008B347D">
        <w:rPr>
          <w:b/>
          <w:color w:val="auto"/>
        </w:rPr>
        <w:t>Circolazione del SARS-CoV-2</w:t>
      </w:r>
      <w:r w:rsidRPr="008B347D">
        <w:rPr>
          <w:color w:val="auto"/>
        </w:rPr>
        <w:t xml:space="preserve">. </w:t>
      </w:r>
      <w:r>
        <w:rPr>
          <w:color w:val="auto"/>
        </w:rPr>
        <w:t>L</w:t>
      </w:r>
      <w:r w:rsidRPr="008B347D">
        <w:rPr>
          <w:color w:val="auto"/>
        </w:rPr>
        <w:t>a diffusione della variante delta ha determinato un incremento dei contagi</w:t>
      </w:r>
      <w:r w:rsidR="006D60A3">
        <w:rPr>
          <w:color w:val="auto"/>
        </w:rPr>
        <w:t xml:space="preserve"> che</w:t>
      </w:r>
      <w:r>
        <w:rPr>
          <w:color w:val="auto"/>
        </w:rPr>
        <w:t xml:space="preserve">, </w:t>
      </w:r>
      <w:r w:rsidR="006D60A3">
        <w:rPr>
          <w:color w:val="auto"/>
        </w:rPr>
        <w:t xml:space="preserve">pur </w:t>
      </w:r>
      <w:r>
        <w:rPr>
          <w:color w:val="auto"/>
        </w:rPr>
        <w:t>sottostimati</w:t>
      </w:r>
      <w:r w:rsidRPr="008B347D">
        <w:rPr>
          <w:color w:val="auto"/>
        </w:rPr>
        <w:t xml:space="preserve"> dall’insufficiente attività di testing &amp; tracing</w:t>
      </w:r>
      <w:r>
        <w:rPr>
          <w:color w:val="auto"/>
        </w:rPr>
        <w:t xml:space="preserve">, al momento </w:t>
      </w:r>
      <w:r w:rsidR="006D60A3">
        <w:rPr>
          <w:color w:val="auto"/>
        </w:rPr>
        <w:t>risultano stabili</w:t>
      </w:r>
      <w:r w:rsidRPr="008B347D">
        <w:rPr>
          <w:color w:val="auto"/>
        </w:rPr>
        <w:t>. Inoltre, in una fase epidemica caratterizzata dall</w:t>
      </w:r>
      <w:r>
        <w:rPr>
          <w:color w:val="auto"/>
        </w:rPr>
        <w:t>’</w:t>
      </w:r>
      <w:r w:rsidRPr="008B347D">
        <w:rPr>
          <w:color w:val="auto"/>
        </w:rPr>
        <w:t xml:space="preserve">esplosione di focolai, la circolazione virale determina improvvise variazioni </w:t>
      </w:r>
      <w:r>
        <w:rPr>
          <w:color w:val="auto"/>
        </w:rPr>
        <w:t>che ripropongono la necessità di restrizioni locali finalizzate a circoscrivere il contagio</w:t>
      </w:r>
      <w:r w:rsidRPr="008B347D">
        <w:rPr>
          <w:color w:val="auto"/>
        </w:rPr>
        <w:t xml:space="preserve">. </w:t>
      </w:r>
      <w:r>
        <w:rPr>
          <w:color w:val="auto"/>
        </w:rPr>
        <w:t xml:space="preserve">Infine, considerata </w:t>
      </w:r>
      <w:r w:rsidRPr="008B347D">
        <w:rPr>
          <w:color w:val="auto"/>
        </w:rPr>
        <w:t>la notevole co</w:t>
      </w:r>
      <w:r>
        <w:rPr>
          <w:color w:val="auto"/>
        </w:rPr>
        <w:t xml:space="preserve">ntagiosità della variante delta, con l’inizio della stagione autunnale, la riapertura delle scuole e la ripresa delle attività lavorative è cruciale </w:t>
      </w:r>
      <w:r w:rsidRPr="008B347D">
        <w:rPr>
          <w:color w:val="auto"/>
        </w:rPr>
        <w:t xml:space="preserve">tenere </w:t>
      </w:r>
      <w:r>
        <w:rPr>
          <w:color w:val="auto"/>
        </w:rPr>
        <w:t xml:space="preserve">sempre </w:t>
      </w:r>
      <w:r w:rsidRPr="008B347D">
        <w:rPr>
          <w:color w:val="auto"/>
        </w:rPr>
        <w:t>alta l’attenzione sui comportamenti individuali</w:t>
      </w:r>
      <w:r w:rsidR="00D26A8F">
        <w:rPr>
          <w:color w:val="auto"/>
        </w:rPr>
        <w:t xml:space="preserve"> specialmente in ambiente chius</w:t>
      </w:r>
      <w:r w:rsidR="00456315">
        <w:rPr>
          <w:color w:val="auto"/>
        </w:rPr>
        <w:t>i</w:t>
      </w:r>
      <w:r w:rsidRPr="008B347D">
        <w:rPr>
          <w:color w:val="auto"/>
        </w:rPr>
        <w:t>.</w:t>
      </w:r>
    </w:p>
    <w:p w:rsidR="00684004" w:rsidRPr="00E5316E" w:rsidRDefault="00684004" w:rsidP="009A1C72">
      <w:pPr>
        <w:pStyle w:val="Paragrafoelenco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357" w:hanging="357"/>
        <w:contextualSpacing/>
        <w:jc w:val="both"/>
        <w:rPr>
          <w:color w:val="auto"/>
        </w:rPr>
      </w:pPr>
      <w:r w:rsidRPr="008B347D">
        <w:rPr>
          <w:b/>
          <w:color w:val="auto"/>
        </w:rPr>
        <w:t>Impatto della COVID-19</w:t>
      </w:r>
      <w:r w:rsidRPr="008B347D">
        <w:rPr>
          <w:color w:val="auto"/>
        </w:rPr>
        <w:t xml:space="preserve">. </w:t>
      </w:r>
      <w:r>
        <w:rPr>
          <w:color w:val="auto"/>
        </w:rPr>
        <w:t>Il progressivo</w:t>
      </w:r>
      <w:r w:rsidRPr="008B347D">
        <w:rPr>
          <w:color w:val="auto"/>
        </w:rPr>
        <w:t xml:space="preserve"> incremento dei contagi ha determinato </w:t>
      </w:r>
      <w:r>
        <w:rPr>
          <w:color w:val="auto"/>
        </w:rPr>
        <w:t xml:space="preserve">in 40 giorni </w:t>
      </w:r>
      <w:r w:rsidRPr="008B347D">
        <w:rPr>
          <w:color w:val="auto"/>
        </w:rPr>
        <w:t xml:space="preserve">un </w:t>
      </w:r>
      <w:r w:rsidR="00456315">
        <w:rPr>
          <w:color w:val="auto"/>
        </w:rPr>
        <w:t>netto</w:t>
      </w:r>
      <w:r w:rsidR="006D60A3">
        <w:rPr>
          <w:color w:val="auto"/>
        </w:rPr>
        <w:t xml:space="preserve"> </w:t>
      </w:r>
      <w:r>
        <w:rPr>
          <w:color w:val="auto"/>
        </w:rPr>
        <w:t xml:space="preserve">aumento dei ricoveri </w:t>
      </w:r>
      <w:r w:rsidRPr="008B347D">
        <w:rPr>
          <w:color w:val="auto"/>
        </w:rPr>
        <w:t>in area medica (+</w:t>
      </w:r>
      <w:r>
        <w:rPr>
          <w:color w:val="auto"/>
        </w:rPr>
        <w:t>271</w:t>
      </w:r>
      <w:r w:rsidRPr="008B347D">
        <w:rPr>
          <w:color w:val="auto"/>
        </w:rPr>
        <w:t>%) e in terapia intensiva (+</w:t>
      </w:r>
      <w:r>
        <w:rPr>
          <w:color w:val="auto"/>
        </w:rPr>
        <w:t>234</w:t>
      </w:r>
      <w:r w:rsidRPr="008B347D">
        <w:rPr>
          <w:color w:val="auto"/>
        </w:rPr>
        <w:t>%), con notevoli differenze regionali</w:t>
      </w:r>
      <w:r>
        <w:rPr>
          <w:color w:val="auto"/>
        </w:rPr>
        <w:t xml:space="preserve"> condizionate sia dalla circolazione del virus sia dalla copertura</w:t>
      </w:r>
      <w:r w:rsidRPr="008B347D">
        <w:rPr>
          <w:color w:val="auto"/>
        </w:rPr>
        <w:t xml:space="preserve"> vaccinale </w:t>
      </w:r>
      <w:r w:rsidR="006D60A3">
        <w:rPr>
          <w:color w:val="auto"/>
        </w:rPr>
        <w:t xml:space="preserve">con ciclo </w:t>
      </w:r>
      <w:r w:rsidRPr="008B347D">
        <w:rPr>
          <w:color w:val="auto"/>
        </w:rPr>
        <w:t>complet</w:t>
      </w:r>
      <w:r w:rsidR="006D60A3">
        <w:rPr>
          <w:color w:val="auto"/>
        </w:rPr>
        <w:t>o</w:t>
      </w:r>
      <w:r w:rsidRPr="008B347D">
        <w:rPr>
          <w:color w:val="auto"/>
        </w:rPr>
        <w:t xml:space="preserve"> della popolazione</w:t>
      </w:r>
      <w:r>
        <w:rPr>
          <w:color w:val="auto"/>
        </w:rPr>
        <w:t>, in particolare di over 5</w:t>
      </w:r>
      <w:r w:rsidRPr="008B347D">
        <w:rPr>
          <w:color w:val="auto"/>
        </w:rPr>
        <w:t>0 e fragili</w:t>
      </w:r>
      <w:r>
        <w:rPr>
          <w:color w:val="auto"/>
        </w:rPr>
        <w:t xml:space="preserve">: </w:t>
      </w:r>
      <w:r w:rsidRPr="008B347D">
        <w:rPr>
          <w:color w:val="auto"/>
        </w:rPr>
        <w:t xml:space="preserve">la vaccinazione </w:t>
      </w:r>
      <w:r>
        <w:rPr>
          <w:color w:val="auto"/>
        </w:rPr>
        <w:t xml:space="preserve">di tutte </w:t>
      </w:r>
      <w:r w:rsidRPr="008B347D">
        <w:rPr>
          <w:color w:val="auto"/>
        </w:rPr>
        <w:t xml:space="preserve">le fasce di età </w:t>
      </w:r>
      <w:r>
        <w:rPr>
          <w:color w:val="auto"/>
        </w:rPr>
        <w:t xml:space="preserve">rimane pertanto </w:t>
      </w:r>
      <w:r w:rsidRPr="008B347D">
        <w:rPr>
          <w:color w:val="auto"/>
        </w:rPr>
        <w:t>fondamentale per arginare l’impatto della COVID-19.</w:t>
      </w:r>
    </w:p>
    <w:p w:rsidR="00684004" w:rsidRPr="0038595E" w:rsidRDefault="00684004" w:rsidP="009A1C72">
      <w:pPr>
        <w:pStyle w:val="Paragrafoelenco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357" w:hanging="357"/>
        <w:contextualSpacing/>
        <w:jc w:val="both"/>
        <w:rPr>
          <w:b/>
          <w:color w:val="auto"/>
        </w:rPr>
      </w:pPr>
      <w:r w:rsidRPr="008B347D">
        <w:rPr>
          <w:b/>
          <w:color w:val="auto"/>
        </w:rPr>
        <w:t>Disponibilità vaccini.</w:t>
      </w:r>
      <w:r w:rsidRPr="008B347D">
        <w:rPr>
          <w:color w:val="auto"/>
        </w:rPr>
        <w:t xml:space="preserve"> </w:t>
      </w:r>
      <w:r>
        <w:t xml:space="preserve">Tra dosi attualmente “in frigo” e forniture annunciate </w:t>
      </w:r>
      <w:r w:rsidRPr="00F6124E">
        <w:rPr>
          <w:color w:val="auto"/>
        </w:rPr>
        <w:t xml:space="preserve">entro </w:t>
      </w:r>
      <w:r>
        <w:rPr>
          <w:color w:val="auto"/>
        </w:rPr>
        <w:t xml:space="preserve">la </w:t>
      </w:r>
      <w:r w:rsidRPr="00F6124E">
        <w:rPr>
          <w:color w:val="auto"/>
        </w:rPr>
        <w:t xml:space="preserve">fine </w:t>
      </w:r>
      <w:r>
        <w:rPr>
          <w:color w:val="auto"/>
        </w:rPr>
        <w:t>del mese</w:t>
      </w:r>
      <w:r w:rsidRPr="00F6124E">
        <w:rPr>
          <w:color w:val="auto"/>
        </w:rPr>
        <w:t xml:space="preserve"> potremo contare su 10 milioni di dosi</w:t>
      </w:r>
      <w:r>
        <w:rPr>
          <w:color w:val="auto"/>
        </w:rPr>
        <w:t xml:space="preserve"> di vaccini a mRna, una disponibilità sufficiente a riprendere</w:t>
      </w:r>
      <w:r w:rsidR="006D60A3">
        <w:rPr>
          <w:color w:val="auto"/>
        </w:rPr>
        <w:t xml:space="preserve"> le somministrazioni al</w:t>
      </w:r>
      <w:r>
        <w:rPr>
          <w:color w:val="auto"/>
        </w:rPr>
        <w:t xml:space="preserve"> ritmo precedente al crollo di agosto. </w:t>
      </w:r>
    </w:p>
    <w:p w:rsidR="00684004" w:rsidRPr="000C3A91" w:rsidRDefault="00684004" w:rsidP="009A1C72">
      <w:pPr>
        <w:pStyle w:val="Paragrafoelenco"/>
        <w:numPr>
          <w:ilvl w:val="0"/>
          <w:numId w:val="5"/>
        </w:numPr>
        <w:spacing w:after="0" w:line="276" w:lineRule="auto"/>
        <w:ind w:left="357" w:hanging="357"/>
        <w:jc w:val="both"/>
        <w:rPr>
          <w:rFonts w:eastAsia="Times New Roman" w:cs="Calibri"/>
        </w:rPr>
      </w:pPr>
      <w:r w:rsidRPr="0051256D">
        <w:rPr>
          <w:b/>
        </w:rPr>
        <w:t>Somministrazione vaccini.</w:t>
      </w:r>
      <w:r w:rsidRPr="008B347D">
        <w:t xml:space="preserve"> Persiste l’esit</w:t>
      </w:r>
      <w:r>
        <w:t xml:space="preserve">azione vaccinale degli over 50 e, </w:t>
      </w:r>
      <w:r w:rsidR="006D60A3">
        <w:t xml:space="preserve">viste le difficoltà </w:t>
      </w:r>
      <w:r w:rsidR="009A1C72">
        <w:t xml:space="preserve">ad </w:t>
      </w:r>
      <w:r w:rsidR="00265ECF">
        <w:t xml:space="preserve">attuare </w:t>
      </w:r>
      <w:r w:rsidR="00594D45">
        <w:t xml:space="preserve">una </w:t>
      </w:r>
      <w:r w:rsidRPr="008B347D">
        <w:t>strategia di chiamata attiva</w:t>
      </w:r>
      <w:r>
        <w:t xml:space="preserve">, l’obbligo </w:t>
      </w:r>
      <w:r w:rsidR="006D60A3">
        <w:t xml:space="preserve">vaccinale </w:t>
      </w:r>
      <w:r>
        <w:t xml:space="preserve">rimane l’ultima </w:t>
      </w:r>
      <w:r w:rsidR="006D60A3">
        <w:t>possibilità</w:t>
      </w:r>
      <w:r>
        <w:t>. Riguardo la fascia 12-19, n</w:t>
      </w:r>
      <w:r w:rsidRPr="00AE1721">
        <w:t xml:space="preserve">on </w:t>
      </w:r>
      <w:r>
        <w:t xml:space="preserve">è </w:t>
      </w:r>
      <w:r w:rsidRPr="00AE1721">
        <w:t>realistic</w:t>
      </w:r>
      <w:r>
        <w:t>o</w:t>
      </w:r>
      <w:r w:rsidRPr="00AE1721">
        <w:t xml:space="preserve"> l</w:t>
      </w:r>
      <w:r>
        <w:t>’obiettivo</w:t>
      </w:r>
      <w:r w:rsidRPr="00AE1721">
        <w:t xml:space="preserve"> </w:t>
      </w:r>
      <w:r w:rsidRPr="008B347D">
        <w:t xml:space="preserve">di coprire con il ciclo completo il 60-65% prima dell’inizio dell’anno scolastico, visto </w:t>
      </w:r>
      <w:r w:rsidRPr="008B347D">
        <w:lastRenderedPageBreak/>
        <w:t xml:space="preserve">che il </w:t>
      </w:r>
      <w:r>
        <w:t>46,9</w:t>
      </w:r>
      <w:r w:rsidRPr="008B347D">
        <w:t xml:space="preserve">% </w:t>
      </w:r>
      <w:r>
        <w:t xml:space="preserve">(n. </w:t>
      </w:r>
      <w:r w:rsidRPr="00AE1721">
        <w:t>2.137.396</w:t>
      </w:r>
      <w:r>
        <w:t xml:space="preserve">) </w:t>
      </w:r>
      <w:r w:rsidRPr="008B347D">
        <w:t xml:space="preserve">non ha ancora </w:t>
      </w:r>
      <w:r>
        <w:t>ricevuto</w:t>
      </w:r>
      <w:r w:rsidRPr="008B347D">
        <w:t xml:space="preserve"> nemmeno una dose</w:t>
      </w:r>
      <w:r>
        <w:t xml:space="preserve"> e il 23,9% (n. </w:t>
      </w:r>
      <w:r w:rsidRPr="0051256D">
        <w:rPr>
          <w:rFonts w:eastAsia="Times New Roman" w:cs="Calibri"/>
        </w:rPr>
        <w:t>1.091.097</w:t>
      </w:r>
      <w:r w:rsidRPr="00AE1721">
        <w:t xml:space="preserve">) solo la prima, con </w:t>
      </w:r>
      <w:r w:rsidR="002E1669">
        <w:t>marcate</w:t>
      </w:r>
      <w:r w:rsidR="002E1669" w:rsidRPr="00AE1721">
        <w:t xml:space="preserve"> </w:t>
      </w:r>
      <w:r w:rsidRPr="00AE1721">
        <w:t>differenze regionali (</w:t>
      </w:r>
      <w:r w:rsidRPr="0051256D">
        <w:rPr>
          <w:highlight w:val="yellow"/>
        </w:rPr>
        <w:t>figura 16</w:t>
      </w:r>
      <w:r w:rsidRPr="00AE1721">
        <w:t xml:space="preserve">). </w:t>
      </w:r>
    </w:p>
    <w:p w:rsidR="00684004" w:rsidRPr="008B347D" w:rsidRDefault="00684004" w:rsidP="009A1C72">
      <w:pPr>
        <w:pStyle w:val="Paragrafoelenco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357" w:hanging="357"/>
        <w:contextualSpacing/>
        <w:jc w:val="both"/>
        <w:rPr>
          <w:b/>
          <w:color w:val="auto"/>
        </w:rPr>
      </w:pPr>
      <w:r w:rsidRPr="008B347D">
        <w:rPr>
          <w:b/>
          <w:color w:val="auto"/>
        </w:rPr>
        <w:t>Terza dose</w:t>
      </w:r>
      <w:r w:rsidRPr="008B347D">
        <w:rPr>
          <w:color w:val="auto"/>
        </w:rPr>
        <w:t>. A</w:t>
      </w:r>
      <w:r>
        <w:rPr>
          <w:color w:val="auto"/>
        </w:rPr>
        <w:t xml:space="preserve">d oggi mancano robuste </w:t>
      </w:r>
      <w:r w:rsidRPr="008B347D">
        <w:rPr>
          <w:color w:val="auto"/>
        </w:rPr>
        <w:t>evidenze per definire indicazioni, tempi e modalità di somministrazione</w:t>
      </w:r>
      <w:r w:rsidR="004D5525">
        <w:rPr>
          <w:color w:val="auto"/>
        </w:rPr>
        <w:t xml:space="preserve">, ma esistono </w:t>
      </w:r>
      <w:r w:rsidRPr="000C3A91">
        <w:rPr>
          <w:color w:val="auto"/>
        </w:rPr>
        <w:t>tre ragionevoli certezze</w:t>
      </w:r>
      <w:r>
        <w:rPr>
          <w:color w:val="auto"/>
        </w:rPr>
        <w:t>: i</w:t>
      </w:r>
      <w:r w:rsidRPr="008B347D">
        <w:rPr>
          <w:color w:val="auto"/>
        </w:rPr>
        <w:t xml:space="preserve">nnanzitutto, </w:t>
      </w:r>
      <w:r w:rsidR="00E42527">
        <w:rPr>
          <w:color w:val="auto"/>
        </w:rPr>
        <w:t xml:space="preserve">in assenza di test affidabili, </w:t>
      </w:r>
      <w:r w:rsidR="00265ECF">
        <w:rPr>
          <w:color w:val="auto"/>
        </w:rPr>
        <w:t>i potenziali candidati</w:t>
      </w:r>
      <w:r w:rsidRPr="008B347D">
        <w:rPr>
          <w:color w:val="auto"/>
        </w:rPr>
        <w:t xml:space="preserve"> </w:t>
      </w:r>
      <w:r>
        <w:rPr>
          <w:color w:val="auto"/>
        </w:rPr>
        <w:t xml:space="preserve">possono essere </w:t>
      </w:r>
      <w:r w:rsidRPr="008B347D">
        <w:rPr>
          <w:color w:val="auto"/>
        </w:rPr>
        <w:t xml:space="preserve">individuati </w:t>
      </w:r>
      <w:r>
        <w:rPr>
          <w:color w:val="auto"/>
        </w:rPr>
        <w:t>solo sulla base del rischio individuale</w:t>
      </w:r>
      <w:r w:rsidRPr="008B347D">
        <w:rPr>
          <w:color w:val="auto"/>
        </w:rPr>
        <w:t xml:space="preserve"> nelle persone più a rischio di malattia severa (over 80, ospiti RSA, </w:t>
      </w:r>
      <w:r w:rsidR="00265ECF">
        <w:rPr>
          <w:color w:val="auto"/>
        </w:rPr>
        <w:t xml:space="preserve">immunodepressi, trapiantati </w:t>
      </w:r>
      <w:r>
        <w:rPr>
          <w:color w:val="auto"/>
        </w:rPr>
        <w:t xml:space="preserve">e pazienti </w:t>
      </w:r>
      <w:r w:rsidRPr="008B347D">
        <w:rPr>
          <w:color w:val="auto"/>
        </w:rPr>
        <w:t>molto fragili) e negli operatori sanitari</w:t>
      </w:r>
      <w:r>
        <w:rPr>
          <w:color w:val="auto"/>
        </w:rPr>
        <w:t>, maggiormente esposti al rischio di infezione</w:t>
      </w:r>
      <w:r w:rsidRPr="008B347D">
        <w:rPr>
          <w:color w:val="auto"/>
        </w:rPr>
        <w:t>;</w:t>
      </w:r>
      <w:r>
        <w:rPr>
          <w:color w:val="auto"/>
        </w:rPr>
        <w:t xml:space="preserve"> l’efficacia del ci</w:t>
      </w:r>
      <w:r w:rsidR="00265ECF">
        <w:rPr>
          <w:color w:val="auto"/>
        </w:rPr>
        <w:t xml:space="preserve">clo completo nei confronti di </w:t>
      </w:r>
      <w:r>
        <w:rPr>
          <w:color w:val="auto"/>
        </w:rPr>
        <w:t xml:space="preserve">infezione e malattia sintomatica </w:t>
      </w:r>
      <w:r w:rsidR="00265ECF">
        <w:rPr>
          <w:color w:val="auto"/>
        </w:rPr>
        <w:t xml:space="preserve">sembra </w:t>
      </w:r>
      <w:r>
        <w:rPr>
          <w:color w:val="auto"/>
        </w:rPr>
        <w:t xml:space="preserve">progressivamente ridursi, </w:t>
      </w:r>
      <w:r w:rsidR="00265ECF">
        <w:rPr>
          <w:color w:val="auto"/>
        </w:rPr>
        <w:t>m</w:t>
      </w:r>
      <w:r w:rsidR="004D5525">
        <w:rPr>
          <w:color w:val="auto"/>
        </w:rPr>
        <w:t xml:space="preserve">a </w:t>
      </w:r>
      <w:r w:rsidR="00265ECF">
        <w:rPr>
          <w:color w:val="auto"/>
        </w:rPr>
        <w:t>rimane</w:t>
      </w:r>
      <w:r>
        <w:rPr>
          <w:color w:val="auto"/>
        </w:rPr>
        <w:t xml:space="preserve"> elevata nei confronti di malattia grave e decesso; </w:t>
      </w:r>
      <w:r w:rsidRPr="000C3A91">
        <w:rPr>
          <w:color w:val="auto"/>
        </w:rPr>
        <w:t xml:space="preserve">infine, </w:t>
      </w:r>
      <w:r w:rsidR="004D5525">
        <w:rPr>
          <w:color w:val="auto"/>
        </w:rPr>
        <w:t xml:space="preserve">indipendentemente dal parere del CTS, </w:t>
      </w:r>
      <w:r w:rsidRPr="000C3A91">
        <w:rPr>
          <w:color w:val="auto"/>
        </w:rPr>
        <w:t xml:space="preserve">la </w:t>
      </w:r>
      <w:r w:rsidR="003B0352">
        <w:rPr>
          <w:color w:val="auto"/>
        </w:rPr>
        <w:t xml:space="preserve">somministrazione di una </w:t>
      </w:r>
      <w:r w:rsidR="00265ECF">
        <w:rPr>
          <w:color w:val="auto"/>
        </w:rPr>
        <w:t xml:space="preserve">terza dose deve </w:t>
      </w:r>
      <w:r w:rsidR="00E42527">
        <w:rPr>
          <w:color w:val="auto"/>
        </w:rPr>
        <w:t>essere approvata da</w:t>
      </w:r>
      <w:r w:rsidR="003B0352">
        <w:rPr>
          <w:color w:val="auto"/>
        </w:rPr>
        <w:t xml:space="preserve">lle </w:t>
      </w:r>
      <w:r w:rsidR="004D5525">
        <w:rPr>
          <w:color w:val="auto"/>
        </w:rPr>
        <w:t>autorità regolatorie</w:t>
      </w:r>
      <w:r w:rsidRPr="000C3A91">
        <w:rPr>
          <w:color w:val="auto"/>
        </w:rPr>
        <w:t>.</w:t>
      </w:r>
    </w:p>
    <w:p w:rsidR="00684004" w:rsidRPr="009A1C72" w:rsidRDefault="00684004" w:rsidP="009A1C72">
      <w:pPr>
        <w:pStyle w:val="Paragrafoelenco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357" w:hanging="357"/>
        <w:contextualSpacing/>
        <w:jc w:val="both"/>
        <w:rPr>
          <w:b/>
          <w:color w:val="auto"/>
        </w:rPr>
      </w:pPr>
      <w:r w:rsidRPr="005C0148">
        <w:rPr>
          <w:b/>
          <w:color w:val="auto"/>
        </w:rPr>
        <w:t>Green</w:t>
      </w:r>
      <w:r w:rsidR="009A1C72">
        <w:rPr>
          <w:b/>
          <w:color w:val="auto"/>
        </w:rPr>
        <w:t xml:space="preserve"> </w:t>
      </w:r>
      <w:r w:rsidRPr="005C0148">
        <w:rPr>
          <w:b/>
          <w:color w:val="auto"/>
        </w:rPr>
        <w:t>pass</w:t>
      </w:r>
      <w:r>
        <w:rPr>
          <w:b/>
          <w:color w:val="auto"/>
        </w:rPr>
        <w:t>.</w:t>
      </w:r>
      <w:r w:rsidRPr="009A1C72">
        <w:rPr>
          <w:b/>
          <w:color w:val="auto"/>
        </w:rPr>
        <w:t xml:space="preserve"> </w:t>
      </w:r>
      <w:r w:rsidRPr="009A1C72">
        <w:rPr>
          <w:color w:val="auto"/>
        </w:rPr>
        <w:t xml:space="preserve">L’eventuale decisione di estenderne la validità a 12 mesi per le persone vaccinate o guarite </w:t>
      </w:r>
      <w:r w:rsidR="004D5525">
        <w:rPr>
          <w:color w:val="auto"/>
        </w:rPr>
        <w:t xml:space="preserve">non è </w:t>
      </w:r>
      <w:r w:rsidR="003B0352">
        <w:rPr>
          <w:color w:val="auto"/>
        </w:rPr>
        <w:t xml:space="preserve">ad oggi </w:t>
      </w:r>
      <w:r w:rsidRPr="009A1C72">
        <w:rPr>
          <w:color w:val="auto"/>
        </w:rPr>
        <w:t>sostenuta da evidenze scientifiche, che al contrario iniziano a dimostrare una riduzione degli effetti della copertura vaccinale a partire dal 6</w:t>
      </w:r>
      <w:r w:rsidR="002E1669">
        <w:rPr>
          <w:color w:val="auto"/>
        </w:rPr>
        <w:t>°</w:t>
      </w:r>
      <w:r w:rsidRPr="009A1C72">
        <w:rPr>
          <w:color w:val="auto"/>
        </w:rPr>
        <w:t xml:space="preserve"> mese, in particolare </w:t>
      </w:r>
      <w:r w:rsidR="00265ECF">
        <w:rPr>
          <w:color w:val="auto"/>
        </w:rPr>
        <w:t xml:space="preserve">negli anziani e </w:t>
      </w:r>
      <w:r w:rsidR="0064474F">
        <w:rPr>
          <w:color w:val="auto"/>
        </w:rPr>
        <w:t xml:space="preserve">nei soggetti </w:t>
      </w:r>
      <w:r w:rsidR="00265ECF">
        <w:rPr>
          <w:color w:val="auto"/>
        </w:rPr>
        <w:t>fragili</w:t>
      </w:r>
      <w:r w:rsidRPr="009A1C72">
        <w:rPr>
          <w:color w:val="auto"/>
        </w:rPr>
        <w:t xml:space="preserve">. </w:t>
      </w:r>
      <w:r w:rsidR="0064474F">
        <w:rPr>
          <w:color w:val="auto"/>
        </w:rPr>
        <w:t>Un’eventuale</w:t>
      </w:r>
      <w:r w:rsidR="0064474F" w:rsidRPr="009A1C72">
        <w:rPr>
          <w:color w:val="auto"/>
        </w:rPr>
        <w:t xml:space="preserve"> </w:t>
      </w:r>
      <w:r w:rsidRPr="009A1C72">
        <w:rPr>
          <w:color w:val="auto"/>
        </w:rPr>
        <w:t xml:space="preserve">estensione risponderebbe </w:t>
      </w:r>
      <w:r w:rsidR="0064474F">
        <w:rPr>
          <w:color w:val="auto"/>
        </w:rPr>
        <w:t xml:space="preserve">dunque </w:t>
      </w:r>
      <w:r w:rsidR="00265ECF">
        <w:rPr>
          <w:color w:val="auto"/>
        </w:rPr>
        <w:t xml:space="preserve">solo </w:t>
      </w:r>
      <w:r w:rsidRPr="009A1C72">
        <w:rPr>
          <w:color w:val="auto"/>
        </w:rPr>
        <w:t xml:space="preserve">all’esigenza di coprire il </w:t>
      </w:r>
      <w:r w:rsidR="002E1669">
        <w:rPr>
          <w:color w:val="auto"/>
        </w:rPr>
        <w:t>“</w:t>
      </w:r>
      <w:r w:rsidRPr="009A1C72">
        <w:rPr>
          <w:color w:val="auto"/>
        </w:rPr>
        <w:t>buco temporale</w:t>
      </w:r>
      <w:r w:rsidR="002E1669">
        <w:rPr>
          <w:color w:val="auto"/>
        </w:rPr>
        <w:t>”</w:t>
      </w:r>
      <w:r w:rsidRPr="009A1C72">
        <w:rPr>
          <w:color w:val="auto"/>
        </w:rPr>
        <w:t xml:space="preserve"> in attesa delle decisioni delle autorità regolatorie sulla somministrazione della terza dose. </w:t>
      </w:r>
    </w:p>
    <w:p w:rsidR="00D7724D" w:rsidRDefault="00684004" w:rsidP="00D26A8F">
      <w:pPr>
        <w:pStyle w:val="Paragrafoelenco"/>
        <w:numPr>
          <w:ilvl w:val="0"/>
          <w:numId w:val="5"/>
        </w:numPr>
        <w:spacing w:after="0" w:line="276" w:lineRule="auto"/>
        <w:ind w:left="357" w:hanging="357"/>
        <w:jc w:val="both"/>
      </w:pPr>
      <w:r w:rsidRPr="005C0148">
        <w:rPr>
          <w:b/>
        </w:rPr>
        <w:t>Scuole</w:t>
      </w:r>
      <w:r>
        <w:t xml:space="preserve">. Se </w:t>
      </w:r>
      <w:r w:rsidR="006D60A3">
        <w:t xml:space="preserve">il </w:t>
      </w:r>
      <w:r>
        <w:t xml:space="preserve">Governo si è impegnato a riaprire le scuole in presenza al 100%, le misure approvate con il DL </w:t>
      </w:r>
      <w:r w:rsidR="006D60A3">
        <w:t>1</w:t>
      </w:r>
      <w:r>
        <w:t xml:space="preserve">11/2021 non contengono rilevanti cambiamenti, a fronte di una variante </w:t>
      </w:r>
      <w:r w:rsidR="00300770">
        <w:t xml:space="preserve">del virus </w:t>
      </w:r>
      <w:r>
        <w:t xml:space="preserve">molto più contagiosa. Le numerose criticità che </w:t>
      </w:r>
      <w:r w:rsidR="00A553F8">
        <w:t xml:space="preserve">lo scorso </w:t>
      </w:r>
      <w:r>
        <w:t xml:space="preserve">anno scolastico hanno ostacolato, se non reso impossibile, lo svolgimento delle lezioni in presenza </w:t>
      </w:r>
      <w:r w:rsidR="00A553F8">
        <w:t xml:space="preserve">non </w:t>
      </w:r>
      <w:r w:rsidR="00972DD8">
        <w:t xml:space="preserve">sono state finora </w:t>
      </w:r>
      <w:r>
        <w:t xml:space="preserve">affrontate in modo </w:t>
      </w:r>
      <w:r w:rsidR="00A553F8">
        <w:t>risolutivo</w:t>
      </w:r>
      <w:r>
        <w:t>. Non esiste alcuna rendicontazione pubblica su come siano stati impiegati i 150 milioni del decreto Sostegni (es. idonea areazione e ventilazione dei local</w:t>
      </w:r>
      <w:r w:rsidR="00A76391">
        <w:t>i, distanziamento fisico, etc.); mentre</w:t>
      </w:r>
      <w:r>
        <w:t xml:space="preserve"> i </w:t>
      </w:r>
      <w:r w:rsidRPr="00776374">
        <w:t>350 milioni del Decreto Sostegni bis</w:t>
      </w:r>
      <w:r>
        <w:t xml:space="preserve"> destinati a varie misure tra cui dispositivi di protezione individuale</w:t>
      </w:r>
      <w:r w:rsidRPr="00776374">
        <w:t xml:space="preserve"> e riprogettazione spazi</w:t>
      </w:r>
      <w:r w:rsidR="00A72492">
        <w:t xml:space="preserve"> </w:t>
      </w:r>
      <w:r w:rsidR="00A553F8">
        <w:t xml:space="preserve">ad oggi </w:t>
      </w:r>
      <w:r w:rsidR="00A72492">
        <w:t>sono stati ripartiti tra le scuole solo sulla carta</w:t>
      </w:r>
      <w:r w:rsidR="00A76391">
        <w:t xml:space="preserve">. </w:t>
      </w:r>
      <w:r>
        <w:t xml:space="preserve">Sul fronte trasporti, al di là di generiche indicazioni sullo scaglionamento degli orari di ingresso, </w:t>
      </w:r>
      <w:r w:rsidR="00212F66">
        <w:t xml:space="preserve">spunta solo </w:t>
      </w:r>
      <w:r w:rsidR="00A72492">
        <w:t xml:space="preserve">la figura del </w:t>
      </w:r>
      <w:proofErr w:type="spellStart"/>
      <w:r w:rsidRPr="005C0148">
        <w:rPr>
          <w:i/>
          <w:iCs/>
        </w:rPr>
        <w:t>mobility</w:t>
      </w:r>
      <w:proofErr w:type="spellEnd"/>
      <w:r w:rsidRPr="005C0148">
        <w:rPr>
          <w:i/>
          <w:iCs/>
        </w:rPr>
        <w:t xml:space="preserve"> manager</w:t>
      </w:r>
      <w:r>
        <w:t xml:space="preserve"> per predisporre gli spostamenti casa-scuola-casa di personale scolastico e alunni. N</w:t>
      </w:r>
      <w:r w:rsidR="00212F66">
        <w:t xml:space="preserve">on </w:t>
      </w:r>
      <w:r w:rsidR="00972DD8">
        <w:t xml:space="preserve">è </w:t>
      </w:r>
      <w:r w:rsidR="00212F66">
        <w:t xml:space="preserve">previsto </w:t>
      </w:r>
      <w:r>
        <w:t>lo screening periodico e sistematico di studenti e personale scolastico. Unica novità è l’obbligo del green pass per il personale scolastico, no</w:t>
      </w:r>
      <w:r w:rsidR="00A76391">
        <w:t>n esteso agli studenti over 12 per i quali si punta</w:t>
      </w:r>
      <w:r w:rsidR="00E42527">
        <w:t xml:space="preserve">, </w:t>
      </w:r>
      <w:r w:rsidR="00972DD8">
        <w:t>con un rischio poco “ragionato”</w:t>
      </w:r>
      <w:r w:rsidR="00E42527">
        <w:t xml:space="preserve">, </w:t>
      </w:r>
      <w:r w:rsidR="00A76391">
        <w:t>esclusivamente sulla copertura vaccinale</w:t>
      </w:r>
      <w:r w:rsidR="00A553F8">
        <w:t>.</w:t>
      </w:r>
    </w:p>
    <w:p w:rsidR="009A1C72" w:rsidRPr="00684004" w:rsidRDefault="009A1C72" w:rsidP="009A1C72">
      <w:pPr>
        <w:spacing w:after="0" w:line="276" w:lineRule="auto"/>
      </w:pPr>
    </w:p>
    <w:p w:rsidR="007B682B" w:rsidRDefault="00CE577D" w:rsidP="00DA708A">
      <w:pPr>
        <w:spacing w:after="120" w:line="276" w:lineRule="auto"/>
        <w:rPr>
          <w:rStyle w:val="Hyperlink0"/>
        </w:rPr>
      </w:pPr>
      <w:r>
        <w:rPr>
          <w:i/>
          <w:iCs/>
        </w:rPr>
        <w:t xml:space="preserve">Il monitoraggio GIMBE dell'epidemia di COVID-19 è disponibile a: </w:t>
      </w:r>
      <w:hyperlink r:id="rId11" w:history="1">
        <w:r>
          <w:rPr>
            <w:rStyle w:val="Hyperlink0"/>
          </w:rPr>
          <w:t>https://coronavirus.gimbe.org</w:t>
        </w:r>
      </w:hyperlink>
      <w:r>
        <w:rPr>
          <w:rStyle w:val="Hyperlink0"/>
        </w:rPr>
        <w:br/>
      </w:r>
    </w:p>
    <w:p w:rsidR="00930098" w:rsidRPr="00684004" w:rsidRDefault="00CE577D" w:rsidP="00684004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>
        <w:rPr>
          <w:b/>
          <w:bCs/>
        </w:rPr>
        <w:t>CONTATTI</w:t>
      </w:r>
      <w:r>
        <w:rPr>
          <w:i/>
          <w:iCs/>
        </w:rPr>
        <w:br/>
      </w:r>
      <w:r>
        <w:rPr>
          <w:b/>
          <w:bCs/>
        </w:rPr>
        <w:t>Fondazione GIMBE</w:t>
      </w:r>
      <w:r>
        <w:rPr>
          <w:i/>
          <w:iCs/>
          <w:color w:val="0563C1"/>
          <w:u w:val="single" w:color="0563C1"/>
        </w:rPr>
        <w:br/>
      </w:r>
      <w:r>
        <w:rPr>
          <w:sz w:val="20"/>
          <w:szCs w:val="20"/>
        </w:rPr>
        <w:t>Via Amendola 2 - 40121 Bologna</w:t>
      </w:r>
      <w:r>
        <w:rPr>
          <w:sz w:val="20"/>
          <w:szCs w:val="20"/>
        </w:rPr>
        <w:br/>
        <w:t>Tel. 051 5883920 - Fax 051 4075774</w:t>
      </w:r>
      <w:r>
        <w:rPr>
          <w:sz w:val="20"/>
          <w:szCs w:val="20"/>
        </w:rPr>
        <w:br/>
        <w:t xml:space="preserve">E-mail: </w:t>
      </w:r>
      <w:hyperlink r:id="rId12" w:history="1">
        <w:r>
          <w:rPr>
            <w:rStyle w:val="Hyperlink1"/>
          </w:rPr>
          <w:t>ufficio.stampa@gimbe.org</w:t>
        </w:r>
      </w:hyperlink>
    </w:p>
    <w:p w:rsidR="00B66203" w:rsidRDefault="00B6620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7B682B" w:rsidRDefault="002B7A4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3080D4E" wp14:editId="36F314DF">
            <wp:extent cx="5760000" cy="3193390"/>
            <wp:effectExtent l="0" t="0" r="0" b="762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2</w:t>
      </w:r>
      <w:r>
        <w:rPr>
          <w:b/>
          <w:bCs/>
          <w:color w:val="00457D"/>
          <w:sz w:val="24"/>
          <w:szCs w:val="24"/>
          <w:u w:color="00457D"/>
        </w:rPr>
        <w:br/>
      </w:r>
      <w:r w:rsidR="002B7A43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67476F2" wp14:editId="5D03E3C6">
            <wp:extent cx="5760000" cy="309465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CE577D">
      <w:pPr>
        <w:jc w:val="center"/>
        <w:sectPr w:rsidR="007B682B">
          <w:pgSz w:w="11900" w:h="16840"/>
          <w:pgMar w:top="993" w:right="1134" w:bottom="709" w:left="1134" w:header="709" w:footer="709" w:gutter="0"/>
          <w:cols w:space="720"/>
        </w:sectPr>
      </w:pPr>
      <w:r>
        <w:rPr>
          <w:b/>
          <w:bCs/>
          <w:color w:val="00457D"/>
          <w:sz w:val="24"/>
          <w:szCs w:val="24"/>
          <w:u w:color="00457D"/>
        </w:rPr>
        <w:br/>
      </w:r>
    </w:p>
    <w:p w:rsidR="007B682B" w:rsidRDefault="00CE577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7B682B" w:rsidRDefault="002B7A43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946162B" wp14:editId="10CD5766">
            <wp:extent cx="9360000" cy="4830880"/>
            <wp:effectExtent l="0" t="0" r="0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0" w:line="360" w:lineRule="auto"/>
        <w:jc w:val="center"/>
        <w:sectPr w:rsidR="007B682B" w:rsidSect="00AF08E9">
          <w:headerReference w:type="default" r:id="rId16"/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B66203" w:rsidRDefault="00B66203" w:rsidP="00B6620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B66203" w:rsidRDefault="002B7A43" w:rsidP="00B6620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09EAD90" wp14:editId="5275280E">
            <wp:extent cx="5760000" cy="2824094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203" w:rsidRDefault="00B66203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B66203">
        <w:rPr>
          <w:b/>
          <w:bCs/>
          <w:color w:val="00457D"/>
          <w:sz w:val="24"/>
          <w:szCs w:val="24"/>
          <w:u w:color="00457D"/>
        </w:rPr>
        <w:t>5</w:t>
      </w:r>
    </w:p>
    <w:p w:rsidR="007B682B" w:rsidRDefault="002B7A43" w:rsidP="00AF08E9">
      <w:pPr>
        <w:spacing w:after="24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38E8A82" wp14:editId="3E648CDF">
            <wp:extent cx="5760000" cy="4453613"/>
            <wp:effectExtent l="0" t="0" r="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53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203" w:rsidRDefault="00B6620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 w:rsidP="00AF08E9">
      <w:pPr>
        <w:spacing w:before="16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B66203">
        <w:rPr>
          <w:b/>
          <w:bCs/>
          <w:color w:val="00457D"/>
          <w:sz w:val="24"/>
          <w:szCs w:val="24"/>
          <w:u w:color="00457D"/>
        </w:rPr>
        <w:t>6</w:t>
      </w:r>
    </w:p>
    <w:p w:rsidR="007B682B" w:rsidRDefault="002B7A4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27D135D" wp14:editId="035CB426">
            <wp:extent cx="5760000" cy="4453613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53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7D7" w:rsidRDefault="00BB07D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7</w:t>
      </w:r>
    </w:p>
    <w:p w:rsidR="007B682B" w:rsidRDefault="002B7A4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677D5B9" wp14:editId="0E4ECB5D">
            <wp:extent cx="5760000" cy="2829899"/>
            <wp:effectExtent l="0" t="0" r="0" b="88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8E9" w:rsidRDefault="00AF08E9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AF08E9" w:rsidRDefault="00AF08E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8</w:t>
      </w:r>
    </w:p>
    <w:p w:rsidR="007B682B" w:rsidRDefault="00C53812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FDC6840" wp14:editId="45986BAA">
            <wp:extent cx="5760000" cy="308760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8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6176B8" w:rsidP="00AF08E9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9</w:t>
      </w:r>
    </w:p>
    <w:p w:rsidR="007B682B" w:rsidRDefault="00C5381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36741E3" wp14:editId="2B574EDF">
            <wp:extent cx="5760000" cy="4518923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8E9" w:rsidRDefault="00AF08E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7145F8">
        <w:rPr>
          <w:b/>
          <w:bCs/>
          <w:color w:val="00457D"/>
          <w:sz w:val="24"/>
          <w:szCs w:val="24"/>
          <w:u w:color="00457D"/>
        </w:rPr>
        <w:t>0</w:t>
      </w:r>
    </w:p>
    <w:p w:rsidR="007B682B" w:rsidRDefault="00705A25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F799DB3" wp14:editId="07A3A9F5">
            <wp:extent cx="5760000" cy="3099789"/>
            <wp:effectExtent l="0" t="0" r="0" b="571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9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135C5" w:rsidRDefault="007135C5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7145F8">
        <w:rPr>
          <w:b/>
          <w:bCs/>
          <w:color w:val="00457D"/>
          <w:sz w:val="24"/>
          <w:szCs w:val="24"/>
          <w:u w:color="00457D"/>
        </w:rPr>
        <w:t>1</w:t>
      </w:r>
    </w:p>
    <w:p w:rsidR="007B682B" w:rsidRDefault="00705A25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CBBCBE2" wp14:editId="3B897990">
            <wp:extent cx="5760000" cy="3364932"/>
            <wp:effectExtent l="0" t="0" r="0" b="698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8E9" w:rsidRDefault="00AF08E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B66203">
        <w:rPr>
          <w:b/>
          <w:bCs/>
          <w:color w:val="00457D"/>
          <w:sz w:val="24"/>
          <w:szCs w:val="24"/>
          <w:u w:color="00457D"/>
        </w:rPr>
        <w:t>2</w:t>
      </w:r>
    </w:p>
    <w:p w:rsidR="00705A25" w:rsidRDefault="00C53812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  <w:color w:val="FF0000"/>
        </w:rPr>
        <w:drawing>
          <wp:inline distT="0" distB="0" distL="0" distR="0" wp14:anchorId="240968B3" wp14:editId="18025746">
            <wp:extent cx="5760000" cy="3518637"/>
            <wp:effectExtent l="0" t="0" r="0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18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A25" w:rsidRDefault="00705A25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B66203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</w:t>
      </w:r>
      <w:r w:rsidR="00CE577D">
        <w:rPr>
          <w:b/>
          <w:bCs/>
          <w:color w:val="00457D"/>
          <w:sz w:val="24"/>
          <w:szCs w:val="24"/>
          <w:u w:color="00457D"/>
        </w:rPr>
        <w:t>gura 1</w:t>
      </w:r>
      <w:r>
        <w:rPr>
          <w:b/>
          <w:bCs/>
          <w:color w:val="00457D"/>
          <w:sz w:val="24"/>
          <w:szCs w:val="24"/>
          <w:u w:color="00457D"/>
        </w:rPr>
        <w:t>3</w:t>
      </w:r>
    </w:p>
    <w:p w:rsidR="007B682B" w:rsidRDefault="00941445">
      <w:pPr>
        <w:spacing w:after="120"/>
        <w:jc w:val="center"/>
      </w:pPr>
      <w:r>
        <w:rPr>
          <w:noProof/>
        </w:rPr>
        <w:drawing>
          <wp:inline distT="0" distB="0" distL="0" distR="0" wp14:anchorId="2CDACD68" wp14:editId="6106D25D">
            <wp:extent cx="5760000" cy="4433382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3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120"/>
        <w:jc w:val="center"/>
      </w:pPr>
    </w:p>
    <w:p w:rsidR="00705A25" w:rsidRDefault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B66203">
        <w:rPr>
          <w:b/>
          <w:bCs/>
          <w:color w:val="00457D"/>
          <w:sz w:val="24"/>
          <w:szCs w:val="24"/>
          <w:u w:color="00457D"/>
        </w:rPr>
        <w:t>4</w:t>
      </w:r>
    </w:p>
    <w:p w:rsidR="007B682B" w:rsidRDefault="00451EEA">
      <w:pPr>
        <w:spacing w:after="120"/>
        <w:jc w:val="center"/>
      </w:pPr>
      <w:r>
        <w:rPr>
          <w:noProof/>
        </w:rPr>
        <w:drawing>
          <wp:inline distT="0" distB="0" distL="0" distR="0" wp14:anchorId="5DC133D8" wp14:editId="57EEBB30">
            <wp:extent cx="5760000" cy="340996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0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A25" w:rsidRDefault="00705A25" w:rsidP="00705A25">
      <w:pPr>
        <w:jc w:val="center"/>
        <w:rPr>
          <w:rFonts w:ascii="Arial Unicode MS" w:hAnsi="Arial Unicode MS"/>
          <w:b/>
          <w:color w:val="00457D"/>
          <w:sz w:val="24"/>
          <w:szCs w:val="24"/>
          <w:u w:color="00457D"/>
        </w:rPr>
      </w:pPr>
    </w:p>
    <w:p w:rsidR="007B682B" w:rsidRDefault="00705A25" w:rsidP="00705A25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705A25">
        <w:rPr>
          <w:rFonts w:ascii="Arial Unicode MS" w:hAnsi="Arial Unicode MS"/>
          <w:b/>
          <w:color w:val="00457D"/>
          <w:sz w:val="24"/>
          <w:szCs w:val="24"/>
          <w:u w:color="00457D"/>
        </w:rPr>
        <w:t>F</w:t>
      </w:r>
      <w:r w:rsidR="00CE577D">
        <w:rPr>
          <w:b/>
          <w:bCs/>
          <w:color w:val="00457D"/>
          <w:sz w:val="24"/>
          <w:szCs w:val="24"/>
          <w:u w:color="00457D"/>
        </w:rPr>
        <w:t xml:space="preserve">igura </w:t>
      </w:r>
      <w:r w:rsidR="00AF08E9">
        <w:rPr>
          <w:b/>
          <w:bCs/>
          <w:color w:val="00457D"/>
          <w:sz w:val="24"/>
          <w:szCs w:val="24"/>
          <w:u w:color="00457D"/>
        </w:rPr>
        <w:t>1</w:t>
      </w:r>
      <w:r w:rsidR="00B66203">
        <w:rPr>
          <w:b/>
          <w:bCs/>
          <w:color w:val="00457D"/>
          <w:sz w:val="24"/>
          <w:szCs w:val="24"/>
          <w:u w:color="00457D"/>
        </w:rPr>
        <w:t>5</w:t>
      </w:r>
    </w:p>
    <w:p w:rsidR="007B682B" w:rsidRDefault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C8FF27B" wp14:editId="395654EA">
            <wp:extent cx="5760000" cy="3364932"/>
            <wp:effectExtent l="0" t="0" r="0" b="698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jc w:val="center"/>
        <w:rPr>
          <w:b/>
          <w:bCs/>
          <w:color w:val="FF0000"/>
          <w:sz w:val="24"/>
          <w:szCs w:val="24"/>
          <w:u w:color="FF0000"/>
        </w:rPr>
      </w:pPr>
    </w:p>
    <w:p w:rsidR="00705A25" w:rsidRDefault="00705A25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E60808" w:rsidRDefault="00E60808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B66203">
        <w:rPr>
          <w:b/>
          <w:bCs/>
          <w:color w:val="00457D"/>
          <w:sz w:val="24"/>
          <w:szCs w:val="24"/>
          <w:u w:color="00457D"/>
        </w:rPr>
        <w:t>16</w:t>
      </w:r>
    </w:p>
    <w:p w:rsidR="007B682B" w:rsidRDefault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0047524" wp14:editId="060EC1A5">
            <wp:extent cx="5760000" cy="4436564"/>
            <wp:effectExtent l="0" t="0" r="0" b="254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36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7B682B">
      <w:pPr>
        <w:spacing w:after="0" w:line="240" w:lineRule="auto"/>
        <w:jc w:val="center"/>
        <w:sectPr w:rsidR="007B682B">
          <w:headerReference w:type="default" r:id="rId30"/>
          <w:pgSz w:w="11900" w:h="16840"/>
          <w:pgMar w:top="1134" w:right="1134" w:bottom="1418" w:left="1134" w:header="709" w:footer="709" w:gutter="0"/>
          <w:cols w:space="720"/>
        </w:sectPr>
      </w:pPr>
    </w:p>
    <w:p w:rsidR="002B7A43" w:rsidRDefault="00CE577D" w:rsidP="002B7A43">
      <w:pPr>
        <w:spacing w:line="276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2B7A43">
        <w:rPr>
          <w:b/>
          <w:bCs/>
          <w:color w:val="00457D"/>
          <w:sz w:val="24"/>
          <w:szCs w:val="24"/>
          <w:u w:color="00457D"/>
        </w:rPr>
        <w:t>18-24 agosto</w:t>
      </w:r>
      <w:r>
        <w:rPr>
          <w:b/>
          <w:bCs/>
          <w:color w:val="00457D"/>
          <w:sz w:val="24"/>
          <w:szCs w:val="24"/>
          <w:u w:color="00457D"/>
        </w:rPr>
        <w:t xml:space="preserve"> 2021</w:t>
      </w:r>
    </w:p>
    <w:tbl>
      <w:tblPr>
        <w:tblW w:w="9351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122"/>
        <w:gridCol w:w="1701"/>
        <w:gridCol w:w="1417"/>
        <w:gridCol w:w="1985"/>
        <w:gridCol w:w="2126"/>
      </w:tblGrid>
      <w:tr w:rsidR="002B7A43" w:rsidTr="002B7A43">
        <w:trPr>
          <w:trHeight w:val="907"/>
        </w:trPr>
        <w:tc>
          <w:tcPr>
            <w:tcW w:w="2122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Regione</w:t>
            </w:r>
          </w:p>
        </w:tc>
        <w:tc>
          <w:tcPr>
            <w:tcW w:w="1701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21"/>
                <w:szCs w:val="21"/>
              </w:rPr>
            </w:pPr>
            <w:r>
              <w:rPr>
                <w:rFonts w:cs="Calibri"/>
                <w:b/>
                <w:bCs/>
                <w:color w:val="FFFFFF"/>
                <w:sz w:val="21"/>
                <w:szCs w:val="21"/>
              </w:rPr>
              <w:t>Casi attualmente positivi per 100.000 abitanti</w:t>
            </w:r>
          </w:p>
        </w:tc>
        <w:tc>
          <w:tcPr>
            <w:tcW w:w="1417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Variazione </w:t>
            </w:r>
            <w:r>
              <w:rPr>
                <w:rFonts w:cs="Calibri"/>
                <w:b/>
                <w:bCs/>
                <w:color w:val="FFFFFF"/>
              </w:rPr>
              <w:br/>
              <w:t>% nuovi casi</w:t>
            </w:r>
          </w:p>
        </w:tc>
        <w:tc>
          <w:tcPr>
            <w:tcW w:w="1985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Posti letto in area medica occupati da pazienti COVID−19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 xml:space="preserve">Posti letto in terapia intensiva occupati da </w:t>
            </w:r>
            <w:r>
              <w:rPr>
                <w:rFonts w:cs="Calibri"/>
                <w:b/>
                <w:bCs/>
                <w:color w:val="FFFFFF"/>
              </w:rPr>
              <w:br/>
              <w:t>pazienti COVID−19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172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16,5%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7%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Basilicata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236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4,3%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12%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0%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218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16,3%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15%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6%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158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3,0%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10%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4%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332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-2,2%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7%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78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-1,3%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6%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291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-4,0%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7%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131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5,5%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5%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123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-4,5%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3%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198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-4,2%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5%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Molise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61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-27,8%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3%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81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-10,3%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1%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Prov. Aut. Bolzano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125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37,6%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3%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Prov. Aut. Trento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91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-0,7%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0%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116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7,5%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5%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483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-3,8%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14%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11%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512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9C0006"/>
              </w:rPr>
            </w:pPr>
            <w:r>
              <w:rPr>
                <w:rFonts w:cs="Calibri"/>
                <w:color w:val="9C0006"/>
              </w:rPr>
              <w:t>33,6%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19%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11%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328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-7,9%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7%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Umbria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221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-13,0%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9%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Valle D'Aosta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107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-17,4%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0%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255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-1,2%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color w:val="006100"/>
              </w:rPr>
            </w:pPr>
            <w:r>
              <w:rPr>
                <w:rFonts w:cs="Calibri"/>
                <w:color w:val="006100"/>
              </w:rPr>
              <w:t>5%</w:t>
            </w:r>
          </w:p>
        </w:tc>
      </w:tr>
      <w:tr w:rsidR="002B7A43" w:rsidTr="002B7A43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</w:rPr>
              <w:t>ITALIA</w:t>
            </w:r>
          </w:p>
        </w:tc>
        <w:tc>
          <w:tcPr>
            <w:tcW w:w="170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b/>
                <w:bCs/>
                <w:color w:val="9C0006"/>
              </w:rPr>
            </w:pPr>
            <w:r>
              <w:rPr>
                <w:rFonts w:cs="Calibri"/>
                <w:b/>
                <w:bCs/>
                <w:color w:val="9C0006"/>
              </w:rPr>
              <w:t>227</w:t>
            </w:r>
          </w:p>
        </w:tc>
        <w:tc>
          <w:tcPr>
            <w:tcW w:w="141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b/>
                <w:bCs/>
                <w:color w:val="9C0006"/>
              </w:rPr>
            </w:pPr>
            <w:r>
              <w:rPr>
                <w:rFonts w:cs="Calibri"/>
                <w:b/>
                <w:bCs/>
                <w:color w:val="9C0006"/>
              </w:rPr>
              <w:t>4,3%</w:t>
            </w:r>
          </w:p>
        </w:tc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b/>
                <w:bCs/>
                <w:color w:val="006100"/>
              </w:rPr>
            </w:pPr>
            <w:r>
              <w:rPr>
                <w:rFonts w:cs="Calibri"/>
                <w:b/>
                <w:bCs/>
                <w:color w:val="006100"/>
              </w:rPr>
              <w:t>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jc w:val="center"/>
              <w:rPr>
                <w:rFonts w:cs="Calibri"/>
                <w:b/>
                <w:bCs/>
                <w:color w:val="006100"/>
              </w:rPr>
            </w:pPr>
            <w:r>
              <w:rPr>
                <w:rFonts w:cs="Calibri"/>
                <w:b/>
                <w:bCs/>
                <w:color w:val="006100"/>
              </w:rPr>
              <w:t>6%</w:t>
            </w:r>
          </w:p>
        </w:tc>
      </w:tr>
      <w:tr w:rsidR="002B7A43" w:rsidTr="002B7A43">
        <w:trPr>
          <w:trHeight w:val="1710"/>
        </w:trPr>
        <w:tc>
          <w:tcPr>
            <w:tcW w:w="9351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2B7A43" w:rsidRDefault="002B7A43" w:rsidP="002B7A43">
            <w:pPr>
              <w:spacing w:after="0" w:line="240" w:lineRule="auto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Nota: nella prima colonna rosso e verde indicano rispettivamente una performance regionale in peggioramento, o in miglioramento, rispetto alla settimana precedente.</w:t>
            </w:r>
            <w:r>
              <w:rPr>
                <w:rFonts w:cs="Calibri"/>
                <w:sz w:val="20"/>
                <w:szCs w:val="20"/>
              </w:rPr>
              <w:br/>
              <w:t>Nella seconda colonna rosso e verde indicano rispettivamente un aumento o una diminuzione di nuovi casi rispetto alla settimana precedente.</w:t>
            </w:r>
            <w:r>
              <w:rPr>
                <w:rFonts w:cs="Calibri"/>
                <w:sz w:val="20"/>
                <w:szCs w:val="20"/>
              </w:rPr>
              <w:br/>
              <w:t>Nelle ultime 2 colonne rosso e verde indicano il superamento, o meno, della soglia di saturazione del 40% per l’area medica e del 30% per le terapie intensive (dati Agenas).</w:t>
            </w:r>
          </w:p>
        </w:tc>
      </w:tr>
    </w:tbl>
    <w:p w:rsidR="007B682B" w:rsidRDefault="002B7A43">
      <w:r>
        <w:rPr>
          <w:rFonts w:ascii="Arial Unicode MS" w:hAnsi="Arial Unicode MS"/>
          <w:color w:val="00457D"/>
          <w:spacing w:val="-4"/>
          <w:sz w:val="24"/>
          <w:szCs w:val="24"/>
          <w:u w:color="00457D"/>
        </w:rPr>
        <w:t xml:space="preserve"> </w:t>
      </w:r>
      <w:r w:rsidR="00CE577D">
        <w:rPr>
          <w:rFonts w:ascii="Arial Unicode MS" w:hAnsi="Arial Unicode MS"/>
          <w:color w:val="00457D"/>
          <w:spacing w:val="-4"/>
          <w:sz w:val="24"/>
          <w:szCs w:val="24"/>
          <w:u w:color="00457D"/>
        </w:rPr>
        <w:br w:type="page"/>
      </w:r>
    </w:p>
    <w:p w:rsidR="007B682B" w:rsidRPr="00F441F1" w:rsidRDefault="00CE577D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 xml:space="preserve">Tabella 2. </w:t>
      </w:r>
      <w:r w:rsidR="00A37F61" w:rsidRPr="00F441F1">
        <w:rPr>
          <w:b/>
          <w:bCs/>
          <w:color w:val="00457D"/>
          <w:sz w:val="24"/>
          <w:szCs w:val="24"/>
          <w:u w:color="00457D"/>
        </w:rPr>
        <w:t>Nuovi</w:t>
      </w:r>
      <w:r w:rsidRPr="00F441F1">
        <w:rPr>
          <w:b/>
          <w:bCs/>
          <w:color w:val="00457D"/>
          <w:sz w:val="24"/>
          <w:szCs w:val="24"/>
          <w:u w:color="00457D"/>
        </w:rPr>
        <w:t xml:space="preserve"> casi nell’ultima settimana</w:t>
      </w:r>
      <w:r w:rsidR="00A37F61" w:rsidRPr="00F441F1">
        <w:rPr>
          <w:b/>
          <w:bCs/>
          <w:color w:val="00457D"/>
          <w:sz w:val="24"/>
          <w:szCs w:val="24"/>
          <w:u w:color="00457D"/>
        </w:rPr>
        <w:t xml:space="preserve"> suddivisi per provincia</w:t>
      </w:r>
    </w:p>
    <w:p w:rsidR="007B682B" w:rsidRDefault="007B682B">
      <w:pPr>
        <w:spacing w:after="80" w:line="240" w:lineRule="auto"/>
        <w:jc w:val="center"/>
        <w:rPr>
          <w:b/>
          <w:bCs/>
          <w:color w:val="00457D"/>
          <w:spacing w:val="-3"/>
          <w:sz w:val="10"/>
          <w:szCs w:val="10"/>
          <w:u w:color="00457D"/>
        </w:rPr>
      </w:pPr>
    </w:p>
    <w:tbl>
      <w:tblPr>
        <w:tblStyle w:val="TableNormal"/>
        <w:tblW w:w="679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2551"/>
      </w:tblGrid>
      <w:tr w:rsidR="007B682B" w:rsidTr="007135C5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rPr>
                <w:b/>
                <w:bCs/>
                <w:color w:val="FFFFFF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rPr>
                <w:b/>
                <w:bCs/>
                <w:color w:val="FFFFFF"/>
                <w:u w:color="FFFFFF"/>
              </w:rPr>
              <w:t>Provincia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 w:rsidP="00D23836">
            <w:pPr>
              <w:spacing w:after="0" w:line="240" w:lineRule="auto"/>
              <w:jc w:val="center"/>
            </w:pPr>
            <w:r>
              <w:rPr>
                <w:b/>
                <w:bCs/>
                <w:color w:val="FFFFFF"/>
                <w:u w:color="FFFFFF"/>
              </w:rPr>
              <w:t xml:space="preserve">Nuovi casi per 100.000 abitanti </w:t>
            </w:r>
            <w:r w:rsidR="00D23836">
              <w:rPr>
                <w:b/>
                <w:bCs/>
                <w:color w:val="FFFFFF"/>
                <w:u w:color="FFFFFF"/>
              </w:rPr>
              <w:t>18-24</w:t>
            </w:r>
            <w:r>
              <w:rPr>
                <w:b/>
                <w:bCs/>
                <w:color w:val="FFFFFF"/>
                <w:u w:color="FFFFFF"/>
              </w:rPr>
              <w:t xml:space="preserve"> agosto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Teramo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89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L'Aquila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66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Pescara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48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Chieti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40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Potenza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75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Matera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35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Reggio di Calabria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169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Vibo Valentia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110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Crotone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106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Cosenza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43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Catanzaro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40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Napoli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75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Salerno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54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Benevento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44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Caserta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40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Avellino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28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Rimini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148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Forlì-Cesena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91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Parma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91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Modena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87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Piacenza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79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Bologna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75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Ravenna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70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Ferrara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69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Reggio nell'Emilia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69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Trieste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64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Pordenone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54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Gorizia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41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Udine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39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Rieti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85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Roma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69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Latina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57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Viterbo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44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Frosinone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37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Imperia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122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La Spezia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78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Genova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57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Savona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53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Mantova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65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Cremona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50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Varese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38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Sondrio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36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Lodi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35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Pavia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35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Brescia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34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Como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31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Milano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29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Monza e della Brianza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29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Lecco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Bergamo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Fermo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98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Macerata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95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Pesaro e Urbino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51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Ascoli Piceno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49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Ancona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49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Campobasso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20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Isernia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16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Bolzano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72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Trento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50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Biella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51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Verbano-Cusio-Ossola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42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Alessandria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38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Torino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37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Novara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30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Cuneo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28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Vercelli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26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Asti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26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Barletta-Andria-Trani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121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Lecce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61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Brindisi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46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Foggia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41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Bari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28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Taranto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Cagliari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239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Sud Sardegna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167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Oristano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99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Nuoro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97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Sassari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83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Caltanissetta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318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Ragusa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281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Enna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268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Siracusa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234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Trapani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195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Messina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185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lastRenderedPageBreak/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Catania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180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Palermo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163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Agrigento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156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Prato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163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Livorno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149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Pistoia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145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Lucca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142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Pisa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113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Firenze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111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Arezzo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101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Grosseto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99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Massa Carrara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95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Siena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84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Perugia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77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Terni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75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Aosta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28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Rovigo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110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Venezia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81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Padova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77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Verona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75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Treviso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71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Vicenza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68</w:t>
            </w:r>
          </w:p>
        </w:tc>
      </w:tr>
      <w:tr w:rsidR="00D23836" w:rsidRPr="00D23836" w:rsidTr="00D23836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rPr>
                <w:sz w:val="20"/>
              </w:rPr>
            </w:pPr>
            <w:r w:rsidRPr="00D23836">
              <w:rPr>
                <w:sz w:val="20"/>
              </w:rPr>
              <w:t>Belluno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D23836" w:rsidRPr="00D23836" w:rsidRDefault="00D23836" w:rsidP="00D23836">
            <w:pPr>
              <w:spacing w:after="0" w:line="240" w:lineRule="auto"/>
              <w:jc w:val="center"/>
              <w:rPr>
                <w:sz w:val="20"/>
              </w:rPr>
            </w:pPr>
            <w:r w:rsidRPr="00D23836">
              <w:rPr>
                <w:sz w:val="20"/>
              </w:rPr>
              <w:t>46</w:t>
            </w:r>
          </w:p>
        </w:tc>
      </w:tr>
    </w:tbl>
    <w:p w:rsidR="007B682B" w:rsidRDefault="007B682B" w:rsidP="007135C5">
      <w:pPr>
        <w:widowControl w:val="0"/>
        <w:spacing w:after="80" w:line="240" w:lineRule="auto"/>
        <w:jc w:val="center"/>
      </w:pPr>
    </w:p>
    <w:sectPr w:rsidR="007B682B">
      <w:headerReference w:type="default" r:id="rId31"/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25DB" w:rsidRDefault="00D925DB">
      <w:pPr>
        <w:spacing w:after="0" w:line="240" w:lineRule="auto"/>
      </w:pPr>
      <w:r>
        <w:separator/>
      </w:r>
    </w:p>
  </w:endnote>
  <w:endnote w:type="continuationSeparator" w:id="0">
    <w:p w:rsidR="00D925DB" w:rsidRDefault="00D92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25DB" w:rsidRDefault="00D925DB">
      <w:pPr>
        <w:spacing w:after="0" w:line="240" w:lineRule="auto"/>
      </w:pPr>
      <w:r>
        <w:separator/>
      </w:r>
    </w:p>
  </w:footnote>
  <w:footnote w:type="continuationSeparator" w:id="0">
    <w:p w:rsidR="00D925DB" w:rsidRDefault="00D92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128F" w:rsidRDefault="00F2128F">
    <w:pPr>
      <w:pStyle w:val="Intestazioneepidipagina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128F" w:rsidRDefault="00F2128F">
    <w:pPr>
      <w:pStyle w:val="Intestazioneepidipagina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128F" w:rsidRDefault="00F2128F">
    <w:pPr>
      <w:pStyle w:val="Intestazioneepidipagina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B514920"/>
    <w:multiLevelType w:val="hybridMultilevel"/>
    <w:tmpl w:val="3F8C4CC8"/>
    <w:numStyleLink w:val="Stileimportato1"/>
  </w:abstractNum>
  <w:abstractNum w:abstractNumId="2" w15:restartNumberingAfterBreak="0">
    <w:nsid w:val="17124B2D"/>
    <w:multiLevelType w:val="hybridMultilevel"/>
    <w:tmpl w:val="D040A854"/>
    <w:numStyleLink w:val="Stileimportato2"/>
  </w:abstractNum>
  <w:abstractNum w:abstractNumId="3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2B"/>
    <w:rsid w:val="00005172"/>
    <w:rsid w:val="000056DE"/>
    <w:rsid w:val="00033800"/>
    <w:rsid w:val="00037A0A"/>
    <w:rsid w:val="00051038"/>
    <w:rsid w:val="000552E2"/>
    <w:rsid w:val="00072C04"/>
    <w:rsid w:val="00073A8A"/>
    <w:rsid w:val="00095DC5"/>
    <w:rsid w:val="000A72BA"/>
    <w:rsid w:val="000B119C"/>
    <w:rsid w:val="000B21CF"/>
    <w:rsid w:val="000B2449"/>
    <w:rsid w:val="000C6B69"/>
    <w:rsid w:val="000D75CD"/>
    <w:rsid w:val="000D7E45"/>
    <w:rsid w:val="000F3AC7"/>
    <w:rsid w:val="001104E4"/>
    <w:rsid w:val="0012399B"/>
    <w:rsid w:val="001533C7"/>
    <w:rsid w:val="001533DC"/>
    <w:rsid w:val="00157F8B"/>
    <w:rsid w:val="00175709"/>
    <w:rsid w:val="001A1D07"/>
    <w:rsid w:val="001A503E"/>
    <w:rsid w:val="001F668D"/>
    <w:rsid w:val="00212F66"/>
    <w:rsid w:val="00216973"/>
    <w:rsid w:val="002171F6"/>
    <w:rsid w:val="002222F6"/>
    <w:rsid w:val="00236626"/>
    <w:rsid w:val="0024188A"/>
    <w:rsid w:val="00245DC3"/>
    <w:rsid w:val="00247670"/>
    <w:rsid w:val="00265ECF"/>
    <w:rsid w:val="00282D8E"/>
    <w:rsid w:val="002B20E2"/>
    <w:rsid w:val="002B7A43"/>
    <w:rsid w:val="002C672C"/>
    <w:rsid w:val="002E1532"/>
    <w:rsid w:val="002E1669"/>
    <w:rsid w:val="00300770"/>
    <w:rsid w:val="00301F67"/>
    <w:rsid w:val="00304225"/>
    <w:rsid w:val="00312170"/>
    <w:rsid w:val="00322C39"/>
    <w:rsid w:val="0032488E"/>
    <w:rsid w:val="00325D76"/>
    <w:rsid w:val="00332BC9"/>
    <w:rsid w:val="003408FB"/>
    <w:rsid w:val="003A62BF"/>
    <w:rsid w:val="003B0352"/>
    <w:rsid w:val="003B720F"/>
    <w:rsid w:val="003D4BA4"/>
    <w:rsid w:val="003D514B"/>
    <w:rsid w:val="003E3FDD"/>
    <w:rsid w:val="003F07EE"/>
    <w:rsid w:val="003F6A5F"/>
    <w:rsid w:val="00402E63"/>
    <w:rsid w:val="00405588"/>
    <w:rsid w:val="004167BB"/>
    <w:rsid w:val="00420736"/>
    <w:rsid w:val="0043788D"/>
    <w:rsid w:val="00440059"/>
    <w:rsid w:val="00442D9F"/>
    <w:rsid w:val="00443AF2"/>
    <w:rsid w:val="00445E8D"/>
    <w:rsid w:val="0045113F"/>
    <w:rsid w:val="00451EEA"/>
    <w:rsid w:val="00456315"/>
    <w:rsid w:val="004642E7"/>
    <w:rsid w:val="00471002"/>
    <w:rsid w:val="00472289"/>
    <w:rsid w:val="00473630"/>
    <w:rsid w:val="004821B7"/>
    <w:rsid w:val="00485811"/>
    <w:rsid w:val="00490739"/>
    <w:rsid w:val="0049135C"/>
    <w:rsid w:val="004919DD"/>
    <w:rsid w:val="0049213B"/>
    <w:rsid w:val="004C70BD"/>
    <w:rsid w:val="004D52D6"/>
    <w:rsid w:val="004D5525"/>
    <w:rsid w:val="004D5CB3"/>
    <w:rsid w:val="004D5CBF"/>
    <w:rsid w:val="004E3F72"/>
    <w:rsid w:val="004E6C61"/>
    <w:rsid w:val="004F17AF"/>
    <w:rsid w:val="005455CA"/>
    <w:rsid w:val="00567F60"/>
    <w:rsid w:val="00584F59"/>
    <w:rsid w:val="00594D45"/>
    <w:rsid w:val="005F1BEA"/>
    <w:rsid w:val="005F493D"/>
    <w:rsid w:val="00603956"/>
    <w:rsid w:val="006121D4"/>
    <w:rsid w:val="00617672"/>
    <w:rsid w:val="006176B8"/>
    <w:rsid w:val="00624DFE"/>
    <w:rsid w:val="00632644"/>
    <w:rsid w:val="0064474F"/>
    <w:rsid w:val="00655A1E"/>
    <w:rsid w:val="0068026F"/>
    <w:rsid w:val="00684004"/>
    <w:rsid w:val="006B365C"/>
    <w:rsid w:val="006B77FA"/>
    <w:rsid w:val="006C3678"/>
    <w:rsid w:val="006D60A3"/>
    <w:rsid w:val="006E201D"/>
    <w:rsid w:val="006F5A3D"/>
    <w:rsid w:val="006F7494"/>
    <w:rsid w:val="00705A25"/>
    <w:rsid w:val="007111CC"/>
    <w:rsid w:val="0071337F"/>
    <w:rsid w:val="007135C5"/>
    <w:rsid w:val="007145F8"/>
    <w:rsid w:val="007237EA"/>
    <w:rsid w:val="00733EDF"/>
    <w:rsid w:val="00735B0D"/>
    <w:rsid w:val="00770468"/>
    <w:rsid w:val="00776FE3"/>
    <w:rsid w:val="0079301A"/>
    <w:rsid w:val="00797AB7"/>
    <w:rsid w:val="007B682B"/>
    <w:rsid w:val="007B6DAF"/>
    <w:rsid w:val="007D3363"/>
    <w:rsid w:val="007D5A05"/>
    <w:rsid w:val="007E1F3B"/>
    <w:rsid w:val="007E2586"/>
    <w:rsid w:val="007E629F"/>
    <w:rsid w:val="007F6C2C"/>
    <w:rsid w:val="008002F6"/>
    <w:rsid w:val="00801062"/>
    <w:rsid w:val="008020E7"/>
    <w:rsid w:val="00803E96"/>
    <w:rsid w:val="008552D6"/>
    <w:rsid w:val="008663EB"/>
    <w:rsid w:val="008703FF"/>
    <w:rsid w:val="008947F5"/>
    <w:rsid w:val="008A6C7F"/>
    <w:rsid w:val="008A7B7E"/>
    <w:rsid w:val="008B3B5E"/>
    <w:rsid w:val="008C27CE"/>
    <w:rsid w:val="008D00D2"/>
    <w:rsid w:val="008D5FB8"/>
    <w:rsid w:val="008F11C8"/>
    <w:rsid w:val="00924D28"/>
    <w:rsid w:val="00930098"/>
    <w:rsid w:val="00936B4D"/>
    <w:rsid w:val="00941445"/>
    <w:rsid w:val="00955B70"/>
    <w:rsid w:val="009615E6"/>
    <w:rsid w:val="009643C6"/>
    <w:rsid w:val="0096748A"/>
    <w:rsid w:val="00972DD8"/>
    <w:rsid w:val="00982AA4"/>
    <w:rsid w:val="00984FFB"/>
    <w:rsid w:val="00985E6B"/>
    <w:rsid w:val="00991024"/>
    <w:rsid w:val="009A1C72"/>
    <w:rsid w:val="009A1DFB"/>
    <w:rsid w:val="009A389D"/>
    <w:rsid w:val="009A647E"/>
    <w:rsid w:val="009B371B"/>
    <w:rsid w:val="009C44C5"/>
    <w:rsid w:val="009E0CAE"/>
    <w:rsid w:val="00A047C6"/>
    <w:rsid w:val="00A06C04"/>
    <w:rsid w:val="00A108BA"/>
    <w:rsid w:val="00A14CE0"/>
    <w:rsid w:val="00A37F61"/>
    <w:rsid w:val="00A40F01"/>
    <w:rsid w:val="00A42754"/>
    <w:rsid w:val="00A553F8"/>
    <w:rsid w:val="00A65462"/>
    <w:rsid w:val="00A72492"/>
    <w:rsid w:val="00A74C39"/>
    <w:rsid w:val="00A76391"/>
    <w:rsid w:val="00A7772E"/>
    <w:rsid w:val="00AA014E"/>
    <w:rsid w:val="00AA64E5"/>
    <w:rsid w:val="00AE0B11"/>
    <w:rsid w:val="00AE3EC3"/>
    <w:rsid w:val="00AF08E9"/>
    <w:rsid w:val="00B305F0"/>
    <w:rsid w:val="00B46108"/>
    <w:rsid w:val="00B4610A"/>
    <w:rsid w:val="00B649F9"/>
    <w:rsid w:val="00B66203"/>
    <w:rsid w:val="00B81B08"/>
    <w:rsid w:val="00B842A4"/>
    <w:rsid w:val="00B85EBA"/>
    <w:rsid w:val="00B86D74"/>
    <w:rsid w:val="00BB07D7"/>
    <w:rsid w:val="00BB0B64"/>
    <w:rsid w:val="00BC660B"/>
    <w:rsid w:val="00BD7ADC"/>
    <w:rsid w:val="00BE1761"/>
    <w:rsid w:val="00BE3F28"/>
    <w:rsid w:val="00BE3F2B"/>
    <w:rsid w:val="00BF36B3"/>
    <w:rsid w:val="00C10469"/>
    <w:rsid w:val="00C21A63"/>
    <w:rsid w:val="00C265DE"/>
    <w:rsid w:val="00C31A5D"/>
    <w:rsid w:val="00C43985"/>
    <w:rsid w:val="00C534E1"/>
    <w:rsid w:val="00C53812"/>
    <w:rsid w:val="00C718CD"/>
    <w:rsid w:val="00C75102"/>
    <w:rsid w:val="00C974D4"/>
    <w:rsid w:val="00CB5E57"/>
    <w:rsid w:val="00CC7750"/>
    <w:rsid w:val="00CE577D"/>
    <w:rsid w:val="00CF5DEB"/>
    <w:rsid w:val="00D23836"/>
    <w:rsid w:val="00D26A8F"/>
    <w:rsid w:val="00D325D0"/>
    <w:rsid w:val="00D405FC"/>
    <w:rsid w:val="00D43896"/>
    <w:rsid w:val="00D54B4A"/>
    <w:rsid w:val="00D7724D"/>
    <w:rsid w:val="00D77EAE"/>
    <w:rsid w:val="00D925DB"/>
    <w:rsid w:val="00D936AC"/>
    <w:rsid w:val="00D943DC"/>
    <w:rsid w:val="00D952E7"/>
    <w:rsid w:val="00DA39C5"/>
    <w:rsid w:val="00DA708A"/>
    <w:rsid w:val="00DB1167"/>
    <w:rsid w:val="00DB5E0F"/>
    <w:rsid w:val="00DC23FC"/>
    <w:rsid w:val="00DC6EA0"/>
    <w:rsid w:val="00DF2577"/>
    <w:rsid w:val="00E21BD0"/>
    <w:rsid w:val="00E42527"/>
    <w:rsid w:val="00E60808"/>
    <w:rsid w:val="00E67F80"/>
    <w:rsid w:val="00E765CD"/>
    <w:rsid w:val="00E7721C"/>
    <w:rsid w:val="00E77426"/>
    <w:rsid w:val="00E838BE"/>
    <w:rsid w:val="00EB6539"/>
    <w:rsid w:val="00EB6697"/>
    <w:rsid w:val="00F07317"/>
    <w:rsid w:val="00F134C8"/>
    <w:rsid w:val="00F2128F"/>
    <w:rsid w:val="00F21976"/>
    <w:rsid w:val="00F441F1"/>
    <w:rsid w:val="00F454DA"/>
    <w:rsid w:val="00F45600"/>
    <w:rsid w:val="00F604BA"/>
    <w:rsid w:val="00F7357D"/>
    <w:rsid w:val="00F83B09"/>
    <w:rsid w:val="00FA2822"/>
    <w:rsid w:val="00FB53E2"/>
    <w:rsid w:val="00FD5BEE"/>
    <w:rsid w:val="00FE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B568F"/>
  <w15:docId w15:val="{2C27F7CE-0A3C-436F-8127-BC8F95988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324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26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mailto:ufficio.stampa@gimbe.or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ronavirus.gimbe.org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epicentro.iss.it/coronavirus/bollettino/Bollettino-sorveglianza-integrata-COVID-19_18-agosto-2021.pd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2.xml"/><Relationship Id="rId8" Type="http://schemas.openxmlformats.org/officeDocument/2006/relationships/hyperlink" Target="https://www.governo.it/it/dipartimenti/commissario-straordinario-lemergenza-covid-19/17685" TargetMode="Externa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5ACC9-69FB-43BB-B480-B461096FC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17</Pages>
  <Words>2643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Luca Bellusci</cp:lastModifiedBy>
  <cp:revision>3</cp:revision>
  <dcterms:created xsi:type="dcterms:W3CDTF">2021-08-26T07:00:00Z</dcterms:created>
  <dcterms:modified xsi:type="dcterms:W3CDTF">2021-08-26T11:00:00Z</dcterms:modified>
</cp:coreProperties>
</file>