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2269AD" w:rsidRDefault="00124E32" w:rsidP="00A94901">
      <w:pPr>
        <w:jc w:val="center"/>
        <w:rPr>
          <w:b/>
          <w:bCs/>
          <w:sz w:val="36"/>
          <w:szCs w:val="36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846C06" w:rsidRPr="003C7356" w:rsidRDefault="00535FB8" w:rsidP="001630EB">
      <w:pPr>
        <w:spacing w:after="120"/>
        <w:jc w:val="center"/>
        <w:rPr>
          <w:b/>
          <w:sz w:val="36"/>
          <w:szCs w:val="36"/>
          <w:lang w:eastAsia="it-IT"/>
        </w:rPr>
      </w:pPr>
      <w:r w:rsidRPr="00535FB8">
        <w:rPr>
          <w:b/>
          <w:sz w:val="36"/>
          <w:szCs w:val="36"/>
          <w:lang w:eastAsia="it-IT"/>
        </w:rPr>
        <w:t xml:space="preserve">CORONAVIRUS: </w:t>
      </w:r>
      <w:r w:rsidR="00C5246D">
        <w:rPr>
          <w:b/>
          <w:sz w:val="36"/>
          <w:szCs w:val="36"/>
          <w:lang w:eastAsia="it-IT"/>
        </w:rPr>
        <w:t>+ 92,4% DI NUOVI CASI IN SOLI 7 GIORNI.</w:t>
      </w:r>
      <w:r w:rsidR="00C5246D">
        <w:rPr>
          <w:b/>
          <w:sz w:val="36"/>
          <w:szCs w:val="36"/>
          <w:lang w:eastAsia="it-IT"/>
        </w:rPr>
        <w:br/>
        <w:t>IN AUMENTO RICOVERI E TERAPIE INTENSIVE</w:t>
      </w:r>
    </w:p>
    <w:p w:rsidR="008F1BD5" w:rsidRPr="00C91BCF" w:rsidRDefault="005862D2" w:rsidP="00F96F71">
      <w:pPr>
        <w:spacing w:after="120"/>
        <w:jc w:val="both"/>
        <w:rPr>
          <w:b/>
          <w:sz w:val="23"/>
          <w:szCs w:val="23"/>
          <w:lang w:eastAsia="it-IT"/>
        </w:rPr>
      </w:pPr>
      <w:r w:rsidRPr="00C91BCF">
        <w:rPr>
          <w:b/>
          <w:sz w:val="23"/>
          <w:szCs w:val="23"/>
          <w:lang w:eastAsia="it-IT"/>
        </w:rPr>
        <w:t>NEL</w:t>
      </w:r>
      <w:r w:rsidR="00100F54" w:rsidRPr="00C91BCF">
        <w:rPr>
          <w:b/>
          <w:sz w:val="23"/>
          <w:szCs w:val="23"/>
          <w:lang w:eastAsia="it-IT"/>
        </w:rPr>
        <w:t>LA SETTIMANA</w:t>
      </w:r>
      <w:r w:rsidR="00E17238" w:rsidRPr="00C91BCF">
        <w:rPr>
          <w:b/>
          <w:sz w:val="23"/>
          <w:szCs w:val="23"/>
          <w:lang w:eastAsia="it-IT"/>
        </w:rPr>
        <w:t xml:space="preserve"> </w:t>
      </w:r>
      <w:r w:rsidR="00C91BCF" w:rsidRPr="00C91BCF">
        <w:rPr>
          <w:b/>
          <w:sz w:val="23"/>
          <w:szCs w:val="23"/>
          <w:lang w:eastAsia="it-IT"/>
        </w:rPr>
        <w:t>1</w:t>
      </w:r>
      <w:r w:rsidR="00B4696D">
        <w:rPr>
          <w:b/>
          <w:sz w:val="23"/>
          <w:szCs w:val="23"/>
          <w:lang w:eastAsia="it-IT"/>
        </w:rPr>
        <w:t>9-25</w:t>
      </w:r>
      <w:r w:rsidR="000654A3" w:rsidRPr="00C91BCF">
        <w:rPr>
          <w:b/>
          <w:sz w:val="23"/>
          <w:szCs w:val="23"/>
          <w:lang w:eastAsia="it-IT"/>
        </w:rPr>
        <w:t xml:space="preserve"> AGOSTO</w:t>
      </w:r>
      <w:r w:rsidR="00100F54" w:rsidRPr="00C91BCF">
        <w:rPr>
          <w:b/>
          <w:sz w:val="23"/>
          <w:szCs w:val="23"/>
          <w:lang w:eastAsia="it-IT"/>
        </w:rPr>
        <w:t>, RISPETTO</w:t>
      </w:r>
      <w:r w:rsidR="00001CEF" w:rsidRPr="00C91BCF">
        <w:rPr>
          <w:b/>
          <w:sz w:val="23"/>
          <w:szCs w:val="23"/>
          <w:lang w:eastAsia="it-IT"/>
        </w:rPr>
        <w:t xml:space="preserve"> ALLA PRECEDENTE</w:t>
      </w:r>
      <w:r w:rsidR="00C036E5" w:rsidRPr="00C91BCF">
        <w:rPr>
          <w:b/>
          <w:sz w:val="23"/>
          <w:szCs w:val="23"/>
          <w:lang w:eastAsia="it-IT"/>
        </w:rPr>
        <w:t>,</w:t>
      </w:r>
      <w:r w:rsidR="00E17238" w:rsidRPr="00C91BCF">
        <w:rPr>
          <w:b/>
          <w:sz w:val="23"/>
          <w:szCs w:val="23"/>
          <w:lang w:eastAsia="it-IT"/>
        </w:rPr>
        <w:t xml:space="preserve"> </w:t>
      </w:r>
      <w:r w:rsidR="00B4696D">
        <w:rPr>
          <w:b/>
          <w:sz w:val="23"/>
          <w:szCs w:val="23"/>
          <w:lang w:eastAsia="it-IT"/>
        </w:rPr>
        <w:t xml:space="preserve">IMPENNATA DEI </w:t>
      </w:r>
      <w:r w:rsidR="00353D22" w:rsidRPr="00C91BCF">
        <w:rPr>
          <w:b/>
          <w:sz w:val="23"/>
          <w:szCs w:val="23"/>
          <w:lang w:eastAsia="it-IT"/>
        </w:rPr>
        <w:t xml:space="preserve">NUOVI CASI </w:t>
      </w:r>
      <w:r w:rsidR="00353D22" w:rsidRPr="00B4696D">
        <w:rPr>
          <w:b/>
          <w:sz w:val="23"/>
          <w:szCs w:val="23"/>
          <w:lang w:eastAsia="it-IT"/>
        </w:rPr>
        <w:t>(</w:t>
      </w:r>
      <w:r w:rsidR="00001CEF" w:rsidRPr="00B4696D">
        <w:rPr>
          <w:b/>
          <w:sz w:val="23"/>
          <w:szCs w:val="23"/>
          <w:lang w:eastAsia="it-IT"/>
        </w:rPr>
        <w:t>+</w:t>
      </w:r>
      <w:r w:rsidR="00B4696D" w:rsidRPr="00B4696D">
        <w:rPr>
          <w:b/>
          <w:sz w:val="23"/>
          <w:szCs w:val="23"/>
          <w:lang w:eastAsia="it-IT"/>
        </w:rPr>
        <w:t>3.139</w:t>
      </w:r>
      <w:r w:rsidR="00CB3113" w:rsidRPr="00B4696D">
        <w:rPr>
          <w:b/>
          <w:sz w:val="23"/>
          <w:szCs w:val="23"/>
          <w:lang w:eastAsia="it-IT"/>
        </w:rPr>
        <w:t>)</w:t>
      </w:r>
      <w:r w:rsidR="00B4696D" w:rsidRPr="00B4696D">
        <w:rPr>
          <w:b/>
          <w:sz w:val="23"/>
          <w:szCs w:val="23"/>
          <w:lang w:eastAsia="it-IT"/>
        </w:rPr>
        <w:t xml:space="preserve"> </w:t>
      </w:r>
      <w:r w:rsidR="00B4696D">
        <w:rPr>
          <w:b/>
          <w:sz w:val="23"/>
          <w:szCs w:val="23"/>
          <w:lang w:eastAsia="it-IT"/>
        </w:rPr>
        <w:t>E</w:t>
      </w:r>
      <w:r w:rsidR="007B4206" w:rsidRPr="00C91BCF">
        <w:rPr>
          <w:b/>
          <w:sz w:val="23"/>
          <w:szCs w:val="23"/>
          <w:lang w:eastAsia="it-IT"/>
        </w:rPr>
        <w:t xml:space="preserve"> </w:t>
      </w:r>
      <w:r w:rsidR="00CE5B44">
        <w:rPr>
          <w:b/>
          <w:sz w:val="23"/>
          <w:szCs w:val="23"/>
          <w:lang w:eastAsia="it-IT"/>
        </w:rPr>
        <w:t xml:space="preserve">ULTERIORE </w:t>
      </w:r>
      <w:r w:rsidR="00C570CD">
        <w:rPr>
          <w:b/>
          <w:sz w:val="23"/>
          <w:szCs w:val="23"/>
          <w:lang w:eastAsia="it-IT"/>
        </w:rPr>
        <w:t xml:space="preserve">AUMENTO DEI PAZIENTI OSPEDALIZZATI </w:t>
      </w:r>
      <w:r w:rsidR="007B4206" w:rsidRPr="00A149F4">
        <w:rPr>
          <w:b/>
          <w:sz w:val="23"/>
          <w:szCs w:val="23"/>
          <w:lang w:eastAsia="it-IT"/>
        </w:rPr>
        <w:t>CON SINTOMI</w:t>
      </w:r>
      <w:r w:rsidR="00C06ED3" w:rsidRPr="00A149F4">
        <w:rPr>
          <w:b/>
          <w:sz w:val="23"/>
          <w:szCs w:val="23"/>
          <w:lang w:eastAsia="it-IT"/>
        </w:rPr>
        <w:t xml:space="preserve"> (+</w:t>
      </w:r>
      <w:r w:rsidR="00A149F4" w:rsidRPr="00A149F4">
        <w:rPr>
          <w:b/>
          <w:sz w:val="23"/>
          <w:szCs w:val="23"/>
          <w:lang w:eastAsia="it-IT"/>
        </w:rPr>
        <w:t>215</w:t>
      </w:r>
      <w:r w:rsidR="00C94612" w:rsidRPr="00A149F4">
        <w:rPr>
          <w:b/>
          <w:sz w:val="23"/>
          <w:szCs w:val="23"/>
          <w:lang w:eastAsia="it-IT"/>
        </w:rPr>
        <w:t>)</w:t>
      </w:r>
      <w:r w:rsidR="00E17238" w:rsidRPr="00A149F4">
        <w:rPr>
          <w:b/>
          <w:sz w:val="23"/>
          <w:szCs w:val="23"/>
          <w:lang w:eastAsia="it-IT"/>
        </w:rPr>
        <w:t xml:space="preserve"> </w:t>
      </w:r>
      <w:r w:rsidR="007B4206" w:rsidRPr="00A149F4">
        <w:rPr>
          <w:b/>
          <w:sz w:val="23"/>
          <w:szCs w:val="23"/>
          <w:lang w:eastAsia="it-IT"/>
        </w:rPr>
        <w:t>E</w:t>
      </w:r>
      <w:r w:rsidR="00C06ED3" w:rsidRPr="00A149F4">
        <w:rPr>
          <w:b/>
          <w:sz w:val="23"/>
          <w:szCs w:val="23"/>
          <w:lang w:eastAsia="it-IT"/>
        </w:rPr>
        <w:t xml:space="preserve"> IN TERAPIA INTENSIVA (+</w:t>
      </w:r>
      <w:r w:rsidR="00A149F4" w:rsidRPr="00A149F4">
        <w:rPr>
          <w:b/>
          <w:sz w:val="23"/>
          <w:szCs w:val="23"/>
          <w:lang w:eastAsia="it-IT"/>
        </w:rPr>
        <w:t>8</w:t>
      </w:r>
      <w:r w:rsidR="00C06ED3" w:rsidRPr="00A149F4">
        <w:rPr>
          <w:b/>
          <w:sz w:val="23"/>
          <w:szCs w:val="23"/>
          <w:lang w:eastAsia="it-IT"/>
        </w:rPr>
        <w:t>)</w:t>
      </w:r>
      <w:r w:rsidR="00F96F71" w:rsidRPr="00A149F4">
        <w:rPr>
          <w:b/>
          <w:sz w:val="23"/>
          <w:szCs w:val="23"/>
          <w:lang w:eastAsia="it-IT"/>
        </w:rPr>
        <w:t xml:space="preserve">. </w:t>
      </w:r>
      <w:r w:rsidR="00C570CD">
        <w:rPr>
          <w:b/>
          <w:sz w:val="23"/>
          <w:szCs w:val="23"/>
          <w:lang w:eastAsia="it-IT"/>
        </w:rPr>
        <w:t xml:space="preserve">SALGONO A </w:t>
      </w:r>
      <w:r w:rsidR="00A21B24" w:rsidRPr="00A21B24">
        <w:rPr>
          <w:b/>
          <w:sz w:val="23"/>
          <w:szCs w:val="23"/>
          <w:lang w:eastAsia="it-IT"/>
        </w:rPr>
        <w:t>19.714</w:t>
      </w:r>
      <w:r w:rsidR="00A21B24">
        <w:rPr>
          <w:b/>
          <w:sz w:val="23"/>
          <w:szCs w:val="23"/>
          <w:lang w:eastAsia="it-IT"/>
        </w:rPr>
        <w:t xml:space="preserve"> </w:t>
      </w:r>
      <w:r w:rsidR="00C570CD">
        <w:rPr>
          <w:b/>
          <w:sz w:val="23"/>
          <w:szCs w:val="23"/>
          <w:lang w:eastAsia="it-IT"/>
        </w:rPr>
        <w:t xml:space="preserve">I CASI </w:t>
      </w:r>
      <w:r w:rsidR="00C570CD" w:rsidRPr="00C91BCF">
        <w:rPr>
          <w:b/>
          <w:sz w:val="23"/>
          <w:szCs w:val="23"/>
          <w:lang w:eastAsia="it-IT"/>
        </w:rPr>
        <w:t>ATTUALMENTE POSITIVI</w:t>
      </w:r>
      <w:r w:rsidR="00C570CD" w:rsidRPr="00A21B24">
        <w:rPr>
          <w:b/>
          <w:sz w:val="23"/>
          <w:szCs w:val="23"/>
          <w:lang w:eastAsia="it-IT"/>
        </w:rPr>
        <w:t xml:space="preserve"> </w:t>
      </w:r>
      <w:r w:rsidR="00C570CD">
        <w:rPr>
          <w:b/>
          <w:sz w:val="23"/>
          <w:szCs w:val="23"/>
          <w:lang w:eastAsia="it-IT"/>
        </w:rPr>
        <w:t xml:space="preserve">CHE </w:t>
      </w:r>
      <w:r w:rsidR="00A21B24">
        <w:rPr>
          <w:b/>
          <w:sz w:val="23"/>
          <w:szCs w:val="23"/>
          <w:lang w:eastAsia="it-IT"/>
        </w:rPr>
        <w:t xml:space="preserve">PER IL </w:t>
      </w:r>
      <w:r w:rsidR="00E36C9C">
        <w:rPr>
          <w:b/>
          <w:sz w:val="23"/>
          <w:szCs w:val="23"/>
          <w:lang w:eastAsia="it-IT"/>
        </w:rPr>
        <w:t>91,8</w:t>
      </w:r>
      <w:r w:rsidR="00A21B24">
        <w:rPr>
          <w:b/>
          <w:sz w:val="23"/>
          <w:szCs w:val="23"/>
          <w:lang w:eastAsia="it-IT"/>
        </w:rPr>
        <w:t xml:space="preserve">% SONO CONCENTRATI IN </w:t>
      </w:r>
      <w:r w:rsidR="00834083">
        <w:rPr>
          <w:b/>
          <w:sz w:val="23"/>
          <w:szCs w:val="23"/>
          <w:lang w:eastAsia="it-IT"/>
        </w:rPr>
        <w:t xml:space="preserve">11 </w:t>
      </w:r>
      <w:r w:rsidR="00A21B24">
        <w:rPr>
          <w:b/>
          <w:sz w:val="23"/>
          <w:szCs w:val="23"/>
          <w:lang w:eastAsia="it-IT"/>
        </w:rPr>
        <w:t xml:space="preserve">REGIONI: 29,4% IN </w:t>
      </w:r>
      <w:r w:rsidR="00A21B24" w:rsidRPr="00A21B24">
        <w:rPr>
          <w:b/>
        </w:rPr>
        <w:t>LOMBARDIA</w:t>
      </w:r>
      <w:r w:rsidR="00A21B24">
        <w:rPr>
          <w:b/>
        </w:rPr>
        <w:t xml:space="preserve">, IL </w:t>
      </w:r>
      <w:r w:rsidR="00A21B24" w:rsidRPr="00A21B24">
        <w:rPr>
          <w:b/>
        </w:rPr>
        <w:t xml:space="preserve">33,4% </w:t>
      </w:r>
      <w:r w:rsidR="0075145C">
        <w:rPr>
          <w:b/>
        </w:rPr>
        <w:t xml:space="preserve">IN </w:t>
      </w:r>
      <w:r w:rsidR="00A21B24" w:rsidRPr="00A21B24">
        <w:rPr>
          <w:b/>
        </w:rPr>
        <w:t xml:space="preserve">LAZIO, EMILIA-ROMAGNA E VENETO </w:t>
      </w:r>
      <w:r w:rsidR="00A21B24">
        <w:rPr>
          <w:b/>
        </w:rPr>
        <w:t xml:space="preserve">E UN ULTERIORE 29% </w:t>
      </w:r>
      <w:r w:rsidR="00C570CD">
        <w:rPr>
          <w:b/>
        </w:rPr>
        <w:t>IN</w:t>
      </w:r>
      <w:r w:rsidR="00A21B24">
        <w:rPr>
          <w:b/>
        </w:rPr>
        <w:t xml:space="preserve"> CAMPANIA, </w:t>
      </w:r>
      <w:r w:rsidR="00A21B24" w:rsidRPr="00A21B24">
        <w:rPr>
          <w:b/>
        </w:rPr>
        <w:t>PIEMONTE</w:t>
      </w:r>
      <w:r w:rsidR="00A21B24">
        <w:rPr>
          <w:b/>
        </w:rPr>
        <w:t>,</w:t>
      </w:r>
      <w:r w:rsidR="00A21B24" w:rsidRPr="00A21B24">
        <w:rPr>
          <w:b/>
        </w:rPr>
        <w:t xml:space="preserve"> </w:t>
      </w:r>
      <w:r w:rsidR="00A21B24">
        <w:rPr>
          <w:b/>
        </w:rPr>
        <w:t>TOSCANA</w:t>
      </w:r>
      <w:r w:rsidR="00A21B24" w:rsidRPr="00A21B24">
        <w:rPr>
          <w:b/>
        </w:rPr>
        <w:t>, SICILIA</w:t>
      </w:r>
      <w:r w:rsidR="00A21B24">
        <w:rPr>
          <w:b/>
        </w:rPr>
        <w:t>, PUGLIA</w:t>
      </w:r>
      <w:r w:rsidR="00A21B24" w:rsidRPr="00A21B24">
        <w:rPr>
          <w:b/>
        </w:rPr>
        <w:t>, SARDEGNA</w:t>
      </w:r>
      <w:r w:rsidR="00A21B24">
        <w:rPr>
          <w:b/>
        </w:rPr>
        <w:t xml:space="preserve"> </w:t>
      </w:r>
      <w:r w:rsidR="00A21B24" w:rsidRPr="00A21B24">
        <w:rPr>
          <w:b/>
        </w:rPr>
        <w:t>E LIGURIA</w:t>
      </w:r>
      <w:r w:rsidR="006576D7" w:rsidRPr="00C91BCF">
        <w:rPr>
          <w:b/>
          <w:sz w:val="23"/>
          <w:szCs w:val="23"/>
          <w:lang w:eastAsia="it-IT"/>
        </w:rPr>
        <w:t>.</w:t>
      </w:r>
      <w:r w:rsidR="006576D7" w:rsidRPr="008A0E45">
        <w:rPr>
          <w:b/>
          <w:sz w:val="23"/>
          <w:szCs w:val="23"/>
          <w:lang w:eastAsia="it-IT"/>
        </w:rPr>
        <w:t xml:space="preserve"> </w:t>
      </w:r>
      <w:r w:rsidR="00772F06">
        <w:rPr>
          <w:b/>
          <w:sz w:val="23"/>
          <w:szCs w:val="23"/>
          <w:lang w:eastAsia="it-IT"/>
        </w:rPr>
        <w:br/>
        <w:t xml:space="preserve">IN POCO PIÙ DI UN MESE </w:t>
      </w:r>
      <w:r w:rsidR="0018261A">
        <w:rPr>
          <w:b/>
          <w:sz w:val="23"/>
          <w:szCs w:val="23"/>
          <w:lang w:eastAsia="it-IT"/>
        </w:rPr>
        <w:t xml:space="preserve">I </w:t>
      </w:r>
      <w:r w:rsidR="003B386F" w:rsidRPr="00A776BE">
        <w:rPr>
          <w:b/>
          <w:sz w:val="23"/>
          <w:szCs w:val="23"/>
          <w:lang w:eastAsia="it-IT"/>
        </w:rPr>
        <w:t>NUOVI</w:t>
      </w:r>
      <w:r w:rsidR="00EA6CB9" w:rsidRPr="00A776BE">
        <w:rPr>
          <w:b/>
          <w:sz w:val="23"/>
          <w:szCs w:val="23"/>
          <w:lang w:eastAsia="it-IT"/>
        </w:rPr>
        <w:t xml:space="preserve"> CASI</w:t>
      </w:r>
      <w:r w:rsidR="000568EE" w:rsidRPr="00A776BE">
        <w:rPr>
          <w:b/>
          <w:sz w:val="23"/>
          <w:szCs w:val="23"/>
          <w:lang w:eastAsia="it-IT"/>
        </w:rPr>
        <w:t xml:space="preserve"> </w:t>
      </w:r>
      <w:r w:rsidR="009942DB">
        <w:rPr>
          <w:b/>
          <w:sz w:val="23"/>
          <w:szCs w:val="23"/>
          <w:lang w:eastAsia="it-IT"/>
        </w:rPr>
        <w:t xml:space="preserve">PER SETTIMANA </w:t>
      </w:r>
      <w:r w:rsidR="0018261A">
        <w:rPr>
          <w:b/>
          <w:sz w:val="23"/>
          <w:szCs w:val="23"/>
          <w:lang w:eastAsia="it-IT"/>
        </w:rPr>
        <w:t xml:space="preserve">SONO </w:t>
      </w:r>
      <w:r w:rsidR="000568EE" w:rsidRPr="00A776BE">
        <w:rPr>
          <w:b/>
          <w:sz w:val="23"/>
          <w:szCs w:val="23"/>
          <w:lang w:eastAsia="it-IT"/>
        </w:rPr>
        <w:t>AUMENTATI</w:t>
      </w:r>
      <w:r w:rsidR="005D78FF" w:rsidRPr="00A776BE">
        <w:rPr>
          <w:b/>
          <w:sz w:val="23"/>
          <w:szCs w:val="23"/>
          <w:lang w:eastAsia="it-IT"/>
        </w:rPr>
        <w:t xml:space="preserve"> </w:t>
      </w:r>
      <w:r w:rsidR="003B386F" w:rsidRPr="00A776BE">
        <w:rPr>
          <w:b/>
          <w:sz w:val="23"/>
          <w:szCs w:val="23"/>
          <w:lang w:eastAsia="it-IT"/>
        </w:rPr>
        <w:t xml:space="preserve">DA 1.408 </w:t>
      </w:r>
      <w:r w:rsidR="000568EE" w:rsidRPr="00A776BE">
        <w:rPr>
          <w:b/>
          <w:sz w:val="23"/>
          <w:szCs w:val="23"/>
          <w:lang w:eastAsia="it-IT"/>
        </w:rPr>
        <w:t xml:space="preserve">A </w:t>
      </w:r>
      <w:r w:rsidR="003B386F" w:rsidRPr="00A776BE">
        <w:rPr>
          <w:b/>
          <w:sz w:val="23"/>
          <w:szCs w:val="23"/>
          <w:lang w:eastAsia="it-IT"/>
        </w:rPr>
        <w:t>6.538, CON INCREMENTO DEL RAPPORTO POSITIVI/</w:t>
      </w:r>
      <w:r w:rsidR="00EA6CB9" w:rsidRPr="00A776BE">
        <w:rPr>
          <w:b/>
          <w:sz w:val="23"/>
          <w:szCs w:val="23"/>
          <w:lang w:eastAsia="it-IT"/>
        </w:rPr>
        <w:t>CASI TESTATI DALLO 0,8% AL 2,1%.</w:t>
      </w:r>
    </w:p>
    <w:p w:rsidR="00B443D8" w:rsidRDefault="00404ACE" w:rsidP="00B443D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A0E45">
        <w:rPr>
          <w:rFonts w:ascii="Calibri" w:eastAsia="Calibri" w:hAnsi="Calibri" w:cs="Times New Roman"/>
          <w:b/>
          <w:bCs/>
          <w:sz w:val="24"/>
          <w:szCs w:val="24"/>
        </w:rPr>
        <w:t>2</w:t>
      </w:r>
      <w:r>
        <w:rPr>
          <w:rFonts w:ascii="Calibri" w:eastAsia="Calibri" w:hAnsi="Calibri" w:cs="Times New Roman"/>
          <w:b/>
          <w:bCs/>
          <w:sz w:val="24"/>
          <w:szCs w:val="24"/>
        </w:rPr>
        <w:t>7</w:t>
      </w:r>
      <w:r w:rsidRPr="00A97066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654A3" w:rsidRPr="002F0DFB">
        <w:rPr>
          <w:rFonts w:ascii="Calibri" w:eastAsia="Calibri" w:hAnsi="Calibri" w:cs="Times New Roman"/>
          <w:b/>
          <w:bCs/>
          <w:sz w:val="24"/>
          <w:szCs w:val="24"/>
        </w:rPr>
        <w:t>agosto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 xml:space="preserve"> 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756BF5" w:rsidRPr="00C91BCF" w:rsidRDefault="00406DC9" w:rsidP="00CD1202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Il monitoraggio indipendente della </w:t>
      </w:r>
      <w:r w:rsidRPr="00B93DEF">
        <w:rPr>
          <w:lang w:eastAsia="it-IT"/>
        </w:rPr>
        <w:t xml:space="preserve">Fondazione GIMBE </w:t>
      </w:r>
      <w:r w:rsidR="00CE5B44">
        <w:rPr>
          <w:lang w:eastAsia="it-IT"/>
        </w:rPr>
        <w:t>registra</w:t>
      </w:r>
      <w:r w:rsidR="00CE5B44" w:rsidRPr="00B93DEF">
        <w:rPr>
          <w:lang w:eastAsia="it-IT"/>
        </w:rPr>
        <w:t xml:space="preserve"> </w:t>
      </w:r>
      <w:r w:rsidRPr="00B93DEF">
        <w:t>n</w:t>
      </w:r>
      <w:r w:rsidR="00DD06F4" w:rsidRPr="00B93DEF">
        <w:t xml:space="preserve">ella settimana </w:t>
      </w:r>
      <w:r w:rsidR="003B767D" w:rsidRPr="00B93DEF">
        <w:t>1</w:t>
      </w:r>
      <w:r w:rsidR="00B4696D">
        <w:t>9-25</w:t>
      </w:r>
      <w:r w:rsidR="000654A3" w:rsidRPr="00B93DEF">
        <w:t xml:space="preserve"> agosto</w:t>
      </w:r>
      <w:r w:rsidR="00A73F90" w:rsidRPr="00B93DEF">
        <w:t xml:space="preserve">, rispetto alla precedente, </w:t>
      </w:r>
      <w:r w:rsidR="005862D2" w:rsidRPr="00B93DEF">
        <w:rPr>
          <w:lang w:eastAsia="it-IT"/>
        </w:rPr>
        <w:t xml:space="preserve">un </w:t>
      </w:r>
      <w:r w:rsidR="00DD06F4" w:rsidRPr="00B93DEF">
        <w:rPr>
          <w:lang w:eastAsia="it-IT"/>
        </w:rPr>
        <w:t xml:space="preserve">incremento </w:t>
      </w:r>
      <w:r w:rsidR="00E6747E" w:rsidRPr="00B93DEF">
        <w:rPr>
          <w:lang w:eastAsia="it-IT"/>
        </w:rPr>
        <w:t xml:space="preserve">del </w:t>
      </w:r>
      <w:r w:rsidR="000A24C2">
        <w:rPr>
          <w:lang w:eastAsia="it-IT"/>
        </w:rPr>
        <w:t>92,4</w:t>
      </w:r>
      <w:r w:rsidR="003C7356" w:rsidRPr="00B93DEF">
        <w:rPr>
          <w:lang w:eastAsia="it-IT"/>
        </w:rPr>
        <w:t>%</w:t>
      </w:r>
      <w:r w:rsidR="00E17238" w:rsidRPr="00B93DEF">
        <w:rPr>
          <w:lang w:eastAsia="it-IT"/>
        </w:rPr>
        <w:t xml:space="preserve"> </w:t>
      </w:r>
      <w:r w:rsidR="00DD06F4" w:rsidRPr="00B93DEF">
        <w:rPr>
          <w:lang w:eastAsia="it-IT"/>
        </w:rPr>
        <w:t>dei nuovi casi (</w:t>
      </w:r>
      <w:r w:rsidR="00756BF5">
        <w:rPr>
          <w:lang w:eastAsia="it-IT"/>
        </w:rPr>
        <w:t>6.</w:t>
      </w:r>
      <w:r w:rsidR="00404ACE">
        <w:rPr>
          <w:lang w:eastAsia="it-IT"/>
        </w:rPr>
        <w:t xml:space="preserve">538 </w:t>
      </w:r>
      <w:r w:rsidR="003B767D" w:rsidRPr="00B93DEF">
        <w:rPr>
          <w:lang w:eastAsia="it-IT"/>
        </w:rPr>
        <w:t xml:space="preserve">vs </w:t>
      </w:r>
      <w:r w:rsidR="00756BF5" w:rsidRPr="00B93DEF">
        <w:rPr>
          <w:lang w:eastAsia="it-IT"/>
        </w:rPr>
        <w:t>3.399</w:t>
      </w:r>
      <w:r w:rsidR="00796E28" w:rsidRPr="00B93DEF">
        <w:rPr>
          <w:lang w:eastAsia="it-IT"/>
        </w:rPr>
        <w:t>)</w:t>
      </w:r>
      <w:r w:rsidR="000A24C2">
        <w:rPr>
          <w:lang w:eastAsia="it-IT"/>
        </w:rPr>
        <w:t xml:space="preserve">, </w:t>
      </w:r>
      <w:r w:rsidR="00756BF5">
        <w:rPr>
          <w:lang w:eastAsia="it-IT"/>
        </w:rPr>
        <w:t xml:space="preserve">grazie </w:t>
      </w:r>
      <w:r w:rsidR="000A24C2">
        <w:rPr>
          <w:lang w:eastAsia="it-IT"/>
        </w:rPr>
        <w:t xml:space="preserve">anche </w:t>
      </w:r>
      <w:r w:rsidR="00FE3503">
        <w:rPr>
          <w:lang w:eastAsia="it-IT"/>
        </w:rPr>
        <w:t xml:space="preserve">all’aumento </w:t>
      </w:r>
      <w:r w:rsidR="00DD06F4" w:rsidRPr="00C91BCF">
        <w:rPr>
          <w:lang w:eastAsia="it-IT"/>
        </w:rPr>
        <w:t>de</w:t>
      </w:r>
      <w:r w:rsidR="0046598E" w:rsidRPr="00C91BCF">
        <w:rPr>
          <w:lang w:eastAsia="it-IT"/>
        </w:rPr>
        <w:t>i</w:t>
      </w:r>
      <w:r w:rsidR="00E17238" w:rsidRPr="00C91BCF">
        <w:rPr>
          <w:lang w:eastAsia="it-IT"/>
        </w:rPr>
        <w:t xml:space="preserve"> </w:t>
      </w:r>
      <w:r w:rsidR="002A3D04">
        <w:rPr>
          <w:lang w:eastAsia="it-IT"/>
        </w:rPr>
        <w:t xml:space="preserve">casi testati </w:t>
      </w:r>
      <w:r w:rsidR="00CD1202" w:rsidRPr="00C91BCF">
        <w:rPr>
          <w:lang w:eastAsia="it-IT"/>
        </w:rPr>
        <w:t>(</w:t>
      </w:r>
      <w:r w:rsidR="00756BF5" w:rsidRPr="00756BF5">
        <w:rPr>
          <w:lang w:eastAsia="it-IT"/>
        </w:rPr>
        <w:t>309.127</w:t>
      </w:r>
      <w:r w:rsidR="00756BF5">
        <w:rPr>
          <w:lang w:eastAsia="it-IT"/>
        </w:rPr>
        <w:t xml:space="preserve"> vs </w:t>
      </w:r>
      <w:r w:rsidR="00404ACE">
        <w:rPr>
          <w:lang w:eastAsia="it-IT"/>
        </w:rPr>
        <w:t>180.300</w:t>
      </w:r>
      <w:r w:rsidR="0046598E" w:rsidRPr="00C91BCF">
        <w:rPr>
          <w:lang w:eastAsia="it-IT"/>
        </w:rPr>
        <w:t>).</w:t>
      </w:r>
      <w:r w:rsidR="00E17238" w:rsidRPr="00C91BCF">
        <w:rPr>
          <w:lang w:eastAsia="it-IT"/>
        </w:rPr>
        <w:t xml:space="preserve"> </w:t>
      </w:r>
      <w:r w:rsidR="00C036E5" w:rsidRPr="00C91BCF">
        <w:rPr>
          <w:lang w:eastAsia="it-IT"/>
        </w:rPr>
        <w:t>Relativamente</w:t>
      </w:r>
      <w:r w:rsidR="00C06ED3" w:rsidRPr="00C91BCF">
        <w:rPr>
          <w:lang w:eastAsia="it-IT"/>
        </w:rPr>
        <w:t xml:space="preserve"> ai dati ospedalieri</w:t>
      </w:r>
      <w:r w:rsidR="00E17238" w:rsidRPr="00C91BCF">
        <w:rPr>
          <w:lang w:eastAsia="it-IT"/>
        </w:rPr>
        <w:t xml:space="preserve"> </w:t>
      </w:r>
      <w:r w:rsidR="00756BF5">
        <w:rPr>
          <w:lang w:eastAsia="it-IT"/>
        </w:rPr>
        <w:t>si conferma il trend in crescita de</w:t>
      </w:r>
      <w:r w:rsidR="008F1BD5" w:rsidRPr="00C91BCF">
        <w:rPr>
          <w:lang w:eastAsia="it-IT"/>
        </w:rPr>
        <w:t xml:space="preserve">i </w:t>
      </w:r>
      <w:r w:rsidR="0046598E" w:rsidRPr="00C91BCF">
        <w:rPr>
          <w:lang w:eastAsia="it-IT"/>
        </w:rPr>
        <w:t xml:space="preserve">pazienti </w:t>
      </w:r>
      <w:r w:rsidR="008F1BD5" w:rsidRPr="00C91BCF">
        <w:rPr>
          <w:lang w:eastAsia="it-IT"/>
        </w:rPr>
        <w:t>ricoverati con sintomi</w:t>
      </w:r>
      <w:r w:rsidR="00CD1202" w:rsidRPr="00C91BCF">
        <w:rPr>
          <w:lang w:eastAsia="it-IT"/>
        </w:rPr>
        <w:t xml:space="preserve"> </w:t>
      </w:r>
      <w:r w:rsidR="007B4206" w:rsidRPr="00C91BCF">
        <w:rPr>
          <w:lang w:eastAsia="it-IT"/>
        </w:rPr>
        <w:t>(</w:t>
      </w:r>
      <w:r w:rsidR="00756BF5">
        <w:rPr>
          <w:lang w:eastAsia="it-IT"/>
        </w:rPr>
        <w:t xml:space="preserve">1.058 </w:t>
      </w:r>
      <w:r w:rsidR="007B4206" w:rsidRPr="00C91BCF">
        <w:rPr>
          <w:lang w:eastAsia="it-IT"/>
        </w:rPr>
        <w:t xml:space="preserve">vs </w:t>
      </w:r>
      <w:r w:rsidR="00756BF5" w:rsidRPr="00C91BCF">
        <w:rPr>
          <w:lang w:eastAsia="it-IT"/>
        </w:rPr>
        <w:t>843</w:t>
      </w:r>
      <w:r w:rsidR="007B4206" w:rsidRPr="00C91BCF">
        <w:rPr>
          <w:lang w:eastAsia="it-IT"/>
        </w:rPr>
        <w:t xml:space="preserve">) </w:t>
      </w:r>
      <w:r w:rsidR="00CD1202" w:rsidRPr="00C91BCF">
        <w:rPr>
          <w:lang w:eastAsia="it-IT"/>
        </w:rPr>
        <w:t xml:space="preserve">e </w:t>
      </w:r>
      <w:r w:rsidR="00756BF5">
        <w:rPr>
          <w:lang w:eastAsia="it-IT"/>
        </w:rPr>
        <w:t xml:space="preserve">di </w:t>
      </w:r>
      <w:r w:rsidR="00CD1202" w:rsidRPr="00C91BCF">
        <w:rPr>
          <w:lang w:eastAsia="it-IT"/>
        </w:rPr>
        <w:t>quelli</w:t>
      </w:r>
      <w:r w:rsidR="0046598E" w:rsidRPr="00C91BCF">
        <w:rPr>
          <w:lang w:eastAsia="it-IT"/>
        </w:rPr>
        <w:t xml:space="preserve"> in terapia intensiva (</w:t>
      </w:r>
      <w:r w:rsidR="00756BF5">
        <w:rPr>
          <w:lang w:eastAsia="it-IT"/>
        </w:rPr>
        <w:t xml:space="preserve">66 vs </w:t>
      </w:r>
      <w:r w:rsidR="007B4206" w:rsidRPr="00C91BCF">
        <w:rPr>
          <w:lang w:eastAsia="it-IT"/>
        </w:rPr>
        <w:t>58</w:t>
      </w:r>
      <w:r w:rsidR="0046598E" w:rsidRPr="00C91BCF">
        <w:rPr>
          <w:lang w:eastAsia="it-IT"/>
        </w:rPr>
        <w:t>)</w:t>
      </w:r>
      <w:r w:rsidR="0069637C" w:rsidRPr="00C91BCF">
        <w:rPr>
          <w:lang w:eastAsia="it-IT"/>
        </w:rPr>
        <w:t xml:space="preserve">. In </w:t>
      </w:r>
      <w:r w:rsidR="00C036E5" w:rsidRPr="00C91BCF">
        <w:rPr>
          <w:lang w:eastAsia="it-IT"/>
        </w:rPr>
        <w:t>dettaglio</w:t>
      </w:r>
      <w:r w:rsidR="0069637C" w:rsidRPr="00C91BCF">
        <w:rPr>
          <w:lang w:eastAsia="it-IT"/>
        </w:rPr>
        <w:t>:</w:t>
      </w:r>
    </w:p>
    <w:p w:rsidR="005E1B70" w:rsidRPr="00C91BCF" w:rsidRDefault="005E1B70" w:rsidP="008A0E45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Decessi: </w:t>
      </w:r>
      <w:r w:rsidR="0002190C">
        <w:t>+</w:t>
      </w:r>
      <w:r w:rsidR="00756BF5">
        <w:t>40</w:t>
      </w:r>
      <w:r w:rsidR="00C91BCF" w:rsidRPr="00511884">
        <w:t xml:space="preserve"> (+0,</w:t>
      </w:r>
      <w:r w:rsidR="00511884" w:rsidRPr="00511884">
        <w:t>1</w:t>
      </w:r>
      <w:r w:rsidR="005862D2" w:rsidRPr="00511884">
        <w:t>%)</w:t>
      </w:r>
    </w:p>
    <w:p w:rsidR="005E1B70" w:rsidRPr="00C91BCF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Terapia intensiva: </w:t>
      </w:r>
      <w:r w:rsidR="00756BF5">
        <w:t>+8</w:t>
      </w:r>
      <w:r w:rsidR="005862D2" w:rsidRPr="00C91BCF">
        <w:t xml:space="preserve"> (</w:t>
      </w:r>
      <w:r w:rsidR="000654A3" w:rsidRPr="00C91BCF">
        <w:t>+</w:t>
      </w:r>
      <w:r w:rsidR="00C91BCF" w:rsidRPr="00C91BCF">
        <w:t>1</w:t>
      </w:r>
      <w:r w:rsidR="00756BF5">
        <w:t>3,8</w:t>
      </w:r>
      <w:r w:rsidR="00073DC9" w:rsidRPr="00C91BCF">
        <w:t>%</w:t>
      </w:r>
      <w:r w:rsidR="005862D2" w:rsidRPr="00C91BCF">
        <w:t>)</w:t>
      </w:r>
    </w:p>
    <w:p w:rsidR="00DD06F4" w:rsidRPr="00C91BCF" w:rsidRDefault="00DD06F4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Ricoverati con sintomi: </w:t>
      </w:r>
      <w:r w:rsidR="00C91BCF" w:rsidRPr="00C91BCF">
        <w:t>+</w:t>
      </w:r>
      <w:r w:rsidR="00756BF5">
        <w:t>215</w:t>
      </w:r>
      <w:r w:rsidR="00C91BCF" w:rsidRPr="00C91BCF">
        <w:t xml:space="preserve"> (+</w:t>
      </w:r>
      <w:r w:rsidR="00756BF5">
        <w:t>25,5</w:t>
      </w:r>
      <w:r w:rsidR="005862D2" w:rsidRPr="00C91BCF">
        <w:t>%)</w:t>
      </w:r>
    </w:p>
    <w:p w:rsidR="005E1B70" w:rsidRPr="00C91BCF" w:rsidRDefault="005E1B70" w:rsidP="00073DC9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>Nuovi casi</w:t>
      </w:r>
      <w:r w:rsidR="00DD06F4" w:rsidRPr="00C91BCF">
        <w:t xml:space="preserve"> totali</w:t>
      </w:r>
      <w:r w:rsidRPr="00C91BCF">
        <w:t>:</w:t>
      </w:r>
      <w:r w:rsidR="00633FE4" w:rsidRPr="00C91BCF">
        <w:t xml:space="preserve"> </w:t>
      </w:r>
      <w:r w:rsidR="005862D2" w:rsidRPr="00C91BCF">
        <w:t>+</w:t>
      </w:r>
      <w:r w:rsidR="00756BF5">
        <w:t>6.</w:t>
      </w:r>
      <w:r w:rsidR="00404ACE">
        <w:t>538</w:t>
      </w:r>
      <w:r w:rsidR="00404ACE" w:rsidRPr="00C91BCF">
        <w:t xml:space="preserve"> </w:t>
      </w:r>
      <w:r w:rsidR="000654A3" w:rsidRPr="00C91BCF">
        <w:t>(+</w:t>
      </w:r>
      <w:r w:rsidR="007A599A">
        <w:t>92,4</w:t>
      </w:r>
      <w:r w:rsidR="005862D2" w:rsidRPr="00C91BCF">
        <w:t>%)</w:t>
      </w:r>
      <w:bookmarkStart w:id="0" w:name="_GoBack"/>
      <w:bookmarkEnd w:id="0"/>
    </w:p>
    <w:p w:rsidR="00260775" w:rsidRPr="00C91BCF" w:rsidRDefault="002A3D04" w:rsidP="00756BF5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 xml:space="preserve">Casi testati </w:t>
      </w:r>
      <w:r w:rsidR="00C91BCF" w:rsidRPr="00C91BCF">
        <w:t>+</w:t>
      </w:r>
      <w:r w:rsidR="00756BF5" w:rsidRPr="00756BF5">
        <w:t>128.827</w:t>
      </w:r>
      <w:r w:rsidR="00C91BCF" w:rsidRPr="00C91BCF">
        <w:t xml:space="preserve"> </w:t>
      </w:r>
      <w:r w:rsidR="0092337D" w:rsidRPr="00C91BCF">
        <w:t>(</w:t>
      </w:r>
      <w:r w:rsidR="00C91BCF" w:rsidRPr="00C91BCF">
        <w:t>+</w:t>
      </w:r>
      <w:r w:rsidR="00756BF5">
        <w:t>71,5</w:t>
      </w:r>
      <w:r w:rsidR="0092337D" w:rsidRPr="00C91BCF">
        <w:t>%)</w:t>
      </w:r>
    </w:p>
    <w:p w:rsidR="00260775" w:rsidRDefault="00260775" w:rsidP="00A149F4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 w:rsidRPr="00C91BCF">
        <w:t xml:space="preserve">Tamponi totali: </w:t>
      </w:r>
      <w:r w:rsidR="00A149F4">
        <w:t>+</w:t>
      </w:r>
      <w:r w:rsidR="00A149F4" w:rsidRPr="00A149F4">
        <w:t>158.692</w:t>
      </w:r>
      <w:r w:rsidR="00A149F4">
        <w:t xml:space="preserve"> (+48,8%</w:t>
      </w:r>
      <w:r w:rsidR="009D6AEE" w:rsidRPr="00C91BCF">
        <w:t>)</w:t>
      </w:r>
    </w:p>
    <w:p w:rsidR="00611E90" w:rsidRPr="00212CD8" w:rsidRDefault="00611E90" w:rsidP="00611E90">
      <w:pPr>
        <w:spacing w:after="120"/>
        <w:jc w:val="both"/>
        <w:rPr>
          <w:lang w:eastAsia="it-IT"/>
        </w:rPr>
      </w:pPr>
      <w:r w:rsidRPr="002A3D04">
        <w:t>«</w:t>
      </w:r>
      <w:r w:rsidR="00212CD8">
        <w:t xml:space="preserve">In soli 7 giorni </w:t>
      </w:r>
      <w:r w:rsidR="00E0665C" w:rsidRPr="002A3D04">
        <w:rPr>
          <w:lang w:eastAsia="it-IT"/>
        </w:rPr>
        <w:t>–</w:t>
      </w:r>
      <w:r w:rsidR="00E17238" w:rsidRPr="002A3D04">
        <w:rPr>
          <w:lang w:eastAsia="it-IT"/>
        </w:rPr>
        <w:t xml:space="preserve"> </w:t>
      </w:r>
      <w:r w:rsidR="00CD1202" w:rsidRPr="002A3D04">
        <w:rPr>
          <w:lang w:eastAsia="it-IT"/>
        </w:rPr>
        <w:t>dichiara</w:t>
      </w:r>
      <w:r w:rsidR="00E0665C" w:rsidRPr="002A3D04">
        <w:rPr>
          <w:lang w:eastAsia="it-IT"/>
        </w:rPr>
        <w:t xml:space="preserve"> Nino Cartabellotta, Presidente della Fondazione GIMBE –</w:t>
      </w:r>
      <w:r w:rsidR="00A149F4">
        <w:rPr>
          <w:lang w:eastAsia="it-IT"/>
        </w:rPr>
        <w:t xml:space="preserve"> si </w:t>
      </w:r>
      <w:r w:rsidR="00CE5B44">
        <w:rPr>
          <w:lang w:eastAsia="it-IT"/>
        </w:rPr>
        <w:t>sfiora il</w:t>
      </w:r>
      <w:r w:rsidR="00A149F4">
        <w:rPr>
          <w:lang w:eastAsia="it-IT"/>
        </w:rPr>
        <w:t xml:space="preserve"> raddoppio dei nuovi casi totali</w:t>
      </w:r>
      <w:r w:rsidR="00212CD8">
        <w:rPr>
          <w:lang w:eastAsia="it-IT"/>
        </w:rPr>
        <w:t>, non solo per l’</w:t>
      </w:r>
      <w:r w:rsidR="00212CD8">
        <w:t>incremento dell’attività di testing, ma anche per l’aumento del rapporto positivi/casi testati.</w:t>
      </w:r>
      <w:r w:rsidR="00212CD8">
        <w:rPr>
          <w:lang w:eastAsia="it-IT"/>
        </w:rPr>
        <w:t xml:space="preserve"> Inoltre, </w:t>
      </w:r>
      <w:r w:rsidR="00A149F4">
        <w:rPr>
          <w:lang w:eastAsia="it-IT"/>
        </w:rPr>
        <w:t xml:space="preserve">si conferma il trend in crescita </w:t>
      </w:r>
      <w:r w:rsidR="008F1BD5" w:rsidRPr="002A3D04">
        <w:t xml:space="preserve">dei </w:t>
      </w:r>
      <w:r w:rsidR="008F1BD5" w:rsidRPr="00A64E2D">
        <w:t>pazienti ospedalizzati con sintomi</w:t>
      </w:r>
      <w:r w:rsidR="002A3D04" w:rsidRPr="00A64E2D">
        <w:t xml:space="preserve"> e</w:t>
      </w:r>
      <w:r w:rsidR="007E3B6F" w:rsidRPr="00A64E2D">
        <w:t xml:space="preserve">, </w:t>
      </w:r>
      <w:r w:rsidR="002A3D04" w:rsidRPr="00A64E2D">
        <w:t xml:space="preserve">in misura minore, </w:t>
      </w:r>
      <w:r w:rsidR="00232450" w:rsidRPr="00A64E2D">
        <w:t>d</w:t>
      </w:r>
      <w:r w:rsidR="00232450">
        <w:t>i quelli</w:t>
      </w:r>
      <w:r w:rsidR="00232450" w:rsidRPr="00A64E2D">
        <w:t xml:space="preserve"> </w:t>
      </w:r>
      <w:r w:rsidR="007E3B6F" w:rsidRPr="00390E96">
        <w:t>in terapia intensiva</w:t>
      </w:r>
      <w:r w:rsidR="008F1BD5" w:rsidRPr="00390E96">
        <w:t>.</w:t>
      </w:r>
      <w:r w:rsidR="00E17238" w:rsidRPr="00390E96">
        <w:t xml:space="preserve"> </w:t>
      </w:r>
      <w:r w:rsidR="00CE5B44">
        <w:t>Queste</w:t>
      </w:r>
      <w:r w:rsidR="002A6ED6">
        <w:t xml:space="preserve"> spie rosse</w:t>
      </w:r>
      <w:r w:rsidR="00834083">
        <w:t>, piuttosto che</w:t>
      </w:r>
      <w:r w:rsidR="00212CD8">
        <w:t xml:space="preserve"> </w:t>
      </w:r>
      <w:r w:rsidR="002A6ED6">
        <w:t xml:space="preserve">generare inutili allarmismi, </w:t>
      </w:r>
      <w:r w:rsidR="00834083">
        <w:t>devono</w:t>
      </w:r>
      <w:r w:rsidR="00D25E02">
        <w:t xml:space="preserve"> </w:t>
      </w:r>
      <w:r w:rsidR="000A24C2">
        <w:t xml:space="preserve">infondere una </w:t>
      </w:r>
      <w:r w:rsidR="00CE5B44">
        <w:t xml:space="preserve">comune </w:t>
      </w:r>
      <w:r w:rsidR="000A24C2">
        <w:t xml:space="preserve">consapevolezza sull’andamento dell’epidemia </w:t>
      </w:r>
      <w:r w:rsidR="00D25E02">
        <w:t>nel nostro paese</w:t>
      </w:r>
      <w:r w:rsidR="000A24C2">
        <w:t xml:space="preserve"> al fine di </w:t>
      </w:r>
      <w:r w:rsidR="002A6ED6">
        <w:t>mantenere alta la guardia</w:t>
      </w:r>
      <w:r w:rsidR="000A24C2">
        <w:t>,</w:t>
      </w:r>
      <w:r w:rsidR="002A6ED6">
        <w:t xml:space="preserve"> sia da parte </w:t>
      </w:r>
      <w:r w:rsidR="009F6F0E">
        <w:t xml:space="preserve">delle </w:t>
      </w:r>
      <w:r w:rsidR="00212CD8">
        <w:t xml:space="preserve">Istituzioni </w:t>
      </w:r>
      <w:r w:rsidR="00D25E02">
        <w:t xml:space="preserve">che devono </w:t>
      </w:r>
      <w:r w:rsidR="00212CD8">
        <w:t>potenziare la sorveglianza epidemiologica</w:t>
      </w:r>
      <w:r w:rsidR="009F6F0E">
        <w:t>, sia da parte dei cittadini</w:t>
      </w:r>
      <w:r w:rsidR="00212CD8">
        <w:t xml:space="preserve"> </w:t>
      </w:r>
      <w:r w:rsidR="00D25E02">
        <w:t xml:space="preserve">chiamati </w:t>
      </w:r>
      <w:r w:rsidR="00834083">
        <w:t>ad attenersi a</w:t>
      </w:r>
      <w:r w:rsidR="00212CD8">
        <w:t xml:space="preserve"> tutte le </w:t>
      </w:r>
      <w:r w:rsidR="00212CD8" w:rsidRPr="005512A0">
        <w:t>misure</w:t>
      </w:r>
      <w:r w:rsidR="00212CD8" w:rsidRPr="00212CD8">
        <w:rPr>
          <w:color w:val="FF0000"/>
        </w:rPr>
        <w:t xml:space="preserve"> </w:t>
      </w:r>
      <w:r w:rsidR="00D25E02">
        <w:t>di sicurezza</w:t>
      </w:r>
      <w:r w:rsidR="00212CD8">
        <w:t>, senza minimizzazioni di sorta</w:t>
      </w:r>
      <w:r w:rsidRPr="008A0E45">
        <w:rPr>
          <w:rFonts w:cstheme="minorHAnsi"/>
        </w:rPr>
        <w:t>»</w:t>
      </w:r>
      <w:r w:rsidR="00153964" w:rsidRPr="008A0E45">
        <w:rPr>
          <w:lang w:eastAsia="it-IT"/>
        </w:rPr>
        <w:t>.</w:t>
      </w:r>
    </w:p>
    <w:p w:rsidR="009068D0" w:rsidRDefault="001630EB" w:rsidP="009068D0">
      <w:pPr>
        <w:jc w:val="both"/>
      </w:pPr>
      <w:r>
        <w:t xml:space="preserve">Nel </w:t>
      </w:r>
      <w:r w:rsidR="00CB3113" w:rsidRPr="002A3D04">
        <w:t xml:space="preserve">quadro </w:t>
      </w:r>
      <w:r w:rsidR="00C6764B" w:rsidRPr="002A3D04">
        <w:t xml:space="preserve">di </w:t>
      </w:r>
      <w:r w:rsidR="00A776BE">
        <w:t xml:space="preserve">una </w:t>
      </w:r>
      <w:r w:rsidR="00AB4371" w:rsidRPr="002A3D04">
        <w:t>circol</w:t>
      </w:r>
      <w:r w:rsidR="00F52062" w:rsidRPr="002A3D04">
        <w:t>azione endemica del virus</w:t>
      </w:r>
      <w:r w:rsidR="00390E96">
        <w:t xml:space="preserve"> </w:t>
      </w:r>
      <w:r w:rsidR="002A3D04">
        <w:t xml:space="preserve">si </w:t>
      </w:r>
      <w:r w:rsidR="009F0E8E">
        <w:t>assiste ad un</w:t>
      </w:r>
      <w:r>
        <w:t xml:space="preserve"> aumento progressivo dei focolai </w:t>
      </w:r>
      <w:r w:rsidR="00345326">
        <w:t>con</w:t>
      </w:r>
      <w:r>
        <w:t xml:space="preserve"> </w:t>
      </w:r>
      <w:r w:rsidR="002A6ED6">
        <w:t xml:space="preserve">crescita esponenziale </w:t>
      </w:r>
      <w:r w:rsidR="0090558C" w:rsidRPr="002A3D04">
        <w:t>dei nuovi casi</w:t>
      </w:r>
      <w:r w:rsidR="003C7356" w:rsidRPr="002A3D04">
        <w:t xml:space="preserve">, siano essi autoctoni, </w:t>
      </w:r>
      <w:r w:rsidR="00E30A6E" w:rsidRPr="002A3D04">
        <w:t>d</w:t>
      </w:r>
      <w:r w:rsidR="00E30A6E">
        <w:t>a</w:t>
      </w:r>
      <w:r w:rsidR="00E30A6E" w:rsidRPr="002A3D04">
        <w:t xml:space="preserve"> </w:t>
      </w:r>
      <w:r w:rsidR="003C7356" w:rsidRPr="002A3D04">
        <w:t xml:space="preserve">rientro </w:t>
      </w:r>
      <w:r w:rsidR="00E30A6E" w:rsidRPr="002A3D04">
        <w:t>d</w:t>
      </w:r>
      <w:r w:rsidR="00E30A6E">
        <w:t>i</w:t>
      </w:r>
      <w:r w:rsidR="00E30A6E" w:rsidRPr="002A3D04">
        <w:t xml:space="preserve"> </w:t>
      </w:r>
      <w:r w:rsidR="003C7356" w:rsidRPr="002A3D04">
        <w:t xml:space="preserve">italiani </w:t>
      </w:r>
      <w:r w:rsidR="00A21B24">
        <w:t xml:space="preserve">andati in vacanza all’estero, o </w:t>
      </w:r>
      <w:r w:rsidR="00A21B24" w:rsidRPr="002A3D04">
        <w:t xml:space="preserve">di importazione </w:t>
      </w:r>
      <w:r w:rsidR="00A21B24">
        <w:t>da stranieri</w:t>
      </w:r>
      <w:r w:rsidR="003C7356" w:rsidRPr="002A3D04">
        <w:t xml:space="preserve">». </w:t>
      </w:r>
      <w:r w:rsidR="00A21B24">
        <w:t xml:space="preserve">Infatti, </w:t>
      </w:r>
      <w:r w:rsidR="000A24C2">
        <w:t>da</w:t>
      </w:r>
      <w:r w:rsidR="002A6ED6">
        <w:t xml:space="preserve"> 1.408 </w:t>
      </w:r>
      <w:r w:rsidR="000A24C2">
        <w:t xml:space="preserve">nuovi casi riportati </w:t>
      </w:r>
      <w:r w:rsidR="002A6ED6">
        <w:t>nella settimana 15-21 luglio</w:t>
      </w:r>
      <w:r w:rsidR="002A6ED6" w:rsidRPr="002A3D04">
        <w:t xml:space="preserve"> </w:t>
      </w:r>
      <w:r w:rsidR="002A6ED6">
        <w:t xml:space="preserve">siamo passati a </w:t>
      </w:r>
      <w:r w:rsidR="00A21B24">
        <w:t>6.</w:t>
      </w:r>
      <w:r w:rsidR="00404ACE">
        <w:t xml:space="preserve">538 </w:t>
      </w:r>
      <w:r w:rsidR="002A6ED6">
        <w:t xml:space="preserve">nuovi casi </w:t>
      </w:r>
      <w:r w:rsidR="00C24286">
        <w:t>della</w:t>
      </w:r>
      <w:r w:rsidR="002A6ED6">
        <w:t xml:space="preserve"> settimana 19-2</w:t>
      </w:r>
      <w:r w:rsidR="00A21B24">
        <w:t>5</w:t>
      </w:r>
      <w:r w:rsidR="00C24286" w:rsidRPr="002A3D04">
        <w:t xml:space="preserve"> agosto</w:t>
      </w:r>
      <w:r w:rsidR="005512A0">
        <w:t>, con un incremento del rapporto positivi/casi testati dallo 0,8% al 2,1%</w:t>
      </w:r>
      <w:r w:rsidR="00C24286">
        <w:t xml:space="preserve"> </w:t>
      </w:r>
      <w:r w:rsidR="009B1C61" w:rsidRPr="002A3D04">
        <w:t>(</w:t>
      </w:r>
      <w:r w:rsidR="009B1C61" w:rsidRPr="002A3D04">
        <w:rPr>
          <w:highlight w:val="yellow"/>
        </w:rPr>
        <w:t>figura</w:t>
      </w:r>
      <w:r w:rsidR="008E252F" w:rsidRPr="00345326">
        <w:rPr>
          <w:highlight w:val="yellow"/>
        </w:rPr>
        <w:t xml:space="preserve"> </w:t>
      </w:r>
      <w:r w:rsidR="00622A81" w:rsidRPr="00345326">
        <w:rPr>
          <w:highlight w:val="yellow"/>
        </w:rPr>
        <w:t>1</w:t>
      </w:r>
      <w:r w:rsidR="009B1C61" w:rsidRPr="00A776BE">
        <w:t>)</w:t>
      </w:r>
      <w:r w:rsidR="008958EF" w:rsidRPr="00A776BE">
        <w:t>.</w:t>
      </w:r>
      <w:r w:rsidR="002A3D04" w:rsidRPr="00A776BE">
        <w:t xml:space="preserve"> «</w:t>
      </w:r>
      <w:r w:rsidR="002A6ED6" w:rsidRPr="00A776BE">
        <w:t xml:space="preserve">Questa rapida ascesa </w:t>
      </w:r>
      <w:r w:rsidR="00390E96" w:rsidRPr="00A776BE">
        <w:t xml:space="preserve">nella </w:t>
      </w:r>
      <w:r w:rsidR="003C7356" w:rsidRPr="00A776BE">
        <w:t xml:space="preserve">curva dei contagi </w:t>
      </w:r>
      <w:r w:rsidR="002A3D04" w:rsidRPr="00A776BE">
        <w:t>–</w:t>
      </w:r>
      <w:r w:rsidR="00390E96" w:rsidRPr="00A776BE">
        <w:t xml:space="preserve"> </w:t>
      </w:r>
      <w:r w:rsidR="00E30A6E" w:rsidRPr="00A776BE">
        <w:t xml:space="preserve">precisa il Presidente </w:t>
      </w:r>
      <w:r w:rsidR="002A3D04" w:rsidRPr="00A776BE">
        <w:t>–</w:t>
      </w:r>
      <w:r w:rsidRPr="00A776BE">
        <w:t xml:space="preserve"> inizia </w:t>
      </w:r>
      <w:r w:rsidR="009F6F0E" w:rsidRPr="00A776BE">
        <w:t xml:space="preserve">a </w:t>
      </w:r>
      <w:r w:rsidR="002A6ED6" w:rsidRPr="00A776BE">
        <w:t>riflette</w:t>
      </w:r>
      <w:r w:rsidR="009F6F0E" w:rsidRPr="00A776BE">
        <w:t>rsi</w:t>
      </w:r>
      <w:r w:rsidR="00D73AD1" w:rsidRPr="00A776BE">
        <w:t xml:space="preserve"> </w:t>
      </w:r>
      <w:r w:rsidR="0075145C">
        <w:t>gradualmente</w:t>
      </w:r>
      <w:r w:rsidR="00496ADF" w:rsidRPr="00A776BE">
        <w:t xml:space="preserve"> </w:t>
      </w:r>
      <w:r w:rsidR="002A6ED6" w:rsidRPr="00A776BE">
        <w:t xml:space="preserve">sull’aumento dei </w:t>
      </w:r>
      <w:r w:rsidR="00290EB0" w:rsidRPr="00A776BE">
        <w:t>pazienti ricoverati</w:t>
      </w:r>
      <w:r w:rsidR="002A6ED6" w:rsidRPr="00A776BE">
        <w:t xml:space="preserve"> con sintomi e in terapia intensiva». </w:t>
      </w:r>
      <w:r w:rsidR="00F61E51" w:rsidRPr="00A776BE">
        <w:t>Si</w:t>
      </w:r>
      <w:r w:rsidR="00290EB0" w:rsidRPr="00A776BE">
        <w:t xml:space="preserve"> è </w:t>
      </w:r>
      <w:r w:rsidR="00F61E51" w:rsidRPr="00A776BE">
        <w:t xml:space="preserve">infatti </w:t>
      </w:r>
      <w:r w:rsidR="00290EB0" w:rsidRPr="00A776BE">
        <w:t>invertita la tendenza che</w:t>
      </w:r>
      <w:r w:rsidR="00A776BE" w:rsidRPr="00A776BE">
        <w:t xml:space="preserve"> dai primi di aprile ha visto l</w:t>
      </w:r>
      <w:r w:rsidR="00290EB0" w:rsidRPr="00A776BE">
        <w:t xml:space="preserve">a progressiva e imponente </w:t>
      </w:r>
      <w:r w:rsidR="00191564" w:rsidRPr="00A776BE">
        <w:t xml:space="preserve">riduzione </w:t>
      </w:r>
      <w:r w:rsidR="00290EB0" w:rsidRPr="00A776BE">
        <w:t>dei pazienti ospedalizzati e in terapia intensiva, che adesso iniziano lentamente a risalire</w:t>
      </w:r>
      <w:r w:rsidR="00191564" w:rsidRPr="00A776BE">
        <w:t xml:space="preserve"> </w:t>
      </w:r>
      <w:r w:rsidR="002A6ED6" w:rsidRPr="00A776BE">
        <w:t>(</w:t>
      </w:r>
      <w:r w:rsidR="002A6ED6" w:rsidRPr="00A776BE">
        <w:rPr>
          <w:highlight w:val="yellow"/>
        </w:rPr>
        <w:t xml:space="preserve">figura </w:t>
      </w:r>
      <w:r w:rsidR="00622A81" w:rsidRPr="00A776BE">
        <w:rPr>
          <w:highlight w:val="yellow"/>
        </w:rPr>
        <w:t>2</w:t>
      </w:r>
      <w:r w:rsidR="002A6ED6" w:rsidRPr="00A776BE">
        <w:t>)</w:t>
      </w:r>
      <w:r w:rsidR="007E7B7B" w:rsidRPr="00A776BE">
        <w:t>.</w:t>
      </w:r>
      <w:r w:rsidR="00EE3F08" w:rsidRPr="00A776BE">
        <w:t xml:space="preserve"> </w:t>
      </w:r>
    </w:p>
    <w:p w:rsidR="00A776BE" w:rsidRPr="004D7F8F" w:rsidRDefault="00A776BE" w:rsidP="00A776BE">
      <w:pPr>
        <w:jc w:val="both"/>
      </w:pPr>
      <w:r>
        <w:t xml:space="preserve">Confermate le ampie </w:t>
      </w:r>
      <w:r w:rsidRPr="004D7F8F">
        <w:t>variabilità regionali</w:t>
      </w:r>
      <w:r>
        <w:t xml:space="preserve"> </w:t>
      </w:r>
      <w:r w:rsidRPr="004D7F8F">
        <w:t>(</w:t>
      </w:r>
      <w:r w:rsidRPr="004D7F8F">
        <w:rPr>
          <w:highlight w:val="yellow"/>
        </w:rPr>
        <w:t>tabella</w:t>
      </w:r>
      <w:r w:rsidRPr="004D7F8F">
        <w:t>)</w:t>
      </w:r>
      <w:r>
        <w:t>, ma solo 4 Regioni fanno registrare una riduzione di nuovi casi, peraltro piuttosto esigua (-55)</w:t>
      </w:r>
      <w:r w:rsidRPr="004D7F8F">
        <w:t xml:space="preserve">. </w:t>
      </w:r>
      <w:r>
        <w:t xml:space="preserve">Nelle altre </w:t>
      </w:r>
      <w:r w:rsidRPr="004D7F8F">
        <w:t>1</w:t>
      </w:r>
      <w:r>
        <w:t>4</w:t>
      </w:r>
      <w:r w:rsidRPr="004D7F8F">
        <w:t xml:space="preserve"> Regioni </w:t>
      </w:r>
      <w:r>
        <w:t xml:space="preserve">e 2 Province autonome si rileva </w:t>
      </w:r>
      <w:r w:rsidRPr="004D7F8F">
        <w:t xml:space="preserve">un </w:t>
      </w:r>
      <w:r w:rsidRPr="004D7F8F">
        <w:lastRenderedPageBreak/>
        <w:t xml:space="preserve">aumento </w:t>
      </w:r>
      <w:r>
        <w:t>complessivo di 3.194 nuovi casi,</w:t>
      </w:r>
      <w:r w:rsidRPr="004D7F8F">
        <w:t xml:space="preserve"> con un range che varia dai </w:t>
      </w:r>
      <w:r>
        <w:t xml:space="preserve">677 </w:t>
      </w:r>
      <w:r w:rsidRPr="004D7F8F">
        <w:t>del Lazio a</w:t>
      </w:r>
      <w:r>
        <w:t>i 4</w:t>
      </w:r>
      <w:r w:rsidRPr="004D7F8F">
        <w:t xml:space="preserve"> della </w:t>
      </w:r>
      <w:r>
        <w:t>Valle d’Aosta</w:t>
      </w:r>
      <w:r w:rsidRPr="004D7F8F">
        <w:t>.</w:t>
      </w:r>
      <w:r>
        <w:t xml:space="preserve"> Stabile il numero di nuovi casi in Basilicata (+14). </w:t>
      </w:r>
    </w:p>
    <w:p w:rsidR="00A776BE" w:rsidRPr="00A776BE" w:rsidRDefault="00A776BE" w:rsidP="009068D0">
      <w:pPr>
        <w:jc w:val="both"/>
      </w:pPr>
      <w:r>
        <w:t xml:space="preserve">Dei </w:t>
      </w:r>
      <w:r w:rsidRPr="00824061">
        <w:t>1</w:t>
      </w:r>
      <w:r>
        <w:t>9</w:t>
      </w:r>
      <w:r w:rsidRPr="00824061">
        <w:t>.</w:t>
      </w:r>
      <w:r>
        <w:t>714</w:t>
      </w:r>
      <w:r w:rsidRPr="00824061">
        <w:t xml:space="preserve"> casi attivi al </w:t>
      </w:r>
      <w:r>
        <w:t>25</w:t>
      </w:r>
      <w:r w:rsidRPr="00824061">
        <w:t xml:space="preserve"> agosto</w:t>
      </w:r>
      <w:r>
        <w:t xml:space="preserve"> </w:t>
      </w:r>
      <w:r w:rsidR="00BB6B84">
        <w:t>il 91,8</w:t>
      </w:r>
      <w:r>
        <w:t>% si concentra in 11 Regioni:</w:t>
      </w:r>
      <w:r w:rsidRPr="00824061">
        <w:t xml:space="preserve"> </w:t>
      </w:r>
      <w:r>
        <w:t>29,4</w:t>
      </w:r>
      <w:r w:rsidRPr="00824061">
        <w:t xml:space="preserve">% </w:t>
      </w:r>
      <w:r>
        <w:t>dei casi</w:t>
      </w:r>
      <w:r w:rsidRPr="00824061">
        <w:t xml:space="preserve"> </w:t>
      </w:r>
      <w:r>
        <w:t xml:space="preserve">in Lombardia </w:t>
      </w:r>
      <w:r w:rsidRPr="00824061">
        <w:t>(</w:t>
      </w:r>
      <w:r>
        <w:t>5.787</w:t>
      </w:r>
      <w:r w:rsidRPr="00824061">
        <w:t xml:space="preserve">); </w:t>
      </w:r>
      <w:r>
        <w:t>il</w:t>
      </w:r>
      <w:r w:rsidRPr="00824061">
        <w:t xml:space="preserve"> </w:t>
      </w:r>
      <w:r>
        <w:t xml:space="preserve">33,4% </w:t>
      </w:r>
      <w:r w:rsidRPr="00824061">
        <w:t xml:space="preserve">si distribuisce tra </w:t>
      </w:r>
      <w:r>
        <w:t xml:space="preserve">Lazio (2.284), </w:t>
      </w:r>
      <w:r w:rsidRPr="00824061">
        <w:t>Emilia-Romagna (</w:t>
      </w:r>
      <w:r>
        <w:t>2.189</w:t>
      </w:r>
      <w:r w:rsidRPr="00824061">
        <w:t>)</w:t>
      </w:r>
      <w:r>
        <w:t xml:space="preserve"> e</w:t>
      </w:r>
      <w:r w:rsidRPr="00824061">
        <w:t xml:space="preserve"> Veneto (</w:t>
      </w:r>
      <w:r>
        <w:t>2.</w:t>
      </w:r>
      <w:r w:rsidRPr="00824061">
        <w:t>1</w:t>
      </w:r>
      <w:r>
        <w:t>19); un ulteriore 29% tra Campania (1.164), Piemonte (1.142), Toscana (1.039), Sicilia (947), Puglia (548), Sardegna (463) e Liguria (413). I</w:t>
      </w:r>
      <w:r w:rsidRPr="00824061">
        <w:t xml:space="preserve"> rimanenti </w:t>
      </w:r>
      <w:r>
        <w:t>1.</w:t>
      </w:r>
      <w:r w:rsidRPr="00824061">
        <w:t>6</w:t>
      </w:r>
      <w:r>
        <w:t>19</w:t>
      </w:r>
      <w:r w:rsidRPr="00824061">
        <w:t xml:space="preserve"> casi (</w:t>
      </w:r>
      <w:r>
        <w:t>8,2</w:t>
      </w:r>
      <w:r w:rsidRPr="00824061">
        <w:t>%)</w:t>
      </w:r>
      <w:r>
        <w:t xml:space="preserve"> si collocano nelle restanti</w:t>
      </w:r>
      <w:r w:rsidRPr="00824061">
        <w:t xml:space="preserve"> </w:t>
      </w:r>
      <w:r>
        <w:t>7</w:t>
      </w:r>
      <w:r w:rsidRPr="00824061">
        <w:t xml:space="preserve"> Regioni e 2 Province autonome </w:t>
      </w:r>
      <w:r>
        <w:t>con un range che varia dai 13</w:t>
      </w:r>
      <w:r w:rsidRPr="00824061">
        <w:t xml:space="preserve"> della Valle </w:t>
      </w:r>
      <w:r>
        <w:t>d’Aosta ai 342 dell’Abruzzo</w:t>
      </w:r>
      <w:r w:rsidRPr="00824061">
        <w:t>.</w:t>
      </w:r>
    </w:p>
    <w:p w:rsidR="009068D0" w:rsidRDefault="009068D0" w:rsidP="009068D0">
      <w:pPr>
        <w:jc w:val="both"/>
      </w:pPr>
      <w:r w:rsidRPr="000C44FE">
        <w:t>«</w:t>
      </w:r>
      <w:r w:rsidR="00A776BE">
        <w:t xml:space="preserve">Tutti questi numeri </w:t>
      </w:r>
      <w:r>
        <w:t xml:space="preserve">– spiega </w:t>
      </w:r>
      <w:r w:rsidR="00FE3503">
        <w:t>il Presidente</w:t>
      </w:r>
      <w:r w:rsidR="00FE3503" w:rsidRPr="000C44FE">
        <w:t xml:space="preserve"> </w:t>
      </w:r>
      <w:r w:rsidRPr="000C44FE">
        <w:t>–</w:t>
      </w:r>
      <w:r w:rsidR="00A776BE">
        <w:t xml:space="preserve"> non possono essere confrontati con </w:t>
      </w:r>
      <w:r w:rsidRPr="000C44FE">
        <w:t xml:space="preserve">quelli dei primi mesi dell’epidemia perché le dinamiche epidemiologiche sono </w:t>
      </w:r>
      <w:r w:rsidR="00290EB0">
        <w:t xml:space="preserve">completamente </w:t>
      </w:r>
      <w:r w:rsidRPr="000C44FE">
        <w:t xml:space="preserve">diverse. </w:t>
      </w:r>
      <w:r w:rsidR="00A776BE">
        <w:t>D</w:t>
      </w:r>
      <w:r w:rsidRPr="000C44FE">
        <w:t>ello tsunami che si è abbattuto sul nostro Paese non abbiamo mai conosciuto la fase</w:t>
      </w:r>
      <w:r w:rsidR="00290EB0">
        <w:t xml:space="preserve"> iniziale</w:t>
      </w:r>
      <w:r>
        <w:t xml:space="preserve">: </w:t>
      </w:r>
      <w:r w:rsidR="00A45510">
        <w:t>il</w:t>
      </w:r>
      <w:r w:rsidRPr="000C44FE">
        <w:t xml:space="preserve"> coronavirus circolava insidiosamente sottotraccia con migliaia di asintomatici che infettavano senza saperlo pare</w:t>
      </w:r>
      <w:r>
        <w:t>nti, amici e colleghi di lavoro</w:t>
      </w:r>
      <w:r w:rsidR="00EC2B05">
        <w:t xml:space="preserve">. Il </w:t>
      </w:r>
      <w:r w:rsidR="00EC2B05" w:rsidRPr="000C44FE">
        <w:t>lockdown</w:t>
      </w:r>
      <w:r w:rsidR="00EC2B05">
        <w:t xml:space="preserve"> rigoroso e prolungato ha </w:t>
      </w:r>
      <w:r w:rsidR="00EC2B05" w:rsidRPr="000C44FE">
        <w:t xml:space="preserve">ridotto la </w:t>
      </w:r>
      <w:r w:rsidR="00EC2B05">
        <w:t xml:space="preserve">mortalità, </w:t>
      </w:r>
      <w:r w:rsidR="00EC2B05" w:rsidRPr="000C44FE">
        <w:t xml:space="preserve">gli accessi in ospedale e il numero dei nuovi casi, </w:t>
      </w:r>
      <w:r w:rsidR="00EC2B05">
        <w:t xml:space="preserve">ma dal 3 giugno </w:t>
      </w:r>
      <w:r w:rsidR="00FE3503">
        <w:t>siamo di fatto</w:t>
      </w:r>
      <w:r w:rsidR="00055E53">
        <w:t xml:space="preserve"> </w:t>
      </w:r>
      <w:r w:rsidR="00EC2B05">
        <w:t>“</w:t>
      </w:r>
      <w:r w:rsidR="00FE3503">
        <w:t xml:space="preserve">ripartiti </w:t>
      </w:r>
      <w:r w:rsidR="00EC2B05">
        <w:t>dal via”</w:t>
      </w:r>
      <w:r w:rsidRPr="000C44FE">
        <w:t>»</w:t>
      </w:r>
      <w:r>
        <w:t>.</w:t>
      </w:r>
    </w:p>
    <w:p w:rsidR="000C44FE" w:rsidRDefault="000C44FE" w:rsidP="00E025C7">
      <w:pPr>
        <w:jc w:val="both"/>
      </w:pPr>
      <w:r w:rsidRPr="000C44FE">
        <w:t>«</w:t>
      </w:r>
      <w:r w:rsidR="009068D0">
        <w:t>Se</w:t>
      </w:r>
      <w:r w:rsidR="009068D0" w:rsidRPr="009068D0">
        <w:t xml:space="preserve"> </w:t>
      </w:r>
      <w:r w:rsidR="009068D0" w:rsidRPr="000C44FE">
        <w:t>è legittimo chiedersi se i numeri attuali sono i segnali di una nuova ondata</w:t>
      </w:r>
      <w:r w:rsidR="009068D0">
        <w:t xml:space="preserve"> </w:t>
      </w:r>
      <w:r w:rsidRPr="000C44FE">
        <w:t>– conclude Cartabellotta –</w:t>
      </w:r>
      <w:r w:rsidR="009942DB">
        <w:t xml:space="preserve"> </w:t>
      </w:r>
      <w:r w:rsidR="00D07536">
        <w:t xml:space="preserve">è </w:t>
      </w:r>
      <w:r w:rsidR="00FE3503">
        <w:t>ragionevolmente</w:t>
      </w:r>
      <w:r w:rsidR="00DF3D34">
        <w:t xml:space="preserve"> </w:t>
      </w:r>
      <w:r w:rsidR="00D07536">
        <w:t>certo che non rivedremo</w:t>
      </w:r>
      <w:r w:rsidR="00EC2B05">
        <w:t xml:space="preserve"> </w:t>
      </w:r>
      <w:r w:rsidRPr="000C44FE">
        <w:t xml:space="preserve">le drammatiche scene di marzo/aprile </w:t>
      </w:r>
      <w:r w:rsidR="00EC2B05">
        <w:t>per</w:t>
      </w:r>
      <w:r w:rsidRPr="000C44FE">
        <w:t xml:space="preserve">ché </w:t>
      </w:r>
      <w:r w:rsidR="00FE3503">
        <w:t>oggi</w:t>
      </w:r>
      <w:r w:rsidR="00FE3503" w:rsidRPr="000C44FE">
        <w:t xml:space="preserve"> </w:t>
      </w:r>
      <w:r w:rsidRPr="000C44FE">
        <w:t>la situazione epidemiologica</w:t>
      </w:r>
      <w:r w:rsidR="003B386F">
        <w:t xml:space="preserve"> </w:t>
      </w:r>
      <w:r w:rsidRPr="000C44FE">
        <w:t xml:space="preserve">è attentamente monitorata, il servizio sanitario </w:t>
      </w:r>
      <w:r w:rsidR="00EC2B05">
        <w:t xml:space="preserve">è </w:t>
      </w:r>
      <w:r w:rsidRPr="000C44FE">
        <w:t>ben organizzato e</w:t>
      </w:r>
      <w:r w:rsidR="00DF3D34">
        <w:t xml:space="preserve">, </w:t>
      </w:r>
      <w:r w:rsidR="00FE3503">
        <w:t>dunque</w:t>
      </w:r>
      <w:r w:rsidR="00DF3D34">
        <w:t>,</w:t>
      </w:r>
      <w:r w:rsidRPr="000C44FE">
        <w:t xml:space="preserve"> non potrà esserci alcun effetto sorpresa</w:t>
      </w:r>
      <w:r w:rsidR="00EC2B05">
        <w:t xml:space="preserve">. Ma non bisogna concedere ulteriori vantaggi al coronavirus, </w:t>
      </w:r>
      <w:r w:rsidR="00055E53">
        <w:t xml:space="preserve">tanto più </w:t>
      </w:r>
      <w:r w:rsidR="00EC2B05">
        <w:t xml:space="preserve">che i numeri riflettono </w:t>
      </w:r>
      <w:r w:rsidR="00DF3D34">
        <w:t xml:space="preserve">sempre </w:t>
      </w:r>
      <w:r w:rsidR="00EC2B05" w:rsidRPr="000C44FE">
        <w:t xml:space="preserve">comportamenti </w:t>
      </w:r>
      <w:r w:rsidR="003B386F">
        <w:t>di</w:t>
      </w:r>
      <w:r w:rsidR="00EC2B05">
        <w:t xml:space="preserve"> 3-4 settimane fa</w:t>
      </w:r>
      <w:r w:rsidRPr="000C44FE">
        <w:t>».</w:t>
      </w:r>
    </w:p>
    <w:p w:rsidR="005127EB" w:rsidRDefault="005127EB" w:rsidP="005127EB">
      <w:pPr>
        <w:spacing w:after="120"/>
        <w:rPr>
          <w:rFonts w:ascii="Trebuchet MS" w:eastAsia="Calibri" w:hAnsi="Trebuchet MS" w:cs="Times New Roman"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8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  <w:r>
        <w:rPr>
          <w:rFonts w:ascii="Calibri" w:eastAsia="Calibri" w:hAnsi="Calibri" w:cs="Times New Roman"/>
          <w:b/>
          <w:bCs/>
        </w:rPr>
        <w:br/>
      </w:r>
      <w:r>
        <w:rPr>
          <w:rFonts w:ascii="Calibri" w:eastAsia="Calibri" w:hAnsi="Calibri" w:cs="Times New Roman"/>
          <w:b/>
          <w:bCs/>
        </w:rPr>
        <w:br/>
      </w: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</w:p>
    <w:p w:rsidR="005127EB" w:rsidRPr="00AB7473" w:rsidRDefault="005127EB" w:rsidP="005127EB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9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5127EB" w:rsidRDefault="005127EB" w:rsidP="003925EF">
      <w:pPr>
        <w:jc w:val="both"/>
      </w:pPr>
    </w:p>
    <w:p w:rsidR="00A7678D" w:rsidRDefault="00A7678D" w:rsidP="003925EF">
      <w:pPr>
        <w:jc w:val="both"/>
      </w:pPr>
    </w:p>
    <w:p w:rsidR="00627D19" w:rsidRDefault="00627D19" w:rsidP="003925EF">
      <w:pPr>
        <w:jc w:val="both"/>
      </w:pPr>
    </w:p>
    <w:p w:rsidR="00627D19" w:rsidRDefault="00627D19" w:rsidP="003925EF">
      <w:pPr>
        <w:jc w:val="both"/>
      </w:pPr>
    </w:p>
    <w:p w:rsidR="005512A0" w:rsidRDefault="005512A0" w:rsidP="003925EF">
      <w:pPr>
        <w:jc w:val="both"/>
      </w:pPr>
    </w:p>
    <w:p w:rsidR="005512A0" w:rsidRDefault="005512A0" w:rsidP="003925EF">
      <w:pPr>
        <w:jc w:val="both"/>
      </w:pPr>
    </w:p>
    <w:p w:rsidR="005512A0" w:rsidRDefault="005512A0" w:rsidP="003925EF">
      <w:pPr>
        <w:jc w:val="both"/>
      </w:pPr>
    </w:p>
    <w:p w:rsidR="005512A0" w:rsidRDefault="005512A0" w:rsidP="003925EF">
      <w:pPr>
        <w:jc w:val="both"/>
      </w:pPr>
    </w:p>
    <w:p w:rsidR="002E3B3A" w:rsidRDefault="002E3B3A" w:rsidP="003925EF">
      <w:pPr>
        <w:jc w:val="both"/>
      </w:pPr>
    </w:p>
    <w:p w:rsidR="00A835FA" w:rsidRDefault="00A835FA" w:rsidP="003925EF">
      <w:pPr>
        <w:jc w:val="both"/>
      </w:pPr>
    </w:p>
    <w:p w:rsidR="00D07536" w:rsidRDefault="00D07536" w:rsidP="009B1C61">
      <w:pPr>
        <w:spacing w:after="0" w:line="360" w:lineRule="auto"/>
        <w:jc w:val="center"/>
        <w:rPr>
          <w:b/>
          <w:sz w:val="24"/>
        </w:rPr>
      </w:pPr>
    </w:p>
    <w:p w:rsidR="00D07536" w:rsidRDefault="00D07536" w:rsidP="009B1C61">
      <w:pPr>
        <w:spacing w:after="0" w:line="360" w:lineRule="auto"/>
        <w:jc w:val="center"/>
        <w:rPr>
          <w:b/>
          <w:sz w:val="24"/>
        </w:rPr>
      </w:pPr>
    </w:p>
    <w:p w:rsidR="009B1C61" w:rsidRPr="009B1C61" w:rsidRDefault="009B1C61" w:rsidP="009B1C61">
      <w:pPr>
        <w:spacing w:after="0" w:line="360" w:lineRule="auto"/>
        <w:jc w:val="center"/>
        <w:rPr>
          <w:b/>
          <w:sz w:val="24"/>
        </w:rPr>
      </w:pPr>
      <w:r w:rsidRPr="007E177C">
        <w:rPr>
          <w:b/>
          <w:sz w:val="24"/>
        </w:rPr>
        <w:t>Figura</w:t>
      </w:r>
      <w:r w:rsidR="008E252F">
        <w:rPr>
          <w:b/>
          <w:sz w:val="24"/>
        </w:rPr>
        <w:t xml:space="preserve"> </w:t>
      </w:r>
      <w:r w:rsidR="00622A81">
        <w:rPr>
          <w:b/>
          <w:sz w:val="24"/>
        </w:rPr>
        <w:t>1</w:t>
      </w:r>
      <w:r w:rsidRPr="007E177C">
        <w:rPr>
          <w:b/>
          <w:sz w:val="24"/>
        </w:rPr>
        <w:t xml:space="preserve">: </w:t>
      </w:r>
      <w:r w:rsidRPr="005512A0">
        <w:rPr>
          <w:b/>
          <w:sz w:val="24"/>
        </w:rPr>
        <w:t>trend settimanale nuovi casi</w:t>
      </w:r>
      <w:r w:rsidR="00CB5911" w:rsidRPr="005512A0">
        <w:rPr>
          <w:b/>
          <w:sz w:val="24"/>
        </w:rPr>
        <w:t xml:space="preserve"> e</w:t>
      </w:r>
      <w:r w:rsidR="00AF5735">
        <w:rPr>
          <w:b/>
          <w:sz w:val="24"/>
        </w:rPr>
        <w:t xml:space="preserve"> rapporto positivi/casi testati</w:t>
      </w:r>
    </w:p>
    <w:p w:rsidR="009B1C61" w:rsidRDefault="00290EB0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1C24778B" wp14:editId="3E0AD39B">
            <wp:extent cx="5760000" cy="282401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2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A81" w:rsidRDefault="00622A81" w:rsidP="009B1C61">
      <w:pPr>
        <w:spacing w:after="0" w:line="240" w:lineRule="auto"/>
        <w:jc w:val="center"/>
      </w:pPr>
    </w:p>
    <w:p w:rsidR="0016713F" w:rsidRDefault="0016713F" w:rsidP="009B1C61">
      <w:pPr>
        <w:spacing w:after="0" w:line="240" w:lineRule="auto"/>
        <w:jc w:val="center"/>
        <w:rPr>
          <w:b/>
        </w:rPr>
      </w:pPr>
    </w:p>
    <w:p w:rsidR="00622A81" w:rsidRPr="0016713F" w:rsidRDefault="00622A81" w:rsidP="009B1C61">
      <w:pPr>
        <w:spacing w:after="0" w:line="240" w:lineRule="auto"/>
        <w:jc w:val="center"/>
        <w:rPr>
          <w:b/>
        </w:rPr>
      </w:pPr>
      <w:r w:rsidRPr="0016713F">
        <w:rPr>
          <w:b/>
        </w:rPr>
        <w:t xml:space="preserve">Figura 2: </w:t>
      </w:r>
      <w:r w:rsidR="0016713F" w:rsidRPr="0016713F">
        <w:rPr>
          <w:b/>
        </w:rPr>
        <w:t>Numero di</w:t>
      </w:r>
      <w:r w:rsidR="00EC2B05" w:rsidRPr="0016713F">
        <w:rPr>
          <w:b/>
        </w:rPr>
        <w:t xml:space="preserve"> </w:t>
      </w:r>
      <w:r w:rsidR="00CB5911" w:rsidRPr="0016713F">
        <w:rPr>
          <w:b/>
        </w:rPr>
        <w:t>ricoverati con sintomi e in terapia intensiva</w:t>
      </w:r>
    </w:p>
    <w:p w:rsidR="00622A81" w:rsidRDefault="00622A81" w:rsidP="009B1C61">
      <w:pPr>
        <w:spacing w:after="0" w:line="240" w:lineRule="auto"/>
        <w:jc w:val="center"/>
      </w:pPr>
    </w:p>
    <w:p w:rsidR="00622A81" w:rsidRDefault="00290EB0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4064BF6B" wp14:editId="74104B1A">
            <wp:extent cx="5760000" cy="2600651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60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16713F" w:rsidRDefault="0016713F" w:rsidP="009B1C61">
      <w:pPr>
        <w:spacing w:after="0" w:line="240" w:lineRule="auto"/>
        <w:jc w:val="center"/>
      </w:pPr>
    </w:p>
    <w:p w:rsidR="0016713F" w:rsidRDefault="0016713F" w:rsidP="009B1C61">
      <w:pPr>
        <w:spacing w:after="0" w:line="240" w:lineRule="auto"/>
        <w:jc w:val="center"/>
      </w:pPr>
    </w:p>
    <w:p w:rsidR="0016713F" w:rsidRDefault="0016713F" w:rsidP="009B1C61">
      <w:pPr>
        <w:spacing w:after="0" w:line="240" w:lineRule="auto"/>
        <w:jc w:val="center"/>
      </w:pPr>
    </w:p>
    <w:p w:rsidR="00D07536" w:rsidRDefault="00D07536" w:rsidP="0016713F">
      <w:pPr>
        <w:rPr>
          <w:b/>
          <w:sz w:val="24"/>
        </w:rPr>
      </w:pPr>
    </w:p>
    <w:p w:rsidR="00D07536" w:rsidRDefault="00D07536" w:rsidP="0016713F">
      <w:pPr>
        <w:jc w:val="center"/>
        <w:rPr>
          <w:b/>
          <w:sz w:val="24"/>
        </w:rPr>
      </w:pPr>
    </w:p>
    <w:p w:rsidR="00CB5911" w:rsidRPr="009F6F0E" w:rsidRDefault="00CB5911" w:rsidP="0016713F">
      <w:pPr>
        <w:jc w:val="center"/>
        <w:rPr>
          <w:b/>
          <w:sz w:val="24"/>
        </w:rPr>
      </w:pPr>
      <w:r w:rsidRPr="007E177C">
        <w:rPr>
          <w:b/>
          <w:sz w:val="24"/>
        </w:rPr>
        <w:t>Tabella: nuovi casi settimana</w:t>
      </w:r>
      <w:r>
        <w:rPr>
          <w:b/>
          <w:sz w:val="24"/>
        </w:rPr>
        <w:t xml:space="preserve"> 19-25 </w:t>
      </w:r>
      <w:r w:rsidRPr="007E177C">
        <w:rPr>
          <w:b/>
          <w:sz w:val="24"/>
        </w:rPr>
        <w:t>agosto</w:t>
      </w:r>
    </w:p>
    <w:tbl>
      <w:tblPr>
        <w:tblW w:w="7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980"/>
        <w:gridCol w:w="2617"/>
        <w:gridCol w:w="1128"/>
        <w:gridCol w:w="1719"/>
      </w:tblGrid>
      <w:tr w:rsidR="00CB5911" w:rsidTr="0016713F">
        <w:trPr>
          <w:trHeight w:val="851"/>
          <w:jc w:val="center"/>
        </w:trPr>
        <w:tc>
          <w:tcPr>
            <w:tcW w:w="1980" w:type="dxa"/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2617" w:type="dxa"/>
            <w:shd w:val="clear" w:color="auto" w:fill="00457D"/>
            <w:vAlign w:val="center"/>
          </w:tcPr>
          <w:p w:rsidR="00CB5911" w:rsidRPr="009F6F0E" w:rsidRDefault="00CB5911" w:rsidP="00E632E1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Variazione casi rispetto </w:t>
            </w:r>
          </w:p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alla settimana precedente</w:t>
            </w:r>
          </w:p>
        </w:tc>
        <w:tc>
          <w:tcPr>
            <w:tcW w:w="1128" w:type="dxa"/>
            <w:shd w:val="clear" w:color="auto" w:fill="00457D"/>
            <w:vAlign w:val="center"/>
          </w:tcPr>
          <w:p w:rsidR="00CB5911" w:rsidRPr="009F6F0E" w:rsidRDefault="00CB5911" w:rsidP="00E632E1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Totale </w:t>
            </w:r>
          </w:p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</w:t>
            </w:r>
          </w:p>
        </w:tc>
        <w:tc>
          <w:tcPr>
            <w:tcW w:w="1719" w:type="dxa"/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Pr="009F6F0E" w:rsidRDefault="00CB5911" w:rsidP="00E632E1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 per</w:t>
            </w:r>
          </w:p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 100.000 abitanti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Lazio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677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1.015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17,26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Lombardia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551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1.072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10,66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Campania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396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629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10,84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Veneto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299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874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17,82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Sardegna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296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347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21,16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Emilia Romagna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277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596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13,36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Toscana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157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368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9,87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Puglia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115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237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5,88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Piemonte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100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313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7,18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Sicilia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79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298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5,96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Umbria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72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120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13,61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Prov. Aut. Bolzano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60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89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16,76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Friuli Venezia Giulia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59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129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10,62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Abruzzo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34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92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7,01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Prov. Aut. Trento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18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26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4,81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Valle D'Aosta</w:t>
            </w:r>
          </w:p>
        </w:tc>
        <w:tc>
          <w:tcPr>
            <w:tcW w:w="2617" w:type="dxa"/>
            <w:shd w:val="clear" w:color="auto" w:fill="FFC7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9C0006"/>
                <w:lang w:eastAsia="it-IT"/>
              </w:rPr>
            </w:pPr>
            <w:r w:rsidRPr="004049EA">
              <w:rPr>
                <w:color w:val="9C0006"/>
                <w:lang w:eastAsia="it-IT"/>
              </w:rPr>
              <w:t>4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3,98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Basilicata</w:t>
            </w:r>
          </w:p>
        </w:tc>
        <w:tc>
          <w:tcPr>
            <w:tcW w:w="2617" w:type="dxa"/>
            <w:shd w:val="clear" w:color="auto" w:fill="FFEB9C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4049EA">
              <w:rPr>
                <w:color w:val="9C6500"/>
                <w:lang w:eastAsia="it-IT"/>
              </w:rPr>
              <w:t>0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14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2,49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Molise</w:t>
            </w:r>
          </w:p>
        </w:tc>
        <w:tc>
          <w:tcPr>
            <w:tcW w:w="2617" w:type="dxa"/>
            <w:shd w:val="clear" w:color="auto" w:fill="C6EF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006100"/>
                <w:lang w:eastAsia="it-IT"/>
              </w:rPr>
            </w:pPr>
            <w:r w:rsidRPr="004049EA">
              <w:rPr>
                <w:color w:val="006100"/>
                <w:lang w:eastAsia="it-IT"/>
              </w:rPr>
              <w:t>-2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15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4,91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Calabria</w:t>
            </w:r>
          </w:p>
        </w:tc>
        <w:tc>
          <w:tcPr>
            <w:tcW w:w="2617" w:type="dxa"/>
            <w:shd w:val="clear" w:color="auto" w:fill="C6EF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006100"/>
                <w:lang w:eastAsia="it-IT"/>
              </w:rPr>
            </w:pPr>
            <w:r w:rsidRPr="004049EA">
              <w:rPr>
                <w:color w:val="006100"/>
                <w:lang w:eastAsia="it-IT"/>
              </w:rPr>
              <w:t>-6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51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2,62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Liguria</w:t>
            </w:r>
          </w:p>
        </w:tc>
        <w:tc>
          <w:tcPr>
            <w:tcW w:w="2617" w:type="dxa"/>
            <w:shd w:val="clear" w:color="auto" w:fill="C6EF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006100"/>
                <w:lang w:eastAsia="it-IT"/>
              </w:rPr>
            </w:pPr>
            <w:r w:rsidRPr="004049EA">
              <w:rPr>
                <w:color w:val="006100"/>
                <w:lang w:eastAsia="it-IT"/>
              </w:rPr>
              <w:t>-15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182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11,74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Marche</w:t>
            </w:r>
          </w:p>
        </w:tc>
        <w:tc>
          <w:tcPr>
            <w:tcW w:w="2617" w:type="dxa"/>
            <w:shd w:val="clear" w:color="auto" w:fill="C6EFCE"/>
            <w:vAlign w:val="center"/>
          </w:tcPr>
          <w:p w:rsidR="00CB5911" w:rsidRPr="004049EA" w:rsidRDefault="00CB5911" w:rsidP="00E632E1">
            <w:pPr>
              <w:spacing w:after="0" w:line="240" w:lineRule="auto"/>
              <w:contextualSpacing/>
              <w:jc w:val="center"/>
              <w:rPr>
                <w:color w:val="006100"/>
                <w:lang w:eastAsia="it-IT"/>
              </w:rPr>
            </w:pPr>
            <w:r w:rsidRPr="004049EA">
              <w:rPr>
                <w:color w:val="006100"/>
                <w:lang w:eastAsia="it-IT"/>
              </w:rPr>
              <w:t>-32</w:t>
            </w:r>
          </w:p>
        </w:tc>
        <w:tc>
          <w:tcPr>
            <w:tcW w:w="1128" w:type="dxa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66</w:t>
            </w:r>
          </w:p>
        </w:tc>
        <w:tc>
          <w:tcPr>
            <w:tcW w:w="1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4,33</w:t>
            </w:r>
          </w:p>
        </w:tc>
      </w:tr>
      <w:tr w:rsidR="00CB5911" w:rsidTr="00E632E1">
        <w:trPr>
          <w:trHeight w:val="340"/>
          <w:jc w:val="center"/>
        </w:trPr>
        <w:tc>
          <w:tcPr>
            <w:tcW w:w="1980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11" w:rsidRDefault="00CB5911" w:rsidP="00E632E1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ITALIA</w:t>
            </w:r>
          </w:p>
        </w:tc>
        <w:tc>
          <w:tcPr>
            <w:tcW w:w="2617" w:type="dxa"/>
            <w:shd w:val="clear" w:color="auto" w:fill="D9D9D9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3.139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6.538</w:t>
            </w:r>
          </w:p>
        </w:tc>
        <w:tc>
          <w:tcPr>
            <w:tcW w:w="1719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11" w:rsidRDefault="00CB5911" w:rsidP="00E632E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10,83</w:t>
            </w:r>
          </w:p>
        </w:tc>
      </w:tr>
    </w:tbl>
    <w:p w:rsidR="00CB5911" w:rsidRDefault="00CB5911" w:rsidP="0016713F">
      <w:pPr>
        <w:spacing w:after="0" w:line="360" w:lineRule="auto"/>
        <w:rPr>
          <w:b/>
          <w:sz w:val="24"/>
        </w:rPr>
      </w:pPr>
    </w:p>
    <w:p w:rsidR="00CB5911" w:rsidRDefault="00CB5911" w:rsidP="00CB5911">
      <w:pPr>
        <w:jc w:val="center"/>
        <w:rPr>
          <w:b/>
          <w:sz w:val="24"/>
        </w:rPr>
      </w:pPr>
    </w:p>
    <w:p w:rsidR="00CB5911" w:rsidRDefault="00CB5911" w:rsidP="009B1C61">
      <w:pPr>
        <w:spacing w:after="0" w:line="240" w:lineRule="auto"/>
        <w:jc w:val="center"/>
      </w:pPr>
    </w:p>
    <w:sectPr w:rsidR="00CB5911" w:rsidSect="00847FDE">
      <w:footerReference w:type="default" r:id="rId12"/>
      <w:footnotePr>
        <w:numFmt w:val="chicago"/>
      </w:footnotePr>
      <w:type w:val="continuous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C3378" w16cex:dateUtc="2020-07-29T15:42:00Z"/>
  <w16cex:commentExtensible w16cex:durableId="22CC2EDD" w16cex:dateUtc="2020-07-29T15:22:00Z"/>
  <w16cex:commentExtensible w16cex:durableId="22CC31C8" w16cex:dateUtc="2020-07-29T15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72" w:rsidRDefault="00CB3472">
      <w:pPr>
        <w:spacing w:after="0" w:line="240" w:lineRule="auto"/>
      </w:pPr>
      <w:r>
        <w:separator/>
      </w:r>
    </w:p>
  </w:endnote>
  <w:endnote w:type="continuationSeparator" w:id="0">
    <w:p w:rsidR="00CB3472" w:rsidRDefault="00CB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75277A">
    <w:pPr>
      <w:pStyle w:val="Pidipagina"/>
    </w:pPr>
  </w:p>
  <w:p w:rsidR="0075277A" w:rsidRDefault="0075277A">
    <w:pPr>
      <w:pStyle w:val="Pidipagina"/>
    </w:pPr>
  </w:p>
  <w:p w:rsidR="0075277A" w:rsidRDefault="00752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72" w:rsidRDefault="00CB3472">
      <w:pPr>
        <w:spacing w:after="0" w:line="240" w:lineRule="auto"/>
      </w:pPr>
      <w:r>
        <w:separator/>
      </w:r>
    </w:p>
  </w:footnote>
  <w:footnote w:type="continuationSeparator" w:id="0">
    <w:p w:rsidR="00CB3472" w:rsidRDefault="00CB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12"/>
  </w:num>
  <w:num w:numId="5">
    <w:abstractNumId w:val="37"/>
  </w:num>
  <w:num w:numId="6">
    <w:abstractNumId w:val="6"/>
  </w:num>
  <w:num w:numId="7">
    <w:abstractNumId w:val="10"/>
  </w:num>
  <w:num w:numId="8">
    <w:abstractNumId w:val="31"/>
  </w:num>
  <w:num w:numId="9">
    <w:abstractNumId w:val="8"/>
  </w:num>
  <w:num w:numId="10">
    <w:abstractNumId w:val="25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1"/>
  </w:num>
  <w:num w:numId="16">
    <w:abstractNumId w:val="2"/>
  </w:num>
  <w:num w:numId="17">
    <w:abstractNumId w:val="29"/>
  </w:num>
  <w:num w:numId="18">
    <w:abstractNumId w:val="9"/>
  </w:num>
  <w:num w:numId="19">
    <w:abstractNumId w:val="35"/>
  </w:num>
  <w:num w:numId="20">
    <w:abstractNumId w:val="7"/>
  </w:num>
  <w:num w:numId="21">
    <w:abstractNumId w:val="34"/>
  </w:num>
  <w:num w:numId="22">
    <w:abstractNumId w:val="38"/>
  </w:num>
  <w:num w:numId="23">
    <w:abstractNumId w:val="40"/>
  </w:num>
  <w:num w:numId="24">
    <w:abstractNumId w:val="13"/>
  </w:num>
  <w:num w:numId="25">
    <w:abstractNumId w:val="17"/>
  </w:num>
  <w:num w:numId="26">
    <w:abstractNumId w:val="27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16"/>
  </w:num>
  <w:num w:numId="32">
    <w:abstractNumId w:val="0"/>
  </w:num>
  <w:num w:numId="33">
    <w:abstractNumId w:val="4"/>
  </w:num>
  <w:num w:numId="34">
    <w:abstractNumId w:val="20"/>
  </w:num>
  <w:num w:numId="35">
    <w:abstractNumId w:val="18"/>
  </w:num>
  <w:num w:numId="36">
    <w:abstractNumId w:val="3"/>
  </w:num>
  <w:num w:numId="37">
    <w:abstractNumId w:val="14"/>
  </w:num>
  <w:num w:numId="38">
    <w:abstractNumId w:val="26"/>
  </w:num>
  <w:num w:numId="39">
    <w:abstractNumId w:val="30"/>
  </w:num>
  <w:num w:numId="40">
    <w:abstractNumId w:val="36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4D"/>
    <w:rsid w:val="00001504"/>
    <w:rsid w:val="00001CEF"/>
    <w:rsid w:val="00002908"/>
    <w:rsid w:val="00002E3E"/>
    <w:rsid w:val="00002EAA"/>
    <w:rsid w:val="00007E2D"/>
    <w:rsid w:val="00010AEF"/>
    <w:rsid w:val="00012955"/>
    <w:rsid w:val="00015809"/>
    <w:rsid w:val="000171B3"/>
    <w:rsid w:val="000171CE"/>
    <w:rsid w:val="000177CD"/>
    <w:rsid w:val="000179EC"/>
    <w:rsid w:val="000200E1"/>
    <w:rsid w:val="0002190C"/>
    <w:rsid w:val="00023F18"/>
    <w:rsid w:val="00026DC0"/>
    <w:rsid w:val="000328C9"/>
    <w:rsid w:val="00035405"/>
    <w:rsid w:val="0004029D"/>
    <w:rsid w:val="00043148"/>
    <w:rsid w:val="00043A85"/>
    <w:rsid w:val="00047EE0"/>
    <w:rsid w:val="000529FD"/>
    <w:rsid w:val="000534AE"/>
    <w:rsid w:val="000548AC"/>
    <w:rsid w:val="000559EC"/>
    <w:rsid w:val="00055E53"/>
    <w:rsid w:val="00055FB6"/>
    <w:rsid w:val="0005649A"/>
    <w:rsid w:val="000568EE"/>
    <w:rsid w:val="00057675"/>
    <w:rsid w:val="00060A3C"/>
    <w:rsid w:val="00062E06"/>
    <w:rsid w:val="000648AF"/>
    <w:rsid w:val="000650A3"/>
    <w:rsid w:val="000654A3"/>
    <w:rsid w:val="00066FEB"/>
    <w:rsid w:val="0007007A"/>
    <w:rsid w:val="00070944"/>
    <w:rsid w:val="000713E0"/>
    <w:rsid w:val="00071F3F"/>
    <w:rsid w:val="00072E7C"/>
    <w:rsid w:val="00073DC9"/>
    <w:rsid w:val="00075811"/>
    <w:rsid w:val="00075B48"/>
    <w:rsid w:val="0007670E"/>
    <w:rsid w:val="00080943"/>
    <w:rsid w:val="00082DDC"/>
    <w:rsid w:val="00083222"/>
    <w:rsid w:val="00087618"/>
    <w:rsid w:val="00090BE2"/>
    <w:rsid w:val="00091C99"/>
    <w:rsid w:val="00092A9D"/>
    <w:rsid w:val="00093477"/>
    <w:rsid w:val="000943CF"/>
    <w:rsid w:val="00094EF2"/>
    <w:rsid w:val="00095FCA"/>
    <w:rsid w:val="000A1C07"/>
    <w:rsid w:val="000A24C2"/>
    <w:rsid w:val="000A5441"/>
    <w:rsid w:val="000A5D42"/>
    <w:rsid w:val="000A7474"/>
    <w:rsid w:val="000A7D7F"/>
    <w:rsid w:val="000B0330"/>
    <w:rsid w:val="000B1503"/>
    <w:rsid w:val="000B23AC"/>
    <w:rsid w:val="000B2A0D"/>
    <w:rsid w:val="000B2A60"/>
    <w:rsid w:val="000B6E50"/>
    <w:rsid w:val="000B77BB"/>
    <w:rsid w:val="000C1558"/>
    <w:rsid w:val="000C1EDD"/>
    <w:rsid w:val="000C22C6"/>
    <w:rsid w:val="000C271B"/>
    <w:rsid w:val="000C44FE"/>
    <w:rsid w:val="000D1769"/>
    <w:rsid w:val="000D1D78"/>
    <w:rsid w:val="000D56B8"/>
    <w:rsid w:val="000D64BB"/>
    <w:rsid w:val="000D6AC6"/>
    <w:rsid w:val="000E2B65"/>
    <w:rsid w:val="000E4C32"/>
    <w:rsid w:val="000F136B"/>
    <w:rsid w:val="000F23C9"/>
    <w:rsid w:val="000F2E5C"/>
    <w:rsid w:val="000F381E"/>
    <w:rsid w:val="000F41B1"/>
    <w:rsid w:val="000F4E69"/>
    <w:rsid w:val="000F63C3"/>
    <w:rsid w:val="000F655E"/>
    <w:rsid w:val="000F6B97"/>
    <w:rsid w:val="000F7D28"/>
    <w:rsid w:val="000F7EE8"/>
    <w:rsid w:val="00100714"/>
    <w:rsid w:val="00100F54"/>
    <w:rsid w:val="00103E7D"/>
    <w:rsid w:val="00104759"/>
    <w:rsid w:val="001047A9"/>
    <w:rsid w:val="0010550E"/>
    <w:rsid w:val="001059AD"/>
    <w:rsid w:val="00113053"/>
    <w:rsid w:val="00113554"/>
    <w:rsid w:val="001218DD"/>
    <w:rsid w:val="00123005"/>
    <w:rsid w:val="0012440D"/>
    <w:rsid w:val="00124E32"/>
    <w:rsid w:val="00126676"/>
    <w:rsid w:val="001305E0"/>
    <w:rsid w:val="001307CA"/>
    <w:rsid w:val="00130C34"/>
    <w:rsid w:val="00131099"/>
    <w:rsid w:val="0013167A"/>
    <w:rsid w:val="001320B9"/>
    <w:rsid w:val="00133E24"/>
    <w:rsid w:val="001341D8"/>
    <w:rsid w:val="001345C1"/>
    <w:rsid w:val="001348C4"/>
    <w:rsid w:val="00136710"/>
    <w:rsid w:val="00137608"/>
    <w:rsid w:val="0014018F"/>
    <w:rsid w:val="001408D2"/>
    <w:rsid w:val="00143377"/>
    <w:rsid w:val="001435C6"/>
    <w:rsid w:val="00143BB8"/>
    <w:rsid w:val="00145AFE"/>
    <w:rsid w:val="00146588"/>
    <w:rsid w:val="001509C3"/>
    <w:rsid w:val="00151D45"/>
    <w:rsid w:val="00153115"/>
    <w:rsid w:val="00153964"/>
    <w:rsid w:val="00156186"/>
    <w:rsid w:val="001630EB"/>
    <w:rsid w:val="0016624A"/>
    <w:rsid w:val="00166D9E"/>
    <w:rsid w:val="0016713F"/>
    <w:rsid w:val="00170961"/>
    <w:rsid w:val="0017590C"/>
    <w:rsid w:val="00175A46"/>
    <w:rsid w:val="001767BB"/>
    <w:rsid w:val="0018261A"/>
    <w:rsid w:val="00183566"/>
    <w:rsid w:val="00183F81"/>
    <w:rsid w:val="00186CF1"/>
    <w:rsid w:val="00187B8A"/>
    <w:rsid w:val="00191361"/>
    <w:rsid w:val="00191564"/>
    <w:rsid w:val="00191AFB"/>
    <w:rsid w:val="00196162"/>
    <w:rsid w:val="00197B87"/>
    <w:rsid w:val="001A0964"/>
    <w:rsid w:val="001A25A5"/>
    <w:rsid w:val="001A3813"/>
    <w:rsid w:val="001A3BD0"/>
    <w:rsid w:val="001A3EC6"/>
    <w:rsid w:val="001A642A"/>
    <w:rsid w:val="001B0820"/>
    <w:rsid w:val="001B29FE"/>
    <w:rsid w:val="001B3683"/>
    <w:rsid w:val="001B3E88"/>
    <w:rsid w:val="001C07D8"/>
    <w:rsid w:val="001C3419"/>
    <w:rsid w:val="001C3871"/>
    <w:rsid w:val="001D0755"/>
    <w:rsid w:val="001D1D83"/>
    <w:rsid w:val="001D59FE"/>
    <w:rsid w:val="001D6AC1"/>
    <w:rsid w:val="001D6D39"/>
    <w:rsid w:val="001D7689"/>
    <w:rsid w:val="001D7BC3"/>
    <w:rsid w:val="001E06CF"/>
    <w:rsid w:val="001E15A7"/>
    <w:rsid w:val="001E16B1"/>
    <w:rsid w:val="001E235C"/>
    <w:rsid w:val="001E2E2C"/>
    <w:rsid w:val="001E456C"/>
    <w:rsid w:val="001E6000"/>
    <w:rsid w:val="001E66B3"/>
    <w:rsid w:val="001F06CD"/>
    <w:rsid w:val="001F2345"/>
    <w:rsid w:val="001F374C"/>
    <w:rsid w:val="001F4A0A"/>
    <w:rsid w:val="001F69E0"/>
    <w:rsid w:val="00204E2D"/>
    <w:rsid w:val="0020632D"/>
    <w:rsid w:val="00207983"/>
    <w:rsid w:val="00210F6C"/>
    <w:rsid w:val="002115AE"/>
    <w:rsid w:val="00212CD8"/>
    <w:rsid w:val="00213097"/>
    <w:rsid w:val="002149D9"/>
    <w:rsid w:val="00217534"/>
    <w:rsid w:val="00217C7C"/>
    <w:rsid w:val="002205C9"/>
    <w:rsid w:val="00223CBF"/>
    <w:rsid w:val="00223FDE"/>
    <w:rsid w:val="0022503B"/>
    <w:rsid w:val="002269AD"/>
    <w:rsid w:val="002273E1"/>
    <w:rsid w:val="002306E8"/>
    <w:rsid w:val="00232450"/>
    <w:rsid w:val="002329BC"/>
    <w:rsid w:val="0023363F"/>
    <w:rsid w:val="0023472D"/>
    <w:rsid w:val="0023571B"/>
    <w:rsid w:val="002372A1"/>
    <w:rsid w:val="002409AC"/>
    <w:rsid w:val="00240B0E"/>
    <w:rsid w:val="002419BE"/>
    <w:rsid w:val="00241BC8"/>
    <w:rsid w:val="002442BE"/>
    <w:rsid w:val="00244487"/>
    <w:rsid w:val="00246085"/>
    <w:rsid w:val="002509F9"/>
    <w:rsid w:val="0025131F"/>
    <w:rsid w:val="00252E88"/>
    <w:rsid w:val="0025387F"/>
    <w:rsid w:val="00255F11"/>
    <w:rsid w:val="0025799B"/>
    <w:rsid w:val="00260775"/>
    <w:rsid w:val="00260A99"/>
    <w:rsid w:val="00262053"/>
    <w:rsid w:val="002666F4"/>
    <w:rsid w:val="002705E8"/>
    <w:rsid w:val="00272A45"/>
    <w:rsid w:val="00272F32"/>
    <w:rsid w:val="00275D83"/>
    <w:rsid w:val="00276946"/>
    <w:rsid w:val="00277E90"/>
    <w:rsid w:val="00280213"/>
    <w:rsid w:val="002813A7"/>
    <w:rsid w:val="002815AC"/>
    <w:rsid w:val="0028323F"/>
    <w:rsid w:val="002837E8"/>
    <w:rsid w:val="00284702"/>
    <w:rsid w:val="00287EB2"/>
    <w:rsid w:val="00290EB0"/>
    <w:rsid w:val="00292F53"/>
    <w:rsid w:val="0029457A"/>
    <w:rsid w:val="00296100"/>
    <w:rsid w:val="00297824"/>
    <w:rsid w:val="002A2099"/>
    <w:rsid w:val="002A3D04"/>
    <w:rsid w:val="002A4DEE"/>
    <w:rsid w:val="002A4E8D"/>
    <w:rsid w:val="002A55EA"/>
    <w:rsid w:val="002A59D9"/>
    <w:rsid w:val="002A5FA2"/>
    <w:rsid w:val="002A6486"/>
    <w:rsid w:val="002A6ED6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5A0D"/>
    <w:rsid w:val="002D63E0"/>
    <w:rsid w:val="002D70B8"/>
    <w:rsid w:val="002D7694"/>
    <w:rsid w:val="002D76E0"/>
    <w:rsid w:val="002E0DAB"/>
    <w:rsid w:val="002E182B"/>
    <w:rsid w:val="002E2579"/>
    <w:rsid w:val="002E3B3A"/>
    <w:rsid w:val="002E450B"/>
    <w:rsid w:val="002F0DFB"/>
    <w:rsid w:val="002F1137"/>
    <w:rsid w:val="002F1666"/>
    <w:rsid w:val="002F47DF"/>
    <w:rsid w:val="002F70DB"/>
    <w:rsid w:val="002F743B"/>
    <w:rsid w:val="00300FDE"/>
    <w:rsid w:val="003020A3"/>
    <w:rsid w:val="00303C74"/>
    <w:rsid w:val="00304BC8"/>
    <w:rsid w:val="00304F90"/>
    <w:rsid w:val="003055A2"/>
    <w:rsid w:val="00306624"/>
    <w:rsid w:val="00306D88"/>
    <w:rsid w:val="0030740E"/>
    <w:rsid w:val="003168CE"/>
    <w:rsid w:val="00317538"/>
    <w:rsid w:val="00320449"/>
    <w:rsid w:val="00323CCC"/>
    <w:rsid w:val="00325971"/>
    <w:rsid w:val="00326A22"/>
    <w:rsid w:val="00327AF6"/>
    <w:rsid w:val="00327D55"/>
    <w:rsid w:val="00327D6B"/>
    <w:rsid w:val="00330B57"/>
    <w:rsid w:val="003319BF"/>
    <w:rsid w:val="0033740A"/>
    <w:rsid w:val="00341741"/>
    <w:rsid w:val="00343D23"/>
    <w:rsid w:val="00344C02"/>
    <w:rsid w:val="00345326"/>
    <w:rsid w:val="00345D05"/>
    <w:rsid w:val="0034652C"/>
    <w:rsid w:val="003515F5"/>
    <w:rsid w:val="003522D4"/>
    <w:rsid w:val="00352733"/>
    <w:rsid w:val="00352A02"/>
    <w:rsid w:val="00353D22"/>
    <w:rsid w:val="00355D9B"/>
    <w:rsid w:val="00356D01"/>
    <w:rsid w:val="00357398"/>
    <w:rsid w:val="003573F0"/>
    <w:rsid w:val="00360AA4"/>
    <w:rsid w:val="003624F9"/>
    <w:rsid w:val="0036340C"/>
    <w:rsid w:val="00363CCA"/>
    <w:rsid w:val="00365312"/>
    <w:rsid w:val="003658CE"/>
    <w:rsid w:val="0037366F"/>
    <w:rsid w:val="0037421B"/>
    <w:rsid w:val="00375555"/>
    <w:rsid w:val="00376334"/>
    <w:rsid w:val="00376B13"/>
    <w:rsid w:val="00384F8E"/>
    <w:rsid w:val="003864BA"/>
    <w:rsid w:val="00387426"/>
    <w:rsid w:val="00390E96"/>
    <w:rsid w:val="003925EF"/>
    <w:rsid w:val="003944F4"/>
    <w:rsid w:val="003948A2"/>
    <w:rsid w:val="0039540D"/>
    <w:rsid w:val="003A0175"/>
    <w:rsid w:val="003A0F9B"/>
    <w:rsid w:val="003A2071"/>
    <w:rsid w:val="003B386F"/>
    <w:rsid w:val="003B3BA8"/>
    <w:rsid w:val="003B46B9"/>
    <w:rsid w:val="003B4B8E"/>
    <w:rsid w:val="003B5BD7"/>
    <w:rsid w:val="003B767D"/>
    <w:rsid w:val="003B7ED5"/>
    <w:rsid w:val="003C28C9"/>
    <w:rsid w:val="003C300D"/>
    <w:rsid w:val="003C3A9A"/>
    <w:rsid w:val="003C44B3"/>
    <w:rsid w:val="003C545F"/>
    <w:rsid w:val="003C6EB4"/>
    <w:rsid w:val="003C7356"/>
    <w:rsid w:val="003D1749"/>
    <w:rsid w:val="003D1F04"/>
    <w:rsid w:val="003D1FAF"/>
    <w:rsid w:val="003D2181"/>
    <w:rsid w:val="003D3898"/>
    <w:rsid w:val="003D530D"/>
    <w:rsid w:val="003D5C6D"/>
    <w:rsid w:val="003E228A"/>
    <w:rsid w:val="003E318E"/>
    <w:rsid w:val="003E62A0"/>
    <w:rsid w:val="003E7BE4"/>
    <w:rsid w:val="003F24A4"/>
    <w:rsid w:val="003F4964"/>
    <w:rsid w:val="003F5E91"/>
    <w:rsid w:val="003F66ED"/>
    <w:rsid w:val="003F7AAD"/>
    <w:rsid w:val="00400B49"/>
    <w:rsid w:val="00404ACE"/>
    <w:rsid w:val="00404CF8"/>
    <w:rsid w:val="00406927"/>
    <w:rsid w:val="00406DC9"/>
    <w:rsid w:val="00410301"/>
    <w:rsid w:val="00410F0D"/>
    <w:rsid w:val="00411BE2"/>
    <w:rsid w:val="00412031"/>
    <w:rsid w:val="0041302D"/>
    <w:rsid w:val="00413E8E"/>
    <w:rsid w:val="004173E1"/>
    <w:rsid w:val="00417C1C"/>
    <w:rsid w:val="004203C6"/>
    <w:rsid w:val="004207EF"/>
    <w:rsid w:val="00420C20"/>
    <w:rsid w:val="00420CC8"/>
    <w:rsid w:val="004214E3"/>
    <w:rsid w:val="00423ED3"/>
    <w:rsid w:val="00425C3A"/>
    <w:rsid w:val="00427B58"/>
    <w:rsid w:val="00435198"/>
    <w:rsid w:val="00435282"/>
    <w:rsid w:val="004374D6"/>
    <w:rsid w:val="00437BB8"/>
    <w:rsid w:val="00441414"/>
    <w:rsid w:val="004421F3"/>
    <w:rsid w:val="00442661"/>
    <w:rsid w:val="004430FB"/>
    <w:rsid w:val="004445B2"/>
    <w:rsid w:val="0044462E"/>
    <w:rsid w:val="00452084"/>
    <w:rsid w:val="004534C0"/>
    <w:rsid w:val="004549CB"/>
    <w:rsid w:val="00455B93"/>
    <w:rsid w:val="00455F70"/>
    <w:rsid w:val="00456FB9"/>
    <w:rsid w:val="00460478"/>
    <w:rsid w:val="00460DB4"/>
    <w:rsid w:val="0046399E"/>
    <w:rsid w:val="004640C3"/>
    <w:rsid w:val="004642D0"/>
    <w:rsid w:val="004653C6"/>
    <w:rsid w:val="0046598E"/>
    <w:rsid w:val="00467C46"/>
    <w:rsid w:val="004703BD"/>
    <w:rsid w:val="00470EA2"/>
    <w:rsid w:val="00470ED4"/>
    <w:rsid w:val="0047278C"/>
    <w:rsid w:val="004751C0"/>
    <w:rsid w:val="00475FAA"/>
    <w:rsid w:val="00476735"/>
    <w:rsid w:val="00476F10"/>
    <w:rsid w:val="004805BB"/>
    <w:rsid w:val="00480CC3"/>
    <w:rsid w:val="00482E09"/>
    <w:rsid w:val="00487CA2"/>
    <w:rsid w:val="00487DFA"/>
    <w:rsid w:val="00490381"/>
    <w:rsid w:val="00493007"/>
    <w:rsid w:val="00494318"/>
    <w:rsid w:val="00494885"/>
    <w:rsid w:val="00496ADF"/>
    <w:rsid w:val="0049718B"/>
    <w:rsid w:val="004A0133"/>
    <w:rsid w:val="004A46F7"/>
    <w:rsid w:val="004A54BA"/>
    <w:rsid w:val="004A574D"/>
    <w:rsid w:val="004A5C54"/>
    <w:rsid w:val="004A6E52"/>
    <w:rsid w:val="004A7DB9"/>
    <w:rsid w:val="004B2FB3"/>
    <w:rsid w:val="004B34C0"/>
    <w:rsid w:val="004B3D68"/>
    <w:rsid w:val="004B4E74"/>
    <w:rsid w:val="004B64C5"/>
    <w:rsid w:val="004C12A9"/>
    <w:rsid w:val="004C3A9A"/>
    <w:rsid w:val="004C41A8"/>
    <w:rsid w:val="004C50A7"/>
    <w:rsid w:val="004C60DC"/>
    <w:rsid w:val="004C6651"/>
    <w:rsid w:val="004D26DF"/>
    <w:rsid w:val="004D3220"/>
    <w:rsid w:val="004D3455"/>
    <w:rsid w:val="004D381A"/>
    <w:rsid w:val="004D5A05"/>
    <w:rsid w:val="004D6BE7"/>
    <w:rsid w:val="004D7F8F"/>
    <w:rsid w:val="004E1A67"/>
    <w:rsid w:val="004E1AC9"/>
    <w:rsid w:val="004E6DA9"/>
    <w:rsid w:val="004E7D1A"/>
    <w:rsid w:val="004F173B"/>
    <w:rsid w:val="004F2759"/>
    <w:rsid w:val="004F29CC"/>
    <w:rsid w:val="004F2E8F"/>
    <w:rsid w:val="004F61AA"/>
    <w:rsid w:val="004F62AF"/>
    <w:rsid w:val="00500FEB"/>
    <w:rsid w:val="0050143A"/>
    <w:rsid w:val="005015C7"/>
    <w:rsid w:val="0050196C"/>
    <w:rsid w:val="00502A03"/>
    <w:rsid w:val="00503664"/>
    <w:rsid w:val="00503976"/>
    <w:rsid w:val="005049A0"/>
    <w:rsid w:val="00504B2C"/>
    <w:rsid w:val="005052B2"/>
    <w:rsid w:val="005070CE"/>
    <w:rsid w:val="00511884"/>
    <w:rsid w:val="005126FA"/>
    <w:rsid w:val="005127EB"/>
    <w:rsid w:val="00512FC7"/>
    <w:rsid w:val="0051437E"/>
    <w:rsid w:val="005165ED"/>
    <w:rsid w:val="00521CAE"/>
    <w:rsid w:val="00522819"/>
    <w:rsid w:val="00523087"/>
    <w:rsid w:val="0052545F"/>
    <w:rsid w:val="00526F9F"/>
    <w:rsid w:val="005356F3"/>
    <w:rsid w:val="00535B99"/>
    <w:rsid w:val="00535FB8"/>
    <w:rsid w:val="005378EA"/>
    <w:rsid w:val="00541FCE"/>
    <w:rsid w:val="0054575E"/>
    <w:rsid w:val="00546091"/>
    <w:rsid w:val="0054649D"/>
    <w:rsid w:val="00547577"/>
    <w:rsid w:val="005512A0"/>
    <w:rsid w:val="00551B78"/>
    <w:rsid w:val="005531F6"/>
    <w:rsid w:val="005555AC"/>
    <w:rsid w:val="00557FAC"/>
    <w:rsid w:val="00561E94"/>
    <w:rsid w:val="0056226F"/>
    <w:rsid w:val="0056309C"/>
    <w:rsid w:val="00563171"/>
    <w:rsid w:val="00565896"/>
    <w:rsid w:val="00565B01"/>
    <w:rsid w:val="005670E5"/>
    <w:rsid w:val="00570E0C"/>
    <w:rsid w:val="005721B6"/>
    <w:rsid w:val="00572631"/>
    <w:rsid w:val="0057286A"/>
    <w:rsid w:val="00573CE1"/>
    <w:rsid w:val="00575FE4"/>
    <w:rsid w:val="00582B47"/>
    <w:rsid w:val="00584F34"/>
    <w:rsid w:val="005850C4"/>
    <w:rsid w:val="005862D2"/>
    <w:rsid w:val="00586EDB"/>
    <w:rsid w:val="00587855"/>
    <w:rsid w:val="005879F9"/>
    <w:rsid w:val="005927E5"/>
    <w:rsid w:val="00595C29"/>
    <w:rsid w:val="00596FA8"/>
    <w:rsid w:val="00597447"/>
    <w:rsid w:val="005A0C5E"/>
    <w:rsid w:val="005A3752"/>
    <w:rsid w:val="005A491E"/>
    <w:rsid w:val="005A4C86"/>
    <w:rsid w:val="005A69DC"/>
    <w:rsid w:val="005A7071"/>
    <w:rsid w:val="005B1421"/>
    <w:rsid w:val="005B1EBE"/>
    <w:rsid w:val="005B4EDF"/>
    <w:rsid w:val="005B6533"/>
    <w:rsid w:val="005B67AE"/>
    <w:rsid w:val="005C08B9"/>
    <w:rsid w:val="005C092C"/>
    <w:rsid w:val="005C5D3F"/>
    <w:rsid w:val="005D08B3"/>
    <w:rsid w:val="005D12FA"/>
    <w:rsid w:val="005D2F9E"/>
    <w:rsid w:val="005D38E6"/>
    <w:rsid w:val="005D493F"/>
    <w:rsid w:val="005D59BB"/>
    <w:rsid w:val="005D78FF"/>
    <w:rsid w:val="005E053F"/>
    <w:rsid w:val="005E1B70"/>
    <w:rsid w:val="005E3CCE"/>
    <w:rsid w:val="005E4864"/>
    <w:rsid w:val="005E6366"/>
    <w:rsid w:val="005E6613"/>
    <w:rsid w:val="005E6A32"/>
    <w:rsid w:val="005E6C0B"/>
    <w:rsid w:val="005F0188"/>
    <w:rsid w:val="005F5D57"/>
    <w:rsid w:val="005F6212"/>
    <w:rsid w:val="005F7A93"/>
    <w:rsid w:val="00600B66"/>
    <w:rsid w:val="00600CCD"/>
    <w:rsid w:val="00602DF1"/>
    <w:rsid w:val="0060442D"/>
    <w:rsid w:val="00604A4F"/>
    <w:rsid w:val="00604DAE"/>
    <w:rsid w:val="006074AF"/>
    <w:rsid w:val="006115E6"/>
    <w:rsid w:val="00611E90"/>
    <w:rsid w:val="0061266D"/>
    <w:rsid w:val="00612C8A"/>
    <w:rsid w:val="00612F59"/>
    <w:rsid w:val="00615B1C"/>
    <w:rsid w:val="006165DD"/>
    <w:rsid w:val="0062113D"/>
    <w:rsid w:val="00622A81"/>
    <w:rsid w:val="00622F59"/>
    <w:rsid w:val="00627001"/>
    <w:rsid w:val="00627D19"/>
    <w:rsid w:val="00631EE7"/>
    <w:rsid w:val="00632682"/>
    <w:rsid w:val="00633FE4"/>
    <w:rsid w:val="006344FF"/>
    <w:rsid w:val="006347C6"/>
    <w:rsid w:val="006355A5"/>
    <w:rsid w:val="00637E95"/>
    <w:rsid w:val="00637EFB"/>
    <w:rsid w:val="0064216D"/>
    <w:rsid w:val="0064233C"/>
    <w:rsid w:val="00642A96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6B65"/>
    <w:rsid w:val="006576D7"/>
    <w:rsid w:val="006602C7"/>
    <w:rsid w:val="00661625"/>
    <w:rsid w:val="00664F08"/>
    <w:rsid w:val="00672099"/>
    <w:rsid w:val="0067483E"/>
    <w:rsid w:val="00674F78"/>
    <w:rsid w:val="00676036"/>
    <w:rsid w:val="006768D8"/>
    <w:rsid w:val="00683B82"/>
    <w:rsid w:val="00687318"/>
    <w:rsid w:val="006876EB"/>
    <w:rsid w:val="00690ACD"/>
    <w:rsid w:val="006917E1"/>
    <w:rsid w:val="00691E9D"/>
    <w:rsid w:val="0069637C"/>
    <w:rsid w:val="006A1820"/>
    <w:rsid w:val="006A3B33"/>
    <w:rsid w:val="006A5AB0"/>
    <w:rsid w:val="006B12A9"/>
    <w:rsid w:val="006B2769"/>
    <w:rsid w:val="006B6C0F"/>
    <w:rsid w:val="006B6EF7"/>
    <w:rsid w:val="006C0A61"/>
    <w:rsid w:val="006C22E4"/>
    <w:rsid w:val="006C3FBD"/>
    <w:rsid w:val="006C458D"/>
    <w:rsid w:val="006C5A99"/>
    <w:rsid w:val="006C61CF"/>
    <w:rsid w:val="006C79E9"/>
    <w:rsid w:val="006D0D40"/>
    <w:rsid w:val="006D127C"/>
    <w:rsid w:val="006D28FA"/>
    <w:rsid w:val="006D4E98"/>
    <w:rsid w:val="006D5C17"/>
    <w:rsid w:val="006D696D"/>
    <w:rsid w:val="006E02A4"/>
    <w:rsid w:val="006E2575"/>
    <w:rsid w:val="006E4166"/>
    <w:rsid w:val="006E459F"/>
    <w:rsid w:val="006E488E"/>
    <w:rsid w:val="006E5D20"/>
    <w:rsid w:val="006F20F9"/>
    <w:rsid w:val="006F24CB"/>
    <w:rsid w:val="006F2A40"/>
    <w:rsid w:val="006F34AA"/>
    <w:rsid w:val="006F4A1D"/>
    <w:rsid w:val="006F6445"/>
    <w:rsid w:val="007006C3"/>
    <w:rsid w:val="007013BF"/>
    <w:rsid w:val="00702C85"/>
    <w:rsid w:val="00706AE0"/>
    <w:rsid w:val="007106A3"/>
    <w:rsid w:val="00710B57"/>
    <w:rsid w:val="00711A1B"/>
    <w:rsid w:val="00712DE3"/>
    <w:rsid w:val="00714DD1"/>
    <w:rsid w:val="00716462"/>
    <w:rsid w:val="00716D6F"/>
    <w:rsid w:val="00716E9B"/>
    <w:rsid w:val="00717187"/>
    <w:rsid w:val="007202C9"/>
    <w:rsid w:val="00720787"/>
    <w:rsid w:val="00722404"/>
    <w:rsid w:val="00723A22"/>
    <w:rsid w:val="0072783E"/>
    <w:rsid w:val="00732E2F"/>
    <w:rsid w:val="00734FA2"/>
    <w:rsid w:val="0073695C"/>
    <w:rsid w:val="00737FDA"/>
    <w:rsid w:val="007429A2"/>
    <w:rsid w:val="00742B69"/>
    <w:rsid w:val="00743648"/>
    <w:rsid w:val="00743DAB"/>
    <w:rsid w:val="0074492B"/>
    <w:rsid w:val="007456CB"/>
    <w:rsid w:val="00746937"/>
    <w:rsid w:val="007476C5"/>
    <w:rsid w:val="0075145C"/>
    <w:rsid w:val="007517C6"/>
    <w:rsid w:val="0075277A"/>
    <w:rsid w:val="00753608"/>
    <w:rsid w:val="0075480B"/>
    <w:rsid w:val="00755114"/>
    <w:rsid w:val="007551E8"/>
    <w:rsid w:val="00756BF5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635F5"/>
    <w:rsid w:val="007707AD"/>
    <w:rsid w:val="00772F06"/>
    <w:rsid w:val="00773CD5"/>
    <w:rsid w:val="007762D0"/>
    <w:rsid w:val="00777568"/>
    <w:rsid w:val="00780B5E"/>
    <w:rsid w:val="00780B6B"/>
    <w:rsid w:val="00780CCA"/>
    <w:rsid w:val="007836E4"/>
    <w:rsid w:val="007852E6"/>
    <w:rsid w:val="00787430"/>
    <w:rsid w:val="00787494"/>
    <w:rsid w:val="00792513"/>
    <w:rsid w:val="007934E9"/>
    <w:rsid w:val="00796E28"/>
    <w:rsid w:val="00797683"/>
    <w:rsid w:val="007A0E55"/>
    <w:rsid w:val="007A2B7E"/>
    <w:rsid w:val="007A3025"/>
    <w:rsid w:val="007A5918"/>
    <w:rsid w:val="007A599A"/>
    <w:rsid w:val="007A5CE7"/>
    <w:rsid w:val="007A70DF"/>
    <w:rsid w:val="007B16AC"/>
    <w:rsid w:val="007B2B63"/>
    <w:rsid w:val="007B2D95"/>
    <w:rsid w:val="007B3BB0"/>
    <w:rsid w:val="007B4206"/>
    <w:rsid w:val="007B460A"/>
    <w:rsid w:val="007B76C3"/>
    <w:rsid w:val="007C1924"/>
    <w:rsid w:val="007C2BCE"/>
    <w:rsid w:val="007C3065"/>
    <w:rsid w:val="007C48EB"/>
    <w:rsid w:val="007C62A1"/>
    <w:rsid w:val="007D0C94"/>
    <w:rsid w:val="007D1284"/>
    <w:rsid w:val="007D21EE"/>
    <w:rsid w:val="007D4C7F"/>
    <w:rsid w:val="007D7805"/>
    <w:rsid w:val="007E177C"/>
    <w:rsid w:val="007E1F0A"/>
    <w:rsid w:val="007E2BA6"/>
    <w:rsid w:val="007E2C64"/>
    <w:rsid w:val="007E3B6F"/>
    <w:rsid w:val="007E6483"/>
    <w:rsid w:val="007E7B7B"/>
    <w:rsid w:val="007F276F"/>
    <w:rsid w:val="007F3F63"/>
    <w:rsid w:val="007F6282"/>
    <w:rsid w:val="008006DB"/>
    <w:rsid w:val="00801134"/>
    <w:rsid w:val="00802724"/>
    <w:rsid w:val="00805F05"/>
    <w:rsid w:val="0080635D"/>
    <w:rsid w:val="008064EA"/>
    <w:rsid w:val="0080704D"/>
    <w:rsid w:val="00807B71"/>
    <w:rsid w:val="00807E75"/>
    <w:rsid w:val="008109FF"/>
    <w:rsid w:val="00811C30"/>
    <w:rsid w:val="00812008"/>
    <w:rsid w:val="00812DAD"/>
    <w:rsid w:val="00813DA2"/>
    <w:rsid w:val="00813FAA"/>
    <w:rsid w:val="008141B0"/>
    <w:rsid w:val="00815132"/>
    <w:rsid w:val="00815F40"/>
    <w:rsid w:val="00816B69"/>
    <w:rsid w:val="00817B29"/>
    <w:rsid w:val="00821104"/>
    <w:rsid w:val="00822659"/>
    <w:rsid w:val="00824061"/>
    <w:rsid w:val="00824D1D"/>
    <w:rsid w:val="00825F7D"/>
    <w:rsid w:val="0082682D"/>
    <w:rsid w:val="0083016D"/>
    <w:rsid w:val="0083247F"/>
    <w:rsid w:val="00833C4A"/>
    <w:rsid w:val="00834083"/>
    <w:rsid w:val="00834413"/>
    <w:rsid w:val="00835264"/>
    <w:rsid w:val="00835930"/>
    <w:rsid w:val="008376AC"/>
    <w:rsid w:val="0084002B"/>
    <w:rsid w:val="00840E9B"/>
    <w:rsid w:val="0084133F"/>
    <w:rsid w:val="008458BF"/>
    <w:rsid w:val="00846C06"/>
    <w:rsid w:val="0084753A"/>
    <w:rsid w:val="00847FDE"/>
    <w:rsid w:val="008505F6"/>
    <w:rsid w:val="00851073"/>
    <w:rsid w:val="008515EF"/>
    <w:rsid w:val="00852832"/>
    <w:rsid w:val="00852CA1"/>
    <w:rsid w:val="00854A33"/>
    <w:rsid w:val="00854B36"/>
    <w:rsid w:val="00855916"/>
    <w:rsid w:val="00856676"/>
    <w:rsid w:val="008613A9"/>
    <w:rsid w:val="00862990"/>
    <w:rsid w:val="00863411"/>
    <w:rsid w:val="00871B35"/>
    <w:rsid w:val="00873715"/>
    <w:rsid w:val="00873E22"/>
    <w:rsid w:val="00873FF0"/>
    <w:rsid w:val="00877452"/>
    <w:rsid w:val="008822E7"/>
    <w:rsid w:val="00882A5C"/>
    <w:rsid w:val="00883151"/>
    <w:rsid w:val="0088398F"/>
    <w:rsid w:val="00885C9E"/>
    <w:rsid w:val="00885E3A"/>
    <w:rsid w:val="00886215"/>
    <w:rsid w:val="00886B2E"/>
    <w:rsid w:val="00891E62"/>
    <w:rsid w:val="00893D88"/>
    <w:rsid w:val="00893E02"/>
    <w:rsid w:val="008957D2"/>
    <w:rsid w:val="008958EF"/>
    <w:rsid w:val="00897558"/>
    <w:rsid w:val="008A0E45"/>
    <w:rsid w:val="008A55F7"/>
    <w:rsid w:val="008A5BA9"/>
    <w:rsid w:val="008A6587"/>
    <w:rsid w:val="008A7176"/>
    <w:rsid w:val="008A7D9C"/>
    <w:rsid w:val="008B0811"/>
    <w:rsid w:val="008B13C3"/>
    <w:rsid w:val="008B1878"/>
    <w:rsid w:val="008B4508"/>
    <w:rsid w:val="008B5356"/>
    <w:rsid w:val="008B791C"/>
    <w:rsid w:val="008C54E1"/>
    <w:rsid w:val="008C7B6D"/>
    <w:rsid w:val="008D2367"/>
    <w:rsid w:val="008D2AAD"/>
    <w:rsid w:val="008D4DF1"/>
    <w:rsid w:val="008E086F"/>
    <w:rsid w:val="008E24BB"/>
    <w:rsid w:val="008E252F"/>
    <w:rsid w:val="008E5187"/>
    <w:rsid w:val="008E5D9E"/>
    <w:rsid w:val="008E6971"/>
    <w:rsid w:val="008E7910"/>
    <w:rsid w:val="008F0A5C"/>
    <w:rsid w:val="008F1612"/>
    <w:rsid w:val="008F1BD5"/>
    <w:rsid w:val="008F4115"/>
    <w:rsid w:val="008F50B0"/>
    <w:rsid w:val="008F654F"/>
    <w:rsid w:val="008F675F"/>
    <w:rsid w:val="00900D84"/>
    <w:rsid w:val="00901A6B"/>
    <w:rsid w:val="00901D22"/>
    <w:rsid w:val="00902148"/>
    <w:rsid w:val="0090383F"/>
    <w:rsid w:val="009049BC"/>
    <w:rsid w:val="0090558C"/>
    <w:rsid w:val="009068D0"/>
    <w:rsid w:val="00906C3E"/>
    <w:rsid w:val="00911CAF"/>
    <w:rsid w:val="00911D2E"/>
    <w:rsid w:val="0091396B"/>
    <w:rsid w:val="00913C78"/>
    <w:rsid w:val="00914402"/>
    <w:rsid w:val="00914A26"/>
    <w:rsid w:val="0091718E"/>
    <w:rsid w:val="00921D60"/>
    <w:rsid w:val="0092337D"/>
    <w:rsid w:val="00924455"/>
    <w:rsid w:val="009249AB"/>
    <w:rsid w:val="00925C73"/>
    <w:rsid w:val="00925D82"/>
    <w:rsid w:val="00932325"/>
    <w:rsid w:val="00932B6D"/>
    <w:rsid w:val="0093426F"/>
    <w:rsid w:val="00936453"/>
    <w:rsid w:val="009369B6"/>
    <w:rsid w:val="00940309"/>
    <w:rsid w:val="00940CFC"/>
    <w:rsid w:val="00941121"/>
    <w:rsid w:val="00943551"/>
    <w:rsid w:val="009435DE"/>
    <w:rsid w:val="00943B2E"/>
    <w:rsid w:val="00943DE0"/>
    <w:rsid w:val="00944EF6"/>
    <w:rsid w:val="00945A20"/>
    <w:rsid w:val="00945E9B"/>
    <w:rsid w:val="00946221"/>
    <w:rsid w:val="00947579"/>
    <w:rsid w:val="009475F0"/>
    <w:rsid w:val="00953034"/>
    <w:rsid w:val="00954287"/>
    <w:rsid w:val="00955E2A"/>
    <w:rsid w:val="0095608C"/>
    <w:rsid w:val="00956331"/>
    <w:rsid w:val="00967957"/>
    <w:rsid w:val="00970B5D"/>
    <w:rsid w:val="00972E1E"/>
    <w:rsid w:val="00974C0B"/>
    <w:rsid w:val="00974EC8"/>
    <w:rsid w:val="00975612"/>
    <w:rsid w:val="00975F96"/>
    <w:rsid w:val="00984DF6"/>
    <w:rsid w:val="009856B6"/>
    <w:rsid w:val="009858B9"/>
    <w:rsid w:val="00990E18"/>
    <w:rsid w:val="00991393"/>
    <w:rsid w:val="00991CD3"/>
    <w:rsid w:val="009942DB"/>
    <w:rsid w:val="009952B5"/>
    <w:rsid w:val="009956AF"/>
    <w:rsid w:val="009970D3"/>
    <w:rsid w:val="009A1612"/>
    <w:rsid w:val="009A33DB"/>
    <w:rsid w:val="009A64A5"/>
    <w:rsid w:val="009A6824"/>
    <w:rsid w:val="009A7852"/>
    <w:rsid w:val="009B0507"/>
    <w:rsid w:val="009B1C61"/>
    <w:rsid w:val="009B1C75"/>
    <w:rsid w:val="009B314F"/>
    <w:rsid w:val="009B7B66"/>
    <w:rsid w:val="009C113E"/>
    <w:rsid w:val="009C47F0"/>
    <w:rsid w:val="009C6BF7"/>
    <w:rsid w:val="009D34A4"/>
    <w:rsid w:val="009D3C6E"/>
    <w:rsid w:val="009D4A19"/>
    <w:rsid w:val="009D4C6D"/>
    <w:rsid w:val="009D5834"/>
    <w:rsid w:val="009D6AEE"/>
    <w:rsid w:val="009E0E19"/>
    <w:rsid w:val="009E1E52"/>
    <w:rsid w:val="009E35CB"/>
    <w:rsid w:val="009E51E1"/>
    <w:rsid w:val="009E6748"/>
    <w:rsid w:val="009E7573"/>
    <w:rsid w:val="009E7D1B"/>
    <w:rsid w:val="009F0E8E"/>
    <w:rsid w:val="009F2B01"/>
    <w:rsid w:val="009F4108"/>
    <w:rsid w:val="009F6F0E"/>
    <w:rsid w:val="009F7BF1"/>
    <w:rsid w:val="009F7C36"/>
    <w:rsid w:val="00A00674"/>
    <w:rsid w:val="00A02B9F"/>
    <w:rsid w:val="00A05149"/>
    <w:rsid w:val="00A05DA4"/>
    <w:rsid w:val="00A061E7"/>
    <w:rsid w:val="00A07778"/>
    <w:rsid w:val="00A10324"/>
    <w:rsid w:val="00A125C6"/>
    <w:rsid w:val="00A148E1"/>
    <w:rsid w:val="00A149F4"/>
    <w:rsid w:val="00A176D4"/>
    <w:rsid w:val="00A208E0"/>
    <w:rsid w:val="00A20C16"/>
    <w:rsid w:val="00A21B24"/>
    <w:rsid w:val="00A2329E"/>
    <w:rsid w:val="00A24080"/>
    <w:rsid w:val="00A245F6"/>
    <w:rsid w:val="00A26E17"/>
    <w:rsid w:val="00A30D45"/>
    <w:rsid w:val="00A31274"/>
    <w:rsid w:val="00A3202F"/>
    <w:rsid w:val="00A32A97"/>
    <w:rsid w:val="00A33EF5"/>
    <w:rsid w:val="00A37423"/>
    <w:rsid w:val="00A37A23"/>
    <w:rsid w:val="00A4164F"/>
    <w:rsid w:val="00A42648"/>
    <w:rsid w:val="00A42764"/>
    <w:rsid w:val="00A42FDA"/>
    <w:rsid w:val="00A43D16"/>
    <w:rsid w:val="00A44F25"/>
    <w:rsid w:val="00A4525F"/>
    <w:rsid w:val="00A45510"/>
    <w:rsid w:val="00A4555F"/>
    <w:rsid w:val="00A45A8E"/>
    <w:rsid w:val="00A463BE"/>
    <w:rsid w:val="00A46BA1"/>
    <w:rsid w:val="00A50577"/>
    <w:rsid w:val="00A5468C"/>
    <w:rsid w:val="00A54F2C"/>
    <w:rsid w:val="00A574E0"/>
    <w:rsid w:val="00A57EE9"/>
    <w:rsid w:val="00A60230"/>
    <w:rsid w:val="00A60C84"/>
    <w:rsid w:val="00A63180"/>
    <w:rsid w:val="00A64E2D"/>
    <w:rsid w:val="00A651A2"/>
    <w:rsid w:val="00A6607A"/>
    <w:rsid w:val="00A67218"/>
    <w:rsid w:val="00A6798E"/>
    <w:rsid w:val="00A67B4E"/>
    <w:rsid w:val="00A71B18"/>
    <w:rsid w:val="00A73BBD"/>
    <w:rsid w:val="00A73F90"/>
    <w:rsid w:val="00A7678D"/>
    <w:rsid w:val="00A776BE"/>
    <w:rsid w:val="00A8160A"/>
    <w:rsid w:val="00A8226A"/>
    <w:rsid w:val="00A82638"/>
    <w:rsid w:val="00A833AA"/>
    <w:rsid w:val="00A835FA"/>
    <w:rsid w:val="00A86612"/>
    <w:rsid w:val="00A8692E"/>
    <w:rsid w:val="00A94367"/>
    <w:rsid w:val="00A94901"/>
    <w:rsid w:val="00A953E6"/>
    <w:rsid w:val="00A97066"/>
    <w:rsid w:val="00AA0C59"/>
    <w:rsid w:val="00AA1769"/>
    <w:rsid w:val="00AA1782"/>
    <w:rsid w:val="00AA2732"/>
    <w:rsid w:val="00AA2BFF"/>
    <w:rsid w:val="00AA2F2F"/>
    <w:rsid w:val="00AA3B9C"/>
    <w:rsid w:val="00AA5DF1"/>
    <w:rsid w:val="00AA7482"/>
    <w:rsid w:val="00AB0CE2"/>
    <w:rsid w:val="00AB3446"/>
    <w:rsid w:val="00AB35BB"/>
    <w:rsid w:val="00AB3B81"/>
    <w:rsid w:val="00AB415E"/>
    <w:rsid w:val="00AB4371"/>
    <w:rsid w:val="00AB6F51"/>
    <w:rsid w:val="00AB7A6D"/>
    <w:rsid w:val="00AC1D69"/>
    <w:rsid w:val="00AC2A51"/>
    <w:rsid w:val="00AC4710"/>
    <w:rsid w:val="00AC546F"/>
    <w:rsid w:val="00AC55D6"/>
    <w:rsid w:val="00AD21A5"/>
    <w:rsid w:val="00AD3147"/>
    <w:rsid w:val="00AD4714"/>
    <w:rsid w:val="00AD4E60"/>
    <w:rsid w:val="00AD510C"/>
    <w:rsid w:val="00AD7137"/>
    <w:rsid w:val="00AE0068"/>
    <w:rsid w:val="00AE3EA3"/>
    <w:rsid w:val="00AE7D6B"/>
    <w:rsid w:val="00AF55DD"/>
    <w:rsid w:val="00AF56B2"/>
    <w:rsid w:val="00AF5735"/>
    <w:rsid w:val="00AF71E2"/>
    <w:rsid w:val="00B01615"/>
    <w:rsid w:val="00B01F54"/>
    <w:rsid w:val="00B021EA"/>
    <w:rsid w:val="00B04792"/>
    <w:rsid w:val="00B04E45"/>
    <w:rsid w:val="00B050EF"/>
    <w:rsid w:val="00B05439"/>
    <w:rsid w:val="00B10B61"/>
    <w:rsid w:val="00B11015"/>
    <w:rsid w:val="00B11737"/>
    <w:rsid w:val="00B14080"/>
    <w:rsid w:val="00B17140"/>
    <w:rsid w:val="00B23F66"/>
    <w:rsid w:val="00B241CC"/>
    <w:rsid w:val="00B24821"/>
    <w:rsid w:val="00B25576"/>
    <w:rsid w:val="00B27A9C"/>
    <w:rsid w:val="00B34EB5"/>
    <w:rsid w:val="00B3670B"/>
    <w:rsid w:val="00B41CDA"/>
    <w:rsid w:val="00B41F3E"/>
    <w:rsid w:val="00B441BB"/>
    <w:rsid w:val="00B443D8"/>
    <w:rsid w:val="00B45494"/>
    <w:rsid w:val="00B4696D"/>
    <w:rsid w:val="00B47F95"/>
    <w:rsid w:val="00B5483A"/>
    <w:rsid w:val="00B552B6"/>
    <w:rsid w:val="00B57331"/>
    <w:rsid w:val="00B635C6"/>
    <w:rsid w:val="00B639F9"/>
    <w:rsid w:val="00B65D9C"/>
    <w:rsid w:val="00B661A5"/>
    <w:rsid w:val="00B701A5"/>
    <w:rsid w:val="00B73CBB"/>
    <w:rsid w:val="00B74102"/>
    <w:rsid w:val="00B74FD7"/>
    <w:rsid w:val="00B76857"/>
    <w:rsid w:val="00B812D1"/>
    <w:rsid w:val="00B822D5"/>
    <w:rsid w:val="00B82B20"/>
    <w:rsid w:val="00B82FEA"/>
    <w:rsid w:val="00B8711E"/>
    <w:rsid w:val="00B9032D"/>
    <w:rsid w:val="00B904EF"/>
    <w:rsid w:val="00B9098A"/>
    <w:rsid w:val="00B92D75"/>
    <w:rsid w:val="00B93DEF"/>
    <w:rsid w:val="00B95C5D"/>
    <w:rsid w:val="00B97121"/>
    <w:rsid w:val="00BA08BE"/>
    <w:rsid w:val="00BA095D"/>
    <w:rsid w:val="00BA17A3"/>
    <w:rsid w:val="00BA3DDE"/>
    <w:rsid w:val="00BA5083"/>
    <w:rsid w:val="00BA798E"/>
    <w:rsid w:val="00BA7A01"/>
    <w:rsid w:val="00BA7AE5"/>
    <w:rsid w:val="00BB0200"/>
    <w:rsid w:val="00BB1A7D"/>
    <w:rsid w:val="00BB2E70"/>
    <w:rsid w:val="00BB6B84"/>
    <w:rsid w:val="00BC045A"/>
    <w:rsid w:val="00BC1400"/>
    <w:rsid w:val="00BC29E2"/>
    <w:rsid w:val="00BC46EA"/>
    <w:rsid w:val="00BC670C"/>
    <w:rsid w:val="00BC7AAD"/>
    <w:rsid w:val="00BD12F3"/>
    <w:rsid w:val="00BD2441"/>
    <w:rsid w:val="00BD49A5"/>
    <w:rsid w:val="00BD618E"/>
    <w:rsid w:val="00BD689A"/>
    <w:rsid w:val="00BE2807"/>
    <w:rsid w:val="00BE2B21"/>
    <w:rsid w:val="00BE4CBF"/>
    <w:rsid w:val="00BF0218"/>
    <w:rsid w:val="00BF22E3"/>
    <w:rsid w:val="00BF55EA"/>
    <w:rsid w:val="00BF656A"/>
    <w:rsid w:val="00BF7AD5"/>
    <w:rsid w:val="00C01B35"/>
    <w:rsid w:val="00C024D8"/>
    <w:rsid w:val="00C036C3"/>
    <w:rsid w:val="00C036E5"/>
    <w:rsid w:val="00C06ED3"/>
    <w:rsid w:val="00C075E0"/>
    <w:rsid w:val="00C1065A"/>
    <w:rsid w:val="00C12018"/>
    <w:rsid w:val="00C15FCE"/>
    <w:rsid w:val="00C20D5E"/>
    <w:rsid w:val="00C22254"/>
    <w:rsid w:val="00C24286"/>
    <w:rsid w:val="00C249E7"/>
    <w:rsid w:val="00C276DD"/>
    <w:rsid w:val="00C30DB5"/>
    <w:rsid w:val="00C34525"/>
    <w:rsid w:val="00C34EA8"/>
    <w:rsid w:val="00C3563E"/>
    <w:rsid w:val="00C40014"/>
    <w:rsid w:val="00C4077E"/>
    <w:rsid w:val="00C41C75"/>
    <w:rsid w:val="00C44FA0"/>
    <w:rsid w:val="00C45232"/>
    <w:rsid w:val="00C4623F"/>
    <w:rsid w:val="00C502C7"/>
    <w:rsid w:val="00C50340"/>
    <w:rsid w:val="00C5094C"/>
    <w:rsid w:val="00C520DC"/>
    <w:rsid w:val="00C5246D"/>
    <w:rsid w:val="00C552C3"/>
    <w:rsid w:val="00C55BF6"/>
    <w:rsid w:val="00C55E0F"/>
    <w:rsid w:val="00C56E82"/>
    <w:rsid w:val="00C570CD"/>
    <w:rsid w:val="00C57B75"/>
    <w:rsid w:val="00C6226B"/>
    <w:rsid w:val="00C63D79"/>
    <w:rsid w:val="00C64990"/>
    <w:rsid w:val="00C6764B"/>
    <w:rsid w:val="00C71643"/>
    <w:rsid w:val="00C7252C"/>
    <w:rsid w:val="00C75C27"/>
    <w:rsid w:val="00C83CAC"/>
    <w:rsid w:val="00C90BDE"/>
    <w:rsid w:val="00C91496"/>
    <w:rsid w:val="00C9165C"/>
    <w:rsid w:val="00C91BCF"/>
    <w:rsid w:val="00C932D1"/>
    <w:rsid w:val="00C93E25"/>
    <w:rsid w:val="00C94612"/>
    <w:rsid w:val="00C95A2F"/>
    <w:rsid w:val="00C9645B"/>
    <w:rsid w:val="00C97145"/>
    <w:rsid w:val="00C97510"/>
    <w:rsid w:val="00C977DF"/>
    <w:rsid w:val="00CA3BC7"/>
    <w:rsid w:val="00CA461A"/>
    <w:rsid w:val="00CA4B43"/>
    <w:rsid w:val="00CA71BA"/>
    <w:rsid w:val="00CB3113"/>
    <w:rsid w:val="00CB3472"/>
    <w:rsid w:val="00CB5127"/>
    <w:rsid w:val="00CB5911"/>
    <w:rsid w:val="00CB71D2"/>
    <w:rsid w:val="00CB7EB6"/>
    <w:rsid w:val="00CC153B"/>
    <w:rsid w:val="00CC25F5"/>
    <w:rsid w:val="00CC3BE0"/>
    <w:rsid w:val="00CC4F6E"/>
    <w:rsid w:val="00CC6930"/>
    <w:rsid w:val="00CC76C8"/>
    <w:rsid w:val="00CD019A"/>
    <w:rsid w:val="00CD1202"/>
    <w:rsid w:val="00CD173C"/>
    <w:rsid w:val="00CD2388"/>
    <w:rsid w:val="00CE0186"/>
    <w:rsid w:val="00CE02BB"/>
    <w:rsid w:val="00CE10AB"/>
    <w:rsid w:val="00CE1598"/>
    <w:rsid w:val="00CE2DBC"/>
    <w:rsid w:val="00CE5B44"/>
    <w:rsid w:val="00CE6335"/>
    <w:rsid w:val="00CE71FC"/>
    <w:rsid w:val="00CF1F59"/>
    <w:rsid w:val="00CF475E"/>
    <w:rsid w:val="00CF4849"/>
    <w:rsid w:val="00CF77FD"/>
    <w:rsid w:val="00D021F1"/>
    <w:rsid w:val="00D02DA0"/>
    <w:rsid w:val="00D038AD"/>
    <w:rsid w:val="00D06D81"/>
    <w:rsid w:val="00D07536"/>
    <w:rsid w:val="00D07A13"/>
    <w:rsid w:val="00D10635"/>
    <w:rsid w:val="00D10DBB"/>
    <w:rsid w:val="00D14A88"/>
    <w:rsid w:val="00D14FA1"/>
    <w:rsid w:val="00D152EE"/>
    <w:rsid w:val="00D17AA3"/>
    <w:rsid w:val="00D2064A"/>
    <w:rsid w:val="00D218D6"/>
    <w:rsid w:val="00D224D0"/>
    <w:rsid w:val="00D23C21"/>
    <w:rsid w:val="00D24EEE"/>
    <w:rsid w:val="00D25E02"/>
    <w:rsid w:val="00D31C5A"/>
    <w:rsid w:val="00D332DE"/>
    <w:rsid w:val="00D40BC4"/>
    <w:rsid w:val="00D40DE5"/>
    <w:rsid w:val="00D41B85"/>
    <w:rsid w:val="00D44392"/>
    <w:rsid w:val="00D50BC0"/>
    <w:rsid w:val="00D5109E"/>
    <w:rsid w:val="00D51B40"/>
    <w:rsid w:val="00D53A14"/>
    <w:rsid w:val="00D6016A"/>
    <w:rsid w:val="00D60482"/>
    <w:rsid w:val="00D648FE"/>
    <w:rsid w:val="00D67259"/>
    <w:rsid w:val="00D67E77"/>
    <w:rsid w:val="00D70181"/>
    <w:rsid w:val="00D713DC"/>
    <w:rsid w:val="00D71616"/>
    <w:rsid w:val="00D73AD1"/>
    <w:rsid w:val="00D7556D"/>
    <w:rsid w:val="00D75B91"/>
    <w:rsid w:val="00D76D04"/>
    <w:rsid w:val="00D77456"/>
    <w:rsid w:val="00D80343"/>
    <w:rsid w:val="00D81C78"/>
    <w:rsid w:val="00D8626A"/>
    <w:rsid w:val="00D86C9A"/>
    <w:rsid w:val="00D8774A"/>
    <w:rsid w:val="00D90AB3"/>
    <w:rsid w:val="00D914F7"/>
    <w:rsid w:val="00D932BA"/>
    <w:rsid w:val="00D93C9B"/>
    <w:rsid w:val="00D94B97"/>
    <w:rsid w:val="00D96620"/>
    <w:rsid w:val="00DA08AA"/>
    <w:rsid w:val="00DA1BAE"/>
    <w:rsid w:val="00DA5193"/>
    <w:rsid w:val="00DB0000"/>
    <w:rsid w:val="00DB29EE"/>
    <w:rsid w:val="00DC0CA0"/>
    <w:rsid w:val="00DC3221"/>
    <w:rsid w:val="00DC424F"/>
    <w:rsid w:val="00DC4DE7"/>
    <w:rsid w:val="00DD03C7"/>
    <w:rsid w:val="00DD0598"/>
    <w:rsid w:val="00DD06F4"/>
    <w:rsid w:val="00DD24D5"/>
    <w:rsid w:val="00DD473C"/>
    <w:rsid w:val="00DD5296"/>
    <w:rsid w:val="00DE42BF"/>
    <w:rsid w:val="00DE4DEC"/>
    <w:rsid w:val="00DE6438"/>
    <w:rsid w:val="00DE7F13"/>
    <w:rsid w:val="00DF0857"/>
    <w:rsid w:val="00DF1142"/>
    <w:rsid w:val="00DF26C3"/>
    <w:rsid w:val="00DF33AF"/>
    <w:rsid w:val="00DF3D34"/>
    <w:rsid w:val="00DF4924"/>
    <w:rsid w:val="00DF619E"/>
    <w:rsid w:val="00DF792A"/>
    <w:rsid w:val="00DF7EF2"/>
    <w:rsid w:val="00E0214D"/>
    <w:rsid w:val="00E025AE"/>
    <w:rsid w:val="00E025C7"/>
    <w:rsid w:val="00E02ACD"/>
    <w:rsid w:val="00E04696"/>
    <w:rsid w:val="00E0665C"/>
    <w:rsid w:val="00E101A8"/>
    <w:rsid w:val="00E1162E"/>
    <w:rsid w:val="00E11C42"/>
    <w:rsid w:val="00E12171"/>
    <w:rsid w:val="00E15139"/>
    <w:rsid w:val="00E153B6"/>
    <w:rsid w:val="00E17238"/>
    <w:rsid w:val="00E2044B"/>
    <w:rsid w:val="00E23B0B"/>
    <w:rsid w:val="00E23DCC"/>
    <w:rsid w:val="00E243CC"/>
    <w:rsid w:val="00E244E2"/>
    <w:rsid w:val="00E256CA"/>
    <w:rsid w:val="00E25F3D"/>
    <w:rsid w:val="00E30A6E"/>
    <w:rsid w:val="00E33E7F"/>
    <w:rsid w:val="00E34B7A"/>
    <w:rsid w:val="00E35646"/>
    <w:rsid w:val="00E36C9C"/>
    <w:rsid w:val="00E36F43"/>
    <w:rsid w:val="00E37F8D"/>
    <w:rsid w:val="00E405FE"/>
    <w:rsid w:val="00E414C1"/>
    <w:rsid w:val="00E41EBD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6017D"/>
    <w:rsid w:val="00E60B1F"/>
    <w:rsid w:val="00E6154F"/>
    <w:rsid w:val="00E61960"/>
    <w:rsid w:val="00E61AF4"/>
    <w:rsid w:val="00E61D83"/>
    <w:rsid w:val="00E61F2B"/>
    <w:rsid w:val="00E62497"/>
    <w:rsid w:val="00E62C02"/>
    <w:rsid w:val="00E63ED0"/>
    <w:rsid w:val="00E646EE"/>
    <w:rsid w:val="00E66F49"/>
    <w:rsid w:val="00E6747E"/>
    <w:rsid w:val="00E70F18"/>
    <w:rsid w:val="00E7165C"/>
    <w:rsid w:val="00E74431"/>
    <w:rsid w:val="00E74C75"/>
    <w:rsid w:val="00E751C2"/>
    <w:rsid w:val="00E7540C"/>
    <w:rsid w:val="00E76422"/>
    <w:rsid w:val="00E766DD"/>
    <w:rsid w:val="00E81093"/>
    <w:rsid w:val="00E81B54"/>
    <w:rsid w:val="00E83D64"/>
    <w:rsid w:val="00E85CB8"/>
    <w:rsid w:val="00E861DE"/>
    <w:rsid w:val="00E86D17"/>
    <w:rsid w:val="00E87BB1"/>
    <w:rsid w:val="00E90376"/>
    <w:rsid w:val="00E92498"/>
    <w:rsid w:val="00E92D33"/>
    <w:rsid w:val="00E9517D"/>
    <w:rsid w:val="00E97258"/>
    <w:rsid w:val="00EA118B"/>
    <w:rsid w:val="00EA2F90"/>
    <w:rsid w:val="00EA43D0"/>
    <w:rsid w:val="00EA4E3A"/>
    <w:rsid w:val="00EA5993"/>
    <w:rsid w:val="00EA6343"/>
    <w:rsid w:val="00EA6CB9"/>
    <w:rsid w:val="00EB3915"/>
    <w:rsid w:val="00EB7C0F"/>
    <w:rsid w:val="00EC0983"/>
    <w:rsid w:val="00EC2B05"/>
    <w:rsid w:val="00EC3C73"/>
    <w:rsid w:val="00EC7463"/>
    <w:rsid w:val="00EC7EE7"/>
    <w:rsid w:val="00ED0E1A"/>
    <w:rsid w:val="00ED248D"/>
    <w:rsid w:val="00ED3D3F"/>
    <w:rsid w:val="00ED47E6"/>
    <w:rsid w:val="00ED6961"/>
    <w:rsid w:val="00ED6D28"/>
    <w:rsid w:val="00ED7975"/>
    <w:rsid w:val="00ED7ACE"/>
    <w:rsid w:val="00EE2B8E"/>
    <w:rsid w:val="00EE2C05"/>
    <w:rsid w:val="00EE3BD8"/>
    <w:rsid w:val="00EE3F08"/>
    <w:rsid w:val="00EE4D1B"/>
    <w:rsid w:val="00EE4E87"/>
    <w:rsid w:val="00EF24A6"/>
    <w:rsid w:val="00EF29A0"/>
    <w:rsid w:val="00EF50D7"/>
    <w:rsid w:val="00EF6DF5"/>
    <w:rsid w:val="00F02F06"/>
    <w:rsid w:val="00F04C84"/>
    <w:rsid w:val="00F072AF"/>
    <w:rsid w:val="00F0750A"/>
    <w:rsid w:val="00F10001"/>
    <w:rsid w:val="00F1238A"/>
    <w:rsid w:val="00F16223"/>
    <w:rsid w:val="00F17C2A"/>
    <w:rsid w:val="00F25F97"/>
    <w:rsid w:val="00F273A2"/>
    <w:rsid w:val="00F302CB"/>
    <w:rsid w:val="00F348D4"/>
    <w:rsid w:val="00F37431"/>
    <w:rsid w:val="00F37E81"/>
    <w:rsid w:val="00F42384"/>
    <w:rsid w:val="00F4306A"/>
    <w:rsid w:val="00F432D2"/>
    <w:rsid w:val="00F434A1"/>
    <w:rsid w:val="00F43895"/>
    <w:rsid w:val="00F52062"/>
    <w:rsid w:val="00F544A5"/>
    <w:rsid w:val="00F60151"/>
    <w:rsid w:val="00F61E51"/>
    <w:rsid w:val="00F6381A"/>
    <w:rsid w:val="00F66FD8"/>
    <w:rsid w:val="00F671B9"/>
    <w:rsid w:val="00F70C6F"/>
    <w:rsid w:val="00F70D2E"/>
    <w:rsid w:val="00F71726"/>
    <w:rsid w:val="00F72378"/>
    <w:rsid w:val="00F7270C"/>
    <w:rsid w:val="00F754D3"/>
    <w:rsid w:val="00F768CD"/>
    <w:rsid w:val="00F769EE"/>
    <w:rsid w:val="00F839F8"/>
    <w:rsid w:val="00F8431D"/>
    <w:rsid w:val="00F84B69"/>
    <w:rsid w:val="00F8519A"/>
    <w:rsid w:val="00F8554D"/>
    <w:rsid w:val="00F8568B"/>
    <w:rsid w:val="00F86095"/>
    <w:rsid w:val="00F8697E"/>
    <w:rsid w:val="00F876F6"/>
    <w:rsid w:val="00F90BF9"/>
    <w:rsid w:val="00F94702"/>
    <w:rsid w:val="00F95A9B"/>
    <w:rsid w:val="00F96F71"/>
    <w:rsid w:val="00FA3D96"/>
    <w:rsid w:val="00FA45AE"/>
    <w:rsid w:val="00FA5125"/>
    <w:rsid w:val="00FA7342"/>
    <w:rsid w:val="00FB13C1"/>
    <w:rsid w:val="00FB1F92"/>
    <w:rsid w:val="00FB3E94"/>
    <w:rsid w:val="00FB5DBA"/>
    <w:rsid w:val="00FC14DC"/>
    <w:rsid w:val="00FC236B"/>
    <w:rsid w:val="00FC4217"/>
    <w:rsid w:val="00FC5223"/>
    <w:rsid w:val="00FC5603"/>
    <w:rsid w:val="00FC7002"/>
    <w:rsid w:val="00FC713E"/>
    <w:rsid w:val="00FC7925"/>
    <w:rsid w:val="00FD18A7"/>
    <w:rsid w:val="00FD2C21"/>
    <w:rsid w:val="00FD4603"/>
    <w:rsid w:val="00FD6645"/>
    <w:rsid w:val="00FE21F9"/>
    <w:rsid w:val="00FE25D1"/>
    <w:rsid w:val="00FE2BE5"/>
    <w:rsid w:val="00FE3503"/>
    <w:rsid w:val="00FE3A84"/>
    <w:rsid w:val="00FE4674"/>
    <w:rsid w:val="00FE4936"/>
    <w:rsid w:val="00FE6830"/>
    <w:rsid w:val="00FE6E72"/>
    <w:rsid w:val="00FE78EE"/>
    <w:rsid w:val="00FF02D1"/>
    <w:rsid w:val="00FF1316"/>
    <w:rsid w:val="00FF1617"/>
    <w:rsid w:val="00FF53EC"/>
    <w:rsid w:val="00FF6B22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59541"/>
  <w15:docId w15:val="{2EBA1FF8-C299-4948-8C37-B2912BB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D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D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imb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B0BE-8093-41D3-ADE9-4E88EC25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15</cp:revision>
  <cp:lastPrinted>2020-07-29T14:23:00Z</cp:lastPrinted>
  <dcterms:created xsi:type="dcterms:W3CDTF">2020-08-26T14:47:00Z</dcterms:created>
  <dcterms:modified xsi:type="dcterms:W3CDTF">2020-08-28T07:17:00Z</dcterms:modified>
</cp:coreProperties>
</file>