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29672" w14:textId="77777777" w:rsidR="006C4603" w:rsidRDefault="006C4603" w:rsidP="006C4603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</w:pPr>
      <w:r w:rsidRPr="00636A1A">
        <w:rPr>
          <w:b/>
          <w:bCs/>
          <w:color w:val="auto"/>
          <w:sz w:val="36"/>
          <w:szCs w:val="33"/>
        </w:rPr>
        <w:t>COMUNICATO STAMPA</w:t>
      </w:r>
      <w:r w:rsidRPr="00636A1A">
        <w:rPr>
          <w:b/>
          <w:bCs/>
          <w:color w:val="auto"/>
          <w:sz w:val="36"/>
          <w:szCs w:val="33"/>
        </w:rPr>
        <w:br/>
      </w:r>
      <w:r w:rsidRPr="009E0E7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CORONAVIRUS: CONTINUA LA DISCESA DEI CONTAGI (-14,4%). TORNANO A SCENDERE LE TERAPIE INTENSIVE (-8,7%), STABILI I RICOVERI (+1,6%)</w:t>
      </w:r>
      <w:r w:rsidR="0022570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E</w:t>
      </w:r>
      <w:r w:rsidRPr="009E0E7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3C7588" w:rsidRPr="009E0E7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DECESSI </w:t>
      </w:r>
      <w:r w:rsidR="003C758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IN </w:t>
      </w:r>
      <w:r w:rsidRPr="009E0E7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LIEVE AUMENTO (+2,8%).</w:t>
      </w:r>
    </w:p>
    <w:p w14:paraId="64A28920" w14:textId="20530A20" w:rsidR="006C4603" w:rsidRPr="006C5FDC" w:rsidRDefault="006C4603" w:rsidP="006C4603">
      <w:pPr>
        <w:spacing w:after="0" w:line="276" w:lineRule="auto"/>
        <w:jc w:val="center"/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/>
        </w:rPr>
      </w:pPr>
      <w:r w:rsidRPr="009E0E72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F33BF0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QUARTA DOSE: </w:t>
      </w:r>
      <w:r w:rsidR="000F51DF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SCOPERTE 13,2 MILIONI DI PER</w:t>
      </w:r>
      <w:bookmarkStart w:id="0" w:name="_GoBack"/>
      <w:bookmarkEnd w:id="0"/>
      <w:r w:rsidR="000F51DF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SONE.</w:t>
      </w:r>
      <w:r w:rsidRPr="006C5FDC">
        <w:rPr>
          <w:rFonts w:eastAsia="Times New Roman" w:cs="Calibri"/>
          <w:b/>
          <w:bCs/>
          <w:color w:val="FF0000"/>
          <w:sz w:val="36"/>
          <w:szCs w:val="36"/>
          <w:bdr w:val="none" w:sz="0" w:space="0" w:color="auto"/>
        </w:rPr>
        <w:br/>
      </w:r>
      <w:r w:rsidRPr="006C46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VARIANTE CERBERUS: </w:t>
      </w:r>
      <w:r w:rsidR="009522A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PROSEGUIRE</w:t>
      </w:r>
      <w:r w:rsidR="005258F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NUOVE</w:t>
      </w:r>
      <w:r w:rsidR="009522A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="00A309C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VACCINAZIONI</w:t>
      </w:r>
      <w:r w:rsidR="009522A1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E RICHIAMI</w:t>
      </w:r>
      <w:r w:rsidR="00A309C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,</w:t>
      </w:r>
      <w:r w:rsidR="00FC739F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</w:t>
      </w:r>
      <w:r w:rsidRPr="006C4603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RAFFORZARE IL SEQUENZIAMENTO </w:t>
      </w:r>
      <w:r w:rsidRPr="005258F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E </w:t>
      </w:r>
      <w:r w:rsidR="00B80CBD" w:rsidRPr="005258F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>MONITORARE</w:t>
      </w:r>
      <w:r w:rsidRPr="005258F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TUTTI GLI INDICATORI</w:t>
      </w:r>
      <w:r w:rsidR="005258F7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/>
        </w:rPr>
        <w:t xml:space="preserve"> DELLA PANDEMIA</w:t>
      </w:r>
    </w:p>
    <w:p w14:paraId="4A737840" w14:textId="77777777" w:rsidR="00F66726" w:rsidRPr="006C5FDC" w:rsidRDefault="00F66726" w:rsidP="00F66726">
      <w:pPr>
        <w:spacing w:after="200" w:line="276" w:lineRule="auto"/>
        <w:jc w:val="both"/>
        <w:rPr>
          <w:b/>
          <w:bCs/>
          <w:color w:val="FF0000"/>
        </w:rPr>
      </w:pPr>
      <w:r w:rsidRPr="000F51DF">
        <w:rPr>
          <w:b/>
          <w:bCs/>
          <w:color w:val="auto"/>
        </w:rPr>
        <w:t xml:space="preserve">IL MONITORAGGIO DELLA FONDAZIONE GIMBE RILEVA, NELLA SETTIMANA </w:t>
      </w:r>
      <w:r w:rsidR="000F51DF" w:rsidRPr="000F51DF">
        <w:rPr>
          <w:b/>
          <w:bCs/>
          <w:color w:val="auto"/>
        </w:rPr>
        <w:t>19-25</w:t>
      </w:r>
      <w:r w:rsidRPr="000F51DF">
        <w:rPr>
          <w:b/>
          <w:bCs/>
          <w:color w:val="auto"/>
        </w:rPr>
        <w:t xml:space="preserve"> OTTOBRE, UN CALO DEI NUOVI CASI (</w:t>
      </w:r>
      <w:r w:rsidR="000F51DF" w:rsidRPr="000F51DF">
        <w:rPr>
          <w:b/>
          <w:bCs/>
          <w:color w:val="auto"/>
        </w:rPr>
        <w:t>236.023 vs 275.628</w:t>
      </w:r>
      <w:r w:rsidRPr="000F51DF">
        <w:rPr>
          <w:b/>
          <w:bCs/>
          <w:color w:val="auto"/>
        </w:rPr>
        <w:t xml:space="preserve">) CHE RIGUARDA TUTTE LE REGIONI AD ECCEZIONE </w:t>
      </w:r>
      <w:r w:rsidR="00390A09" w:rsidRPr="000F51DF">
        <w:rPr>
          <w:b/>
          <w:bCs/>
          <w:color w:val="auto"/>
        </w:rPr>
        <w:t>D</w:t>
      </w:r>
      <w:r w:rsidR="000F51DF" w:rsidRPr="000F51DF">
        <w:rPr>
          <w:b/>
          <w:bCs/>
          <w:color w:val="auto"/>
        </w:rPr>
        <w:t>ELLA SICILIA</w:t>
      </w:r>
      <w:r w:rsidRPr="000F51DF">
        <w:rPr>
          <w:b/>
          <w:bCs/>
          <w:color w:val="auto"/>
        </w:rPr>
        <w:t xml:space="preserve">. </w:t>
      </w:r>
      <w:r w:rsidR="000F51DF" w:rsidRPr="000F51DF">
        <w:rPr>
          <w:b/>
          <w:bCs/>
          <w:color w:val="auto"/>
        </w:rPr>
        <w:t>27</w:t>
      </w:r>
      <w:r w:rsidRPr="000F51DF">
        <w:rPr>
          <w:b/>
          <w:bCs/>
          <w:color w:val="auto"/>
        </w:rPr>
        <w:t xml:space="preserve"> PROVINCE CON OLTRE 500 CASI PER 100.000 ABITANTI. </w:t>
      </w:r>
      <w:r w:rsidR="000F51DF" w:rsidRPr="000F51DF">
        <w:rPr>
          <w:b/>
          <w:bCs/>
          <w:color w:val="auto"/>
        </w:rPr>
        <w:t>SOST</w:t>
      </w:r>
      <w:r w:rsidR="000F51DF">
        <w:rPr>
          <w:b/>
          <w:bCs/>
          <w:color w:val="auto"/>
        </w:rPr>
        <w:t>A</w:t>
      </w:r>
      <w:r w:rsidR="000F51DF" w:rsidRPr="000F51DF">
        <w:rPr>
          <w:b/>
          <w:bCs/>
          <w:color w:val="auto"/>
        </w:rPr>
        <w:t>NZIALMENTE STABILE</w:t>
      </w:r>
      <w:r w:rsidRPr="000F51DF">
        <w:rPr>
          <w:b/>
          <w:bCs/>
          <w:color w:val="auto"/>
        </w:rPr>
        <w:t xml:space="preserve"> L’OCCUPAZIONE DEI POSTI LETTO IN AREA MEDICA (+</w:t>
      </w:r>
      <w:r w:rsidR="000F51DF" w:rsidRPr="000F51DF">
        <w:rPr>
          <w:b/>
          <w:bCs/>
          <w:color w:val="auto"/>
        </w:rPr>
        <w:t>113</w:t>
      </w:r>
      <w:r w:rsidRPr="000F51DF">
        <w:rPr>
          <w:b/>
          <w:bCs/>
          <w:color w:val="auto"/>
        </w:rPr>
        <w:t xml:space="preserve">) </w:t>
      </w:r>
      <w:r w:rsidR="000F51DF" w:rsidRPr="000F51DF">
        <w:rPr>
          <w:b/>
          <w:bCs/>
          <w:color w:val="auto"/>
        </w:rPr>
        <w:t>E</w:t>
      </w:r>
      <w:r w:rsidR="000F51DF">
        <w:rPr>
          <w:b/>
          <w:bCs/>
          <w:color w:val="auto"/>
        </w:rPr>
        <w:t>, DOPO 3 SETTIMANE,</w:t>
      </w:r>
      <w:r w:rsidR="000F51DF" w:rsidRPr="000F51DF">
        <w:rPr>
          <w:b/>
          <w:bCs/>
          <w:color w:val="auto"/>
        </w:rPr>
        <w:t xml:space="preserve"> </w:t>
      </w:r>
      <w:r w:rsidR="009522A1">
        <w:rPr>
          <w:b/>
          <w:bCs/>
          <w:color w:val="auto"/>
        </w:rPr>
        <w:t xml:space="preserve">TORNANO A SCENDERE </w:t>
      </w:r>
      <w:r w:rsidRPr="000F51DF">
        <w:rPr>
          <w:b/>
          <w:bCs/>
          <w:color w:val="auto"/>
        </w:rPr>
        <w:t>LE TERAPIE INTENSIVE (</w:t>
      </w:r>
      <w:r w:rsidR="000F51DF" w:rsidRPr="000F51DF">
        <w:rPr>
          <w:b/>
          <w:bCs/>
          <w:color w:val="auto"/>
        </w:rPr>
        <w:t>-22</w:t>
      </w:r>
      <w:r w:rsidRPr="000F51DF">
        <w:rPr>
          <w:b/>
          <w:bCs/>
          <w:color w:val="auto"/>
        </w:rPr>
        <w:t xml:space="preserve">). </w:t>
      </w:r>
      <w:r w:rsidR="00B80CBD">
        <w:rPr>
          <w:b/>
          <w:bCs/>
          <w:color w:val="auto"/>
        </w:rPr>
        <w:t>LIEVE</w:t>
      </w:r>
      <w:r w:rsidR="000F51DF" w:rsidRPr="000F51DF">
        <w:rPr>
          <w:b/>
          <w:bCs/>
          <w:color w:val="auto"/>
        </w:rPr>
        <w:t xml:space="preserve"> AUMENTO DE</w:t>
      </w:r>
      <w:r w:rsidRPr="000F51DF">
        <w:rPr>
          <w:b/>
          <w:bCs/>
          <w:color w:val="auto"/>
        </w:rPr>
        <w:t>I DECESSI (</w:t>
      </w:r>
      <w:r w:rsidR="000F51DF" w:rsidRPr="000F51DF">
        <w:rPr>
          <w:b/>
          <w:bCs/>
          <w:color w:val="auto"/>
        </w:rPr>
        <w:t>559 vs 544</w:t>
      </w:r>
      <w:r w:rsidRPr="000F51DF">
        <w:rPr>
          <w:b/>
          <w:bCs/>
          <w:color w:val="auto"/>
        </w:rPr>
        <w:t xml:space="preserve">) CON </w:t>
      </w:r>
      <w:r w:rsidRPr="0044250C">
        <w:rPr>
          <w:b/>
          <w:bCs/>
          <w:color w:val="auto"/>
        </w:rPr>
        <w:t xml:space="preserve">UNA MEDIA DI </w:t>
      </w:r>
      <w:r w:rsidR="000F51DF" w:rsidRPr="0044250C">
        <w:rPr>
          <w:b/>
          <w:bCs/>
          <w:color w:val="auto"/>
        </w:rPr>
        <w:t>80</w:t>
      </w:r>
      <w:r w:rsidRPr="0044250C">
        <w:rPr>
          <w:b/>
          <w:bCs/>
          <w:color w:val="auto"/>
        </w:rPr>
        <w:t xml:space="preserve"> AL GIORNO. SONO 6,8 MILIONI I NON VACCINATI, DI CUI 8</w:t>
      </w:r>
      <w:r w:rsidR="0044250C" w:rsidRPr="0044250C">
        <w:rPr>
          <w:b/>
          <w:bCs/>
          <w:color w:val="auto"/>
        </w:rPr>
        <w:t>3</w:t>
      </w:r>
      <w:r w:rsidRPr="0044250C">
        <w:rPr>
          <w:b/>
          <w:bCs/>
          <w:color w:val="auto"/>
        </w:rPr>
        <w:t>0 MILA GUARITI PROTETTI SOLO TEMPORANEAMENTE. 7,4</w:t>
      </w:r>
      <w:r w:rsidR="0044250C" w:rsidRPr="0044250C">
        <w:rPr>
          <w:b/>
          <w:bCs/>
          <w:color w:val="auto"/>
        </w:rPr>
        <w:t>6</w:t>
      </w:r>
      <w:r w:rsidRPr="0044250C">
        <w:rPr>
          <w:b/>
          <w:bCs/>
          <w:color w:val="auto"/>
        </w:rPr>
        <w:t xml:space="preserve"> MILIONI DI PERSONE NON HANNO ANCORA RICEVUTO LA TERZA DOSE, DI CUI 2,3</w:t>
      </w:r>
      <w:r w:rsidR="0044250C" w:rsidRPr="0044250C">
        <w:rPr>
          <w:b/>
          <w:bCs/>
          <w:color w:val="auto"/>
        </w:rPr>
        <w:t>6</w:t>
      </w:r>
      <w:r w:rsidRPr="0044250C">
        <w:rPr>
          <w:b/>
          <w:bCs/>
          <w:color w:val="auto"/>
        </w:rPr>
        <w:t xml:space="preserve"> MILIONI DI GUARITI CHE NON POSSONO RICEVERLA NELL’IMMEDIATO. </w:t>
      </w:r>
      <w:r w:rsidR="0044250C" w:rsidRPr="0044250C">
        <w:rPr>
          <w:b/>
          <w:bCs/>
          <w:color w:val="auto"/>
        </w:rPr>
        <w:t>QUARTE DOSI: TASSO DI COPERTURA NAZIONALE AL 21,4% CON NETTE DIFFERENZE REGIONALI: DAL 10% DELLA SICILIA AL 33% DEL PIEMONTE</w:t>
      </w:r>
      <w:r w:rsidR="0044250C">
        <w:rPr>
          <w:b/>
          <w:bCs/>
          <w:color w:val="auto"/>
        </w:rPr>
        <w:t xml:space="preserve">. </w:t>
      </w:r>
      <w:r w:rsidR="00B80CBD">
        <w:rPr>
          <w:b/>
          <w:bCs/>
          <w:color w:val="auto"/>
        </w:rPr>
        <w:t xml:space="preserve">NESSUN DATO UFFICIALE SULLA SOMMINISTRAZIONE DELLE QUINTE DOSI. </w:t>
      </w:r>
      <w:r w:rsidR="0044250C">
        <w:rPr>
          <w:b/>
          <w:bCs/>
          <w:color w:val="auto"/>
        </w:rPr>
        <w:t>ALLERTA</w:t>
      </w:r>
      <w:r w:rsidR="0044250C" w:rsidRPr="0044250C">
        <w:rPr>
          <w:b/>
          <w:bCs/>
          <w:color w:val="auto"/>
        </w:rPr>
        <w:t xml:space="preserve"> ECDC</w:t>
      </w:r>
      <w:r w:rsidR="0044250C">
        <w:rPr>
          <w:b/>
          <w:bCs/>
          <w:color w:val="auto"/>
        </w:rPr>
        <w:t xml:space="preserve"> SU VARIANTE CERBERUS: DIVENTERÀ</w:t>
      </w:r>
      <w:r w:rsidR="0044250C" w:rsidRPr="0044250C">
        <w:rPr>
          <w:b/>
          <w:bCs/>
          <w:color w:val="auto"/>
        </w:rPr>
        <w:t xml:space="preserve"> DOMINANTE TRA METÀ NOVEMBRE E INIZIO DICEMBRE 2022, CON VEROSIMILE AUMENTO DE</w:t>
      </w:r>
      <w:r w:rsidR="00FC739F">
        <w:rPr>
          <w:b/>
          <w:bCs/>
          <w:color w:val="auto"/>
        </w:rPr>
        <w:t>I CASI</w:t>
      </w:r>
      <w:r w:rsidR="0044250C">
        <w:rPr>
          <w:b/>
          <w:bCs/>
          <w:color w:val="auto"/>
        </w:rPr>
        <w:t>.</w:t>
      </w:r>
    </w:p>
    <w:p w14:paraId="4AD9111B" w14:textId="77777777" w:rsidR="00D05AA8" w:rsidRPr="00D44AA7" w:rsidRDefault="006C5FDC" w:rsidP="00D05AA8">
      <w:pPr>
        <w:spacing w:after="200" w:line="276" w:lineRule="auto"/>
        <w:jc w:val="center"/>
      </w:pPr>
      <w:r>
        <w:rPr>
          <w:rFonts w:cs="Calibri"/>
          <w:b/>
          <w:bCs/>
          <w:color w:val="auto"/>
        </w:rPr>
        <w:t>27</w:t>
      </w:r>
      <w:r w:rsidR="00D05AA8">
        <w:rPr>
          <w:rFonts w:cs="Calibri"/>
          <w:b/>
          <w:bCs/>
          <w:color w:val="auto"/>
        </w:rPr>
        <w:t xml:space="preserve"> ottobre</w:t>
      </w:r>
      <w:r w:rsidR="00D05AA8" w:rsidRPr="002D2BBD">
        <w:rPr>
          <w:rFonts w:cs="Calibri"/>
          <w:b/>
          <w:bCs/>
          <w:color w:val="auto"/>
        </w:rPr>
        <w:t xml:space="preserve"> 2022 - Fondazione GIMBE, Bologna</w:t>
      </w:r>
    </w:p>
    <w:p w14:paraId="04721B32" w14:textId="77777777" w:rsidR="006C5FDC" w:rsidRPr="00815D17" w:rsidRDefault="006C5FDC" w:rsidP="00F15ACF">
      <w:pPr>
        <w:spacing w:line="276" w:lineRule="auto"/>
        <w:jc w:val="both"/>
        <w:rPr>
          <w:color w:val="auto"/>
        </w:rPr>
      </w:pPr>
      <w:r w:rsidRPr="006C5FDC">
        <w:rPr>
          <w:color w:val="auto"/>
        </w:rPr>
        <w:t>Il monitoraggio indipendente della Fondazione GIMBE rileva nella settimana 19-25 ottobre 2022, rispetto alla precedente, una diminuzione di nuovi casi (236.023 vs 275.628) (</w:t>
      </w:r>
      <w:r w:rsidRPr="00E56BE2">
        <w:rPr>
          <w:color w:val="auto"/>
          <w:highlight w:val="yellow"/>
        </w:rPr>
        <w:t>figura 1</w:t>
      </w:r>
      <w:r w:rsidRPr="006C5FDC">
        <w:rPr>
          <w:color w:val="auto"/>
        </w:rPr>
        <w:t>) e un</w:t>
      </w:r>
      <w:r w:rsidR="00E91466">
        <w:rPr>
          <w:color w:val="auto"/>
        </w:rPr>
        <w:t xml:space="preserve"> lieve</w:t>
      </w:r>
      <w:r w:rsidRPr="006C5FDC">
        <w:rPr>
          <w:color w:val="auto"/>
        </w:rPr>
        <w:t xml:space="preserve"> aumento dei decessi (559 vs 544) (</w:t>
      </w:r>
      <w:r w:rsidRPr="00E56BE2">
        <w:rPr>
          <w:color w:val="auto"/>
          <w:highlight w:val="yellow"/>
        </w:rPr>
        <w:t>figura 2</w:t>
      </w:r>
      <w:r w:rsidRPr="006C5FDC">
        <w:rPr>
          <w:color w:val="auto"/>
        </w:rPr>
        <w:t xml:space="preserve">). </w:t>
      </w:r>
      <w:r w:rsidR="007A62FB">
        <w:rPr>
          <w:color w:val="auto"/>
        </w:rPr>
        <w:t>Calano</w:t>
      </w:r>
      <w:r w:rsidRPr="006C5FDC">
        <w:rPr>
          <w:color w:val="auto"/>
        </w:rPr>
        <w:t xml:space="preserve"> i casi attualmente positivi (499.999 vs 543.207</w:t>
      </w:r>
      <w:r w:rsidR="007A62FB" w:rsidRPr="006C5FDC">
        <w:rPr>
          <w:color w:val="auto"/>
        </w:rPr>
        <w:t>)</w:t>
      </w:r>
      <w:r w:rsidR="007A62FB">
        <w:rPr>
          <w:color w:val="auto"/>
        </w:rPr>
        <w:t xml:space="preserve"> e</w:t>
      </w:r>
      <w:r w:rsidR="007A62FB" w:rsidRPr="006C5FDC">
        <w:rPr>
          <w:color w:val="auto"/>
        </w:rPr>
        <w:t xml:space="preserve"> </w:t>
      </w:r>
      <w:r w:rsidRPr="006C5FDC">
        <w:rPr>
          <w:color w:val="auto"/>
        </w:rPr>
        <w:t>le persone in isolamento domiciliare (492.661 vs 535.960</w:t>
      </w:r>
      <w:r w:rsidR="00B62DBF" w:rsidRPr="006C5FDC">
        <w:rPr>
          <w:color w:val="auto"/>
        </w:rPr>
        <w:t>)</w:t>
      </w:r>
      <w:r w:rsidR="00B62DBF">
        <w:rPr>
          <w:color w:val="auto"/>
        </w:rPr>
        <w:t xml:space="preserve">; </w:t>
      </w:r>
      <w:r w:rsidR="00B80CBD">
        <w:rPr>
          <w:color w:val="auto"/>
        </w:rPr>
        <w:t xml:space="preserve">sostanzialmente </w:t>
      </w:r>
      <w:r w:rsidR="00B62DBF">
        <w:rPr>
          <w:color w:val="auto"/>
        </w:rPr>
        <w:t>stabili</w:t>
      </w:r>
      <w:r w:rsidR="00B62DBF" w:rsidRPr="006C5FDC">
        <w:rPr>
          <w:color w:val="auto"/>
        </w:rPr>
        <w:t xml:space="preserve"> </w:t>
      </w:r>
      <w:r w:rsidRPr="006C5FDC">
        <w:rPr>
          <w:color w:val="auto"/>
        </w:rPr>
        <w:t>i ricoveri con sintomi (7.106 vs 6.993)</w:t>
      </w:r>
      <w:r w:rsidR="00B62DBF">
        <w:rPr>
          <w:color w:val="auto"/>
        </w:rPr>
        <w:t>,</w:t>
      </w:r>
      <w:r w:rsidR="007A62FB">
        <w:rPr>
          <w:color w:val="auto"/>
        </w:rPr>
        <w:t xml:space="preserve"> </w:t>
      </w:r>
      <w:r w:rsidR="00E56BE2">
        <w:rPr>
          <w:color w:val="auto"/>
        </w:rPr>
        <w:t xml:space="preserve">in </w:t>
      </w:r>
      <w:r w:rsidR="00B80CBD">
        <w:rPr>
          <w:color w:val="auto"/>
        </w:rPr>
        <w:t xml:space="preserve">lieve </w:t>
      </w:r>
      <w:r w:rsidR="00E56BE2">
        <w:rPr>
          <w:color w:val="auto"/>
        </w:rPr>
        <w:t>calo</w:t>
      </w:r>
      <w:r w:rsidRPr="006C5FDC">
        <w:rPr>
          <w:color w:val="auto"/>
        </w:rPr>
        <w:t xml:space="preserve"> le terapie intensive (232 vs 254) (</w:t>
      </w:r>
      <w:r w:rsidRPr="00E56BE2">
        <w:rPr>
          <w:color w:val="auto"/>
          <w:highlight w:val="yellow"/>
        </w:rPr>
        <w:t>figura 3</w:t>
      </w:r>
      <w:r w:rsidRPr="006C5FDC">
        <w:rPr>
          <w:color w:val="auto"/>
        </w:rPr>
        <w:t>). In dettaglio, rispetto alla settimana precedente, si registrano le seguenti variazioni:</w:t>
      </w:r>
    </w:p>
    <w:p w14:paraId="2889ED3C" w14:textId="77777777" w:rsidR="00E56BE2" w:rsidRPr="00E56BE2" w:rsidRDefault="00E56BE2" w:rsidP="00E56BE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E56BE2">
        <w:rPr>
          <w:color w:val="auto"/>
        </w:rPr>
        <w:t>Decessi: 559 (+2,8%), di cui 14 riferiti a periodi precedenti</w:t>
      </w:r>
    </w:p>
    <w:p w14:paraId="4E5EE6BF" w14:textId="77777777" w:rsidR="00E56BE2" w:rsidRPr="00E56BE2" w:rsidRDefault="00E56BE2" w:rsidP="00E56BE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E56BE2">
        <w:rPr>
          <w:color w:val="auto"/>
        </w:rPr>
        <w:t>Terapia intensiva: -22 (-8,7%)</w:t>
      </w:r>
    </w:p>
    <w:p w14:paraId="29C6FFF6" w14:textId="77777777" w:rsidR="00E56BE2" w:rsidRPr="00E56BE2" w:rsidRDefault="00E56BE2" w:rsidP="00E56BE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E56BE2">
        <w:rPr>
          <w:color w:val="auto"/>
        </w:rPr>
        <w:t>Ricoverati con sintomi: +113 (+1,6%)</w:t>
      </w:r>
    </w:p>
    <w:p w14:paraId="52563A49" w14:textId="77777777" w:rsidR="00E56BE2" w:rsidRPr="00E56BE2" w:rsidRDefault="00E56BE2" w:rsidP="00E56BE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E56BE2">
        <w:rPr>
          <w:color w:val="auto"/>
        </w:rPr>
        <w:t>Isolamento domiciliare: -43.299 (-8,1%)</w:t>
      </w:r>
    </w:p>
    <w:p w14:paraId="5106EC05" w14:textId="77777777" w:rsidR="00E56BE2" w:rsidRPr="00E56BE2" w:rsidRDefault="00E56BE2" w:rsidP="00E56BE2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E56BE2">
        <w:rPr>
          <w:color w:val="auto"/>
        </w:rPr>
        <w:t>Nuovi casi: 236.023 (-14,4%)</w:t>
      </w:r>
    </w:p>
    <w:p w14:paraId="11994C11" w14:textId="77777777" w:rsidR="00E56BE2" w:rsidRPr="00815D17" w:rsidRDefault="00E56BE2" w:rsidP="00E56BE2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E56BE2">
        <w:rPr>
          <w:color w:val="auto"/>
        </w:rPr>
        <w:t>Casi attualmente positivi: -43.208 (-8%)</w:t>
      </w:r>
    </w:p>
    <w:p w14:paraId="4107F042" w14:textId="77777777" w:rsidR="007C4457" w:rsidRPr="00871A15" w:rsidRDefault="008030A9" w:rsidP="00E56BE2">
      <w:pPr>
        <w:spacing w:line="276" w:lineRule="auto"/>
        <w:jc w:val="both"/>
        <w:rPr>
          <w:color w:val="auto"/>
        </w:rPr>
      </w:pPr>
      <w:bookmarkStart w:id="1" w:name="_Hlk105580520"/>
      <w:r w:rsidRPr="00D55535">
        <w:rPr>
          <w:b/>
          <w:color w:val="auto"/>
        </w:rPr>
        <w:t xml:space="preserve">Nuovi casi. </w:t>
      </w:r>
      <w:r w:rsidRPr="00D55535">
        <w:rPr>
          <w:color w:val="auto"/>
        </w:rPr>
        <w:t>«</w:t>
      </w:r>
      <w:r w:rsidR="00C06727">
        <w:rPr>
          <w:color w:val="auto"/>
        </w:rPr>
        <w:t xml:space="preserve">Per la seconda settimana consecutiva </w:t>
      </w:r>
      <w:r w:rsidRPr="00D55535">
        <w:rPr>
          <w:color w:val="auto"/>
        </w:rPr>
        <w:t>– dichiara Nino Cartabellotta, Presidente della Fondazione GIMBE –</w:t>
      </w:r>
      <w:r w:rsidR="001B7C9B" w:rsidRPr="00D55535">
        <w:rPr>
          <w:color w:val="auto"/>
        </w:rPr>
        <w:t xml:space="preserve"> </w:t>
      </w:r>
      <w:r w:rsidR="00C06727">
        <w:rPr>
          <w:color w:val="auto"/>
        </w:rPr>
        <w:t xml:space="preserve">si registra un </w:t>
      </w:r>
      <w:r w:rsidR="00D55535" w:rsidRPr="00D55535">
        <w:rPr>
          <w:color w:val="auto"/>
        </w:rPr>
        <w:t xml:space="preserve">calo </w:t>
      </w:r>
      <w:r w:rsidR="001B7C9B" w:rsidRPr="00D55535">
        <w:rPr>
          <w:color w:val="auto"/>
        </w:rPr>
        <w:t xml:space="preserve">dei nuovi casi settimanali </w:t>
      </w:r>
      <w:r w:rsidR="00DC5AAB" w:rsidRPr="00D55535">
        <w:rPr>
          <w:color w:val="auto"/>
        </w:rPr>
        <w:t>(</w:t>
      </w:r>
      <w:r w:rsidR="00D55535" w:rsidRPr="00D55535">
        <w:rPr>
          <w:color w:val="auto"/>
        </w:rPr>
        <w:t>-</w:t>
      </w:r>
      <w:r w:rsidR="00E56BE2">
        <w:rPr>
          <w:color w:val="auto"/>
        </w:rPr>
        <w:t>14</w:t>
      </w:r>
      <w:r w:rsidR="00D55535" w:rsidRPr="00D55535">
        <w:rPr>
          <w:color w:val="auto"/>
        </w:rPr>
        <w:t>,</w:t>
      </w:r>
      <w:r w:rsidR="00E56BE2">
        <w:rPr>
          <w:color w:val="auto"/>
        </w:rPr>
        <w:t>4</w:t>
      </w:r>
      <w:r w:rsidR="007A62FB">
        <w:rPr>
          <w:color w:val="auto"/>
        </w:rPr>
        <w:t>%)</w:t>
      </w:r>
      <w:r w:rsidR="001B7C9B" w:rsidRPr="00D55535">
        <w:rPr>
          <w:color w:val="auto"/>
        </w:rPr>
        <w:t xml:space="preserve">: da </w:t>
      </w:r>
      <w:r w:rsidR="00E56BE2">
        <w:rPr>
          <w:color w:val="auto"/>
        </w:rPr>
        <w:t>oltre</w:t>
      </w:r>
      <w:r w:rsidR="001B7C9B" w:rsidRPr="00D55535">
        <w:rPr>
          <w:color w:val="auto"/>
        </w:rPr>
        <w:t xml:space="preserve"> </w:t>
      </w:r>
      <w:r w:rsidR="00E56BE2">
        <w:rPr>
          <w:color w:val="auto"/>
        </w:rPr>
        <w:t>275</w:t>
      </w:r>
      <w:r w:rsidR="001B7C9B" w:rsidRPr="00D55535">
        <w:rPr>
          <w:color w:val="auto"/>
        </w:rPr>
        <w:t xml:space="preserve"> mila de</w:t>
      </w:r>
      <w:r w:rsidR="001B7C9B" w:rsidRPr="00C84B6B">
        <w:rPr>
          <w:color w:val="auto"/>
        </w:rPr>
        <w:t xml:space="preserve">lla </w:t>
      </w:r>
      <w:r w:rsidR="00504001" w:rsidRPr="00C84B6B">
        <w:rPr>
          <w:color w:val="auto"/>
        </w:rPr>
        <w:t xml:space="preserve">scorsa </w:t>
      </w:r>
      <w:r w:rsidR="001B7C9B" w:rsidRPr="00C84B6B">
        <w:rPr>
          <w:color w:val="auto"/>
        </w:rPr>
        <w:t xml:space="preserve">settimana </w:t>
      </w:r>
      <w:r w:rsidR="00504001">
        <w:rPr>
          <w:color w:val="auto"/>
        </w:rPr>
        <w:t>scendono</w:t>
      </w:r>
      <w:r w:rsidR="00D55535" w:rsidRPr="00C84B6B">
        <w:rPr>
          <w:color w:val="auto"/>
        </w:rPr>
        <w:t xml:space="preserve"> a</w:t>
      </w:r>
      <w:r w:rsidR="00C44A70" w:rsidRPr="00C84B6B">
        <w:rPr>
          <w:color w:val="auto"/>
        </w:rPr>
        <w:t xml:space="preserve"> </w:t>
      </w:r>
      <w:r w:rsidR="004C373C" w:rsidRPr="00C84B6B">
        <w:rPr>
          <w:color w:val="auto"/>
        </w:rPr>
        <w:t>quota</w:t>
      </w:r>
      <w:r w:rsidR="00636A1A" w:rsidRPr="00C84B6B">
        <w:rPr>
          <w:color w:val="auto"/>
        </w:rPr>
        <w:t xml:space="preserve"> </w:t>
      </w:r>
      <w:r w:rsidR="00E56BE2">
        <w:rPr>
          <w:color w:val="auto"/>
        </w:rPr>
        <w:t>236</w:t>
      </w:r>
      <w:r w:rsidR="00B61F26" w:rsidRPr="00C84B6B">
        <w:rPr>
          <w:color w:val="auto"/>
        </w:rPr>
        <w:t xml:space="preserve"> mila</w:t>
      </w:r>
      <w:r w:rsidRPr="00C84B6B">
        <w:rPr>
          <w:color w:val="auto"/>
        </w:rPr>
        <w:t xml:space="preserve">, con una media mobile a 7 giorni di </w:t>
      </w:r>
      <w:r w:rsidR="00E56BE2">
        <w:rPr>
          <w:color w:val="auto"/>
        </w:rPr>
        <w:t>quasi</w:t>
      </w:r>
      <w:r w:rsidR="00504001">
        <w:rPr>
          <w:color w:val="auto"/>
        </w:rPr>
        <w:t xml:space="preserve"> </w:t>
      </w:r>
      <w:r w:rsidR="00E56BE2">
        <w:rPr>
          <w:color w:val="auto"/>
        </w:rPr>
        <w:t>34</w:t>
      </w:r>
      <w:r w:rsidR="00B61F26" w:rsidRPr="00C84B6B">
        <w:rPr>
          <w:color w:val="auto"/>
        </w:rPr>
        <w:t xml:space="preserve"> </w:t>
      </w:r>
      <w:r w:rsidRPr="00C84B6B">
        <w:rPr>
          <w:color w:val="auto"/>
        </w:rPr>
        <w:t>mila casi al giorn</w:t>
      </w:r>
      <w:r w:rsidR="00F41D5F" w:rsidRPr="00C84B6B">
        <w:rPr>
          <w:color w:val="auto"/>
        </w:rPr>
        <w:t>o</w:t>
      </w:r>
      <w:r w:rsidRPr="00C84B6B">
        <w:rPr>
          <w:color w:val="auto"/>
        </w:rPr>
        <w:t>»</w:t>
      </w:r>
      <w:bookmarkEnd w:id="1"/>
      <w:r w:rsidR="000A4BEE" w:rsidRPr="00C84B6B">
        <w:rPr>
          <w:color w:val="auto"/>
        </w:rPr>
        <w:t xml:space="preserve"> </w:t>
      </w:r>
      <w:r w:rsidRPr="00C84B6B">
        <w:rPr>
          <w:color w:val="auto"/>
        </w:rPr>
        <w:t>(</w:t>
      </w:r>
      <w:r w:rsidRPr="00C84B6B">
        <w:rPr>
          <w:color w:val="auto"/>
          <w:highlight w:val="yellow"/>
        </w:rPr>
        <w:t>figura 4</w:t>
      </w:r>
      <w:r w:rsidR="00165CBC" w:rsidRPr="00C84B6B">
        <w:rPr>
          <w:color w:val="auto"/>
        </w:rPr>
        <w:t xml:space="preserve">). </w:t>
      </w:r>
      <w:r w:rsidR="004A178B" w:rsidRPr="00C84B6B">
        <w:rPr>
          <w:color w:val="auto"/>
        </w:rPr>
        <w:t xml:space="preserve">Ad </w:t>
      </w:r>
      <w:r w:rsidR="009F7D31" w:rsidRPr="00C84B6B">
        <w:rPr>
          <w:color w:val="auto"/>
        </w:rPr>
        <w:t>esclusione d</w:t>
      </w:r>
      <w:r w:rsidR="00E56BE2">
        <w:rPr>
          <w:color w:val="auto"/>
        </w:rPr>
        <w:t>ella</w:t>
      </w:r>
      <w:r w:rsidR="00D55535" w:rsidRPr="00C84B6B">
        <w:rPr>
          <w:color w:val="auto"/>
        </w:rPr>
        <w:t xml:space="preserve"> </w:t>
      </w:r>
      <w:r w:rsidR="00E56BE2">
        <w:rPr>
          <w:color w:val="auto"/>
        </w:rPr>
        <w:t>Sicilia (+3</w:t>
      </w:r>
      <w:r w:rsidR="00D55535" w:rsidRPr="00C84B6B">
        <w:rPr>
          <w:color w:val="auto"/>
        </w:rPr>
        <w:t>,</w:t>
      </w:r>
      <w:r w:rsidR="00E56BE2">
        <w:rPr>
          <w:color w:val="auto"/>
        </w:rPr>
        <w:t>3</w:t>
      </w:r>
      <w:r w:rsidR="00D55535" w:rsidRPr="00C84B6B">
        <w:rPr>
          <w:color w:val="auto"/>
        </w:rPr>
        <w:t>%)</w:t>
      </w:r>
      <w:r w:rsidR="00DC5AAB" w:rsidRPr="00C84B6B">
        <w:rPr>
          <w:color w:val="auto"/>
        </w:rPr>
        <w:t>,</w:t>
      </w:r>
      <w:r w:rsidR="005674D3" w:rsidRPr="00C84B6B">
        <w:rPr>
          <w:color w:val="auto"/>
        </w:rPr>
        <w:t xml:space="preserve"> </w:t>
      </w:r>
      <w:r w:rsidR="00504001">
        <w:rPr>
          <w:color w:val="auto"/>
        </w:rPr>
        <w:t>il calo dei nuovi casi</w:t>
      </w:r>
      <w:r w:rsidR="00C84B6B" w:rsidRPr="00C84B6B">
        <w:rPr>
          <w:color w:val="auto"/>
        </w:rPr>
        <w:t xml:space="preserve"> </w:t>
      </w:r>
      <w:r w:rsidR="004A178B" w:rsidRPr="00C84B6B">
        <w:rPr>
          <w:color w:val="auto"/>
        </w:rPr>
        <w:t xml:space="preserve">riguarda </w:t>
      </w:r>
      <w:r w:rsidR="005674D3" w:rsidRPr="00C84B6B">
        <w:rPr>
          <w:color w:val="auto"/>
        </w:rPr>
        <w:t>tutte le Regioni</w:t>
      </w:r>
      <w:r w:rsidR="0028306E" w:rsidRPr="00C84B6B">
        <w:rPr>
          <w:color w:val="auto"/>
        </w:rPr>
        <w:t xml:space="preserve"> </w:t>
      </w:r>
      <w:r w:rsidR="00DC5AAB" w:rsidRPr="00C84B6B">
        <w:rPr>
          <w:color w:val="auto"/>
        </w:rPr>
        <w:t>(</w:t>
      </w:r>
      <w:r w:rsidRPr="00C84B6B">
        <w:rPr>
          <w:color w:val="auto"/>
        </w:rPr>
        <w:t xml:space="preserve">dal </w:t>
      </w:r>
      <w:r w:rsidR="00C84B6B" w:rsidRPr="00C84B6B">
        <w:rPr>
          <w:color w:val="auto"/>
        </w:rPr>
        <w:t>-</w:t>
      </w:r>
      <w:r w:rsidR="00E56BE2">
        <w:rPr>
          <w:color w:val="auto"/>
        </w:rPr>
        <w:t>3</w:t>
      </w:r>
      <w:r w:rsidR="00234498" w:rsidRPr="00C84B6B">
        <w:rPr>
          <w:color w:val="auto"/>
        </w:rPr>
        <w:t>,</w:t>
      </w:r>
      <w:r w:rsidR="00E56BE2">
        <w:rPr>
          <w:color w:val="auto"/>
        </w:rPr>
        <w:t>8</w:t>
      </w:r>
      <w:r w:rsidRPr="00C84B6B">
        <w:rPr>
          <w:color w:val="auto"/>
        </w:rPr>
        <w:t xml:space="preserve">% </w:t>
      </w:r>
      <w:r w:rsidR="00B61F26" w:rsidRPr="00C84B6B">
        <w:rPr>
          <w:color w:val="auto"/>
        </w:rPr>
        <w:t>del</w:t>
      </w:r>
      <w:r w:rsidR="00E56BE2">
        <w:rPr>
          <w:color w:val="auto"/>
        </w:rPr>
        <w:t xml:space="preserve"> Lazio</w:t>
      </w:r>
      <w:r w:rsidR="00C84B6B" w:rsidRPr="00C84B6B">
        <w:rPr>
          <w:color w:val="auto"/>
        </w:rPr>
        <w:t xml:space="preserve"> </w:t>
      </w:r>
      <w:r w:rsidR="00F41D5F" w:rsidRPr="00C84B6B">
        <w:rPr>
          <w:color w:val="auto"/>
        </w:rPr>
        <w:t xml:space="preserve">al </w:t>
      </w:r>
      <w:r w:rsidR="00C84B6B" w:rsidRPr="00C84B6B">
        <w:rPr>
          <w:color w:val="auto"/>
        </w:rPr>
        <w:t>-</w:t>
      </w:r>
      <w:r w:rsidR="00E56BE2">
        <w:rPr>
          <w:color w:val="auto"/>
        </w:rPr>
        <w:t>34,5</w:t>
      </w:r>
      <w:r w:rsidR="00C84B6B" w:rsidRPr="00C84B6B">
        <w:rPr>
          <w:color w:val="auto"/>
        </w:rPr>
        <w:t>% della Prov</w:t>
      </w:r>
      <w:r w:rsidR="00504001">
        <w:rPr>
          <w:color w:val="auto"/>
        </w:rPr>
        <w:t>incia</w:t>
      </w:r>
      <w:r w:rsidR="00C84B6B" w:rsidRPr="00C84B6B">
        <w:rPr>
          <w:color w:val="auto"/>
        </w:rPr>
        <w:t xml:space="preserve"> Aut</w:t>
      </w:r>
      <w:r w:rsidR="00504001">
        <w:rPr>
          <w:color w:val="auto"/>
        </w:rPr>
        <w:t>onoma di</w:t>
      </w:r>
      <w:r w:rsidR="00C84B6B" w:rsidRPr="00C84B6B">
        <w:rPr>
          <w:color w:val="auto"/>
        </w:rPr>
        <w:t xml:space="preserve"> </w:t>
      </w:r>
      <w:r w:rsidR="00E56BE2">
        <w:rPr>
          <w:color w:val="auto"/>
        </w:rPr>
        <w:t>Bolzano</w:t>
      </w:r>
      <w:r w:rsidR="00DC5AAB" w:rsidRPr="00871A15">
        <w:rPr>
          <w:color w:val="auto"/>
        </w:rPr>
        <w:t>)</w:t>
      </w:r>
      <w:r w:rsidR="00636A1A" w:rsidRPr="00871A15">
        <w:rPr>
          <w:color w:val="auto"/>
        </w:rPr>
        <w:t xml:space="preserve"> </w:t>
      </w:r>
      <w:r w:rsidRPr="00871A15">
        <w:rPr>
          <w:color w:val="auto"/>
        </w:rPr>
        <w:t>(</w:t>
      </w:r>
      <w:r w:rsidRPr="00871A15">
        <w:rPr>
          <w:color w:val="auto"/>
          <w:highlight w:val="yellow"/>
        </w:rPr>
        <w:t>tabella 1</w:t>
      </w:r>
      <w:r w:rsidRPr="00504001">
        <w:rPr>
          <w:color w:val="auto"/>
        </w:rPr>
        <w:t>)</w:t>
      </w:r>
      <w:r w:rsidR="00504001" w:rsidRPr="00504001">
        <w:rPr>
          <w:color w:val="auto"/>
        </w:rPr>
        <w:t xml:space="preserve">. In </w:t>
      </w:r>
      <w:r w:rsidR="00E56BE2">
        <w:rPr>
          <w:color w:val="auto"/>
        </w:rPr>
        <w:t>99</w:t>
      </w:r>
      <w:r w:rsidR="005674D3" w:rsidRPr="00504001">
        <w:rPr>
          <w:color w:val="auto"/>
        </w:rPr>
        <w:t xml:space="preserve"> </w:t>
      </w:r>
      <w:r w:rsidR="00F41D5F" w:rsidRPr="00504001">
        <w:rPr>
          <w:color w:val="auto"/>
        </w:rPr>
        <w:t>Province</w:t>
      </w:r>
      <w:r w:rsidR="00504001" w:rsidRPr="00504001">
        <w:rPr>
          <w:color w:val="auto"/>
        </w:rPr>
        <w:t xml:space="preserve"> si registra </w:t>
      </w:r>
      <w:r w:rsidR="00B80CBD">
        <w:rPr>
          <w:color w:val="auto"/>
        </w:rPr>
        <w:t>una diminuzione</w:t>
      </w:r>
      <w:r w:rsidR="00504001" w:rsidRPr="00504001">
        <w:rPr>
          <w:color w:val="auto"/>
        </w:rPr>
        <w:t xml:space="preserve"> dei nuovi casi (dal -0,</w:t>
      </w:r>
      <w:r w:rsidR="00E56BE2">
        <w:rPr>
          <w:color w:val="auto"/>
        </w:rPr>
        <w:t>6</w:t>
      </w:r>
      <w:r w:rsidR="00504001" w:rsidRPr="00504001">
        <w:rPr>
          <w:color w:val="auto"/>
        </w:rPr>
        <w:t xml:space="preserve">% di </w:t>
      </w:r>
      <w:r w:rsidR="00E56BE2">
        <w:rPr>
          <w:color w:val="auto"/>
        </w:rPr>
        <w:t>Palermo</w:t>
      </w:r>
      <w:r w:rsidR="00B61F26" w:rsidRPr="00504001">
        <w:rPr>
          <w:color w:val="auto"/>
        </w:rPr>
        <w:t xml:space="preserve"> </w:t>
      </w:r>
      <w:r w:rsidR="00CB369B" w:rsidRPr="00504001">
        <w:rPr>
          <w:color w:val="auto"/>
        </w:rPr>
        <w:t xml:space="preserve">al </w:t>
      </w:r>
      <w:r w:rsidR="00C84B6B" w:rsidRPr="00504001">
        <w:rPr>
          <w:color w:val="auto"/>
        </w:rPr>
        <w:t>-</w:t>
      </w:r>
      <w:r w:rsidR="00E56BE2">
        <w:rPr>
          <w:color w:val="auto"/>
        </w:rPr>
        <w:t>37</w:t>
      </w:r>
      <w:r w:rsidR="00C84B6B" w:rsidRPr="00504001">
        <w:rPr>
          <w:color w:val="auto"/>
        </w:rPr>
        <w:t>,2</w:t>
      </w:r>
      <w:r w:rsidR="00CB369B" w:rsidRPr="00504001">
        <w:rPr>
          <w:color w:val="auto"/>
        </w:rPr>
        <w:t>% di</w:t>
      </w:r>
      <w:r w:rsidR="00666904" w:rsidRPr="00504001">
        <w:rPr>
          <w:color w:val="auto"/>
        </w:rPr>
        <w:t xml:space="preserve"> </w:t>
      </w:r>
      <w:r w:rsidR="00E56BE2">
        <w:rPr>
          <w:color w:val="auto"/>
        </w:rPr>
        <w:t>Biella)</w:t>
      </w:r>
      <w:r w:rsidR="00504001" w:rsidRPr="00504001">
        <w:rPr>
          <w:color w:val="auto"/>
        </w:rPr>
        <w:t xml:space="preserve">, mentre </w:t>
      </w:r>
      <w:r w:rsidR="004A178B" w:rsidRPr="00504001">
        <w:rPr>
          <w:color w:val="auto"/>
        </w:rPr>
        <w:t xml:space="preserve">in </w:t>
      </w:r>
      <w:r w:rsidR="00E56BE2">
        <w:rPr>
          <w:color w:val="auto"/>
        </w:rPr>
        <w:t>8</w:t>
      </w:r>
      <w:r w:rsidR="00560305" w:rsidRPr="00504001">
        <w:rPr>
          <w:color w:val="auto"/>
        </w:rPr>
        <w:t xml:space="preserve"> </w:t>
      </w:r>
      <w:r w:rsidR="00504001" w:rsidRPr="00504001">
        <w:rPr>
          <w:color w:val="auto"/>
        </w:rPr>
        <w:t>P</w:t>
      </w:r>
      <w:r w:rsidR="00560305" w:rsidRPr="00504001">
        <w:rPr>
          <w:color w:val="auto"/>
        </w:rPr>
        <w:t>rovince</w:t>
      </w:r>
      <w:r w:rsidR="004A178B" w:rsidRPr="00504001">
        <w:rPr>
          <w:color w:val="auto"/>
        </w:rPr>
        <w:t xml:space="preserve"> si </w:t>
      </w:r>
      <w:r w:rsidR="007A62FB">
        <w:rPr>
          <w:color w:val="auto"/>
        </w:rPr>
        <w:t>rileva</w:t>
      </w:r>
      <w:r w:rsidR="007A62FB" w:rsidRPr="00504001">
        <w:rPr>
          <w:color w:val="auto"/>
        </w:rPr>
        <w:t xml:space="preserve"> </w:t>
      </w:r>
      <w:r w:rsidR="004A178B" w:rsidRPr="00504001">
        <w:rPr>
          <w:color w:val="auto"/>
        </w:rPr>
        <w:t xml:space="preserve">un </w:t>
      </w:r>
      <w:r w:rsidR="00C84B6B" w:rsidRPr="00504001">
        <w:rPr>
          <w:color w:val="auto"/>
        </w:rPr>
        <w:t>aument</w:t>
      </w:r>
      <w:r w:rsidR="004A178B" w:rsidRPr="00504001">
        <w:rPr>
          <w:color w:val="auto"/>
        </w:rPr>
        <w:t>o d</w:t>
      </w:r>
      <w:r w:rsidR="00C84B6B" w:rsidRPr="00504001">
        <w:rPr>
          <w:color w:val="auto"/>
        </w:rPr>
        <w:t>e</w:t>
      </w:r>
      <w:r w:rsidR="004A178B" w:rsidRPr="00504001">
        <w:rPr>
          <w:color w:val="auto"/>
        </w:rPr>
        <w:t>i casi</w:t>
      </w:r>
      <w:r w:rsidR="00560305" w:rsidRPr="00504001">
        <w:rPr>
          <w:color w:val="auto"/>
        </w:rPr>
        <w:t>: dal</w:t>
      </w:r>
      <w:r w:rsidR="00E56BE2">
        <w:rPr>
          <w:color w:val="auto"/>
        </w:rPr>
        <w:t xml:space="preserve"> +1</w:t>
      </w:r>
      <w:r w:rsidR="00C84B6B" w:rsidRPr="00504001">
        <w:rPr>
          <w:color w:val="auto"/>
        </w:rPr>
        <w:t>,2</w:t>
      </w:r>
      <w:r w:rsidR="00560305" w:rsidRPr="00504001">
        <w:rPr>
          <w:color w:val="auto"/>
        </w:rPr>
        <w:t xml:space="preserve">% di </w:t>
      </w:r>
      <w:r w:rsidR="00E56BE2">
        <w:rPr>
          <w:color w:val="auto"/>
        </w:rPr>
        <w:t>Cagliari</w:t>
      </w:r>
      <w:r w:rsidR="00560305" w:rsidRPr="00504001">
        <w:rPr>
          <w:color w:val="auto"/>
        </w:rPr>
        <w:t xml:space="preserve"> al </w:t>
      </w:r>
      <w:r w:rsidR="00C84B6B" w:rsidRPr="00504001">
        <w:rPr>
          <w:color w:val="auto"/>
        </w:rPr>
        <w:t>+</w:t>
      </w:r>
      <w:r w:rsidR="00E56BE2">
        <w:rPr>
          <w:color w:val="auto"/>
        </w:rPr>
        <w:t>38</w:t>
      </w:r>
      <w:r w:rsidR="00560305" w:rsidRPr="00504001">
        <w:rPr>
          <w:color w:val="auto"/>
        </w:rPr>
        <w:t>,</w:t>
      </w:r>
      <w:r w:rsidR="00E56BE2">
        <w:rPr>
          <w:color w:val="auto"/>
        </w:rPr>
        <w:t>7</w:t>
      </w:r>
      <w:r w:rsidR="00560305" w:rsidRPr="00504001">
        <w:rPr>
          <w:color w:val="auto"/>
        </w:rPr>
        <w:t xml:space="preserve">% di </w:t>
      </w:r>
      <w:r w:rsidR="00E56BE2">
        <w:rPr>
          <w:color w:val="auto"/>
        </w:rPr>
        <w:t>Trapani</w:t>
      </w:r>
      <w:r w:rsidR="005674D3" w:rsidRPr="00504001">
        <w:rPr>
          <w:color w:val="auto"/>
        </w:rPr>
        <w:t>.</w:t>
      </w:r>
      <w:r w:rsidR="000035D6" w:rsidRPr="00504001">
        <w:rPr>
          <w:color w:val="auto"/>
        </w:rPr>
        <w:t xml:space="preserve"> </w:t>
      </w:r>
      <w:r w:rsidR="005674D3" w:rsidRPr="00504001">
        <w:rPr>
          <w:color w:val="auto"/>
        </w:rPr>
        <w:t xml:space="preserve">L’incidenza supera i 500 casi per 100.000 abitanti in </w:t>
      </w:r>
      <w:r w:rsidR="00E56BE2">
        <w:rPr>
          <w:color w:val="auto"/>
        </w:rPr>
        <w:t>27</w:t>
      </w:r>
      <w:r w:rsidR="005674D3" w:rsidRPr="00504001">
        <w:rPr>
          <w:color w:val="auto"/>
        </w:rPr>
        <w:t xml:space="preserve"> Province: </w:t>
      </w:r>
      <w:r w:rsidR="00E56BE2" w:rsidRPr="00E56BE2">
        <w:rPr>
          <w:color w:val="auto"/>
        </w:rPr>
        <w:t xml:space="preserve">Venezia (680), Rovigo (665), Biella (660), Belluno (656), Padova (650), Treviso (630), Vicenza (614), Bolzano (589), Terni </w:t>
      </w:r>
      <w:r w:rsidR="00E56BE2" w:rsidRPr="00E56BE2">
        <w:rPr>
          <w:color w:val="auto"/>
        </w:rPr>
        <w:lastRenderedPageBreak/>
        <w:t xml:space="preserve">(581), Udine (571), Ferrara (552), Como (551), Gorizia (551), Alessandria (550), Torino (547), Perugia (544), Trento (538), Pordenone (537), Sondrio (536), Varese (528), Reggio nell'Emilia (524), Verona (519), Ravenna (515), Verbano-Cusio-Ossola (511), Pavia (508), </w:t>
      </w:r>
      <w:r w:rsidR="00E56BE2">
        <w:rPr>
          <w:color w:val="auto"/>
        </w:rPr>
        <w:t xml:space="preserve">Trieste (508) e </w:t>
      </w:r>
      <w:r w:rsidR="00E56BE2" w:rsidRPr="00E56BE2">
        <w:rPr>
          <w:color w:val="auto"/>
        </w:rPr>
        <w:t xml:space="preserve">Piacenza (507) </w:t>
      </w:r>
      <w:r w:rsidRPr="00871A15">
        <w:rPr>
          <w:color w:val="auto"/>
        </w:rPr>
        <w:t>(</w:t>
      </w:r>
      <w:r w:rsidRPr="00871A15">
        <w:rPr>
          <w:color w:val="auto"/>
          <w:highlight w:val="yellow"/>
        </w:rPr>
        <w:t>tabella 2</w:t>
      </w:r>
      <w:r w:rsidRPr="00871A15">
        <w:rPr>
          <w:color w:val="auto"/>
        </w:rPr>
        <w:t>).</w:t>
      </w:r>
    </w:p>
    <w:p w14:paraId="6898E3C6" w14:textId="77777777" w:rsidR="00B62DBF" w:rsidRDefault="00B62DBF" w:rsidP="000469C2">
      <w:pPr>
        <w:jc w:val="both"/>
      </w:pPr>
      <w:r>
        <w:rPr>
          <w:b/>
          <w:bCs/>
        </w:rPr>
        <w:t xml:space="preserve">Nuove </w:t>
      </w:r>
      <w:r w:rsidRPr="00F3788A">
        <w:rPr>
          <w:b/>
          <w:bCs/>
        </w:rPr>
        <w:t>varianti</w:t>
      </w:r>
      <w:r>
        <w:t xml:space="preserve">. </w:t>
      </w:r>
      <w:r w:rsidRPr="00F3788A">
        <w:t>Lo</w:t>
      </w:r>
      <w:r>
        <w:t xml:space="preserve"> scorso 21 ottobre l’</w:t>
      </w:r>
      <w:proofErr w:type="spellStart"/>
      <w:r w:rsidRPr="00F3788A">
        <w:rPr>
          <w:i/>
          <w:iCs/>
        </w:rPr>
        <w:t>European</w:t>
      </w:r>
      <w:proofErr w:type="spellEnd"/>
      <w:r w:rsidRPr="00F3788A">
        <w:rPr>
          <w:i/>
          <w:iCs/>
        </w:rPr>
        <w:t xml:space="preserve"> Centre for </w:t>
      </w:r>
      <w:proofErr w:type="spellStart"/>
      <w:r w:rsidRPr="00F3788A">
        <w:rPr>
          <w:i/>
          <w:iCs/>
        </w:rPr>
        <w:t>Disease</w:t>
      </w:r>
      <w:proofErr w:type="spellEnd"/>
      <w:r w:rsidRPr="00F3788A">
        <w:rPr>
          <w:i/>
          <w:iCs/>
        </w:rPr>
        <w:t xml:space="preserve"> Prevention and Control</w:t>
      </w:r>
      <w:r>
        <w:rPr>
          <w:i/>
          <w:iCs/>
        </w:rPr>
        <w:t xml:space="preserve"> </w:t>
      </w:r>
      <w:r>
        <w:t xml:space="preserve">(ECDC) ha pubblicato un </w:t>
      </w:r>
      <w:hyperlink r:id="rId8" w:history="1">
        <w:r w:rsidRPr="00410FBD">
          <w:rPr>
            <w:rStyle w:val="Collegamentoipertestuale"/>
          </w:rPr>
          <w:t>report sulla nuova sub-variante Omicron BQ.1</w:t>
        </w:r>
      </w:hyperlink>
      <w:r>
        <w:t>, ribattezzata “</w:t>
      </w:r>
      <w:proofErr w:type="spellStart"/>
      <w:r>
        <w:t>Cerberus</w:t>
      </w:r>
      <w:proofErr w:type="spellEnd"/>
      <w:r>
        <w:t>”</w:t>
      </w:r>
      <w:r w:rsidR="00B80CBD">
        <w:t>, segnalando:</w:t>
      </w:r>
    </w:p>
    <w:p w14:paraId="4C670DED" w14:textId="77777777" w:rsidR="00B62DBF" w:rsidRDefault="00B62DBF" w:rsidP="000469C2">
      <w:pPr>
        <w:pStyle w:val="Paragrafoelenco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>
        <w:t>Un</w:t>
      </w:r>
      <w:r w:rsidR="00410FBD">
        <w:t>’</w:t>
      </w:r>
      <w:r>
        <w:t>aumentata circolazione</w:t>
      </w:r>
      <w:r w:rsidR="00410FBD">
        <w:t xml:space="preserve"> di questa variante</w:t>
      </w:r>
      <w:r>
        <w:t xml:space="preserve"> </w:t>
      </w:r>
      <w:r w:rsidR="00B80CBD">
        <w:t xml:space="preserve">in vari </w:t>
      </w:r>
      <w:r>
        <w:t>paesi europei</w:t>
      </w:r>
      <w:r w:rsidR="000469C2">
        <w:t xml:space="preserve">: </w:t>
      </w:r>
      <w:r>
        <w:t xml:space="preserve">Francia (19%), Belgio (9%), Irlanda (7%), Paesi Bassi (6%) e Italia (5%). </w:t>
      </w:r>
    </w:p>
    <w:p w14:paraId="288E25A0" w14:textId="77777777" w:rsidR="00B62DBF" w:rsidRDefault="00B62DBF" w:rsidP="000469C2">
      <w:pPr>
        <w:pStyle w:val="Paragrafoelenco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>
        <w:t>Secondo le previsioni BQ1 e il suo sotto-lignaggio BQ1.1 diventeranno la variante dominante tra metà novembre e inizio dicembre 2022, con verosimile aumento dei casi nelle prossime settimane o mesi</w:t>
      </w:r>
      <w:r w:rsidR="00410FBD">
        <w:t>.</w:t>
      </w:r>
    </w:p>
    <w:p w14:paraId="70462D82" w14:textId="35C61F1B" w:rsidR="00B62DBF" w:rsidRPr="00A309C8" w:rsidRDefault="00410FBD" w:rsidP="009522A1">
      <w:pPr>
        <w:pStyle w:val="Paragrafoelenco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</w:pPr>
      <w:r w:rsidRPr="00A309C8">
        <w:t xml:space="preserve">In base agli </w:t>
      </w:r>
      <w:r w:rsidR="00B62DBF" w:rsidRPr="00A309C8">
        <w:t xml:space="preserve">studi disponibili BQ.1 ha una rilevante capacità di </w:t>
      </w:r>
      <w:r w:rsidR="009522A1" w:rsidRPr="00A309C8">
        <w:t>sfuggire all</w:t>
      </w:r>
      <w:r w:rsidR="00B62DBF" w:rsidRPr="00A309C8">
        <w:t>a risposta immunitaria,</w:t>
      </w:r>
      <w:r w:rsidR="00A309C8">
        <w:t xml:space="preserve"> indotta</w:t>
      </w:r>
      <w:r w:rsidR="00B62DBF" w:rsidRPr="00A309C8">
        <w:t xml:space="preserve"> </w:t>
      </w:r>
      <w:r w:rsidR="009522A1" w:rsidRPr="00A309C8">
        <w:t xml:space="preserve">sia da vaccinazione che da infezione naturale. Al momento </w:t>
      </w:r>
      <w:r w:rsidR="00B62DBF" w:rsidRPr="00A309C8">
        <w:t xml:space="preserve">non ci sono evidenze che </w:t>
      </w:r>
      <w:r w:rsidR="00A309C8">
        <w:t>questa variante sia</w:t>
      </w:r>
      <w:r w:rsidR="00A309C8" w:rsidRPr="00A309C8">
        <w:t xml:space="preserve"> </w:t>
      </w:r>
      <w:r w:rsidR="00B62DBF" w:rsidRPr="00A309C8">
        <w:t>associata a</w:t>
      </w:r>
      <w:r w:rsidR="00FC6943" w:rsidRPr="00A309C8">
        <w:t>d</w:t>
      </w:r>
      <w:r w:rsidR="00B62DBF" w:rsidRPr="00A309C8">
        <w:t xml:space="preserve"> una maggiore gravità dell</w:t>
      </w:r>
      <w:r w:rsidR="00FC6943" w:rsidRPr="00A309C8">
        <w:t>’</w:t>
      </w:r>
      <w:r w:rsidR="00B62DBF" w:rsidRPr="00A309C8">
        <w:t xml:space="preserve">infezione rispetto </w:t>
      </w:r>
      <w:r w:rsidR="00A309C8">
        <w:t>a</w:t>
      </w:r>
      <w:r w:rsidR="005258F7">
        <w:t>d</w:t>
      </w:r>
      <w:r w:rsidR="00B62DBF" w:rsidRPr="00A309C8">
        <w:t xml:space="preserve"> Omicron BA.4/BA.5.</w:t>
      </w:r>
    </w:p>
    <w:p w14:paraId="4F4CD1E1" w14:textId="77777777" w:rsidR="00B62DBF" w:rsidRDefault="00410FBD" w:rsidP="000469C2">
      <w:pPr>
        <w:jc w:val="both"/>
      </w:pPr>
      <w:r w:rsidRPr="004E792C">
        <w:rPr>
          <w:color w:val="auto"/>
        </w:rPr>
        <w:t>«</w:t>
      </w:r>
      <w:r w:rsidR="00B62DBF">
        <w:t xml:space="preserve">L’ECDC - </w:t>
      </w:r>
      <w:r w:rsidR="00FC6943">
        <w:t xml:space="preserve">sottolinea </w:t>
      </w:r>
      <w:r w:rsidR="00B62DBF">
        <w:t>Cartabellotta - raccomanda a tutti i Governi di proseguire con la campagna di vaccinazione primaria e con tutti i richiami previsti, di rafforzare il sequenziamento, in termini di campionamento, frequenza e tempestività</w:t>
      </w:r>
      <w:r w:rsidR="000469C2">
        <w:t xml:space="preserve"> e di </w:t>
      </w:r>
      <w:r w:rsidR="000469C2" w:rsidRPr="000469C2">
        <w:t xml:space="preserve">continuare </w:t>
      </w:r>
      <w:r w:rsidR="000469C2">
        <w:t xml:space="preserve">il monitoraggio di tutti gli indicatori (contagi, ospedalizzazioni, ricoveri in terapia intensiva, decessi), </w:t>
      </w:r>
      <w:r w:rsidR="000469C2" w:rsidRPr="000469C2">
        <w:t xml:space="preserve">specialmente </w:t>
      </w:r>
      <w:r w:rsidR="00FC6943">
        <w:t>negli over 65</w:t>
      </w:r>
      <w:r w:rsidRPr="00AD5E21">
        <w:rPr>
          <w:color w:val="auto"/>
        </w:rPr>
        <w:t>»</w:t>
      </w:r>
      <w:r>
        <w:rPr>
          <w:color w:val="auto"/>
        </w:rPr>
        <w:t xml:space="preserve">. </w:t>
      </w:r>
    </w:p>
    <w:p w14:paraId="511C961B" w14:textId="77777777" w:rsidR="008030A9" w:rsidRPr="00F54F57" w:rsidRDefault="008030A9" w:rsidP="008030A9">
      <w:pPr>
        <w:spacing w:line="276" w:lineRule="auto"/>
        <w:jc w:val="both"/>
        <w:rPr>
          <w:color w:val="auto"/>
        </w:rPr>
      </w:pPr>
      <w:r w:rsidRPr="00F54F57">
        <w:rPr>
          <w:b/>
          <w:bCs/>
          <w:color w:val="auto"/>
        </w:rPr>
        <w:t>Reinfezioni</w:t>
      </w:r>
      <w:r w:rsidRPr="00F54F57">
        <w:rPr>
          <w:color w:val="auto"/>
        </w:rPr>
        <w:t xml:space="preserve">. Secondo </w:t>
      </w:r>
      <w:hyperlink r:id="rId9" w:history="1">
        <w:r w:rsidRPr="00F54F57">
          <w:rPr>
            <w:rStyle w:val="Collegamentoipertestuale"/>
            <w:color w:val="auto"/>
          </w:rPr>
          <w:t>l’ultimo report dell’Istituto Superiore di Sanità</w:t>
        </w:r>
      </w:hyperlink>
      <w:r w:rsidRPr="00F54F57">
        <w:rPr>
          <w:rStyle w:val="Collegamentoipertestuale"/>
          <w:color w:val="auto"/>
          <w:u w:val="none"/>
        </w:rPr>
        <w:t>,</w:t>
      </w:r>
      <w:r w:rsidRPr="00F54F57">
        <w:rPr>
          <w:color w:val="auto"/>
        </w:rPr>
        <w:t xml:space="preserve"> nel periodo 24 agosto 2021</w:t>
      </w:r>
      <w:r w:rsidR="00BE21B7" w:rsidRPr="00F54F57">
        <w:rPr>
          <w:color w:val="auto"/>
        </w:rPr>
        <w:t>-</w:t>
      </w:r>
      <w:r w:rsidR="00F54F57">
        <w:rPr>
          <w:color w:val="auto"/>
        </w:rPr>
        <w:t>1</w:t>
      </w:r>
      <w:r w:rsidR="00E56BE2">
        <w:rPr>
          <w:color w:val="auto"/>
        </w:rPr>
        <w:t>9</w:t>
      </w:r>
      <w:r w:rsidR="00423AFE" w:rsidRPr="00F54F57">
        <w:rPr>
          <w:color w:val="auto"/>
        </w:rPr>
        <w:t xml:space="preserve"> ottobre</w:t>
      </w:r>
      <w:r w:rsidRPr="00F54F57">
        <w:rPr>
          <w:color w:val="auto"/>
        </w:rPr>
        <w:t xml:space="preserve"> 2022 </w:t>
      </w:r>
      <w:r w:rsidR="00387C86" w:rsidRPr="00F54F57">
        <w:rPr>
          <w:color w:val="auto"/>
        </w:rPr>
        <w:t xml:space="preserve">in Italia </w:t>
      </w:r>
      <w:r w:rsidRPr="00F54F57">
        <w:rPr>
          <w:color w:val="auto"/>
        </w:rPr>
        <w:t>sono state registrate oltre 1</w:t>
      </w:r>
      <w:r w:rsidR="007C4457" w:rsidRPr="00F54F57">
        <w:rPr>
          <w:color w:val="auto"/>
        </w:rPr>
        <w:t>,</w:t>
      </w:r>
      <w:r w:rsidR="00F54F57">
        <w:rPr>
          <w:color w:val="auto"/>
        </w:rPr>
        <w:t>2</w:t>
      </w:r>
      <w:r w:rsidR="00E56BE2">
        <w:rPr>
          <w:color w:val="auto"/>
        </w:rPr>
        <w:t>8</w:t>
      </w:r>
      <w:r w:rsidR="007C4457" w:rsidRPr="00F54F57">
        <w:rPr>
          <w:color w:val="auto"/>
        </w:rPr>
        <w:t xml:space="preserve"> milioni </w:t>
      </w:r>
      <w:r w:rsidRPr="00F54F57">
        <w:rPr>
          <w:color w:val="auto"/>
        </w:rPr>
        <w:t xml:space="preserve">di reinfezioni, pari al </w:t>
      </w:r>
      <w:r w:rsidR="00B31940" w:rsidRPr="00F54F57">
        <w:rPr>
          <w:color w:val="auto"/>
        </w:rPr>
        <w:t>6</w:t>
      </w:r>
      <w:r w:rsidR="00BE21B7" w:rsidRPr="00F54F57">
        <w:rPr>
          <w:color w:val="auto"/>
        </w:rPr>
        <w:t>,</w:t>
      </w:r>
      <w:r w:rsidR="00E56BE2">
        <w:rPr>
          <w:color w:val="auto"/>
        </w:rPr>
        <w:t>8</w:t>
      </w:r>
      <w:r w:rsidRPr="00F54F57">
        <w:rPr>
          <w:color w:val="auto"/>
        </w:rPr>
        <w:t xml:space="preserve">% del totale dei casi. La loro incidenza nella settimana </w:t>
      </w:r>
      <w:r w:rsidR="00E56BE2">
        <w:rPr>
          <w:color w:val="auto"/>
        </w:rPr>
        <w:t>12</w:t>
      </w:r>
      <w:r w:rsidR="00F54F57">
        <w:rPr>
          <w:color w:val="auto"/>
        </w:rPr>
        <w:t>-</w:t>
      </w:r>
      <w:r w:rsidR="00E56BE2">
        <w:rPr>
          <w:color w:val="auto"/>
        </w:rPr>
        <w:t>19</w:t>
      </w:r>
      <w:r w:rsidR="00F54F57">
        <w:rPr>
          <w:color w:val="auto"/>
        </w:rPr>
        <w:t xml:space="preserve"> ottobre</w:t>
      </w:r>
      <w:r w:rsidRPr="00F54F57">
        <w:rPr>
          <w:color w:val="auto"/>
        </w:rPr>
        <w:t xml:space="preserve"> è </w:t>
      </w:r>
      <w:r w:rsidR="007C4457" w:rsidRPr="00F54F57">
        <w:rPr>
          <w:color w:val="auto"/>
        </w:rPr>
        <w:t xml:space="preserve">del </w:t>
      </w:r>
      <w:r w:rsidR="00F54F57">
        <w:rPr>
          <w:color w:val="auto"/>
        </w:rPr>
        <w:t>1</w:t>
      </w:r>
      <w:r w:rsidR="00E56BE2">
        <w:rPr>
          <w:color w:val="auto"/>
        </w:rPr>
        <w:t>5</w:t>
      </w:r>
      <w:r w:rsidRPr="00F54F57">
        <w:rPr>
          <w:color w:val="auto"/>
        </w:rPr>
        <w:t xml:space="preserve">% (n. </w:t>
      </w:r>
      <w:r w:rsidR="00E56BE2" w:rsidRPr="00E56BE2">
        <w:rPr>
          <w:color w:val="auto"/>
        </w:rPr>
        <w:t>42.575</w:t>
      </w:r>
      <w:r w:rsidR="00E56BE2">
        <w:rPr>
          <w:color w:val="auto"/>
        </w:rPr>
        <w:t xml:space="preserve"> </w:t>
      </w:r>
      <w:r w:rsidR="007C4457" w:rsidRPr="00F54F57">
        <w:rPr>
          <w:color w:val="auto"/>
        </w:rPr>
        <w:t>reinfezioni)</w:t>
      </w:r>
      <w:r w:rsidR="00E8203F" w:rsidRPr="00F54F57">
        <w:rPr>
          <w:color w:val="auto"/>
        </w:rPr>
        <w:t>,</w:t>
      </w:r>
      <w:r w:rsidR="007C4457" w:rsidRPr="00F54F57">
        <w:rPr>
          <w:color w:val="auto"/>
        </w:rPr>
        <w:t xml:space="preserve"> in </w:t>
      </w:r>
      <w:r w:rsidR="00E56BE2">
        <w:rPr>
          <w:color w:val="auto"/>
        </w:rPr>
        <w:t>calo</w:t>
      </w:r>
      <w:r w:rsidR="007C4457" w:rsidRPr="00F54F57">
        <w:rPr>
          <w:color w:val="auto"/>
        </w:rPr>
        <w:t xml:space="preserve"> rispetto alla settimana precedente (</w:t>
      </w:r>
      <w:r w:rsidR="00E56BE2">
        <w:rPr>
          <w:color w:val="auto"/>
        </w:rPr>
        <w:t>16,4</w:t>
      </w:r>
      <w:r w:rsidR="007C4457" w:rsidRPr="00F54F57">
        <w:rPr>
          <w:color w:val="auto"/>
        </w:rPr>
        <w:t>%).</w:t>
      </w:r>
    </w:p>
    <w:p w14:paraId="50B75CD4" w14:textId="77777777" w:rsidR="00E56BE2" w:rsidRPr="004E792C" w:rsidRDefault="00E56BE2" w:rsidP="008030A9">
      <w:pPr>
        <w:spacing w:line="276" w:lineRule="auto"/>
        <w:jc w:val="both"/>
        <w:rPr>
          <w:color w:val="auto"/>
        </w:rPr>
      </w:pPr>
      <w:r w:rsidRPr="00E56BE2">
        <w:rPr>
          <w:b/>
          <w:color w:val="auto"/>
        </w:rPr>
        <w:t>Testing.</w:t>
      </w:r>
      <w:r w:rsidRPr="00E56BE2">
        <w:rPr>
          <w:color w:val="auto"/>
        </w:rPr>
        <w:t xml:space="preserve"> Si registra </w:t>
      </w:r>
      <w:r w:rsidR="00A96032">
        <w:rPr>
          <w:color w:val="auto"/>
        </w:rPr>
        <w:t>una diminuzione</w:t>
      </w:r>
      <w:r w:rsidRPr="00E56BE2">
        <w:rPr>
          <w:color w:val="auto"/>
        </w:rPr>
        <w:t xml:space="preserve"> del numero dei tamponi totali (-6,3%): da 1.504.956 della settimana 12-18 ottobre a 1.410.261 della settimana 19-25 ottobre. In particolare i tam</w:t>
      </w:r>
      <w:r>
        <w:rPr>
          <w:color w:val="auto"/>
        </w:rPr>
        <w:t xml:space="preserve">poni rapidi sono </w:t>
      </w:r>
      <w:r w:rsidR="00A96032">
        <w:rPr>
          <w:color w:val="auto"/>
        </w:rPr>
        <w:t xml:space="preserve">calati </w:t>
      </w:r>
      <w:r>
        <w:rPr>
          <w:color w:val="auto"/>
        </w:rPr>
        <w:t xml:space="preserve">del </w:t>
      </w:r>
      <w:r w:rsidRPr="00E56BE2">
        <w:rPr>
          <w:color w:val="auto"/>
        </w:rPr>
        <w:t>7</w:t>
      </w:r>
      <w:r>
        <w:rPr>
          <w:color w:val="auto"/>
        </w:rPr>
        <w:t>% (-88.351) e</w:t>
      </w:r>
      <w:r w:rsidRPr="00E56BE2">
        <w:rPr>
          <w:color w:val="auto"/>
        </w:rPr>
        <w:t xml:space="preserve"> quelli molecolari del 2,7% (-6.344) (</w:t>
      </w:r>
      <w:r w:rsidRPr="00E56BE2">
        <w:rPr>
          <w:color w:val="auto"/>
          <w:highlight w:val="yellow"/>
        </w:rPr>
        <w:t>figura 5</w:t>
      </w:r>
      <w:r w:rsidRPr="00E56BE2">
        <w:rPr>
          <w:color w:val="auto"/>
        </w:rPr>
        <w:t>). La media mobile a 7 giorni del tasso di positività si riduce dal 12,3% al</w:t>
      </w:r>
      <w:r w:rsidR="00B62DBF">
        <w:rPr>
          <w:color w:val="auto"/>
        </w:rPr>
        <w:t>l’</w:t>
      </w:r>
      <w:r w:rsidRPr="00E56BE2">
        <w:rPr>
          <w:color w:val="auto"/>
        </w:rPr>
        <w:t xml:space="preserve">11,1% per i tamponi molecolari e </w:t>
      </w:r>
      <w:r>
        <w:rPr>
          <w:color w:val="auto"/>
        </w:rPr>
        <w:t>d</w:t>
      </w:r>
      <w:r w:rsidRPr="00E56BE2">
        <w:rPr>
          <w:color w:val="auto"/>
        </w:rPr>
        <w:t>al 19,4% al 17,6% per gli antigenici rapidi (</w:t>
      </w:r>
      <w:r w:rsidRPr="00E56BE2">
        <w:rPr>
          <w:color w:val="auto"/>
          <w:highlight w:val="yellow"/>
        </w:rPr>
        <w:t>figura 6</w:t>
      </w:r>
      <w:r w:rsidRPr="00E56BE2">
        <w:rPr>
          <w:color w:val="auto"/>
        </w:rPr>
        <w:t>).</w:t>
      </w:r>
    </w:p>
    <w:p w14:paraId="257114BF" w14:textId="77777777" w:rsidR="001A59C9" w:rsidRPr="005848E5" w:rsidRDefault="009F1734" w:rsidP="009F1734">
      <w:pPr>
        <w:jc w:val="both"/>
        <w:rPr>
          <w:color w:val="auto"/>
        </w:rPr>
      </w:pPr>
      <w:bookmarkStart w:id="2" w:name="_Hlk116462683"/>
      <w:r w:rsidRPr="004E792C">
        <w:rPr>
          <w:b/>
          <w:color w:val="auto"/>
        </w:rPr>
        <w:t>Ospedalizzazioni</w:t>
      </w:r>
      <w:r w:rsidRPr="004E792C">
        <w:rPr>
          <w:color w:val="auto"/>
        </w:rPr>
        <w:t>.</w:t>
      </w:r>
      <w:r w:rsidR="00671935" w:rsidRPr="004E792C">
        <w:rPr>
          <w:color w:val="auto"/>
        </w:rPr>
        <w:t xml:space="preserve"> </w:t>
      </w:r>
      <w:bookmarkStart w:id="3" w:name="_Hlk115867154"/>
      <w:r w:rsidR="00671935" w:rsidRPr="004E792C">
        <w:rPr>
          <w:color w:val="auto"/>
        </w:rPr>
        <w:t>«Sul fronte degli ospedali – afferma Marco Mosti, Direttore Operativo della Fondazione GIMBE –</w:t>
      </w:r>
      <w:r w:rsidR="00AB5205" w:rsidRPr="004E792C">
        <w:rPr>
          <w:color w:val="auto"/>
        </w:rPr>
        <w:t xml:space="preserve"> </w:t>
      </w:r>
      <w:r w:rsidR="00C06727">
        <w:rPr>
          <w:color w:val="auto"/>
        </w:rPr>
        <w:t xml:space="preserve">tornano a scendere </w:t>
      </w:r>
      <w:r w:rsidR="008910DD">
        <w:rPr>
          <w:color w:val="auto"/>
        </w:rPr>
        <w:t>le</w:t>
      </w:r>
      <w:r w:rsidR="00671935" w:rsidRPr="002163FF">
        <w:rPr>
          <w:color w:val="auto"/>
        </w:rPr>
        <w:t xml:space="preserve"> terapie intensive</w:t>
      </w:r>
      <w:r w:rsidR="00B62DBF">
        <w:rPr>
          <w:color w:val="auto"/>
        </w:rPr>
        <w:t xml:space="preserve"> (-8,7%) </w:t>
      </w:r>
      <w:r w:rsidR="00E56BE2">
        <w:rPr>
          <w:color w:val="auto"/>
        </w:rPr>
        <w:t>dopo tre settimane consecutive di aumento</w:t>
      </w:r>
      <w:r w:rsidR="008910DD">
        <w:rPr>
          <w:color w:val="auto"/>
        </w:rPr>
        <w:t xml:space="preserve">, </w:t>
      </w:r>
      <w:r w:rsidR="00E56BE2">
        <w:rPr>
          <w:color w:val="auto"/>
        </w:rPr>
        <w:t>mentre</w:t>
      </w:r>
      <w:r w:rsidR="008910DD">
        <w:rPr>
          <w:color w:val="auto"/>
        </w:rPr>
        <w:t xml:space="preserve"> si </w:t>
      </w:r>
      <w:r w:rsidR="00E56BE2">
        <w:rPr>
          <w:color w:val="auto"/>
        </w:rPr>
        <w:t xml:space="preserve">stabilizzano </w:t>
      </w:r>
      <w:r w:rsidR="008910DD">
        <w:rPr>
          <w:color w:val="auto"/>
        </w:rPr>
        <w:t>i ricoveri</w:t>
      </w:r>
      <w:r w:rsidR="00671935" w:rsidRPr="002163FF">
        <w:rPr>
          <w:color w:val="auto"/>
        </w:rPr>
        <w:t xml:space="preserve"> in area medica</w:t>
      </w:r>
      <w:r w:rsidR="004A178B" w:rsidRPr="002163FF" w:rsidDel="004A178B">
        <w:rPr>
          <w:color w:val="auto"/>
        </w:rPr>
        <w:t xml:space="preserve"> </w:t>
      </w:r>
      <w:r w:rsidR="004A178B" w:rsidRPr="002163FF">
        <w:rPr>
          <w:color w:val="auto"/>
        </w:rPr>
        <w:t>(+</w:t>
      </w:r>
      <w:r w:rsidR="00E56BE2">
        <w:rPr>
          <w:color w:val="auto"/>
        </w:rPr>
        <w:t>1</w:t>
      </w:r>
      <w:r w:rsidR="004E792C" w:rsidRPr="002163FF">
        <w:rPr>
          <w:color w:val="auto"/>
        </w:rPr>
        <w:t>,</w:t>
      </w:r>
      <w:r w:rsidR="00E56BE2">
        <w:rPr>
          <w:color w:val="auto"/>
        </w:rPr>
        <w:t>6</w:t>
      </w:r>
      <w:r w:rsidR="004A178B" w:rsidRPr="002163FF">
        <w:rPr>
          <w:color w:val="auto"/>
        </w:rPr>
        <w:t>%)»</w:t>
      </w:r>
      <w:r w:rsidR="00671935" w:rsidRPr="002163FF">
        <w:rPr>
          <w:color w:val="auto"/>
        </w:rPr>
        <w:t xml:space="preserve">. </w:t>
      </w:r>
      <w:bookmarkEnd w:id="3"/>
      <w:r w:rsidR="00671935" w:rsidRPr="002163FF">
        <w:rPr>
          <w:color w:val="auto"/>
        </w:rPr>
        <w:t xml:space="preserve">In termini assoluti, i posti letto COVID </w:t>
      </w:r>
      <w:r w:rsidR="004E792C" w:rsidRPr="002163FF">
        <w:rPr>
          <w:color w:val="auto"/>
        </w:rPr>
        <w:t xml:space="preserve">occupati </w:t>
      </w:r>
      <w:r w:rsidR="00671935" w:rsidRPr="002163FF">
        <w:rPr>
          <w:color w:val="auto"/>
        </w:rPr>
        <w:t xml:space="preserve">in area critica, dopo aver raggiunto il </w:t>
      </w:r>
      <w:r w:rsidR="00C06727">
        <w:rPr>
          <w:color w:val="auto"/>
        </w:rPr>
        <w:t xml:space="preserve">massimo di </w:t>
      </w:r>
      <w:r w:rsidR="002163FF" w:rsidRPr="002163FF">
        <w:rPr>
          <w:color w:val="auto"/>
        </w:rPr>
        <w:t>254 il 1</w:t>
      </w:r>
      <w:r w:rsidR="00296BA2">
        <w:rPr>
          <w:color w:val="auto"/>
        </w:rPr>
        <w:t>7</w:t>
      </w:r>
      <w:r w:rsidR="00671935" w:rsidRPr="002163FF">
        <w:rPr>
          <w:color w:val="auto"/>
        </w:rPr>
        <w:t xml:space="preserve"> ottobre</w:t>
      </w:r>
      <w:r w:rsidR="00296BA2">
        <w:rPr>
          <w:color w:val="auto"/>
        </w:rPr>
        <w:t xml:space="preserve"> </w:t>
      </w:r>
      <w:r w:rsidR="00C06727">
        <w:rPr>
          <w:color w:val="auto"/>
        </w:rPr>
        <w:t xml:space="preserve">sono scesi </w:t>
      </w:r>
      <w:r w:rsidR="00296BA2">
        <w:rPr>
          <w:color w:val="auto"/>
        </w:rPr>
        <w:t>a 232 il 25 ottobre</w:t>
      </w:r>
      <w:r w:rsidR="00671935" w:rsidRPr="002163FF">
        <w:rPr>
          <w:color w:val="auto"/>
        </w:rPr>
        <w:t xml:space="preserve">; in area medica, dopo aver raggiunto il minimo di 3.293 il 24 settembre, </w:t>
      </w:r>
      <w:r w:rsidR="00665647">
        <w:rPr>
          <w:color w:val="auto"/>
        </w:rPr>
        <w:t xml:space="preserve">hanno </w:t>
      </w:r>
      <w:r w:rsidR="00665647" w:rsidRPr="00AD5E21">
        <w:rPr>
          <w:color w:val="auto"/>
        </w:rPr>
        <w:t>raggiunto</w:t>
      </w:r>
      <w:r w:rsidR="00671935" w:rsidRPr="00AD5E21">
        <w:rPr>
          <w:color w:val="auto"/>
        </w:rPr>
        <w:t xml:space="preserve"> quota </w:t>
      </w:r>
      <w:r w:rsidR="00296BA2" w:rsidRPr="00AD5E21">
        <w:rPr>
          <w:color w:val="auto"/>
        </w:rPr>
        <w:t xml:space="preserve">7.106 </w:t>
      </w:r>
      <w:r w:rsidR="002163FF" w:rsidRPr="00AD5E21">
        <w:rPr>
          <w:color w:val="auto"/>
        </w:rPr>
        <w:t xml:space="preserve">il </w:t>
      </w:r>
      <w:r w:rsidR="00296BA2" w:rsidRPr="00AD5E21">
        <w:rPr>
          <w:color w:val="auto"/>
        </w:rPr>
        <w:t>25</w:t>
      </w:r>
      <w:r w:rsidR="00671935" w:rsidRPr="00AD5E21">
        <w:rPr>
          <w:color w:val="auto"/>
        </w:rPr>
        <w:t xml:space="preserve"> ottobre (</w:t>
      </w:r>
      <w:r w:rsidR="00671935" w:rsidRPr="00AD5E21">
        <w:rPr>
          <w:color w:val="auto"/>
          <w:highlight w:val="yellow"/>
        </w:rPr>
        <w:t>figura 7</w:t>
      </w:r>
      <w:r w:rsidR="00671935" w:rsidRPr="00AD5E21">
        <w:rPr>
          <w:color w:val="auto"/>
        </w:rPr>
        <w:t>)</w:t>
      </w:r>
      <w:bookmarkEnd w:id="2"/>
      <w:r w:rsidR="004A178B" w:rsidRPr="00AD5E21">
        <w:rPr>
          <w:color w:val="auto"/>
        </w:rPr>
        <w:t xml:space="preserve">. </w:t>
      </w:r>
      <w:r w:rsidR="005848E5" w:rsidRPr="00AD5E21">
        <w:rPr>
          <w:color w:val="auto"/>
        </w:rPr>
        <w:t xml:space="preserve">Al </w:t>
      </w:r>
      <w:r w:rsidR="00296BA2" w:rsidRPr="00AD5E21">
        <w:rPr>
          <w:color w:val="auto"/>
        </w:rPr>
        <w:t>25</w:t>
      </w:r>
      <w:r w:rsidR="005848E5" w:rsidRPr="00AD5E21">
        <w:rPr>
          <w:color w:val="auto"/>
        </w:rPr>
        <w:t xml:space="preserve"> ottobre il tasso nazionale di occupazione da parte di pazienti COVID è dell’11</w:t>
      </w:r>
      <w:r w:rsidR="00AD5E21" w:rsidRPr="00AD5E21">
        <w:rPr>
          <w:color w:val="auto"/>
        </w:rPr>
        <w:t>,2</w:t>
      </w:r>
      <w:r w:rsidR="005848E5" w:rsidRPr="00AD5E21">
        <w:rPr>
          <w:color w:val="auto"/>
        </w:rPr>
        <w:t xml:space="preserve">% in area medica (dal 5,1% del Molise </w:t>
      </w:r>
      <w:r w:rsidR="00AD5E21" w:rsidRPr="00AD5E21">
        <w:rPr>
          <w:color w:val="auto"/>
        </w:rPr>
        <w:t>al 35</w:t>
      </w:r>
      <w:r w:rsidR="005848E5" w:rsidRPr="00AD5E21">
        <w:rPr>
          <w:color w:val="auto"/>
        </w:rPr>
        <w:t>,</w:t>
      </w:r>
      <w:r w:rsidR="00AD5E21" w:rsidRPr="00AD5E21">
        <w:rPr>
          <w:color w:val="auto"/>
        </w:rPr>
        <w:t>8</w:t>
      </w:r>
      <w:r w:rsidR="005848E5" w:rsidRPr="00AD5E21">
        <w:rPr>
          <w:color w:val="auto"/>
        </w:rPr>
        <w:t xml:space="preserve">% </w:t>
      </w:r>
      <w:r w:rsidR="00AD5E21" w:rsidRPr="00AD5E21">
        <w:rPr>
          <w:color w:val="auto"/>
        </w:rPr>
        <w:t xml:space="preserve">di Umbria e </w:t>
      </w:r>
      <w:r w:rsidR="005848E5" w:rsidRPr="00AD5E21">
        <w:rPr>
          <w:color w:val="auto"/>
        </w:rPr>
        <w:t>Valle D</w:t>
      </w:r>
      <w:r w:rsidR="00665647" w:rsidRPr="00AD5E21">
        <w:rPr>
          <w:color w:val="auto"/>
        </w:rPr>
        <w:t>’</w:t>
      </w:r>
      <w:r w:rsidR="005848E5" w:rsidRPr="00AD5E21">
        <w:rPr>
          <w:color w:val="auto"/>
        </w:rPr>
        <w:t>Aosta) e del 2,</w:t>
      </w:r>
      <w:r w:rsidR="00AD5E21" w:rsidRPr="00AD5E21">
        <w:rPr>
          <w:color w:val="auto"/>
        </w:rPr>
        <w:t>5</w:t>
      </w:r>
      <w:r w:rsidR="005848E5" w:rsidRPr="00AD5E21">
        <w:rPr>
          <w:color w:val="auto"/>
        </w:rPr>
        <w:t xml:space="preserve">% </w:t>
      </w:r>
      <w:r w:rsidR="00AD5E21" w:rsidRPr="00AD5E21">
        <w:rPr>
          <w:color w:val="auto"/>
        </w:rPr>
        <w:t>in area critica (dallo 0% di</w:t>
      </w:r>
      <w:r w:rsidR="005848E5" w:rsidRPr="00AD5E21">
        <w:rPr>
          <w:color w:val="auto"/>
        </w:rPr>
        <w:t xml:space="preserve"> Molise </w:t>
      </w:r>
      <w:r w:rsidR="00AD5E21" w:rsidRPr="00AD5E21">
        <w:rPr>
          <w:color w:val="auto"/>
        </w:rPr>
        <w:t xml:space="preserve">e Valle D’Aosta </w:t>
      </w:r>
      <w:r w:rsidR="005848E5" w:rsidRPr="00AD5E21">
        <w:rPr>
          <w:color w:val="auto"/>
        </w:rPr>
        <w:t xml:space="preserve">al </w:t>
      </w:r>
      <w:r w:rsidR="00AD5E21" w:rsidRPr="00AD5E21">
        <w:rPr>
          <w:color w:val="auto"/>
        </w:rPr>
        <w:t>5% dell’Abruzzo</w:t>
      </w:r>
      <w:r w:rsidR="005848E5" w:rsidRPr="00AD5E21">
        <w:rPr>
          <w:color w:val="auto"/>
        </w:rPr>
        <w:t>) (</w:t>
      </w:r>
      <w:r w:rsidR="005848E5" w:rsidRPr="00AD5E21">
        <w:rPr>
          <w:color w:val="auto"/>
          <w:highlight w:val="yellow"/>
        </w:rPr>
        <w:t>figura 8</w:t>
      </w:r>
      <w:r w:rsidR="005848E5" w:rsidRPr="00AD5E21">
        <w:rPr>
          <w:color w:val="auto"/>
        </w:rPr>
        <w:t>).</w:t>
      </w:r>
      <w:r w:rsidR="00AB2D59" w:rsidRPr="00AD5E21">
        <w:rPr>
          <w:color w:val="auto"/>
        </w:rPr>
        <w:t xml:space="preserve"> «</w:t>
      </w:r>
      <w:r w:rsidR="00296BA2" w:rsidRPr="00AD5E21">
        <w:rPr>
          <w:color w:val="auto"/>
        </w:rPr>
        <w:t xml:space="preserve">Tornano a scendere </w:t>
      </w:r>
      <w:r w:rsidR="00AB2D59" w:rsidRPr="00AD5E21">
        <w:rPr>
          <w:color w:val="auto"/>
        </w:rPr>
        <w:t xml:space="preserve">gli ingressi giornalieri in terapia intensiva – puntualizza Mosti – con una media mobile a 7 giorni di </w:t>
      </w:r>
      <w:r w:rsidR="00296BA2" w:rsidRPr="00AD5E21">
        <w:rPr>
          <w:color w:val="auto"/>
        </w:rPr>
        <w:t>29</w:t>
      </w:r>
      <w:r w:rsidR="005848E5" w:rsidRPr="00AD5E21">
        <w:rPr>
          <w:color w:val="auto"/>
        </w:rPr>
        <w:t xml:space="preserve"> ingressi/die rispetto ai </w:t>
      </w:r>
      <w:r w:rsidR="00296BA2" w:rsidRPr="00AD5E21">
        <w:rPr>
          <w:color w:val="auto"/>
        </w:rPr>
        <w:t>34</w:t>
      </w:r>
      <w:r w:rsidR="00AB2D59" w:rsidRPr="00AD5E21">
        <w:rPr>
          <w:color w:val="auto"/>
        </w:rPr>
        <w:t xml:space="preserve"> della settimana precedente» (</w:t>
      </w:r>
      <w:r w:rsidR="00AB2D59" w:rsidRPr="00AD5E21">
        <w:rPr>
          <w:color w:val="auto"/>
          <w:highlight w:val="yellow"/>
        </w:rPr>
        <w:t>figura 9</w:t>
      </w:r>
      <w:r w:rsidR="00AB2D59" w:rsidRPr="00AD5E21">
        <w:rPr>
          <w:color w:val="auto"/>
        </w:rPr>
        <w:t>).</w:t>
      </w:r>
    </w:p>
    <w:p w14:paraId="7E35B428" w14:textId="77777777" w:rsidR="00A46DB8" w:rsidRDefault="00A46DB8" w:rsidP="008030A9">
      <w:pPr>
        <w:spacing w:line="276" w:lineRule="auto"/>
        <w:jc w:val="both"/>
        <w:rPr>
          <w:color w:val="auto"/>
        </w:rPr>
      </w:pPr>
      <w:r w:rsidRPr="002163FF">
        <w:rPr>
          <w:b/>
          <w:color w:val="auto"/>
        </w:rPr>
        <w:t>Decessi</w:t>
      </w:r>
      <w:r w:rsidRPr="002163FF">
        <w:rPr>
          <w:color w:val="auto"/>
        </w:rPr>
        <w:t xml:space="preserve">. </w:t>
      </w:r>
      <w:r w:rsidR="00A96032">
        <w:rPr>
          <w:color w:val="auto"/>
        </w:rPr>
        <w:t>In ulteriore lieve aumento</w:t>
      </w:r>
      <w:r w:rsidR="00665647">
        <w:rPr>
          <w:color w:val="auto"/>
        </w:rPr>
        <w:t xml:space="preserve"> </w:t>
      </w:r>
      <w:r w:rsidR="00296BA2">
        <w:rPr>
          <w:color w:val="auto"/>
        </w:rPr>
        <w:t xml:space="preserve">il numero </w:t>
      </w:r>
      <w:r w:rsidR="00665647">
        <w:rPr>
          <w:color w:val="auto"/>
        </w:rPr>
        <w:t>de</w:t>
      </w:r>
      <w:r w:rsidR="001B7C9B" w:rsidRPr="002163FF">
        <w:rPr>
          <w:color w:val="auto"/>
        </w:rPr>
        <w:t>i decessi</w:t>
      </w:r>
      <w:r w:rsidRPr="002163FF">
        <w:rPr>
          <w:color w:val="auto"/>
        </w:rPr>
        <w:t xml:space="preserve">: </w:t>
      </w:r>
      <w:r w:rsidR="00296BA2">
        <w:rPr>
          <w:color w:val="auto"/>
        </w:rPr>
        <w:t>559</w:t>
      </w:r>
      <w:r w:rsidRPr="002163FF">
        <w:rPr>
          <w:color w:val="auto"/>
        </w:rPr>
        <w:t xml:space="preserve"> negli ultimi 7 giorni (di cui </w:t>
      </w:r>
      <w:r w:rsidR="00296BA2">
        <w:rPr>
          <w:color w:val="auto"/>
        </w:rPr>
        <w:t>14</w:t>
      </w:r>
      <w:r w:rsidRPr="002163FF">
        <w:rPr>
          <w:color w:val="auto"/>
        </w:rPr>
        <w:t xml:space="preserve"> riferiti a periodi precedenti), con una media di </w:t>
      </w:r>
      <w:r w:rsidR="00296BA2">
        <w:rPr>
          <w:color w:val="auto"/>
        </w:rPr>
        <w:t>80</w:t>
      </w:r>
      <w:r w:rsidRPr="002163FF">
        <w:rPr>
          <w:color w:val="auto"/>
        </w:rPr>
        <w:t xml:space="preserve"> al giorno rispetto ai </w:t>
      </w:r>
      <w:r w:rsidR="00296BA2">
        <w:rPr>
          <w:color w:val="auto"/>
        </w:rPr>
        <w:t>78</w:t>
      </w:r>
      <w:r w:rsidRPr="002163FF">
        <w:rPr>
          <w:color w:val="auto"/>
        </w:rPr>
        <w:t xml:space="preserve"> della settimana precedente.</w:t>
      </w:r>
    </w:p>
    <w:p w14:paraId="6D4D5B63" w14:textId="77777777" w:rsidR="00296BA2" w:rsidRPr="00815F20" w:rsidRDefault="00296BA2" w:rsidP="008030A9">
      <w:pPr>
        <w:spacing w:line="276" w:lineRule="auto"/>
        <w:jc w:val="both"/>
        <w:rPr>
          <w:color w:val="auto"/>
        </w:rPr>
      </w:pPr>
      <w:r w:rsidRPr="00296BA2">
        <w:rPr>
          <w:b/>
          <w:color w:val="auto"/>
        </w:rPr>
        <w:t>Vaccini: nuovi vaccinati.</w:t>
      </w:r>
      <w:r w:rsidRPr="00296BA2">
        <w:rPr>
          <w:color w:val="auto"/>
        </w:rPr>
        <w:t xml:space="preserve"> Nella settimana 19-25 ottobre calano i nuovi vaccinati: 1.411 rispetto ai 1.576 della settimana prece</w:t>
      </w:r>
      <w:r>
        <w:rPr>
          <w:color w:val="auto"/>
        </w:rPr>
        <w:t>dente (-10,5%)</w:t>
      </w:r>
      <w:r w:rsidRPr="00296BA2">
        <w:rPr>
          <w:color w:val="auto"/>
        </w:rPr>
        <w:t xml:space="preserve"> (</w:t>
      </w:r>
      <w:r w:rsidRPr="00296BA2">
        <w:rPr>
          <w:color w:val="auto"/>
          <w:highlight w:val="yellow"/>
        </w:rPr>
        <w:t>figura 10</w:t>
      </w:r>
      <w:r w:rsidRPr="00296BA2">
        <w:rPr>
          <w:color w:val="auto"/>
        </w:rPr>
        <w:t>).</w:t>
      </w:r>
    </w:p>
    <w:p w14:paraId="4BB7E4B8" w14:textId="77777777" w:rsidR="00815F20" w:rsidRPr="00815F20" w:rsidRDefault="00815F20" w:rsidP="00640F0C">
      <w:pPr>
        <w:spacing w:after="0" w:line="276" w:lineRule="auto"/>
        <w:jc w:val="both"/>
        <w:rPr>
          <w:color w:val="auto"/>
        </w:rPr>
      </w:pPr>
      <w:r w:rsidRPr="00815F20">
        <w:rPr>
          <w:b/>
          <w:color w:val="auto"/>
        </w:rPr>
        <w:t>Vaccini: persone non vaccinate.</w:t>
      </w:r>
      <w:r w:rsidRPr="00815F20">
        <w:rPr>
          <w:color w:val="auto"/>
        </w:rPr>
        <w:t xml:space="preserve"> Al </w:t>
      </w:r>
      <w:r w:rsidR="009615E5">
        <w:rPr>
          <w:color w:val="auto"/>
        </w:rPr>
        <w:t>26</w:t>
      </w:r>
      <w:r w:rsidRPr="00815F20">
        <w:rPr>
          <w:color w:val="auto"/>
        </w:rPr>
        <w:t xml:space="preserve"> ottobre (aggiornamento ore 06.27) sono 6,8 milioni le persone di età superiore a 5 anni che non hanno ricevuto nemmeno una dose di vaccino (</w:t>
      </w:r>
      <w:r w:rsidRPr="00815F20">
        <w:rPr>
          <w:color w:val="auto"/>
          <w:highlight w:val="yellow"/>
        </w:rPr>
        <w:t>figur</w:t>
      </w:r>
      <w:r w:rsidR="00665647">
        <w:rPr>
          <w:color w:val="auto"/>
          <w:highlight w:val="yellow"/>
        </w:rPr>
        <w:t>a</w:t>
      </w:r>
      <w:r w:rsidRPr="00815F20">
        <w:rPr>
          <w:color w:val="auto"/>
          <w:highlight w:val="yellow"/>
        </w:rPr>
        <w:t xml:space="preserve"> 11</w:t>
      </w:r>
      <w:r w:rsidRPr="00815F20">
        <w:rPr>
          <w:color w:val="auto"/>
        </w:rPr>
        <w:t>), di cui:</w:t>
      </w:r>
    </w:p>
    <w:p w14:paraId="68CE3524" w14:textId="77777777" w:rsidR="009615E5" w:rsidRDefault="009615E5" w:rsidP="009615E5">
      <w:pPr>
        <w:pStyle w:val="Paragrafoelenco"/>
        <w:numPr>
          <w:ilvl w:val="0"/>
          <w:numId w:val="41"/>
        </w:numPr>
        <w:spacing w:after="0" w:line="276" w:lineRule="auto"/>
        <w:jc w:val="both"/>
        <w:rPr>
          <w:color w:val="auto"/>
        </w:rPr>
      </w:pPr>
      <w:r w:rsidRPr="009615E5">
        <w:rPr>
          <w:color w:val="auto"/>
        </w:rPr>
        <w:t>5,97 milioni attualmente vaccinabili, pari al 10,4% della platea (dal 7,9% del Lazi</w:t>
      </w:r>
      <w:r>
        <w:rPr>
          <w:color w:val="auto"/>
        </w:rPr>
        <w:t>o al 13,9% della Valle D</w:t>
      </w:r>
      <w:r w:rsidR="00A96032">
        <w:rPr>
          <w:color w:val="auto"/>
        </w:rPr>
        <w:t>’</w:t>
      </w:r>
      <w:r>
        <w:rPr>
          <w:color w:val="auto"/>
        </w:rPr>
        <w:t>Aosta);</w:t>
      </w:r>
    </w:p>
    <w:p w14:paraId="49D99F29" w14:textId="77777777" w:rsidR="009615E5" w:rsidRPr="009615E5" w:rsidRDefault="009615E5" w:rsidP="00296BA2">
      <w:pPr>
        <w:pStyle w:val="Paragrafoelenco"/>
        <w:numPr>
          <w:ilvl w:val="0"/>
          <w:numId w:val="41"/>
        </w:numPr>
        <w:spacing w:line="276" w:lineRule="auto"/>
        <w:jc w:val="both"/>
        <w:rPr>
          <w:color w:val="auto"/>
        </w:rPr>
      </w:pPr>
      <w:r w:rsidRPr="009615E5">
        <w:rPr>
          <w:color w:val="auto"/>
        </w:rPr>
        <w:t>0,83 milioni temporaneamente protette in quanto guarite da COVID-19 da meno di 180 giorni, pari a</w:t>
      </w:r>
      <w:r w:rsidR="00B325DD">
        <w:rPr>
          <w:color w:val="auto"/>
        </w:rPr>
        <w:t>l</w:t>
      </w:r>
      <w:r w:rsidRPr="009615E5">
        <w:rPr>
          <w:color w:val="auto"/>
        </w:rPr>
        <w:t>l</w:t>
      </w:r>
      <w:r w:rsidR="00B325DD">
        <w:rPr>
          <w:color w:val="auto"/>
        </w:rPr>
        <w:t>’</w:t>
      </w:r>
      <w:r w:rsidRPr="009615E5">
        <w:rPr>
          <w:color w:val="auto"/>
        </w:rPr>
        <w:t>1,4% della platea (dal</w:t>
      </w:r>
      <w:r w:rsidR="00A96032">
        <w:rPr>
          <w:color w:val="auto"/>
        </w:rPr>
        <w:t>l’</w:t>
      </w:r>
      <w:r w:rsidRPr="009615E5">
        <w:rPr>
          <w:color w:val="auto"/>
        </w:rPr>
        <w:t>1% della Valle D</w:t>
      </w:r>
      <w:r w:rsidR="00A96032">
        <w:rPr>
          <w:color w:val="auto"/>
        </w:rPr>
        <w:t>’</w:t>
      </w:r>
      <w:r w:rsidRPr="009615E5">
        <w:rPr>
          <w:color w:val="auto"/>
        </w:rPr>
        <w:t xml:space="preserve">Aosta al 2,4% del Friuli </w:t>
      </w:r>
      <w:r w:rsidR="00F9495E" w:rsidRPr="009615E5">
        <w:rPr>
          <w:color w:val="auto"/>
        </w:rPr>
        <w:t>Venezia</w:t>
      </w:r>
      <w:r w:rsidR="00F9495E">
        <w:rPr>
          <w:color w:val="auto"/>
        </w:rPr>
        <w:t>-</w:t>
      </w:r>
      <w:r w:rsidRPr="009615E5">
        <w:rPr>
          <w:color w:val="auto"/>
        </w:rPr>
        <w:t>Giulia)</w:t>
      </w:r>
      <w:r>
        <w:rPr>
          <w:color w:val="auto"/>
        </w:rPr>
        <w:t>.</w:t>
      </w:r>
    </w:p>
    <w:p w14:paraId="3CBBD61D" w14:textId="77777777" w:rsidR="009615E5" w:rsidRPr="00815F20" w:rsidRDefault="009615E5" w:rsidP="008030A9">
      <w:pPr>
        <w:spacing w:line="276" w:lineRule="auto"/>
        <w:jc w:val="both"/>
        <w:rPr>
          <w:color w:val="auto"/>
        </w:rPr>
      </w:pPr>
      <w:r w:rsidRPr="009615E5">
        <w:rPr>
          <w:b/>
          <w:color w:val="auto"/>
        </w:rPr>
        <w:lastRenderedPageBreak/>
        <w:t>Vaccini: fascia 5-11 anni.</w:t>
      </w:r>
      <w:r w:rsidRPr="009615E5">
        <w:rPr>
          <w:color w:val="auto"/>
        </w:rPr>
        <w:t xml:space="preserve"> Al 26 ottobre (aggiornamento ore 06.16) nella fascia 5-11 anni sono state somministrate 2.604.758 dosi: 1.407.900 hanno ricevuto almeno 1 dose di vaccino (di cui 1.288.257 hanno completato il ciclo vaccinale), con un tasso di copertura nazionale al 38,5% con nette differenze regionali: dal 21,1% della Provincia Autonoma di Bolzano al 53,9% della Puglia (</w:t>
      </w:r>
      <w:r w:rsidRPr="009615E5">
        <w:rPr>
          <w:color w:val="auto"/>
          <w:highlight w:val="yellow"/>
        </w:rPr>
        <w:t>figura 1</w:t>
      </w:r>
      <w:r>
        <w:rPr>
          <w:color w:val="auto"/>
          <w:highlight w:val="yellow"/>
        </w:rPr>
        <w:t>2</w:t>
      </w:r>
      <w:r w:rsidRPr="009615E5">
        <w:rPr>
          <w:color w:val="auto"/>
        </w:rPr>
        <w:t>).</w:t>
      </w:r>
    </w:p>
    <w:p w14:paraId="0D11F7CC" w14:textId="77777777" w:rsidR="009615E5" w:rsidRDefault="009615E5" w:rsidP="009615E5">
      <w:pPr>
        <w:spacing w:after="0" w:line="276" w:lineRule="auto"/>
        <w:jc w:val="both"/>
        <w:rPr>
          <w:color w:val="auto"/>
        </w:rPr>
      </w:pPr>
      <w:r w:rsidRPr="009615E5">
        <w:rPr>
          <w:b/>
          <w:color w:val="auto"/>
        </w:rPr>
        <w:t>Vaccini: terza dose.</w:t>
      </w:r>
      <w:r w:rsidRPr="009615E5">
        <w:rPr>
          <w:color w:val="auto"/>
        </w:rPr>
        <w:t xml:space="preserve"> Al 26 ottobre (aggiornamento ore 06.16) sono state somministrate 40.247.068 terze dosi con una media mobile a 7 giorni di 3.971 somministrazioni al giorno. In base alla </w:t>
      </w:r>
      <w:hyperlink r:id="rId10" w:history="1">
        <w:r w:rsidRPr="003853B3">
          <w:rPr>
            <w:rStyle w:val="Collegamentoipertestuale"/>
            <w:color w:val="auto"/>
          </w:rPr>
          <w:t>platea ufficiale</w:t>
        </w:r>
      </w:hyperlink>
      <w:r w:rsidRPr="009615E5">
        <w:rPr>
          <w:color w:val="auto"/>
        </w:rPr>
        <w:t xml:space="preserve"> (n. 47.703.593), aggiornata al 20 maggio</w:t>
      </w:r>
      <w:r w:rsidR="002D3DC4">
        <w:rPr>
          <w:color w:val="auto"/>
        </w:rPr>
        <w:t>,</w:t>
      </w:r>
      <w:r w:rsidRPr="009615E5">
        <w:rPr>
          <w:color w:val="auto"/>
        </w:rPr>
        <w:t xml:space="preserve"> il tasso di copertura nazionale per le ter</w:t>
      </w:r>
      <w:r>
        <w:rPr>
          <w:color w:val="auto"/>
        </w:rPr>
        <w:t>ze dosi è dell’</w:t>
      </w:r>
      <w:r w:rsidRPr="009615E5">
        <w:rPr>
          <w:color w:val="auto"/>
        </w:rPr>
        <w:t>84</w:t>
      </w:r>
      <w:r>
        <w:rPr>
          <w:color w:val="auto"/>
        </w:rPr>
        <w:t>,4%: dal 78,4% della Sicilia all’</w:t>
      </w:r>
      <w:r w:rsidRPr="009615E5">
        <w:rPr>
          <w:color w:val="auto"/>
        </w:rPr>
        <w:t xml:space="preserve">88,3% della Lombardia. Sono 7,46 milioni le persone che non hanno ancora ricevuto la dose </w:t>
      </w:r>
      <w:r w:rsidRPr="009615E5">
        <w:rPr>
          <w:i/>
          <w:color w:val="auto"/>
        </w:rPr>
        <w:t>booster</w:t>
      </w:r>
      <w:r w:rsidRPr="009615E5">
        <w:rPr>
          <w:color w:val="auto"/>
        </w:rPr>
        <w:t xml:space="preserve"> (</w:t>
      </w:r>
      <w:r w:rsidRPr="009615E5">
        <w:rPr>
          <w:color w:val="auto"/>
          <w:highlight w:val="yellow"/>
        </w:rPr>
        <w:t>figura 13</w:t>
      </w:r>
      <w:r w:rsidRPr="009615E5">
        <w:rPr>
          <w:color w:val="auto"/>
        </w:rPr>
        <w:t xml:space="preserve">), di cui: </w:t>
      </w:r>
    </w:p>
    <w:p w14:paraId="055BF7BF" w14:textId="77777777" w:rsidR="009615E5" w:rsidRPr="009615E5" w:rsidRDefault="009615E5" w:rsidP="009615E5">
      <w:pPr>
        <w:pStyle w:val="Paragrafoelenco"/>
        <w:numPr>
          <w:ilvl w:val="0"/>
          <w:numId w:val="43"/>
        </w:numPr>
        <w:spacing w:after="0" w:line="276" w:lineRule="auto"/>
        <w:jc w:val="both"/>
        <w:rPr>
          <w:color w:val="auto"/>
          <w:spacing w:val="-2"/>
        </w:rPr>
      </w:pPr>
      <w:r w:rsidRPr="009615E5">
        <w:rPr>
          <w:color w:val="auto"/>
          <w:spacing w:val="-2"/>
        </w:rPr>
        <w:t>5,1 milioni possono riceverla subito, pari al 10,7% della platea (dal 7,2% del Piemonte al 18% della Sicilia);</w:t>
      </w:r>
    </w:p>
    <w:p w14:paraId="343C1B6D" w14:textId="77777777" w:rsidR="009615E5" w:rsidRPr="009615E5" w:rsidRDefault="009615E5" w:rsidP="009615E5">
      <w:pPr>
        <w:pStyle w:val="Paragrafoelenco"/>
        <w:numPr>
          <w:ilvl w:val="0"/>
          <w:numId w:val="43"/>
        </w:numPr>
        <w:spacing w:line="276" w:lineRule="auto"/>
        <w:jc w:val="both"/>
        <w:rPr>
          <w:color w:val="auto"/>
        </w:rPr>
      </w:pPr>
      <w:r w:rsidRPr="009615E5">
        <w:rPr>
          <w:color w:val="auto"/>
        </w:rPr>
        <w:t>2,3</w:t>
      </w:r>
      <w:r>
        <w:rPr>
          <w:color w:val="auto"/>
        </w:rPr>
        <w:t>6</w:t>
      </w:r>
      <w:r w:rsidRPr="009615E5">
        <w:rPr>
          <w:color w:val="auto"/>
        </w:rPr>
        <w:t xml:space="preserve"> milioni non possono riceverla nell’immediato in quanto guarite da meno di 120 giorni, pari al 4,9% della platea (dal 2,5% della Valle D</w:t>
      </w:r>
      <w:r w:rsidR="002D3DC4">
        <w:rPr>
          <w:color w:val="auto"/>
        </w:rPr>
        <w:t>’</w:t>
      </w:r>
      <w:r w:rsidRPr="009615E5">
        <w:rPr>
          <w:color w:val="auto"/>
        </w:rPr>
        <w:t>Aosta al 7,3% del Veneto).</w:t>
      </w:r>
    </w:p>
    <w:p w14:paraId="00F4F18E" w14:textId="77777777" w:rsidR="00BD2CFE" w:rsidRDefault="00BD2CFE" w:rsidP="00BD2CFE">
      <w:pPr>
        <w:spacing w:line="276" w:lineRule="auto"/>
        <w:jc w:val="both"/>
      </w:pPr>
      <w:r w:rsidRPr="00F54F57">
        <w:rPr>
          <w:b/>
          <w:color w:val="auto"/>
        </w:rPr>
        <w:t>Vaccini: quarta dose</w:t>
      </w:r>
      <w:r w:rsidRPr="00F54F57">
        <w:rPr>
          <w:bCs/>
          <w:color w:val="auto"/>
        </w:rPr>
        <w:t xml:space="preserve">. </w:t>
      </w:r>
      <w:r w:rsidRPr="003853B3">
        <w:rPr>
          <w:bCs/>
          <w:color w:val="auto"/>
        </w:rPr>
        <w:t xml:space="preserve">Secondo quanto disposto </w:t>
      </w:r>
      <w:r w:rsidRPr="003853B3">
        <w:rPr>
          <w:color w:val="auto"/>
        </w:rPr>
        <w:t xml:space="preserve">dalla </w:t>
      </w:r>
      <w:hyperlink r:id="rId11" w:history="1">
        <w:hyperlink r:id="rId12" w:history="1">
          <w:r w:rsidR="002D2BBD" w:rsidRPr="003853B3">
            <w:rPr>
              <w:rStyle w:val="Collegamentoipertestuale"/>
              <w:color w:val="auto"/>
            </w:rPr>
            <w:t>Circolare del Ministero della Salute del 23 settembre</w:t>
          </w:r>
        </w:hyperlink>
        <w:r w:rsidRPr="003853B3">
          <w:rPr>
            <w:rStyle w:val="Collegamentoipertestuale"/>
            <w:color w:val="auto"/>
          </w:rPr>
          <w:t xml:space="preserve"> 2022</w:t>
        </w:r>
      </w:hyperlink>
      <w:r w:rsidRPr="003853B3">
        <w:rPr>
          <w:color w:val="auto"/>
        </w:rPr>
        <w:t xml:space="preserve">, la platea </w:t>
      </w:r>
      <w:r w:rsidR="0030169F" w:rsidRPr="003853B3">
        <w:rPr>
          <w:color w:val="auto"/>
        </w:rPr>
        <w:t>per</w:t>
      </w:r>
      <w:r w:rsidRPr="003853B3">
        <w:rPr>
          <w:color w:val="auto"/>
        </w:rPr>
        <w:t xml:space="preserve"> il secondo </w:t>
      </w:r>
      <w:r w:rsidRPr="007C48EA">
        <w:rPr>
          <w:color w:val="auto"/>
        </w:rPr>
        <w:t>richiamo (quarta dose) è di 19,</w:t>
      </w:r>
      <w:r w:rsidR="000B54C3" w:rsidRPr="007C48EA">
        <w:rPr>
          <w:color w:val="auto"/>
        </w:rPr>
        <w:t>1</w:t>
      </w:r>
      <w:r w:rsidRPr="007C48EA">
        <w:rPr>
          <w:color w:val="auto"/>
        </w:rPr>
        <w:t xml:space="preserve"> milioni di persone</w:t>
      </w:r>
      <w:bookmarkStart w:id="4" w:name="_Hlk109223496"/>
      <w:r w:rsidRPr="007C48EA">
        <w:rPr>
          <w:color w:val="auto"/>
        </w:rPr>
        <w:t>: di queste,</w:t>
      </w:r>
      <w:r w:rsidRPr="007C48EA">
        <w:rPr>
          <w:rFonts w:eastAsia="Times New Roman"/>
          <w:color w:val="auto"/>
        </w:rPr>
        <w:t xml:space="preserve"> </w:t>
      </w:r>
      <w:r w:rsidR="000B54C3" w:rsidRPr="007C48EA">
        <w:rPr>
          <w:rFonts w:eastAsia="Times New Roman"/>
          <w:color w:val="auto"/>
        </w:rPr>
        <w:t>13,</w:t>
      </w:r>
      <w:r w:rsidR="009615E5">
        <w:rPr>
          <w:rFonts w:eastAsia="Times New Roman"/>
          <w:color w:val="auto"/>
        </w:rPr>
        <w:t>2</w:t>
      </w:r>
      <w:r w:rsidR="00167912" w:rsidRPr="007C48EA">
        <w:rPr>
          <w:rFonts w:eastAsia="Times New Roman"/>
          <w:color w:val="auto"/>
        </w:rPr>
        <w:t xml:space="preserve"> </w:t>
      </w:r>
      <w:r w:rsidRPr="007C48EA">
        <w:rPr>
          <w:rFonts w:eastAsia="Times New Roman"/>
          <w:color w:val="auto"/>
        </w:rPr>
        <w:t>milioni possono riceverlo subito</w:t>
      </w:r>
      <w:r w:rsidRPr="007C48EA">
        <w:rPr>
          <w:color w:val="auto"/>
        </w:rPr>
        <w:t xml:space="preserve">, </w:t>
      </w:r>
      <w:r w:rsidR="000B54C3" w:rsidRPr="007C48EA">
        <w:rPr>
          <w:color w:val="auto"/>
        </w:rPr>
        <w:t>1,8</w:t>
      </w:r>
      <w:r w:rsidRPr="007C48EA">
        <w:rPr>
          <w:color w:val="auto"/>
        </w:rPr>
        <w:t xml:space="preserve"> milioni </w:t>
      </w:r>
      <w:r w:rsidRPr="007C48EA">
        <w:rPr>
          <w:rFonts w:eastAsia="Times New Roman"/>
          <w:color w:val="auto"/>
        </w:rPr>
        <w:t xml:space="preserve">non sono eleggibili nell’immediato in quanto guarite da meno di 120 giorni e </w:t>
      </w:r>
      <w:r w:rsidR="009615E5">
        <w:rPr>
          <w:rFonts w:eastAsia="Times New Roman"/>
          <w:color w:val="auto"/>
        </w:rPr>
        <w:t>4</w:t>
      </w:r>
      <w:r w:rsidRPr="007C48EA">
        <w:rPr>
          <w:rFonts w:eastAsia="Times New Roman"/>
          <w:color w:val="auto"/>
        </w:rPr>
        <w:t>,</w:t>
      </w:r>
      <w:r w:rsidR="009615E5">
        <w:rPr>
          <w:rFonts w:eastAsia="Times New Roman"/>
          <w:color w:val="auto"/>
        </w:rPr>
        <w:t>1</w:t>
      </w:r>
      <w:r w:rsidR="003322C4" w:rsidRPr="007C48EA">
        <w:rPr>
          <w:rFonts w:eastAsia="Times New Roman"/>
          <w:color w:val="auto"/>
        </w:rPr>
        <w:t xml:space="preserve"> </w:t>
      </w:r>
      <w:r w:rsidRPr="007C48EA">
        <w:rPr>
          <w:rFonts w:eastAsia="Times New Roman"/>
          <w:color w:val="auto"/>
        </w:rPr>
        <w:t>milioni l’hanno già ricevuto</w:t>
      </w:r>
      <w:bookmarkEnd w:id="4"/>
      <w:r w:rsidRPr="007C48EA">
        <w:rPr>
          <w:rFonts w:eastAsia="Times New Roman"/>
          <w:color w:val="auto"/>
        </w:rPr>
        <w:t xml:space="preserve">. </w:t>
      </w:r>
      <w:r w:rsidR="009615E5" w:rsidRPr="009615E5">
        <w:t>Al 26 ottobre (aggiornamento ore 06.16) sono state somministrate 4.092.138 quarte dosi, con una media mobile di 35.944 somministrazioni al giorno, in aumento rispetto alle 35.486 della scorsa settimana (</w:t>
      </w:r>
      <w:r w:rsidR="006C6F0C">
        <w:t>+</w:t>
      </w:r>
      <w:r w:rsidR="009615E5" w:rsidRPr="009615E5">
        <w:t>1,3%) (</w:t>
      </w:r>
      <w:r w:rsidR="009615E5" w:rsidRPr="006C6F0C">
        <w:rPr>
          <w:highlight w:val="yellow"/>
        </w:rPr>
        <w:t>figura 1</w:t>
      </w:r>
      <w:r w:rsidR="006C6F0C">
        <w:rPr>
          <w:highlight w:val="yellow"/>
        </w:rPr>
        <w:t>4</w:t>
      </w:r>
      <w:r w:rsidR="009615E5" w:rsidRPr="009615E5">
        <w:t xml:space="preserve">). In base alla </w:t>
      </w:r>
      <w:hyperlink r:id="rId13" w:history="1">
        <w:r w:rsidR="006C6F0C" w:rsidRPr="007C48EA">
          <w:rPr>
            <w:rStyle w:val="Collegamentoipertestuale"/>
            <w:color w:val="auto"/>
          </w:rPr>
          <w:t>platea ufficiale</w:t>
        </w:r>
      </w:hyperlink>
      <w:r w:rsidR="006C6F0C" w:rsidRPr="009615E5">
        <w:t xml:space="preserve"> </w:t>
      </w:r>
      <w:r w:rsidR="006C6F0C" w:rsidRPr="007C48EA">
        <w:rPr>
          <w:color w:val="auto"/>
        </w:rPr>
        <w:t>(</w:t>
      </w:r>
      <w:r w:rsidR="006C6F0C" w:rsidRPr="007C48EA">
        <w:rPr>
          <w:noProof/>
          <w:color w:val="auto"/>
        </w:rPr>
        <w:t>n. 19.119.772 di cui 13.060.462 over 60, 3.990.080 fragili e immunocompromessi, 1.748.256 personale sanitario e 320.974 ospiti delle RSA che non ricadono nelle categorie precedenti</w:t>
      </w:r>
      <w:r w:rsidR="006C6F0C" w:rsidRPr="007C48EA">
        <w:rPr>
          <w:color w:val="auto"/>
        </w:rPr>
        <w:t>)</w:t>
      </w:r>
      <w:r w:rsidR="009615E5" w:rsidRPr="009615E5">
        <w:t>, aggiornata al 17 settembre, il tasso di copertura nazionale per le quarte dosi è del 21,4% con nette differenze regionali: dal 10% della Sicilia al 33% del Piemonte (</w:t>
      </w:r>
      <w:r w:rsidR="009615E5" w:rsidRPr="006C6F0C">
        <w:rPr>
          <w:highlight w:val="yellow"/>
        </w:rPr>
        <w:t>figura 1</w:t>
      </w:r>
      <w:r w:rsidR="006C6F0C" w:rsidRPr="006C6F0C">
        <w:rPr>
          <w:highlight w:val="yellow"/>
        </w:rPr>
        <w:t>5</w:t>
      </w:r>
      <w:r w:rsidR="009615E5" w:rsidRPr="009615E5">
        <w:t>).</w:t>
      </w:r>
      <w:bookmarkStart w:id="5" w:name="_Hlk117083950"/>
      <w:r w:rsidR="006C6F0C">
        <w:t xml:space="preserve"> </w:t>
      </w:r>
      <w:bookmarkEnd w:id="5"/>
    </w:p>
    <w:p w14:paraId="4FE3769A" w14:textId="77777777" w:rsidR="00C06727" w:rsidRDefault="00B80CBD" w:rsidP="008030A9">
      <w:pPr>
        <w:spacing w:after="120" w:line="276" w:lineRule="auto"/>
      </w:pPr>
      <w:r w:rsidRPr="00F54F57">
        <w:rPr>
          <w:b/>
          <w:color w:val="auto"/>
        </w:rPr>
        <w:t xml:space="preserve">Vaccini: </w:t>
      </w:r>
      <w:r>
        <w:rPr>
          <w:b/>
          <w:color w:val="auto"/>
        </w:rPr>
        <w:t>quinta</w:t>
      </w:r>
      <w:r w:rsidRPr="00F54F57">
        <w:rPr>
          <w:b/>
          <w:color w:val="auto"/>
        </w:rPr>
        <w:t xml:space="preserve"> dose</w:t>
      </w:r>
      <w:r w:rsidRPr="00F54F57">
        <w:rPr>
          <w:bCs/>
          <w:color w:val="auto"/>
        </w:rPr>
        <w:t>.</w:t>
      </w:r>
      <w:r>
        <w:rPr>
          <w:bCs/>
          <w:color w:val="auto"/>
        </w:rPr>
        <w:t xml:space="preserve"> </w:t>
      </w:r>
      <w:r w:rsidR="00FC739F">
        <w:rPr>
          <w:bCs/>
          <w:color w:val="auto"/>
        </w:rPr>
        <w:t>Non è ancora disponibile n</w:t>
      </w:r>
      <w:r>
        <w:rPr>
          <w:bCs/>
          <w:color w:val="auto"/>
        </w:rPr>
        <w:t xml:space="preserve">essun dato ufficiale sulle somministrazioni. </w:t>
      </w:r>
    </w:p>
    <w:p w14:paraId="6449DD9E" w14:textId="77777777" w:rsidR="00C06727" w:rsidRDefault="00C06727" w:rsidP="008030A9">
      <w:pPr>
        <w:spacing w:after="120" w:line="276" w:lineRule="auto"/>
      </w:pPr>
    </w:p>
    <w:p w14:paraId="00C7DC61" w14:textId="77777777" w:rsidR="008030A9" w:rsidRPr="004A7793" w:rsidRDefault="008030A9" w:rsidP="008030A9">
      <w:pPr>
        <w:spacing w:after="120" w:line="276" w:lineRule="auto"/>
        <w:rPr>
          <w:rStyle w:val="Hyperlink0"/>
          <w:color w:val="auto"/>
        </w:rPr>
      </w:pPr>
      <w:r w:rsidRPr="004A7793">
        <w:rPr>
          <w:i/>
          <w:iCs/>
          <w:color w:val="auto"/>
        </w:rPr>
        <w:t>Il monitoraggio GIMBE dell'epidemia COVID-19 è disponibile</w:t>
      </w:r>
      <w:r w:rsidRPr="004A7793">
        <w:rPr>
          <w:i/>
          <w:iCs/>
          <w:color w:val="000000" w:themeColor="text1"/>
        </w:rPr>
        <w:t xml:space="preserve"> a:</w:t>
      </w:r>
      <w:r w:rsidRPr="004A7793">
        <w:t xml:space="preserve"> </w:t>
      </w:r>
      <w:hyperlink r:id="rId14" w:history="1">
        <w:r w:rsidRPr="00946483">
          <w:rPr>
            <w:rStyle w:val="Collegamentoipertestuale"/>
            <w:i/>
            <w:iCs/>
          </w:rPr>
          <w:t>https://coronavirus.gimbe.org</w:t>
        </w:r>
      </w:hyperlink>
      <w:r>
        <w:rPr>
          <w:i/>
          <w:iCs/>
          <w:color w:val="000000" w:themeColor="text1"/>
        </w:rPr>
        <w:t xml:space="preserve"> </w:t>
      </w:r>
    </w:p>
    <w:p w14:paraId="0E5E30E2" w14:textId="77777777" w:rsidR="00923333" w:rsidRDefault="00CE577D" w:rsidP="00C46A82">
      <w:pPr>
        <w:spacing w:after="120"/>
        <w:rPr>
          <w:rStyle w:val="Hyperlink1"/>
        </w:rPr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</w:t>
      </w:r>
      <w:r w:rsidR="00B443E3">
        <w:rPr>
          <w:sz w:val="20"/>
          <w:szCs w:val="20"/>
        </w:rPr>
        <w:t>a</w:t>
      </w:r>
      <w:r w:rsidRPr="00D44AA7">
        <w:rPr>
          <w:sz w:val="20"/>
          <w:szCs w:val="20"/>
        </w:rPr>
        <w:br/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15" w:history="1">
        <w:r w:rsidRPr="00D44AA7">
          <w:rPr>
            <w:rStyle w:val="Hyperlink1"/>
          </w:rPr>
          <w:t>ufficio.stampa@gimbe.org</w:t>
        </w:r>
      </w:hyperlink>
    </w:p>
    <w:p w14:paraId="4E86180E" w14:textId="77777777" w:rsidR="00923333" w:rsidRPr="00D44AA7" w:rsidRDefault="00923333" w:rsidP="00C46A82">
      <w:pPr>
        <w:spacing w:after="120"/>
        <w:rPr>
          <w:rFonts w:eastAsia="Calibri" w:cs="Calibri"/>
          <w:color w:val="0563C1"/>
          <w:sz w:val="20"/>
          <w:szCs w:val="20"/>
          <w:u w:val="single" w:color="0563C1"/>
        </w:rPr>
      </w:pPr>
    </w:p>
    <w:p w14:paraId="0955C125" w14:textId="77777777" w:rsidR="00F43DFC" w:rsidRPr="00D44AA7" w:rsidRDefault="001203E4" w:rsidP="00D304E2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  <w:r w:rsidR="00CE577D" w:rsidRPr="00D44AA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</w:p>
    <w:p w14:paraId="39DF6163" w14:textId="30E2C4CC" w:rsidR="007C48EA" w:rsidRPr="00D44AA7" w:rsidRDefault="00A0632A" w:rsidP="00EA300B">
      <w:pPr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 w14:anchorId="06A49C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51.25pt">
            <v:imagedata r:id="rId16" o:title="Figura_01_20221027"/>
          </v:shape>
        </w:pict>
      </w:r>
    </w:p>
    <w:p w14:paraId="49A7EE9A" w14:textId="77777777" w:rsidR="00266D51" w:rsidRPr="00D44AA7" w:rsidRDefault="00266D51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14:paraId="4A796967" w14:textId="77777777" w:rsidR="00EA300B" w:rsidRDefault="00CE577D" w:rsidP="006B059A">
      <w:pPr>
        <w:spacing w:after="0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2</w:t>
      </w:r>
    </w:p>
    <w:p w14:paraId="2ECD7DFE" w14:textId="5811D5FB" w:rsidR="007C48EA" w:rsidRPr="00D44AA7" w:rsidRDefault="00A0632A" w:rsidP="00EA300B">
      <w:pPr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  <w:lang w:val="en-US" w:eastAsia="en-US"/>
        </w:rPr>
        <w:pict w14:anchorId="3F4AE12A">
          <v:shape id="_x0000_i1026" type="#_x0000_t75" style="width:453.75pt;height:251.25pt">
            <v:imagedata r:id="rId17" o:title="Figura_02_20221027"/>
          </v:shape>
        </w:pict>
      </w:r>
    </w:p>
    <w:p w14:paraId="1C67507E" w14:textId="77777777" w:rsidR="007B682B" w:rsidRPr="00D44AA7" w:rsidRDefault="00CE577D">
      <w:pPr>
        <w:jc w:val="center"/>
        <w:sectPr w:rsidR="007B682B" w:rsidRPr="00D44AA7" w:rsidSect="00AC5C5B">
          <w:pgSz w:w="11900" w:h="16840"/>
          <w:pgMar w:top="993" w:right="1134" w:bottom="993" w:left="1134" w:header="709" w:footer="709" w:gutter="0"/>
          <w:cols w:space="720"/>
        </w:sectPr>
      </w:pPr>
      <w:r w:rsidRPr="00D44AA7">
        <w:rPr>
          <w:b/>
          <w:bCs/>
          <w:color w:val="00457D"/>
          <w:sz w:val="24"/>
          <w:szCs w:val="24"/>
          <w:u w:color="00457D"/>
        </w:rPr>
        <w:br/>
      </w:r>
    </w:p>
    <w:p w14:paraId="4287B5BC" w14:textId="77777777" w:rsidR="002D37CB" w:rsidRDefault="00CE577D" w:rsidP="002D37CB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3</w:t>
      </w:r>
    </w:p>
    <w:p w14:paraId="6B53BD78" w14:textId="507C9268" w:rsidR="006C6F0C" w:rsidRPr="002D37CB" w:rsidRDefault="00A0632A" w:rsidP="002D37CB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  <w:lang w:val="en-US" w:eastAsia="en-US"/>
        </w:rPr>
        <w:pict w14:anchorId="471A3D38">
          <v:shape id="_x0000_i1027" type="#_x0000_t75" style="width:727.5pt;height:374.25pt">
            <v:imagedata r:id="rId18" o:title="Figura_03_20221027"/>
          </v:shape>
        </w:pict>
      </w:r>
    </w:p>
    <w:p w14:paraId="06988C13" w14:textId="77777777" w:rsidR="007C48EA" w:rsidRPr="00D44AA7" w:rsidRDefault="007C48EA" w:rsidP="00C74120">
      <w:pPr>
        <w:spacing w:after="0" w:line="360" w:lineRule="auto"/>
        <w:sectPr w:rsidR="007C48EA" w:rsidRPr="00D44AA7" w:rsidSect="005B4AE1">
          <w:pgSz w:w="16840" w:h="11900" w:orient="landscape"/>
          <w:pgMar w:top="992" w:right="1134" w:bottom="709" w:left="1134" w:header="709" w:footer="709" w:gutter="0"/>
          <w:cols w:space="720"/>
          <w:docGrid w:linePitch="299"/>
        </w:sectPr>
      </w:pPr>
    </w:p>
    <w:p w14:paraId="25426289" w14:textId="77777777" w:rsidR="00184E2C" w:rsidRPr="00D44AA7" w:rsidRDefault="00E10DC3" w:rsidP="00E10DC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4</w:t>
      </w:r>
    </w:p>
    <w:p w14:paraId="7ECAECFE" w14:textId="6AE29820" w:rsidR="00D32E66" w:rsidRPr="00D44AA7" w:rsidRDefault="00A0632A" w:rsidP="00E10DC3">
      <w:pPr>
        <w:spacing w:after="0"/>
        <w:jc w:val="center"/>
        <w:rPr>
          <w:color w:val="auto"/>
        </w:rPr>
      </w:pPr>
      <w:r>
        <w:rPr>
          <w:noProof/>
          <w:color w:val="auto"/>
          <w:lang w:val="en-US" w:eastAsia="en-US"/>
        </w:rPr>
        <w:pict w14:anchorId="18312553">
          <v:shape id="_x0000_i1028" type="#_x0000_t75" style="width:465.75pt;height:227.25pt">
            <v:imagedata r:id="rId19" o:title="Figura_04_20221027"/>
          </v:shape>
        </w:pict>
      </w:r>
    </w:p>
    <w:p w14:paraId="49F2DA90" w14:textId="77777777" w:rsidR="00FB6128" w:rsidRPr="00D44AA7" w:rsidRDefault="00FB6128" w:rsidP="00E10DC3">
      <w:pPr>
        <w:spacing w:after="0"/>
        <w:jc w:val="center"/>
        <w:rPr>
          <w:color w:val="auto"/>
        </w:rPr>
      </w:pPr>
    </w:p>
    <w:p w14:paraId="31453E45" w14:textId="77777777" w:rsidR="00B42961" w:rsidRDefault="00B42961" w:rsidP="00B42961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72C8EA3A" w14:textId="70D4B6FF" w:rsidR="00B42961" w:rsidRPr="00B42961" w:rsidRDefault="00FB6128" w:rsidP="00B42961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3C20">
        <w:rPr>
          <w:b/>
          <w:bCs/>
          <w:color w:val="00457D"/>
          <w:sz w:val="24"/>
          <w:szCs w:val="24"/>
          <w:u w:color="00457D"/>
        </w:rPr>
        <w:t>Figura 5</w:t>
      </w:r>
    </w:p>
    <w:p w14:paraId="132BCDFB" w14:textId="64AE4A2D" w:rsidR="00D32E66" w:rsidRDefault="00A0632A" w:rsidP="00AB145A">
      <w:pPr>
        <w:spacing w:after="0" w:line="276" w:lineRule="auto"/>
        <w:jc w:val="center"/>
        <w:rPr>
          <w:noProof/>
          <w:color w:val="auto"/>
        </w:rPr>
      </w:pPr>
      <w:r>
        <w:rPr>
          <w:noProof/>
          <w:color w:val="auto"/>
          <w:lang w:val="en-US" w:eastAsia="en-US"/>
        </w:rPr>
        <w:pict w14:anchorId="7508DA14">
          <v:shape id="_x0000_i1029" type="#_x0000_t75" style="width:480.75pt;height:261pt">
            <v:imagedata r:id="rId20" o:title="Figura_05_20221027"/>
          </v:shape>
        </w:pict>
      </w:r>
    </w:p>
    <w:p w14:paraId="1289D9FF" w14:textId="77777777" w:rsidR="00344D84" w:rsidRPr="00D44AA7" w:rsidRDefault="00344D84" w:rsidP="000E770E">
      <w:pPr>
        <w:spacing w:after="0" w:line="276" w:lineRule="auto"/>
        <w:jc w:val="center"/>
        <w:rPr>
          <w:color w:val="auto"/>
        </w:rPr>
      </w:pPr>
    </w:p>
    <w:p w14:paraId="4D7CCDDF" w14:textId="77777777" w:rsidR="000E770E" w:rsidRPr="00D44AA7" w:rsidRDefault="000E770E" w:rsidP="0062610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47F2D3BB" w14:textId="77777777" w:rsidR="00FB6128" w:rsidRPr="00D44AA7" w:rsidRDefault="00FB6128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49B1801B" w14:textId="77777777" w:rsidR="00D93FAE" w:rsidRPr="002A22FA" w:rsidRDefault="00D93FAE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2A22FA">
        <w:rPr>
          <w:b/>
          <w:bCs/>
          <w:color w:val="00457D"/>
          <w:sz w:val="24"/>
          <w:szCs w:val="24"/>
          <w:u w:color="00457D"/>
        </w:rPr>
        <w:lastRenderedPageBreak/>
        <w:t>Figura 6</w:t>
      </w:r>
    </w:p>
    <w:p w14:paraId="398C571D" w14:textId="7C11CB5D" w:rsidR="00D32E66" w:rsidRPr="00D44AA7" w:rsidRDefault="00A0632A" w:rsidP="00F9470A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  <w:lang w:val="en-US" w:eastAsia="en-US"/>
        </w:rPr>
        <w:pict w14:anchorId="15CCB275">
          <v:shape id="_x0000_i1030" type="#_x0000_t75" style="width:481.5pt;height:257.25pt">
            <v:imagedata r:id="rId21" o:title="Figura_06_20221027"/>
          </v:shape>
        </w:pict>
      </w:r>
    </w:p>
    <w:p w14:paraId="57F6BC11" w14:textId="77777777" w:rsidR="00D93FAE" w:rsidRPr="00D44AA7" w:rsidRDefault="00D93FAE" w:rsidP="00D93FAE">
      <w:pPr>
        <w:spacing w:after="0" w:line="240" w:lineRule="auto"/>
        <w:jc w:val="center"/>
        <w:rPr>
          <w:b/>
          <w:bCs/>
          <w:color w:val="00457D"/>
          <w:sz w:val="8"/>
          <w:szCs w:val="14"/>
          <w:u w:color="00457D"/>
        </w:rPr>
      </w:pPr>
    </w:p>
    <w:p w14:paraId="2F99AB6C" w14:textId="77777777" w:rsidR="00061647" w:rsidRPr="00D44AA7" w:rsidRDefault="0006164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00381476" w14:textId="77777777" w:rsidR="00B42961" w:rsidRDefault="00B42961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773EC6D8" w14:textId="6962FD69" w:rsidR="00B42961" w:rsidRPr="00D44AA7" w:rsidRDefault="00D93FAE" w:rsidP="00B42961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1E3B61" w:rsidRPr="00D44AA7">
        <w:rPr>
          <w:b/>
          <w:bCs/>
          <w:color w:val="00457D"/>
          <w:sz w:val="24"/>
          <w:szCs w:val="24"/>
          <w:u w:color="00457D"/>
        </w:rPr>
        <w:t>7</w:t>
      </w:r>
    </w:p>
    <w:p w14:paraId="2AB5DFA3" w14:textId="20E2AB6C" w:rsidR="00987198" w:rsidRPr="00D44AA7" w:rsidRDefault="00DE7E58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noProof/>
          <w:lang w:val="en-US" w:eastAsia="en-US"/>
        </w:rPr>
        <w:pict w14:anchorId="3A715FC1">
          <v:shape id="_x0000_i1031" type="#_x0000_t75" style="width:481.5pt;height:240pt">
            <v:imagedata r:id="rId22" o:title="Figura_07_20221027"/>
          </v:shape>
        </w:pict>
      </w:r>
    </w:p>
    <w:p w14:paraId="1E5143D6" w14:textId="77777777" w:rsidR="008751B7" w:rsidRPr="00D44AA7" w:rsidRDefault="008751B7" w:rsidP="008751B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EA4377E" w14:textId="77777777" w:rsidR="008751B7" w:rsidRPr="00D44AA7" w:rsidRDefault="008751B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14:paraId="6CF1B2F0" w14:textId="77777777" w:rsidR="006B2A7B" w:rsidRPr="006D24FA" w:rsidRDefault="00C531A3" w:rsidP="00C531A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6D24FA">
        <w:rPr>
          <w:b/>
          <w:bCs/>
          <w:color w:val="00457D"/>
          <w:sz w:val="24"/>
          <w:szCs w:val="24"/>
          <w:u w:color="00457D"/>
        </w:rPr>
        <w:lastRenderedPageBreak/>
        <w:t>Figura 8</w:t>
      </w:r>
    </w:p>
    <w:p w14:paraId="0F6A9D0C" w14:textId="6AE23CD9" w:rsidR="00593AE5" w:rsidRPr="00D44AA7" w:rsidRDefault="00DE7E58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  <w:lang w:val="en-US" w:eastAsia="en-US"/>
        </w:rPr>
        <w:pict w14:anchorId="76D9222D">
          <v:shape id="_x0000_i1032" type="#_x0000_t75" style="width:454.5pt;height:423pt">
            <v:imagedata r:id="rId23" o:title="Figura_08_20221027"/>
          </v:shape>
        </w:pict>
      </w:r>
    </w:p>
    <w:p w14:paraId="08179294" w14:textId="77777777" w:rsidR="002879EE" w:rsidRPr="00D44AA7" w:rsidRDefault="002879EE">
      <w:pPr>
        <w:spacing w:after="0"/>
        <w:jc w:val="center"/>
        <w:rPr>
          <w:b/>
          <w:bCs/>
          <w:color w:val="00457D"/>
          <w:sz w:val="10"/>
          <w:szCs w:val="12"/>
          <w:u w:color="00457D"/>
        </w:rPr>
      </w:pPr>
    </w:p>
    <w:p w14:paraId="11F22F44" w14:textId="77777777" w:rsidR="00B42961" w:rsidRDefault="00B42961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0B5EFA9B" w14:textId="6CAF08D1" w:rsidR="00184E2C" w:rsidRPr="00D44AA7" w:rsidRDefault="00CE577D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</w:t>
      </w:r>
      <w:r w:rsidR="00E10DC3" w:rsidRPr="00D44AA7">
        <w:rPr>
          <w:b/>
          <w:bCs/>
          <w:color w:val="00457D"/>
          <w:sz w:val="24"/>
          <w:szCs w:val="24"/>
          <w:u w:color="00457D"/>
        </w:rPr>
        <w:t xml:space="preserve"> </w:t>
      </w:r>
      <w:r w:rsidR="008751B7" w:rsidRPr="00D44AA7">
        <w:rPr>
          <w:b/>
          <w:bCs/>
          <w:color w:val="00457D"/>
          <w:sz w:val="24"/>
          <w:szCs w:val="24"/>
          <w:u w:color="00457D"/>
        </w:rPr>
        <w:t>9</w:t>
      </w:r>
    </w:p>
    <w:p w14:paraId="55C0C0AF" w14:textId="5C7AC39B" w:rsidR="00593AE5" w:rsidRPr="00D44AA7" w:rsidRDefault="00DE7E58" w:rsidP="003274E5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  <w:lang w:val="en-US" w:eastAsia="en-US"/>
        </w:rPr>
        <w:pict w14:anchorId="76389C36">
          <v:shape id="_x0000_i1033" type="#_x0000_t75" style="width:459pt;height:222.75pt">
            <v:imagedata r:id="rId24" o:title="Figura_09_20221027"/>
          </v:shape>
        </w:pict>
      </w:r>
    </w:p>
    <w:p w14:paraId="5EACD223" w14:textId="77777777" w:rsidR="00DF4F27" w:rsidRDefault="00DF4F27" w:rsidP="00DB136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27067D61" w14:textId="4FB15361" w:rsidR="00AD5E21" w:rsidRDefault="00AD5E21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3F04C4F6" w14:textId="14F96F00" w:rsidR="001B3764" w:rsidRPr="00D33A53" w:rsidRDefault="00736C14" w:rsidP="00B42961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t>Figura 1</w:t>
      </w:r>
      <w:r w:rsidR="00030535" w:rsidRPr="00D33A53">
        <w:rPr>
          <w:b/>
          <w:bCs/>
          <w:color w:val="00457D"/>
          <w:sz w:val="24"/>
          <w:szCs w:val="24"/>
          <w:u w:color="00457D"/>
        </w:rPr>
        <w:t>0</w:t>
      </w:r>
    </w:p>
    <w:p w14:paraId="3504D939" w14:textId="2679F3E0" w:rsidR="00593AE5" w:rsidRDefault="00DE7E58" w:rsidP="005C1E56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  <w:pict w14:anchorId="5E8A8F71">
          <v:shape id="_x0000_i1034" type="#_x0000_t75" style="width:456.75pt;height:290.25pt">
            <v:imagedata r:id="rId25" o:title="Figura_010_20221027"/>
          </v:shape>
        </w:pict>
      </w:r>
    </w:p>
    <w:p w14:paraId="2CD230E0" w14:textId="77777777" w:rsidR="00AB145A" w:rsidRDefault="00AB145A" w:rsidP="00B42961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782B0AF8" w14:textId="19A011A9" w:rsidR="00593AE5" w:rsidRPr="00B42961" w:rsidRDefault="00B42961" w:rsidP="00B42961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t>Figura 11</w:t>
      </w:r>
      <w:r w:rsidR="00DE7E58">
        <w:rPr>
          <w:b/>
          <w:bCs/>
          <w:noProof/>
          <w:color w:val="FF0000"/>
          <w:sz w:val="12"/>
          <w:szCs w:val="12"/>
          <w:u w:color="00457D"/>
          <w:lang w:val="en-US" w:eastAsia="en-US"/>
        </w:rPr>
        <w:pict w14:anchorId="6189DA3F">
          <v:shape id="_x0000_i1035" type="#_x0000_t75" style="width:456pt;height:344.25pt">
            <v:imagedata r:id="rId26" o:title="Figura_011_20221027"/>
          </v:shape>
        </w:pict>
      </w:r>
    </w:p>
    <w:p w14:paraId="2650BF69" w14:textId="77777777" w:rsidR="004D2B35" w:rsidRPr="00CF6F3B" w:rsidRDefault="004D2B35" w:rsidP="00E03BC7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</w:p>
    <w:p w14:paraId="02CBE79B" w14:textId="77777777" w:rsidR="006C6F0C" w:rsidRDefault="006C6F0C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6380CB38" w14:textId="77777777" w:rsidR="002A22FA" w:rsidRDefault="004B6DC2" w:rsidP="00E03B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1E3B61" w:rsidRPr="00D33A53">
        <w:rPr>
          <w:b/>
          <w:bCs/>
          <w:color w:val="00457D"/>
          <w:sz w:val="24"/>
          <w:szCs w:val="24"/>
          <w:u w:color="00457D"/>
        </w:rPr>
        <w:t>1</w:t>
      </w:r>
      <w:r w:rsidR="004D25FE">
        <w:rPr>
          <w:b/>
          <w:bCs/>
          <w:color w:val="00457D"/>
          <w:sz w:val="24"/>
          <w:szCs w:val="24"/>
          <w:u w:color="00457D"/>
        </w:rPr>
        <w:t>2</w:t>
      </w:r>
    </w:p>
    <w:p w14:paraId="4CEACE87" w14:textId="6626D068" w:rsidR="00AB145A" w:rsidRDefault="00DE7E58" w:rsidP="00AB145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  <w:r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  <w:pict w14:anchorId="4AA54A32">
          <v:shape id="_x0000_i1036" type="#_x0000_t75" style="width:443.25pt;height:331.5pt">
            <v:imagedata r:id="rId27" o:title="Figura_012_20221027"/>
          </v:shape>
        </w:pict>
      </w:r>
    </w:p>
    <w:p w14:paraId="7A16095C" w14:textId="77777777" w:rsidR="00D63890" w:rsidRDefault="00D63890" w:rsidP="00AB145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</w:pPr>
    </w:p>
    <w:p w14:paraId="1816E072" w14:textId="564D14E1" w:rsidR="006C6F0C" w:rsidRPr="00AB145A" w:rsidRDefault="00AB145A" w:rsidP="00AB145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t>Figura 13</w:t>
      </w:r>
      <w:r w:rsidR="00DE7E58">
        <w:rPr>
          <w:b/>
          <w:bCs/>
          <w:noProof/>
          <w:color w:val="00457D"/>
          <w:sz w:val="24"/>
          <w:szCs w:val="24"/>
          <w:u w:color="00457D"/>
          <w:lang w:val="en-US" w:eastAsia="en-US"/>
        </w:rPr>
        <w:pict w14:anchorId="63F4903B">
          <v:shape id="_x0000_i1037" type="#_x0000_t75" style="width:441.75pt;height:332.25pt">
            <v:imagedata r:id="rId28" o:title="Figura_013_20221027"/>
          </v:shape>
        </w:pict>
      </w:r>
    </w:p>
    <w:p w14:paraId="40AD2345" w14:textId="77777777" w:rsidR="00EE3A39" w:rsidRPr="00CF6F3B" w:rsidRDefault="00EE3A39" w:rsidP="0004010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EE3A39" w:rsidRPr="00CF6F3B" w:rsidSect="00DF4F27">
          <w:pgSz w:w="11900" w:h="16840"/>
          <w:pgMar w:top="1171" w:right="1134" w:bottom="1134" w:left="1134" w:header="709" w:footer="709" w:gutter="0"/>
          <w:cols w:space="720"/>
          <w:docGrid w:linePitch="299"/>
        </w:sectPr>
      </w:pPr>
    </w:p>
    <w:p w14:paraId="7F77D203" w14:textId="246D578D" w:rsidR="00AB145A" w:rsidRPr="00AB145A" w:rsidRDefault="00FF3D45" w:rsidP="00AB145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4D25FE">
        <w:rPr>
          <w:b/>
          <w:bCs/>
          <w:color w:val="00457D"/>
          <w:sz w:val="24"/>
          <w:szCs w:val="24"/>
          <w:u w:color="00457D"/>
        </w:rPr>
        <w:t>4</w:t>
      </w:r>
    </w:p>
    <w:p w14:paraId="1C74F618" w14:textId="2DDF1499" w:rsidR="00EE3A39" w:rsidRPr="00CF6F3B" w:rsidRDefault="00A0632A" w:rsidP="00AB145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  <w:pict w14:anchorId="7A137CFB">
          <v:shape id="_x0000_i1038" type="#_x0000_t75" style="width:453.75pt;height:265.5pt">
            <v:imagedata r:id="rId29" o:title="Figura_014_20221027"/>
          </v:shape>
        </w:pict>
      </w:r>
    </w:p>
    <w:p w14:paraId="4E11A8D8" w14:textId="77777777" w:rsidR="009D0980" w:rsidRPr="00CF6F3B" w:rsidRDefault="009D0980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14:paraId="38F4AFE9" w14:textId="77777777" w:rsidR="00AB145A" w:rsidRDefault="00AB145A" w:rsidP="006E14AA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14:paraId="1687542B" w14:textId="68B6695B" w:rsidR="009D0980" w:rsidRPr="00CF6F3B" w:rsidRDefault="009D0980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t>Figura 1</w:t>
      </w:r>
      <w:r w:rsidR="004D25FE">
        <w:rPr>
          <w:b/>
          <w:bCs/>
          <w:color w:val="00457D"/>
          <w:sz w:val="24"/>
          <w:szCs w:val="24"/>
          <w:u w:color="00457D"/>
        </w:rPr>
        <w:t>5</w:t>
      </w:r>
    </w:p>
    <w:p w14:paraId="60B4A619" w14:textId="4BADE1A6" w:rsidR="00016F1A" w:rsidRDefault="00A0632A" w:rsidP="009F62F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  <w:lang w:val="en-US" w:eastAsia="en-US"/>
        </w:rPr>
        <w:pict w14:anchorId="2CE576D8">
          <v:shape id="_x0000_i1039" type="#_x0000_t75" style="width:451.5pt;height:339.75pt">
            <v:imagedata r:id="rId30" o:title="Figura_015_20221027-min"/>
          </v:shape>
        </w:pict>
      </w:r>
    </w:p>
    <w:p w14:paraId="0D54FAEE" w14:textId="77777777" w:rsidR="00A133AA" w:rsidRPr="00CF6F3B" w:rsidRDefault="009D0980" w:rsidP="00D46A8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6F3B">
        <w:rPr>
          <w:b/>
          <w:bCs/>
          <w:color w:val="FF0000"/>
          <w:sz w:val="24"/>
          <w:szCs w:val="24"/>
          <w:u w:color="00457D"/>
        </w:rPr>
        <w:br w:type="page"/>
      </w:r>
    </w:p>
    <w:p w14:paraId="102B3AE1" w14:textId="77777777" w:rsidR="00410DFB" w:rsidRPr="00CF6F3B" w:rsidRDefault="00410DFB" w:rsidP="00E03B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410DFB" w:rsidRPr="00CF6F3B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14:paraId="657E88FA" w14:textId="77777777" w:rsidR="00716000" w:rsidRDefault="004D16FF" w:rsidP="00AD5E21">
      <w:pPr>
        <w:spacing w:after="60" w:line="276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2C1ADB">
        <w:rPr>
          <w:b/>
          <w:bCs/>
          <w:color w:val="00457D"/>
          <w:sz w:val="24"/>
          <w:szCs w:val="24"/>
          <w:u w:color="00457D"/>
        </w:rPr>
        <w:lastRenderedPageBreak/>
        <w:t xml:space="preserve">Tabella 1. Indicatori regionali: settimana </w:t>
      </w:r>
      <w:r w:rsidR="006C6F0C">
        <w:rPr>
          <w:b/>
          <w:bCs/>
          <w:color w:val="00457D"/>
          <w:sz w:val="24"/>
          <w:szCs w:val="24"/>
          <w:u w:color="00457D"/>
        </w:rPr>
        <w:t>19-25</w:t>
      </w:r>
      <w:r w:rsidR="007D6C09" w:rsidRPr="002C1ADB">
        <w:rPr>
          <w:b/>
          <w:bCs/>
          <w:color w:val="00457D"/>
          <w:sz w:val="24"/>
          <w:szCs w:val="24"/>
          <w:u w:color="00457D"/>
        </w:rPr>
        <w:t xml:space="preserve"> ottobre </w:t>
      </w:r>
      <w:r w:rsidRPr="002C1ADB">
        <w:rPr>
          <w:b/>
          <w:bCs/>
          <w:color w:val="00457D"/>
          <w:sz w:val="24"/>
          <w:szCs w:val="24"/>
          <w:u w:color="00457D"/>
        </w:rPr>
        <w:t>2022</w:t>
      </w:r>
    </w:p>
    <w:tbl>
      <w:tblPr>
        <w:tblW w:w="99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660"/>
        <w:gridCol w:w="1458"/>
        <w:gridCol w:w="2410"/>
        <w:gridCol w:w="2410"/>
        <w:gridCol w:w="44"/>
      </w:tblGrid>
      <w:tr w:rsidR="00AD5E21" w:rsidRPr="00AD5E21" w14:paraId="3836CADE" w14:textId="77777777" w:rsidTr="00AD5E21">
        <w:trPr>
          <w:gridAfter w:val="1"/>
          <w:wAfter w:w="44" w:type="dxa"/>
          <w:trHeight w:val="907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4259C459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66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08CE68E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FFFFFF"/>
                <w:sz w:val="21"/>
                <w:szCs w:val="21"/>
                <w:bdr w:val="none" w:sz="0" w:space="0" w:color="auto"/>
              </w:rPr>
              <w:t>Casi attualmente positivi per 100.000 abitanti</w:t>
            </w:r>
          </w:p>
        </w:tc>
        <w:tc>
          <w:tcPr>
            <w:tcW w:w="145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719AD58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AD5E2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41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14:paraId="5BFDBE8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410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14:paraId="30834D3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AD5E2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AD5E21" w:rsidRPr="00AD5E21" w14:paraId="76230C44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91178D9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1E55DA47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1.230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EA3872B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-11,9%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285715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12,5%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45AB01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5,0%</w:t>
            </w:r>
          </w:p>
        </w:tc>
      </w:tr>
      <w:tr w:rsidR="00AD5E21" w:rsidRPr="00AD5E21" w14:paraId="2B53A15C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99A94B3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A476493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937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FEA5B8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-22,3%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CC63B4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8,9%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BDC3E6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AD5E21" w:rsidRPr="00AD5E21" w14:paraId="13E476AA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4261FE0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445AD71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547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BFB507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-13,1%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34A083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14,7%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A2B22D7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3,6%</w:t>
            </w:r>
          </w:p>
        </w:tc>
      </w:tr>
      <w:tr w:rsidR="00AD5E21" w:rsidRPr="00AD5E21" w14:paraId="506DF2DB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EA9021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4C21E3E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779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60F345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-6,6%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0571B1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7,3%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8B7DB89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2,1%</w:t>
            </w:r>
          </w:p>
        </w:tc>
      </w:tr>
      <w:tr w:rsidR="00AD5E21" w:rsidRPr="00AD5E21" w14:paraId="1788CC1E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50A9E77" w14:textId="77777777" w:rsidR="00AD5E21" w:rsidRPr="00AD5E21" w:rsidRDefault="00502D2F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Emilia</w:t>
            </w:r>
            <w:r>
              <w:rPr>
                <w:rFonts w:eastAsia="Times New Roman" w:cs="Calibri"/>
                <w:bdr w:val="none" w:sz="0" w:space="0" w:color="auto"/>
              </w:rPr>
              <w:t>-</w:t>
            </w:r>
            <w:r w:rsidR="00AD5E21" w:rsidRPr="00AD5E21">
              <w:rPr>
                <w:rFonts w:eastAsia="Times New Roman" w:cs="Calibri"/>
                <w:bdr w:val="none" w:sz="0" w:space="0" w:color="auto"/>
              </w:rPr>
              <w:t>Romagna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36E0C1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908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D234BB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-15,3%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E3DBF20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12,5%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1DA1C9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3,4%</w:t>
            </w:r>
          </w:p>
        </w:tc>
      </w:tr>
      <w:tr w:rsidR="00AD5E21" w:rsidRPr="00AD5E21" w14:paraId="66B49CAF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60B51E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 xml:space="preserve">Friuli </w:t>
            </w:r>
            <w:r w:rsidR="00502D2F" w:rsidRPr="00AD5E21">
              <w:rPr>
                <w:rFonts w:eastAsia="Times New Roman" w:cs="Calibri"/>
                <w:bdr w:val="none" w:sz="0" w:space="0" w:color="auto"/>
              </w:rPr>
              <w:t>Venezia</w:t>
            </w:r>
            <w:r w:rsidR="00502D2F">
              <w:rPr>
                <w:rFonts w:eastAsia="Times New Roman" w:cs="Calibri"/>
                <w:bdr w:val="none" w:sz="0" w:space="0" w:color="auto"/>
              </w:rPr>
              <w:t>-</w:t>
            </w:r>
            <w:r w:rsidRPr="00AD5E21">
              <w:rPr>
                <w:rFonts w:eastAsia="Times New Roman" w:cs="Calibri"/>
                <w:bdr w:val="none" w:sz="0" w:space="0" w:color="auto"/>
              </w:rPr>
              <w:t>Giulia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B51A47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914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61F672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-22,6%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DC65CE1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16,3%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DE5DF4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4,0%</w:t>
            </w:r>
          </w:p>
        </w:tc>
      </w:tr>
      <w:tr w:rsidR="00AD5E21" w:rsidRPr="00AD5E21" w14:paraId="2051C1B1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9EBCE40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26543D93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1.032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8CAFF7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-3,8%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EB6D0D1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9,8%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675CD4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3,2%</w:t>
            </w:r>
          </w:p>
        </w:tc>
      </w:tr>
      <w:tr w:rsidR="00AD5E21" w:rsidRPr="00AD5E21" w14:paraId="0C5EE34C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B80581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5C19FA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591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0160C26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-16,0%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8DD092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15,5%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2B45CF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4,6%</w:t>
            </w:r>
          </w:p>
        </w:tc>
      </w:tr>
      <w:tr w:rsidR="00AD5E21" w:rsidRPr="00AD5E21" w14:paraId="28E9CA8F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F42886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6773D7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797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77EEA7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-15,6%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AF5629E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11,1%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2D5389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1,2%</w:t>
            </w:r>
          </w:p>
        </w:tc>
      </w:tr>
      <w:tr w:rsidR="00AD5E21" w:rsidRPr="00AD5E21" w14:paraId="145D3A93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C0C9C87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ADDB2F1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535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626C7D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-21,5%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8CCE8A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16,3%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8064A4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2,2%</w:t>
            </w:r>
          </w:p>
        </w:tc>
      </w:tr>
      <w:tr w:rsidR="00AD5E21" w:rsidRPr="00AD5E21" w14:paraId="58922242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579CE1A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3888E196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1.605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6431A3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-17,2%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752CC2A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5,1%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E6F22AE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AD5E21" w:rsidRPr="00AD5E21" w14:paraId="67639D15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9392EE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1C8D6C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1.128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0E3F37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-23,5%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3FF38E0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10,6%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135C8C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1,6%</w:t>
            </w:r>
          </w:p>
        </w:tc>
      </w:tr>
      <w:tr w:rsidR="00AD5E21" w:rsidRPr="00AD5E21" w14:paraId="0E37C6B6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38E09F7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2B2132AE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873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3A2110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-34,5%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B7529B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17,0%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8CF27D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3,0%</w:t>
            </w:r>
          </w:p>
        </w:tc>
      </w:tr>
      <w:tr w:rsidR="00AD5E21" w:rsidRPr="00AD5E21" w14:paraId="7133FBEC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0CCEEDAA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79805969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583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BF31C5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-31,6%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893E22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17,0%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C576E6B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3,3%</w:t>
            </w:r>
          </w:p>
        </w:tc>
      </w:tr>
      <w:tr w:rsidR="00AD5E21" w:rsidRPr="00AD5E21" w14:paraId="42F14518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254931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19B5A5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362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FE5304B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-9,8%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67A76AE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6,0%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327A4F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2,5%</w:t>
            </w:r>
          </w:p>
        </w:tc>
      </w:tr>
      <w:tr w:rsidR="00AD5E21" w:rsidRPr="00AD5E21" w14:paraId="2C41B38A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CF472A0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8DE33DA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507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F77EFD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-6,2%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739B791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5,8%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C441E0E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3,4%</w:t>
            </w:r>
          </w:p>
        </w:tc>
      </w:tr>
      <w:tr w:rsidR="00AD5E21" w:rsidRPr="00AD5E21" w14:paraId="2AC8DAB9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6F916E4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941708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394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1E864B33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0FFB5C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8,9%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0CEE3DE3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2,0%</w:t>
            </w:r>
          </w:p>
        </w:tc>
      </w:tr>
      <w:tr w:rsidR="00AD5E21" w:rsidRPr="00AD5E21" w14:paraId="1848235E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67BB9F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0399C22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1.355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CBAE7A1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-11,8%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6954D690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9,3%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6B852A9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3,3%</w:t>
            </w:r>
          </w:p>
        </w:tc>
      </w:tr>
      <w:tr w:rsidR="00AD5E21" w:rsidRPr="00AD5E21" w14:paraId="74A50814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22819E4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1A2989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757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35C4773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-16,1%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4D1DCF05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35,8%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0B9BD773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3,5%</w:t>
            </w:r>
          </w:p>
        </w:tc>
      </w:tr>
      <w:tr w:rsidR="00AD5E21" w:rsidRPr="00AD5E21" w14:paraId="609E3BC2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7A33D50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180982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997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D5A00F0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-20,9%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70E2B8D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35,8%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44D954F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AD5E21" w:rsidRPr="00AD5E21" w14:paraId="0F5ED128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center"/>
            <w:hideMark/>
          </w:tcPr>
          <w:p w14:paraId="3167771D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AD5E21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6951741E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1.194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74E081E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006100"/>
                <w:bdr w:val="none" w:sz="0" w:space="0" w:color="auto"/>
              </w:rPr>
              <w:t>-13,8%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63E48768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13,0%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center"/>
            <w:hideMark/>
          </w:tcPr>
          <w:p w14:paraId="512B90CC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9C0006"/>
                <w:bdr w:val="none" w:sz="0" w:space="0" w:color="auto"/>
              </w:rPr>
              <w:t>3,0%</w:t>
            </w:r>
          </w:p>
        </w:tc>
      </w:tr>
      <w:tr w:rsidR="00AD5E21" w:rsidRPr="00AD5E21" w14:paraId="7DF83EAF" w14:textId="77777777" w:rsidTr="00AD5E21">
        <w:trPr>
          <w:gridAfter w:val="1"/>
          <w:wAfter w:w="44" w:type="dxa"/>
          <w:trHeight w:val="34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center"/>
            <w:hideMark/>
          </w:tcPr>
          <w:p w14:paraId="438AA65A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6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center"/>
            <w:hideMark/>
          </w:tcPr>
          <w:p w14:paraId="391C94BA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844</w:t>
            </w:r>
          </w:p>
        </w:tc>
        <w:tc>
          <w:tcPr>
            <w:tcW w:w="145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188268BB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-14,4%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5DF89A82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11,2%</w:t>
            </w:r>
          </w:p>
        </w:tc>
        <w:tc>
          <w:tcPr>
            <w:tcW w:w="241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center"/>
            <w:hideMark/>
          </w:tcPr>
          <w:p w14:paraId="254C5F7F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AD5E21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2,5%</w:t>
            </w:r>
          </w:p>
        </w:tc>
      </w:tr>
      <w:tr w:rsidR="00AD5E21" w:rsidRPr="00AD5E21" w14:paraId="3A61091C" w14:textId="77777777" w:rsidTr="00AD5E21">
        <w:trPr>
          <w:trHeight w:val="1710"/>
        </w:trPr>
        <w:tc>
          <w:tcPr>
            <w:tcW w:w="9967" w:type="dxa"/>
            <w:gridSpan w:val="6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14:paraId="3789BE94" w14:textId="77777777" w:rsidR="00AD5E21" w:rsidRPr="00AD5E21" w:rsidRDefault="00AD5E21" w:rsidP="00AD5E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AD5E21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AD5E21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AD5E21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Agenas). </w:t>
            </w:r>
          </w:p>
        </w:tc>
      </w:tr>
    </w:tbl>
    <w:p w14:paraId="37A74CBE" w14:textId="77777777" w:rsidR="00716000" w:rsidRDefault="00716000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14:paraId="2837D923" w14:textId="77777777" w:rsidR="00640F0C" w:rsidRDefault="00640F0C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14:paraId="0191CB77" w14:textId="77777777" w:rsidR="004D16FF" w:rsidRPr="00D44AA7" w:rsidRDefault="004D16FF" w:rsidP="008955B7">
      <w:pPr>
        <w:spacing w:after="8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Tabella 2. Nuovi casi nell’ultima se</w:t>
      </w:r>
      <w:r w:rsidR="008955B7" w:rsidRPr="00D44AA7">
        <w:rPr>
          <w:b/>
          <w:bCs/>
          <w:color w:val="00457D"/>
          <w:sz w:val="24"/>
          <w:szCs w:val="24"/>
          <w:u w:color="00457D"/>
        </w:rPr>
        <w:t>ttimana suddivisi per provincia</w:t>
      </w:r>
    </w:p>
    <w:tbl>
      <w:tblPr>
        <w:tblStyle w:val="TableNormal1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1"/>
      </w:tblGrid>
      <w:tr w:rsidR="006A3502" w:rsidRPr="00640F0C" w14:paraId="3AC18862" w14:textId="77777777" w:rsidTr="00636A1A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74D1A" w14:textId="77777777" w:rsidR="006A3502" w:rsidRPr="00640F0C" w:rsidRDefault="006A3502" w:rsidP="00636A1A">
            <w:pPr>
              <w:spacing w:after="0" w:line="240" w:lineRule="auto"/>
              <w:rPr>
                <w:rFonts w:cs="Calibri"/>
                <w:szCs w:val="21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5B31D" w14:textId="77777777" w:rsidR="006A3502" w:rsidRPr="00640F0C" w:rsidRDefault="006A3502" w:rsidP="00636A1A">
            <w:pPr>
              <w:spacing w:after="0" w:line="240" w:lineRule="auto"/>
              <w:rPr>
                <w:rFonts w:cs="Calibri"/>
                <w:szCs w:val="21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4E93" w14:textId="77777777" w:rsidR="006A3502" w:rsidRPr="00640F0C" w:rsidRDefault="006A3502" w:rsidP="006C6F0C">
            <w:pPr>
              <w:spacing w:after="0" w:line="240" w:lineRule="auto"/>
              <w:jc w:val="center"/>
              <w:rPr>
                <w:rFonts w:cs="Calibri"/>
                <w:szCs w:val="21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 xml:space="preserve">Nuovi casi per </w:t>
            </w: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br/>
              <w:t xml:space="preserve">100.000 abitanti </w:t>
            </w: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br/>
            </w:r>
            <w:r w:rsidR="006C6F0C">
              <w:rPr>
                <w:rFonts w:cs="Calibri"/>
                <w:b/>
                <w:bCs/>
                <w:color w:val="FFFFFF"/>
                <w:szCs w:val="21"/>
                <w:u w:color="FFFFFF"/>
              </w:rPr>
              <w:t>19-25</w:t>
            </w:r>
            <w:r w:rsidR="000D4F6F"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 xml:space="preserve"> ottobre</w:t>
            </w: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 xml:space="preserve"> 2022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14:paraId="21A464F3" w14:textId="77777777" w:rsidR="006A3502" w:rsidRPr="00640F0C" w:rsidRDefault="006A3502" w:rsidP="00B27D7D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1"/>
                <w:u w:color="FFFFFF"/>
              </w:rPr>
            </w:pPr>
            <w:r w:rsidRPr="00640F0C">
              <w:rPr>
                <w:rFonts w:cs="Calibri"/>
                <w:b/>
                <w:bCs/>
                <w:color w:val="FFFFFF"/>
                <w:szCs w:val="21"/>
                <w:u w:color="FFFFFF"/>
              </w:rPr>
              <w:t>Variazione % nuovi casi</w:t>
            </w:r>
          </w:p>
        </w:tc>
      </w:tr>
      <w:tr w:rsidR="006C6F0C" w:rsidRPr="00640F0C" w14:paraId="0CCCEE6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99E3B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C2456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ECD99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479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F64E5B3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-5,5%</w:t>
            </w:r>
          </w:p>
        </w:tc>
      </w:tr>
      <w:tr w:rsidR="006C6F0C" w:rsidRPr="00640F0C" w14:paraId="552025D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E3A2B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E7100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5E3DBF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478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73AF7D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-18,1%</w:t>
            </w:r>
          </w:p>
        </w:tc>
      </w:tr>
      <w:tr w:rsidR="006C6F0C" w:rsidRPr="00640F0C" w14:paraId="5867DB3F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58F50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8BE2A9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75FE5C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462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3ABFF23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-10,2%</w:t>
            </w:r>
          </w:p>
        </w:tc>
      </w:tr>
      <w:tr w:rsidR="006C6F0C" w:rsidRPr="00640F0C" w14:paraId="0C9D6CE5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52F18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099D1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DD5B25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388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5FE6CB7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-13,5%</w:t>
            </w:r>
          </w:p>
        </w:tc>
      </w:tr>
      <w:tr w:rsidR="006C6F0C" w:rsidRPr="00640F0C" w14:paraId="3A5F13AD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673A7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3A1C8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653D36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193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7EA161D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-24,8%</w:t>
            </w:r>
          </w:p>
        </w:tc>
      </w:tr>
      <w:tr w:rsidR="006C6F0C" w:rsidRPr="00640F0C" w14:paraId="1BD3D85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82B61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8FFC1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C82FF7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154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5E4F69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-16,4%</w:t>
            </w:r>
          </w:p>
        </w:tc>
      </w:tr>
      <w:tr w:rsidR="006C6F0C" w:rsidRPr="00640F0C" w14:paraId="6CFB32DC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2050C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C70EA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8AC16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2ACCB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-20,4%</w:t>
            </w:r>
          </w:p>
        </w:tc>
      </w:tr>
      <w:tr w:rsidR="006C6F0C" w:rsidRPr="00640F0C" w14:paraId="4D6B21B9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DB013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CB101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34621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291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CA33D1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-4,5%</w:t>
            </w:r>
          </w:p>
        </w:tc>
      </w:tr>
      <w:tr w:rsidR="006C6F0C" w:rsidRPr="00640F0C" w14:paraId="4785E95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F9A0F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A190C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3CFD96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206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BD939A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-13,0%</w:t>
            </w:r>
          </w:p>
        </w:tc>
      </w:tr>
      <w:tr w:rsidR="006C6F0C" w:rsidRPr="00640F0C" w14:paraId="452D4AA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55FD2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DEC59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4F4A0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205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DD811BC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-2,5%</w:t>
            </w:r>
          </w:p>
        </w:tc>
      </w:tr>
      <w:tr w:rsidR="006C6F0C" w:rsidRPr="00640F0C" w14:paraId="7A407AEB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962EC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8D6C0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75F307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8F92D0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-15,7%</w:t>
            </w:r>
          </w:p>
        </w:tc>
      </w:tr>
      <w:tr w:rsidR="006C6F0C" w:rsidRPr="00640F0C" w14:paraId="658A560B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B8775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C81D8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12094DC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9FBA23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-9,8%</w:t>
            </w:r>
          </w:p>
        </w:tc>
      </w:tr>
      <w:tr w:rsidR="006C6F0C" w:rsidRPr="00640F0C" w14:paraId="20D6B1E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13C3D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4C821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26AF27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D1A310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-15,1%</w:t>
            </w:r>
          </w:p>
        </w:tc>
      </w:tr>
      <w:tr w:rsidR="006C6F0C" w:rsidRPr="00640F0C" w14:paraId="457BD39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74C4B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AB5E6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503DB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35BD80B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-16,5%</w:t>
            </w:r>
          </w:p>
        </w:tc>
      </w:tr>
      <w:tr w:rsidR="006C6F0C" w:rsidRPr="00640F0C" w14:paraId="233F0F6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A705D0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ACEED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52A0A5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238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8E98FD1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-2,8%</w:t>
            </w:r>
          </w:p>
        </w:tc>
      </w:tr>
      <w:tr w:rsidR="006C6F0C" w:rsidRPr="00640F0C" w14:paraId="0CB7CCA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3ED16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F39D2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E1BBDD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211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7F0D21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-2,7%</w:t>
            </w:r>
          </w:p>
        </w:tc>
      </w:tr>
      <w:tr w:rsidR="006C6F0C" w:rsidRPr="00640F0C" w14:paraId="3B6F274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23269BA" w14:textId="77777777" w:rsidR="006C6F0C" w:rsidRPr="006C6F0C" w:rsidRDefault="00502D2F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>
              <w:rPr>
                <w:rFonts w:cs="Calibri"/>
                <w:sz w:val="21"/>
                <w:szCs w:val="21"/>
              </w:rPr>
              <w:t>-</w:t>
            </w:r>
            <w:r w:rsidR="006C6F0C"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30EB63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72792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552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09E13ED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-6,6%</w:t>
            </w:r>
          </w:p>
        </w:tc>
      </w:tr>
      <w:tr w:rsidR="006C6F0C" w:rsidRPr="00640F0C" w14:paraId="66EF883D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423013" w14:textId="77777777" w:rsidR="006C6F0C" w:rsidRPr="006C6F0C" w:rsidRDefault="00502D2F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>
              <w:rPr>
                <w:rFonts w:cs="Calibri"/>
                <w:sz w:val="21"/>
                <w:szCs w:val="21"/>
              </w:rPr>
              <w:t>-</w:t>
            </w:r>
            <w:r w:rsidR="006C6F0C"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3B109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F903FD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524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01B0083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-8,9%</w:t>
            </w:r>
          </w:p>
        </w:tc>
      </w:tr>
      <w:tr w:rsidR="006C6F0C" w:rsidRPr="00640F0C" w14:paraId="36C8B2D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4A868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17678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EC276D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515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6B1319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-14,6%</w:t>
            </w:r>
          </w:p>
        </w:tc>
      </w:tr>
      <w:tr w:rsidR="006C6F0C" w:rsidRPr="00640F0C" w14:paraId="01A2C90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81D06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24C14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17B40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507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4627EAE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-16,0%</w:t>
            </w:r>
          </w:p>
        </w:tc>
      </w:tr>
      <w:tr w:rsidR="006C6F0C" w:rsidRPr="00640F0C" w14:paraId="216F20F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06058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B0DED0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4BB9BA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472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42102A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-3,7%</w:t>
            </w:r>
          </w:p>
        </w:tc>
      </w:tr>
      <w:tr w:rsidR="006C6F0C" w:rsidRPr="00640F0C" w14:paraId="15958D1D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50D0A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61EC4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B2A741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448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C73053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-21,7%</w:t>
            </w:r>
          </w:p>
        </w:tc>
      </w:tr>
      <w:tr w:rsidR="006C6F0C" w:rsidRPr="00640F0C" w14:paraId="4EED203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53446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7456C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832A41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408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9CE6B0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-15,5%</w:t>
            </w:r>
          </w:p>
        </w:tc>
      </w:tr>
      <w:tr w:rsidR="006C6F0C" w:rsidRPr="00640F0C" w14:paraId="0C89D53B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F8F58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F0344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135C5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1CA64CD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-27,4%</w:t>
            </w:r>
          </w:p>
        </w:tc>
      </w:tr>
      <w:tr w:rsidR="006C6F0C" w:rsidRPr="00640F0C" w14:paraId="1D75567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C5FA3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Emilia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1D229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C5CCEE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353B5E1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-21,5%</w:t>
            </w:r>
          </w:p>
        </w:tc>
      </w:tr>
      <w:tr w:rsidR="006C6F0C" w:rsidRPr="00640F0C" w14:paraId="34FBAF2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8342B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 xml:space="preserve">Friuli </w:t>
            </w:r>
            <w:r w:rsidR="00502D2F" w:rsidRPr="006C6F0C">
              <w:rPr>
                <w:rFonts w:cs="Calibri"/>
                <w:sz w:val="21"/>
                <w:szCs w:val="21"/>
              </w:rPr>
              <w:t>Venezia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A3296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77C30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571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68204B7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-27,7%</w:t>
            </w:r>
          </w:p>
        </w:tc>
      </w:tr>
      <w:tr w:rsidR="006C6F0C" w:rsidRPr="00640F0C" w14:paraId="1972B9DD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7B60B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 xml:space="preserve">Friuli </w:t>
            </w:r>
            <w:r w:rsidR="00502D2F" w:rsidRPr="006C6F0C">
              <w:rPr>
                <w:rFonts w:cs="Calibri"/>
                <w:sz w:val="21"/>
                <w:szCs w:val="21"/>
              </w:rPr>
              <w:t>Venezia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63ABF8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D340FE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551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710FA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-11,3%</w:t>
            </w:r>
          </w:p>
        </w:tc>
      </w:tr>
      <w:tr w:rsidR="006C6F0C" w:rsidRPr="00640F0C" w14:paraId="7E2F75C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51035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 xml:space="preserve">Friuli </w:t>
            </w:r>
            <w:r w:rsidR="00502D2F" w:rsidRPr="006C6F0C">
              <w:rPr>
                <w:rFonts w:cs="Calibri"/>
                <w:sz w:val="21"/>
                <w:szCs w:val="21"/>
              </w:rPr>
              <w:t>Venezia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F8FE7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A46CC0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537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0D4C28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-15,4%</w:t>
            </w:r>
          </w:p>
        </w:tc>
      </w:tr>
      <w:tr w:rsidR="006C6F0C" w:rsidRPr="00640F0C" w14:paraId="117C2646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C6CFB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 xml:space="preserve">Friuli </w:t>
            </w:r>
            <w:r w:rsidR="00502D2F" w:rsidRPr="006C6F0C">
              <w:rPr>
                <w:rFonts w:cs="Calibri"/>
                <w:sz w:val="21"/>
                <w:szCs w:val="21"/>
              </w:rPr>
              <w:t>Venezia</w:t>
            </w:r>
            <w:r w:rsidR="00502D2F">
              <w:rPr>
                <w:rFonts w:cs="Calibri"/>
                <w:sz w:val="21"/>
                <w:szCs w:val="21"/>
              </w:rPr>
              <w:t>-</w:t>
            </w:r>
            <w:r w:rsidRPr="006C6F0C">
              <w:rPr>
                <w:rFonts w:cs="Calibri"/>
                <w:sz w:val="21"/>
                <w:szCs w:val="21"/>
              </w:rPr>
              <w:t>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1BEA7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FE8D4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508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C7DCF07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-25,3%</w:t>
            </w:r>
          </w:p>
        </w:tc>
      </w:tr>
      <w:tr w:rsidR="006C6F0C" w:rsidRPr="00640F0C" w14:paraId="773460A3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D5000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06EFA0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7A2D6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435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62C292C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-9,8%</w:t>
            </w:r>
          </w:p>
        </w:tc>
      </w:tr>
      <w:tr w:rsidR="006C6F0C" w:rsidRPr="00640F0C" w14:paraId="4E9DD74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6C3D6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7BAF4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00B02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394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F72B53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-0,9%</w:t>
            </w:r>
          </w:p>
        </w:tc>
      </w:tr>
      <w:tr w:rsidR="006C6F0C" w:rsidRPr="00640F0C" w14:paraId="7970A1FB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591E7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F2298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30BEC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371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F1450E7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-16,0%</w:t>
            </w:r>
          </w:p>
        </w:tc>
      </w:tr>
      <w:tr w:rsidR="006C6F0C" w:rsidRPr="00640F0C" w14:paraId="6A1B265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0301F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6F03E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F4633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366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68E3F3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-5,0%</w:t>
            </w:r>
          </w:p>
        </w:tc>
      </w:tr>
      <w:tr w:rsidR="006C6F0C" w:rsidRPr="00640F0C" w14:paraId="65542EC0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E9A0AB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69A73D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5AB2A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360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884AFAD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-17,3%</w:t>
            </w:r>
          </w:p>
        </w:tc>
      </w:tr>
      <w:tr w:rsidR="006C6F0C" w:rsidRPr="00640F0C" w14:paraId="370C7B8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9270B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FAE4B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124F7D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428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24548F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-17,6%</w:t>
            </w:r>
          </w:p>
        </w:tc>
      </w:tr>
      <w:tr w:rsidR="006C6F0C" w:rsidRPr="00640F0C" w14:paraId="16830880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ECBD6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2BF11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CCC7CF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1A42D6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-14,2%</w:t>
            </w:r>
          </w:p>
        </w:tc>
      </w:tr>
      <w:tr w:rsidR="006C6F0C" w:rsidRPr="00640F0C" w14:paraId="06308DB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E9DA9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7470C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F1787E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391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4C50A8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-9,4%</w:t>
            </w:r>
          </w:p>
        </w:tc>
      </w:tr>
      <w:tr w:rsidR="006C6F0C" w:rsidRPr="00640F0C" w14:paraId="2B0BB54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FB98EA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A383F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809D9D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381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F701C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-24,1%</w:t>
            </w:r>
          </w:p>
        </w:tc>
      </w:tr>
      <w:tr w:rsidR="006C6F0C" w:rsidRPr="00640F0C" w14:paraId="4AE2A0D3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369FB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9AF6E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FF6685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551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90CCB5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-22,0%</w:t>
            </w:r>
          </w:p>
        </w:tc>
      </w:tr>
      <w:tr w:rsidR="006C6F0C" w:rsidRPr="00640F0C" w14:paraId="63305BE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40AA0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C78D3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80183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536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92DF583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-35,7%</w:t>
            </w:r>
          </w:p>
        </w:tc>
      </w:tr>
      <w:tr w:rsidR="006C6F0C" w:rsidRPr="00640F0C" w14:paraId="10068173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42D1C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75F0B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69FA1BF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528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50D085B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-11,8%</w:t>
            </w:r>
          </w:p>
        </w:tc>
      </w:tr>
      <w:tr w:rsidR="006C6F0C" w:rsidRPr="00640F0C" w14:paraId="1FE5D94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A0CBF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BD2BC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46415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508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545C00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-4,4%</w:t>
            </w:r>
          </w:p>
        </w:tc>
      </w:tr>
      <w:tr w:rsidR="006C6F0C" w:rsidRPr="00640F0C" w14:paraId="2B04768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CDBD8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EDC9F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6A4A0C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496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3A77A1C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-9,6%</w:t>
            </w:r>
          </w:p>
        </w:tc>
      </w:tr>
      <w:tr w:rsidR="006C6F0C" w:rsidRPr="00640F0C" w14:paraId="091AA857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43607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4D8D67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A8DBF6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494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20B5DD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-23,4%</w:t>
            </w:r>
          </w:p>
        </w:tc>
      </w:tr>
      <w:tr w:rsidR="006C6F0C" w:rsidRPr="00640F0C" w14:paraId="3B990646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B8D8C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619D4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DBB0E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485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A1DFDA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-4,9%</w:t>
            </w:r>
          </w:p>
        </w:tc>
      </w:tr>
      <w:tr w:rsidR="006C6F0C" w:rsidRPr="00640F0C" w14:paraId="121BEFA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892890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9F334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7ECF9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468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1EE6816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-12,4%</w:t>
            </w:r>
          </w:p>
        </w:tc>
      </w:tr>
      <w:tr w:rsidR="006C6F0C" w:rsidRPr="00640F0C" w14:paraId="293BD4F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C4D2F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DD777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3DCDA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452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2065D7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-19,1%</w:t>
            </w:r>
          </w:p>
        </w:tc>
      </w:tr>
      <w:tr w:rsidR="006C6F0C" w:rsidRPr="00640F0C" w14:paraId="73215E5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6555C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97A10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099A8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430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C7A1916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-19,0%</w:t>
            </w:r>
          </w:p>
        </w:tc>
      </w:tr>
      <w:tr w:rsidR="006C6F0C" w:rsidRPr="00640F0C" w14:paraId="035EE16D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2D51D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FA8EF3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EE93A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411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1A28896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-10,2%</w:t>
            </w:r>
          </w:p>
        </w:tc>
      </w:tr>
      <w:tr w:rsidR="006C6F0C" w:rsidRPr="00640F0C" w14:paraId="3021C920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9FABAA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2D8AC3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54396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32B5328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-22,2%</w:t>
            </w:r>
          </w:p>
        </w:tc>
      </w:tr>
      <w:tr w:rsidR="006C6F0C" w:rsidRPr="00640F0C" w14:paraId="49401A17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2D8ED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CCCFA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4615F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459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CC4E98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-13,0%</w:t>
            </w:r>
          </w:p>
        </w:tc>
      </w:tr>
      <w:tr w:rsidR="006C6F0C" w:rsidRPr="00640F0C" w14:paraId="5460971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B35BEB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E274E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ACB15D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457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D1D33F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-13,3%</w:t>
            </w:r>
          </w:p>
        </w:tc>
      </w:tr>
      <w:tr w:rsidR="006C6F0C" w:rsidRPr="00640F0C" w14:paraId="6EF27A91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89195A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4267C3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77EFF7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388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3DDA7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-24,0%</w:t>
            </w:r>
          </w:p>
        </w:tc>
      </w:tr>
      <w:tr w:rsidR="006C6F0C" w:rsidRPr="00640F0C" w14:paraId="21DEA32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754F22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D9B3B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D0DB4E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348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97A3F6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-25,4%</w:t>
            </w:r>
          </w:p>
        </w:tc>
      </w:tr>
      <w:tr w:rsidR="006C6F0C" w:rsidRPr="00640F0C" w14:paraId="57988936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255E5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A012C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FD55E6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344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9D55131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-34,0%</w:t>
            </w:r>
          </w:p>
        </w:tc>
      </w:tr>
      <w:tr w:rsidR="006C6F0C" w:rsidRPr="00640F0C" w14:paraId="1F60839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1D4B03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79E2E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02DAD1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91330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-23,6%</w:t>
            </w:r>
          </w:p>
        </w:tc>
      </w:tr>
      <w:tr w:rsidR="006C6F0C" w:rsidRPr="00640F0C" w14:paraId="4AD4985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A51A1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CE69CD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1C2F6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219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252BAC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12,7%</w:t>
            </w:r>
          </w:p>
        </w:tc>
      </w:tr>
      <w:tr w:rsidR="006C6F0C" w:rsidRPr="00640F0C" w14:paraId="5F891DE9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8E5545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E073E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CC366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589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E4F9EB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-34,1%</w:t>
            </w:r>
          </w:p>
        </w:tc>
      </w:tr>
      <w:tr w:rsidR="006C6F0C" w:rsidRPr="00640F0C" w14:paraId="5CBFEB15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4D536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85758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1F99C9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538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FF95F0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-31,6%</w:t>
            </w:r>
          </w:p>
        </w:tc>
      </w:tr>
      <w:tr w:rsidR="006C6F0C" w:rsidRPr="00640F0C" w14:paraId="5A06E3E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AA666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927A58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07298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660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AD0097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-37,2%</w:t>
            </w:r>
          </w:p>
        </w:tc>
      </w:tr>
      <w:tr w:rsidR="006C6F0C" w:rsidRPr="00640F0C" w14:paraId="595CE57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62FDE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B4261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272F8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550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556433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-17,6%</w:t>
            </w:r>
          </w:p>
        </w:tc>
      </w:tr>
      <w:tr w:rsidR="006C6F0C" w:rsidRPr="00640F0C" w14:paraId="76C4B5E9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BDC4D0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D83682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40320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547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ACC32C7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-19,8%</w:t>
            </w:r>
          </w:p>
        </w:tc>
      </w:tr>
      <w:tr w:rsidR="006C6F0C" w:rsidRPr="00640F0C" w14:paraId="5E7532C0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839FA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B8FEA9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B274325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511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C47EDA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-36,4%</w:t>
            </w:r>
          </w:p>
        </w:tc>
      </w:tr>
      <w:tr w:rsidR="006C6F0C" w:rsidRPr="00640F0C" w14:paraId="606E16E0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128DF1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803726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49060E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474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77A0DB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-26,8%</w:t>
            </w:r>
          </w:p>
        </w:tc>
      </w:tr>
      <w:tr w:rsidR="006C6F0C" w:rsidRPr="00640F0C" w14:paraId="33E1A7D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A707BF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4FD45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912CB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461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6D945E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-24,6%</w:t>
            </w:r>
          </w:p>
        </w:tc>
      </w:tr>
      <w:tr w:rsidR="006C6F0C" w:rsidRPr="00640F0C" w14:paraId="56037546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2F1178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620A53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6FA6C5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450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F5DA157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-25,2%</w:t>
            </w:r>
          </w:p>
        </w:tc>
      </w:tr>
      <w:tr w:rsidR="006C6F0C" w:rsidRPr="00640F0C" w14:paraId="17D89E89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DB6E32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346DF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6C463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420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ECDCA5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-29,4%</w:t>
            </w:r>
          </w:p>
        </w:tc>
      </w:tr>
      <w:tr w:rsidR="006C6F0C" w:rsidRPr="00640F0C" w14:paraId="08946AF5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C46BE5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1000D6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A0E2811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362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C23E851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2,0%</w:t>
            </w:r>
          </w:p>
        </w:tc>
      </w:tr>
      <w:tr w:rsidR="006C6F0C" w:rsidRPr="00640F0C" w14:paraId="57E529A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D7F27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77DF20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BA1FB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284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05F023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-13,0%</w:t>
            </w:r>
          </w:p>
        </w:tc>
      </w:tr>
      <w:tr w:rsidR="006C6F0C" w:rsidRPr="00640F0C" w14:paraId="226AE1B3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D7B1F6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702B0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2E798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223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2F8809D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BF8F00" w:themeColor="accent4" w:themeShade="BF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-14,7%</w:t>
            </w:r>
          </w:p>
        </w:tc>
      </w:tr>
      <w:tr w:rsidR="006C6F0C" w:rsidRPr="00640F0C" w14:paraId="0C178481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61619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7EB098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EDA123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198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EF946A3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-16,0%</w:t>
            </w:r>
          </w:p>
        </w:tc>
      </w:tr>
      <w:tr w:rsidR="006C6F0C" w:rsidRPr="00640F0C" w14:paraId="4135E97C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D42FF8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5301B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175B18F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136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B2979E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-15,4%</w:t>
            </w:r>
          </w:p>
        </w:tc>
      </w:tr>
      <w:tr w:rsidR="006C6F0C" w:rsidRPr="00640F0C" w14:paraId="669F3885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4B02B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B47AC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D6082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003389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-1,1%</w:t>
            </w:r>
          </w:p>
        </w:tc>
      </w:tr>
      <w:tr w:rsidR="006C6F0C" w:rsidRPr="00640F0C" w14:paraId="3EF8E9CC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548389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AF860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B62CA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352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DDB3E7B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1,2%</w:t>
            </w:r>
          </w:p>
        </w:tc>
      </w:tr>
      <w:tr w:rsidR="006C6F0C" w:rsidRPr="00640F0C" w14:paraId="2621FAC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E2E0D4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7C0324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355FE1A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305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501EE5B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-6,7%</w:t>
            </w:r>
          </w:p>
        </w:tc>
      </w:tr>
      <w:tr w:rsidR="006C6F0C" w:rsidRPr="00640F0C" w14:paraId="4B27F966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9E05A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94B7FF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798F6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268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27E87A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-7,1%</w:t>
            </w:r>
          </w:p>
        </w:tc>
      </w:tr>
      <w:tr w:rsidR="006C6F0C" w:rsidRPr="00640F0C" w14:paraId="3D13E77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7979A1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DFE711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4657CD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6A32D77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-21,6%</w:t>
            </w:r>
          </w:p>
        </w:tc>
      </w:tr>
      <w:tr w:rsidR="006C6F0C" w:rsidRPr="00640F0C" w14:paraId="274CF55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A4047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4C3E9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092BC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E02DE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-6,4%</w:t>
            </w:r>
          </w:p>
        </w:tc>
      </w:tr>
      <w:tr w:rsidR="006C6F0C" w:rsidRPr="00640F0C" w14:paraId="79F3728B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6DEED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6F8F5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DA8DB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274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F7A82A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38,7%</w:t>
            </w:r>
          </w:p>
        </w:tc>
      </w:tr>
      <w:tr w:rsidR="006C6F0C" w:rsidRPr="00640F0C" w14:paraId="21E85EA1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7E46F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6745C8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0F4E4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257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B3A2D4B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-2,8%</w:t>
            </w:r>
          </w:p>
        </w:tc>
      </w:tr>
      <w:tr w:rsidR="006C6F0C" w:rsidRPr="00640F0C" w14:paraId="53BCFC2C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A830BC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0686BA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0F59CCA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236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698CA5AE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2,2%</w:t>
            </w:r>
          </w:p>
        </w:tc>
      </w:tr>
      <w:tr w:rsidR="006C6F0C" w:rsidRPr="00640F0C" w14:paraId="76D2DAE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42301D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E0B925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F9F4A3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201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C2AF3AB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-1,6%</w:t>
            </w:r>
          </w:p>
        </w:tc>
      </w:tr>
      <w:tr w:rsidR="006C6F0C" w:rsidRPr="00640F0C" w14:paraId="1B97AE61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224024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A78CA3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F1969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192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D29E736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-0,6%</w:t>
            </w:r>
          </w:p>
        </w:tc>
      </w:tr>
      <w:tr w:rsidR="006C6F0C" w:rsidRPr="00640F0C" w14:paraId="0DB71DBC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0975B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F5A2F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7A452F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163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5BCF95D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-2,7%</w:t>
            </w:r>
          </w:p>
        </w:tc>
      </w:tr>
      <w:tr w:rsidR="006C6F0C" w:rsidRPr="00640F0C" w14:paraId="2B61B33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FC6A9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291428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B0EBB6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534F7C55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14,6%</w:t>
            </w:r>
          </w:p>
        </w:tc>
      </w:tr>
      <w:tr w:rsidR="006C6F0C" w:rsidRPr="00640F0C" w14:paraId="433038C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E24A21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6A274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7215CE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78BB4418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4,8%</w:t>
            </w:r>
          </w:p>
        </w:tc>
      </w:tr>
      <w:tr w:rsidR="006C6F0C" w:rsidRPr="00640F0C" w14:paraId="37C5DC65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FE8E5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FA7A95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17A97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14:paraId="2CCC6184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9C0006"/>
                <w:sz w:val="21"/>
                <w:szCs w:val="21"/>
              </w:rPr>
              <w:t>6,5%</w:t>
            </w:r>
          </w:p>
        </w:tc>
      </w:tr>
      <w:tr w:rsidR="006C6F0C" w:rsidRPr="00640F0C" w14:paraId="3B59EDEF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A4E78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D541CC3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EE0271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470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847F39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-10,0%</w:t>
            </w:r>
          </w:p>
        </w:tc>
      </w:tr>
      <w:tr w:rsidR="006C6F0C" w:rsidRPr="00640F0C" w14:paraId="0E633D0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409B52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3767B8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36D708F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456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8841695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-6,8%</w:t>
            </w:r>
          </w:p>
        </w:tc>
      </w:tr>
      <w:tr w:rsidR="006C6F0C" w:rsidRPr="00640F0C" w14:paraId="5919604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29FD4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5E679AA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D645AC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454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83BCC4C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-6,5%</w:t>
            </w:r>
          </w:p>
        </w:tc>
      </w:tr>
      <w:tr w:rsidR="006C6F0C" w:rsidRPr="00640F0C" w14:paraId="330800F5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8EF6A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09A533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B77554D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430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C10292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-12,8%</w:t>
            </w:r>
          </w:p>
        </w:tc>
      </w:tr>
      <w:tr w:rsidR="006C6F0C" w:rsidRPr="00640F0C" w14:paraId="3879C790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519828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EB178D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975BD5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386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4EDF918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-16,7%</w:t>
            </w:r>
          </w:p>
        </w:tc>
      </w:tr>
      <w:tr w:rsidR="006C6F0C" w:rsidRPr="00640F0C" w14:paraId="1BE4BF58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2E9C1D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CBE4FD6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09B2D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380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B1DA8E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-13,1%</w:t>
            </w:r>
          </w:p>
        </w:tc>
      </w:tr>
      <w:tr w:rsidR="006C6F0C" w:rsidRPr="00640F0C" w14:paraId="10B28BF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18D534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5BFDEF9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CD9C1AF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8E83E8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-12,5%</w:t>
            </w:r>
          </w:p>
        </w:tc>
      </w:tr>
      <w:tr w:rsidR="006C6F0C" w:rsidRPr="00640F0C" w14:paraId="3C8B428B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CAF756B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2384DA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08F4D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338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63A498EA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-13,6%</w:t>
            </w:r>
          </w:p>
        </w:tc>
      </w:tr>
      <w:tr w:rsidR="006C6F0C" w:rsidRPr="00640F0C" w14:paraId="01392154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58499C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B0D160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011F79D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322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C54EDF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-13,8%</w:t>
            </w:r>
          </w:p>
        </w:tc>
      </w:tr>
      <w:tr w:rsidR="006C6F0C" w:rsidRPr="00640F0C" w14:paraId="78B29096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7C040C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81BAAD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CE386E2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283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FBA49EC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-11,7%</w:t>
            </w:r>
          </w:p>
        </w:tc>
      </w:tr>
      <w:tr w:rsidR="006C6F0C" w:rsidRPr="00640F0C" w14:paraId="4B51CD1B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561D0F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49B558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62DBB65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581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37ADBDE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-16,0%</w:t>
            </w:r>
          </w:p>
        </w:tc>
      </w:tr>
      <w:tr w:rsidR="006C6F0C" w:rsidRPr="00640F0C" w14:paraId="1A8D5F7D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366F9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F637AB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668E680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544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115F92BF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-16,1%</w:t>
            </w:r>
          </w:p>
        </w:tc>
      </w:tr>
      <w:tr w:rsidR="006C6F0C" w:rsidRPr="00640F0C" w14:paraId="639E5F53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C94F76E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 xml:space="preserve">Valle </w:t>
            </w:r>
            <w:r w:rsidR="00502D2F">
              <w:rPr>
                <w:rFonts w:cs="Calibri"/>
                <w:sz w:val="21"/>
                <w:szCs w:val="21"/>
              </w:rPr>
              <w:t>D’</w:t>
            </w:r>
            <w:r w:rsidRPr="006C6F0C">
              <w:rPr>
                <w:rFonts w:cs="Calibri"/>
                <w:sz w:val="21"/>
                <w:szCs w:val="21"/>
              </w:rPr>
              <w:t>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9E5199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2512AB04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482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8377C0A" w14:textId="77777777" w:rsidR="006C6F0C" w:rsidRPr="006C6F0C" w:rsidRDefault="006C6F0C" w:rsidP="00AD5E21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-20,</w:t>
            </w:r>
            <w:r w:rsidR="00AD5E21">
              <w:rPr>
                <w:rFonts w:cs="Calibri"/>
                <w:color w:val="006100"/>
                <w:sz w:val="21"/>
                <w:szCs w:val="21"/>
              </w:rPr>
              <w:t>9</w:t>
            </w:r>
            <w:r w:rsidRPr="006C6F0C">
              <w:rPr>
                <w:rFonts w:cs="Calibri"/>
                <w:color w:val="006100"/>
                <w:sz w:val="21"/>
                <w:szCs w:val="21"/>
              </w:rPr>
              <w:t>%</w:t>
            </w:r>
          </w:p>
        </w:tc>
      </w:tr>
      <w:tr w:rsidR="006C6F0C" w:rsidRPr="00640F0C" w14:paraId="6A0153B2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DBBEF3C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D5A2D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7D50E56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680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5393D93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-7,5%</w:t>
            </w:r>
          </w:p>
        </w:tc>
      </w:tr>
      <w:tr w:rsidR="006C6F0C" w:rsidRPr="00640F0C" w14:paraId="435521D5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FF4B46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9B973A2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A961219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665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4A4139D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-5,3%</w:t>
            </w:r>
          </w:p>
        </w:tc>
      </w:tr>
      <w:tr w:rsidR="006C6F0C" w:rsidRPr="00640F0C" w14:paraId="2BFBC06E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3FFC6B7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677284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5450344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656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23F292F0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-23,7%</w:t>
            </w:r>
          </w:p>
        </w:tc>
      </w:tr>
      <w:tr w:rsidR="006C6F0C" w:rsidRPr="00640F0C" w14:paraId="26E1CA5A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411FB1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70DBD92F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D27C2E8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650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396D083C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-11,5%</w:t>
            </w:r>
          </w:p>
        </w:tc>
      </w:tr>
      <w:tr w:rsidR="006C6F0C" w:rsidRPr="00640F0C" w14:paraId="39FF7287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3F1CAF65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A81813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65471EC7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630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7474A589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-13,3%</w:t>
            </w:r>
          </w:p>
        </w:tc>
      </w:tr>
      <w:tr w:rsidR="006C6F0C" w:rsidRPr="00640F0C" w14:paraId="523A2CF0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7D98554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0EDCAAA8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28B98E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614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0763775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-20,7%</w:t>
            </w:r>
          </w:p>
        </w:tc>
      </w:tr>
      <w:tr w:rsidR="006C6F0C" w:rsidRPr="00640F0C" w14:paraId="6A5018EF" w14:textId="77777777" w:rsidTr="00DF760E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CDADE30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138AA511" w14:textId="77777777" w:rsidR="006C6F0C" w:rsidRPr="006C6F0C" w:rsidRDefault="006C6F0C" w:rsidP="006C6F0C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14:paraId="48EB378B" w14:textId="77777777" w:rsidR="006C6F0C" w:rsidRPr="006C6F0C" w:rsidRDefault="006C6F0C" w:rsidP="00DF760E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6C6F0C">
              <w:rPr>
                <w:rFonts w:cs="Calibri"/>
                <w:sz w:val="21"/>
                <w:szCs w:val="21"/>
              </w:rPr>
              <w:t>519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14:paraId="02BEBC72" w14:textId="77777777" w:rsidR="006C6F0C" w:rsidRPr="006C6F0C" w:rsidRDefault="006C6F0C" w:rsidP="006C6F0C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6C6F0C">
              <w:rPr>
                <w:rFonts w:cs="Calibri"/>
                <w:color w:val="006100"/>
                <w:sz w:val="21"/>
                <w:szCs w:val="21"/>
              </w:rPr>
              <w:t>-15,8%</w:t>
            </w:r>
          </w:p>
        </w:tc>
      </w:tr>
      <w:tr w:rsidR="006A3502" w:rsidRPr="00640F0C" w14:paraId="3B17B4FD" w14:textId="77777777" w:rsidTr="00636A1A">
        <w:tblPrEx>
          <w:shd w:val="clear" w:color="auto" w:fill="CDD4E9"/>
        </w:tblPrEx>
        <w:trPr>
          <w:trHeight w:val="567"/>
          <w:jc w:val="center"/>
        </w:trPr>
        <w:tc>
          <w:tcPr>
            <w:tcW w:w="8217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14:paraId="1DD97985" w14:textId="77777777" w:rsidR="006A3502" w:rsidRPr="00640F0C" w:rsidRDefault="006A3502" w:rsidP="00640F0C">
            <w:pPr>
              <w:spacing w:after="0" w:line="240" w:lineRule="auto"/>
              <w:contextualSpacing/>
              <w:rPr>
                <w:rFonts w:cs="Calibri"/>
                <w:sz w:val="20"/>
                <w:szCs w:val="21"/>
              </w:rPr>
            </w:pPr>
            <w:r w:rsidRPr="00640F0C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</w:t>
            </w:r>
            <w:r w:rsidR="00640F0C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 xml:space="preserve"> Il colore giallo indica l’assenza di variazione percentuale dei nuovi casi rispetto alla settimana precedente.</w:t>
            </w:r>
          </w:p>
        </w:tc>
      </w:tr>
    </w:tbl>
    <w:p w14:paraId="1787274D" w14:textId="77777777" w:rsidR="006A3502" w:rsidRPr="00D44AA7" w:rsidRDefault="006A3502" w:rsidP="0082448E"/>
    <w:sectPr w:rsidR="006A3502" w:rsidRPr="00D44AA7" w:rsidSect="005B4AE1">
      <w:pgSz w:w="11900" w:h="16840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1BDE" w14:textId="77777777" w:rsidR="00DE7E58" w:rsidRDefault="00DE7E58">
      <w:pPr>
        <w:spacing w:after="0" w:line="240" w:lineRule="auto"/>
      </w:pPr>
      <w:r>
        <w:separator/>
      </w:r>
    </w:p>
  </w:endnote>
  <w:endnote w:type="continuationSeparator" w:id="0">
    <w:p w14:paraId="63314BD8" w14:textId="77777777" w:rsidR="00DE7E58" w:rsidRDefault="00DE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7AEC3" w14:textId="77777777" w:rsidR="00DE7E58" w:rsidRDefault="00DE7E58">
      <w:pPr>
        <w:spacing w:after="0" w:line="240" w:lineRule="auto"/>
      </w:pPr>
      <w:r>
        <w:separator/>
      </w:r>
    </w:p>
  </w:footnote>
  <w:footnote w:type="continuationSeparator" w:id="0">
    <w:p w14:paraId="610E09C7" w14:textId="77777777" w:rsidR="00DE7E58" w:rsidRDefault="00DE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05A51"/>
    <w:multiLevelType w:val="hybridMultilevel"/>
    <w:tmpl w:val="4420E3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64F90"/>
    <w:multiLevelType w:val="hybridMultilevel"/>
    <w:tmpl w:val="F800B0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F74CEC"/>
    <w:multiLevelType w:val="hybridMultilevel"/>
    <w:tmpl w:val="66508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292D85"/>
    <w:multiLevelType w:val="hybridMultilevel"/>
    <w:tmpl w:val="7AB0174C"/>
    <w:lvl w:ilvl="0" w:tplc="2B98D6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542D08"/>
    <w:multiLevelType w:val="hybridMultilevel"/>
    <w:tmpl w:val="D9648E6E"/>
    <w:lvl w:ilvl="0" w:tplc="82C65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84117"/>
    <w:multiLevelType w:val="hybridMultilevel"/>
    <w:tmpl w:val="8A961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33"/>
  </w:num>
  <w:num w:numId="5">
    <w:abstractNumId w:val="12"/>
  </w:num>
  <w:num w:numId="6">
    <w:abstractNumId w:val="19"/>
  </w:num>
  <w:num w:numId="7">
    <w:abstractNumId w:val="10"/>
  </w:num>
  <w:num w:numId="8">
    <w:abstractNumId w:val="28"/>
  </w:num>
  <w:num w:numId="9">
    <w:abstractNumId w:val="30"/>
  </w:num>
  <w:num w:numId="10">
    <w:abstractNumId w:val="23"/>
  </w:num>
  <w:num w:numId="11">
    <w:abstractNumId w:val="16"/>
  </w:num>
  <w:num w:numId="12">
    <w:abstractNumId w:val="38"/>
  </w:num>
  <w:num w:numId="13">
    <w:abstractNumId w:val="42"/>
  </w:num>
  <w:num w:numId="14">
    <w:abstractNumId w:val="8"/>
  </w:num>
  <w:num w:numId="15">
    <w:abstractNumId w:val="36"/>
  </w:num>
  <w:num w:numId="16">
    <w:abstractNumId w:val="31"/>
  </w:num>
  <w:num w:numId="17">
    <w:abstractNumId w:val="37"/>
  </w:num>
  <w:num w:numId="18">
    <w:abstractNumId w:val="20"/>
  </w:num>
  <w:num w:numId="19">
    <w:abstractNumId w:val="24"/>
  </w:num>
  <w:num w:numId="20">
    <w:abstractNumId w:val="4"/>
  </w:num>
  <w:num w:numId="21">
    <w:abstractNumId w:val="7"/>
  </w:num>
  <w:num w:numId="22">
    <w:abstractNumId w:val="40"/>
  </w:num>
  <w:num w:numId="23">
    <w:abstractNumId w:val="17"/>
  </w:num>
  <w:num w:numId="24">
    <w:abstractNumId w:val="22"/>
  </w:num>
  <w:num w:numId="25">
    <w:abstractNumId w:val="0"/>
  </w:num>
  <w:num w:numId="26">
    <w:abstractNumId w:val="25"/>
  </w:num>
  <w:num w:numId="27">
    <w:abstractNumId w:val="5"/>
  </w:num>
  <w:num w:numId="28">
    <w:abstractNumId w:val="27"/>
  </w:num>
  <w:num w:numId="29">
    <w:abstractNumId w:val="34"/>
  </w:num>
  <w:num w:numId="30">
    <w:abstractNumId w:val="41"/>
  </w:num>
  <w:num w:numId="31">
    <w:abstractNumId w:val="2"/>
  </w:num>
  <w:num w:numId="32">
    <w:abstractNumId w:val="3"/>
  </w:num>
  <w:num w:numId="33">
    <w:abstractNumId w:val="32"/>
  </w:num>
  <w:num w:numId="34">
    <w:abstractNumId w:val="11"/>
  </w:num>
  <w:num w:numId="35">
    <w:abstractNumId w:val="14"/>
  </w:num>
  <w:num w:numId="36">
    <w:abstractNumId w:val="35"/>
  </w:num>
  <w:num w:numId="37">
    <w:abstractNumId w:val="9"/>
  </w:num>
  <w:num w:numId="38">
    <w:abstractNumId w:val="21"/>
  </w:num>
  <w:num w:numId="39">
    <w:abstractNumId w:val="18"/>
  </w:num>
  <w:num w:numId="40">
    <w:abstractNumId w:val="39"/>
  </w:num>
  <w:num w:numId="41">
    <w:abstractNumId w:val="26"/>
  </w:num>
  <w:num w:numId="42">
    <w:abstractNumId w:val="29"/>
  </w:num>
  <w:num w:numId="43">
    <w:abstractNumId w:val="13"/>
  </w:num>
  <w:num w:numId="44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35D6"/>
    <w:rsid w:val="000043C6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C7B"/>
    <w:rsid w:val="00015574"/>
    <w:rsid w:val="00015BAE"/>
    <w:rsid w:val="000165C3"/>
    <w:rsid w:val="00016690"/>
    <w:rsid w:val="00016F1A"/>
    <w:rsid w:val="00017890"/>
    <w:rsid w:val="0002043C"/>
    <w:rsid w:val="000206F4"/>
    <w:rsid w:val="0002125E"/>
    <w:rsid w:val="00021C19"/>
    <w:rsid w:val="000222A5"/>
    <w:rsid w:val="00023784"/>
    <w:rsid w:val="00023CE6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C36"/>
    <w:rsid w:val="00057E5F"/>
    <w:rsid w:val="00057F3D"/>
    <w:rsid w:val="00060277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6A75"/>
    <w:rsid w:val="00067039"/>
    <w:rsid w:val="000673B6"/>
    <w:rsid w:val="00067A2E"/>
    <w:rsid w:val="00067B8B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487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1CFE"/>
    <w:rsid w:val="000C1E98"/>
    <w:rsid w:val="000C22FE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717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8E1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4EC3"/>
    <w:rsid w:val="0014500F"/>
    <w:rsid w:val="00145D4E"/>
    <w:rsid w:val="00146286"/>
    <w:rsid w:val="00146CE5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64"/>
    <w:rsid w:val="001876F5"/>
    <w:rsid w:val="00187DC9"/>
    <w:rsid w:val="00187E43"/>
    <w:rsid w:val="00187EBF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A33"/>
    <w:rsid w:val="001C3B3C"/>
    <w:rsid w:val="001C3D01"/>
    <w:rsid w:val="001C3E66"/>
    <w:rsid w:val="001C5612"/>
    <w:rsid w:val="001C5B0D"/>
    <w:rsid w:val="001C5BD4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F74"/>
    <w:rsid w:val="001E1FB2"/>
    <w:rsid w:val="001E2196"/>
    <w:rsid w:val="001E2453"/>
    <w:rsid w:val="001E297F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A20"/>
    <w:rsid w:val="002330ED"/>
    <w:rsid w:val="002330F2"/>
    <w:rsid w:val="00234360"/>
    <w:rsid w:val="00234498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57704"/>
    <w:rsid w:val="002611A3"/>
    <w:rsid w:val="00261A98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39E8"/>
    <w:rsid w:val="002739EC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06E"/>
    <w:rsid w:val="0028387B"/>
    <w:rsid w:val="00283C22"/>
    <w:rsid w:val="00283CCD"/>
    <w:rsid w:val="002846B6"/>
    <w:rsid w:val="0028485A"/>
    <w:rsid w:val="00284E3A"/>
    <w:rsid w:val="002851AE"/>
    <w:rsid w:val="00285319"/>
    <w:rsid w:val="00286961"/>
    <w:rsid w:val="00286F0E"/>
    <w:rsid w:val="002870DE"/>
    <w:rsid w:val="0028739D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4A74"/>
    <w:rsid w:val="002E63F1"/>
    <w:rsid w:val="002E732B"/>
    <w:rsid w:val="002E76BD"/>
    <w:rsid w:val="002E7BAF"/>
    <w:rsid w:val="002E7C81"/>
    <w:rsid w:val="002E7DD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555"/>
    <w:rsid w:val="0030169F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2065"/>
    <w:rsid w:val="0034228C"/>
    <w:rsid w:val="003422C4"/>
    <w:rsid w:val="00342417"/>
    <w:rsid w:val="003425B7"/>
    <w:rsid w:val="00342A3A"/>
    <w:rsid w:val="0034324C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4DD"/>
    <w:rsid w:val="00353CBD"/>
    <w:rsid w:val="00354B9D"/>
    <w:rsid w:val="0035543D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4B8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728"/>
    <w:rsid w:val="0038374F"/>
    <w:rsid w:val="00383868"/>
    <w:rsid w:val="00383A18"/>
    <w:rsid w:val="00383A7C"/>
    <w:rsid w:val="00383FBD"/>
    <w:rsid w:val="00384423"/>
    <w:rsid w:val="00385025"/>
    <w:rsid w:val="00385142"/>
    <w:rsid w:val="003853B3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D6"/>
    <w:rsid w:val="003906D7"/>
    <w:rsid w:val="003908B8"/>
    <w:rsid w:val="003908DD"/>
    <w:rsid w:val="00390A09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47EA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D44"/>
    <w:rsid w:val="003F434E"/>
    <w:rsid w:val="003F4BBB"/>
    <w:rsid w:val="003F5167"/>
    <w:rsid w:val="003F534E"/>
    <w:rsid w:val="003F5612"/>
    <w:rsid w:val="003F6849"/>
    <w:rsid w:val="003F6A5F"/>
    <w:rsid w:val="003F6A89"/>
    <w:rsid w:val="003F6C05"/>
    <w:rsid w:val="003F7223"/>
    <w:rsid w:val="003F7469"/>
    <w:rsid w:val="003F7493"/>
    <w:rsid w:val="003F7555"/>
    <w:rsid w:val="003F77B9"/>
    <w:rsid w:val="00400FA8"/>
    <w:rsid w:val="0040190A"/>
    <w:rsid w:val="00401C4B"/>
    <w:rsid w:val="004024E8"/>
    <w:rsid w:val="00402E63"/>
    <w:rsid w:val="00403151"/>
    <w:rsid w:val="00403312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0FBD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7326"/>
    <w:rsid w:val="00417C5E"/>
    <w:rsid w:val="00417D75"/>
    <w:rsid w:val="00417F28"/>
    <w:rsid w:val="00420736"/>
    <w:rsid w:val="00421389"/>
    <w:rsid w:val="004222A8"/>
    <w:rsid w:val="0042267C"/>
    <w:rsid w:val="00422E3F"/>
    <w:rsid w:val="004230E7"/>
    <w:rsid w:val="0042340E"/>
    <w:rsid w:val="004235BB"/>
    <w:rsid w:val="00423AFE"/>
    <w:rsid w:val="00423EC1"/>
    <w:rsid w:val="00424065"/>
    <w:rsid w:val="00424111"/>
    <w:rsid w:val="004243B2"/>
    <w:rsid w:val="0042539D"/>
    <w:rsid w:val="004254C7"/>
    <w:rsid w:val="0042568F"/>
    <w:rsid w:val="00426290"/>
    <w:rsid w:val="004262FC"/>
    <w:rsid w:val="00431177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C1D"/>
    <w:rsid w:val="00433412"/>
    <w:rsid w:val="00434350"/>
    <w:rsid w:val="00434FB1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468"/>
    <w:rsid w:val="004516C9"/>
    <w:rsid w:val="00451CF0"/>
    <w:rsid w:val="00451EEA"/>
    <w:rsid w:val="004525A4"/>
    <w:rsid w:val="00453366"/>
    <w:rsid w:val="004535DC"/>
    <w:rsid w:val="0045421C"/>
    <w:rsid w:val="00454452"/>
    <w:rsid w:val="004550B5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78B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CE"/>
    <w:rsid w:val="004B50C4"/>
    <w:rsid w:val="004B512D"/>
    <w:rsid w:val="004B5C6E"/>
    <w:rsid w:val="004B5CB6"/>
    <w:rsid w:val="004B6407"/>
    <w:rsid w:val="004B6438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3357"/>
    <w:rsid w:val="004C373C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5FE"/>
    <w:rsid w:val="004D26F0"/>
    <w:rsid w:val="004D291A"/>
    <w:rsid w:val="004D2A97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60C7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506C"/>
    <w:rsid w:val="004E555F"/>
    <w:rsid w:val="004E556B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9CD"/>
    <w:rsid w:val="004F4849"/>
    <w:rsid w:val="004F5848"/>
    <w:rsid w:val="004F58B7"/>
    <w:rsid w:val="004F5DA1"/>
    <w:rsid w:val="004F6556"/>
    <w:rsid w:val="004F6E84"/>
    <w:rsid w:val="004F70C6"/>
    <w:rsid w:val="004F798A"/>
    <w:rsid w:val="0050002C"/>
    <w:rsid w:val="00500148"/>
    <w:rsid w:val="00500C6B"/>
    <w:rsid w:val="00500CDB"/>
    <w:rsid w:val="00501B5F"/>
    <w:rsid w:val="00502D2D"/>
    <w:rsid w:val="00502D2F"/>
    <w:rsid w:val="00502EE7"/>
    <w:rsid w:val="00503C5E"/>
    <w:rsid w:val="00504001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6B0"/>
    <w:rsid w:val="005258F7"/>
    <w:rsid w:val="005265EC"/>
    <w:rsid w:val="005268E4"/>
    <w:rsid w:val="00526970"/>
    <w:rsid w:val="00526D10"/>
    <w:rsid w:val="00526D94"/>
    <w:rsid w:val="00526DCB"/>
    <w:rsid w:val="00526FCF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8E5"/>
    <w:rsid w:val="00584F59"/>
    <w:rsid w:val="0058541C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338C"/>
    <w:rsid w:val="00593AE5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34C"/>
    <w:rsid w:val="005A4857"/>
    <w:rsid w:val="005A52DD"/>
    <w:rsid w:val="005A5433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392C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6FAA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BD2"/>
    <w:rsid w:val="006222EF"/>
    <w:rsid w:val="00622835"/>
    <w:rsid w:val="00622991"/>
    <w:rsid w:val="00623175"/>
    <w:rsid w:val="006236A4"/>
    <w:rsid w:val="006237F8"/>
    <w:rsid w:val="00623C8E"/>
    <w:rsid w:val="00624679"/>
    <w:rsid w:val="00624898"/>
    <w:rsid w:val="006248CB"/>
    <w:rsid w:val="00624DFE"/>
    <w:rsid w:val="00626103"/>
    <w:rsid w:val="0062682F"/>
    <w:rsid w:val="00627F3B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764"/>
    <w:rsid w:val="00641859"/>
    <w:rsid w:val="00641BE8"/>
    <w:rsid w:val="00641C3F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88F"/>
    <w:rsid w:val="00653A32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CB5"/>
    <w:rsid w:val="00670CBD"/>
    <w:rsid w:val="00670CE4"/>
    <w:rsid w:val="0067173B"/>
    <w:rsid w:val="00671935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5C87"/>
    <w:rsid w:val="006761A1"/>
    <w:rsid w:val="00676314"/>
    <w:rsid w:val="00676B7B"/>
    <w:rsid w:val="006771CE"/>
    <w:rsid w:val="00677ADA"/>
    <w:rsid w:val="00677B01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C1B"/>
    <w:rsid w:val="006875D7"/>
    <w:rsid w:val="006878E8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5005"/>
    <w:rsid w:val="00696029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4603"/>
    <w:rsid w:val="006C515D"/>
    <w:rsid w:val="006C5FDC"/>
    <w:rsid w:val="006C6333"/>
    <w:rsid w:val="006C6F0C"/>
    <w:rsid w:val="006C7761"/>
    <w:rsid w:val="006C78E5"/>
    <w:rsid w:val="006C79D4"/>
    <w:rsid w:val="006D0DB7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01F"/>
    <w:rsid w:val="006F626D"/>
    <w:rsid w:val="006F6446"/>
    <w:rsid w:val="006F6B3E"/>
    <w:rsid w:val="006F7494"/>
    <w:rsid w:val="006F7DB6"/>
    <w:rsid w:val="00700DD0"/>
    <w:rsid w:val="00701098"/>
    <w:rsid w:val="0070117D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179CD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E5"/>
    <w:rsid w:val="007267B6"/>
    <w:rsid w:val="00726D38"/>
    <w:rsid w:val="00726EC3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D3E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87D95"/>
    <w:rsid w:val="00790569"/>
    <w:rsid w:val="00790AC7"/>
    <w:rsid w:val="00790EA2"/>
    <w:rsid w:val="0079118B"/>
    <w:rsid w:val="007915AC"/>
    <w:rsid w:val="007917C5"/>
    <w:rsid w:val="00791C99"/>
    <w:rsid w:val="00791E54"/>
    <w:rsid w:val="0079245C"/>
    <w:rsid w:val="00792A25"/>
    <w:rsid w:val="0079301A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2FB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6181"/>
    <w:rsid w:val="007C6E4D"/>
    <w:rsid w:val="007C7630"/>
    <w:rsid w:val="007C7C66"/>
    <w:rsid w:val="007C7E75"/>
    <w:rsid w:val="007D03C2"/>
    <w:rsid w:val="007D04B4"/>
    <w:rsid w:val="007D0AAB"/>
    <w:rsid w:val="007D0B01"/>
    <w:rsid w:val="007D101B"/>
    <w:rsid w:val="007D10E0"/>
    <w:rsid w:val="007D1633"/>
    <w:rsid w:val="007D1A69"/>
    <w:rsid w:val="007D2352"/>
    <w:rsid w:val="007D2680"/>
    <w:rsid w:val="007D29FD"/>
    <w:rsid w:val="007D2BB8"/>
    <w:rsid w:val="007D2BED"/>
    <w:rsid w:val="007D2CB1"/>
    <w:rsid w:val="007D3167"/>
    <w:rsid w:val="007D3363"/>
    <w:rsid w:val="007D35EE"/>
    <w:rsid w:val="007D3BDB"/>
    <w:rsid w:val="007D47A3"/>
    <w:rsid w:val="007D50FA"/>
    <w:rsid w:val="007D5A05"/>
    <w:rsid w:val="007D5B87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34AE"/>
    <w:rsid w:val="0081366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2D49"/>
    <w:rsid w:val="008431AE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91E"/>
    <w:rsid w:val="00852C4B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78A"/>
    <w:rsid w:val="00870881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0F4"/>
    <w:rsid w:val="008823A3"/>
    <w:rsid w:val="0088256B"/>
    <w:rsid w:val="008828C6"/>
    <w:rsid w:val="008828FB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10DD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35F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D59"/>
    <w:rsid w:val="008D5B8B"/>
    <w:rsid w:val="008D5E84"/>
    <w:rsid w:val="008D5FB8"/>
    <w:rsid w:val="008D6312"/>
    <w:rsid w:val="008D6B31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68C"/>
    <w:rsid w:val="009117ED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0F83"/>
    <w:rsid w:val="009B13A0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32A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979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6B95"/>
    <w:rsid w:val="00A3777A"/>
    <w:rsid w:val="00A37905"/>
    <w:rsid w:val="00A37F61"/>
    <w:rsid w:val="00A40A07"/>
    <w:rsid w:val="00A40F01"/>
    <w:rsid w:val="00A42390"/>
    <w:rsid w:val="00A4253C"/>
    <w:rsid w:val="00A42754"/>
    <w:rsid w:val="00A42F56"/>
    <w:rsid w:val="00A438B3"/>
    <w:rsid w:val="00A43AD7"/>
    <w:rsid w:val="00A43FB6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6A9"/>
    <w:rsid w:val="00A60B78"/>
    <w:rsid w:val="00A60D85"/>
    <w:rsid w:val="00A61C84"/>
    <w:rsid w:val="00A62994"/>
    <w:rsid w:val="00A63DE4"/>
    <w:rsid w:val="00A63F18"/>
    <w:rsid w:val="00A64725"/>
    <w:rsid w:val="00A64FB3"/>
    <w:rsid w:val="00A65035"/>
    <w:rsid w:val="00A65245"/>
    <w:rsid w:val="00A65462"/>
    <w:rsid w:val="00A65DC3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D8D"/>
    <w:rsid w:val="00AB009D"/>
    <w:rsid w:val="00AB0C65"/>
    <w:rsid w:val="00AB1094"/>
    <w:rsid w:val="00AB1454"/>
    <w:rsid w:val="00AB145A"/>
    <w:rsid w:val="00AB1727"/>
    <w:rsid w:val="00AB1BD7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CE2"/>
    <w:rsid w:val="00AC7409"/>
    <w:rsid w:val="00AC7AE1"/>
    <w:rsid w:val="00AD04AB"/>
    <w:rsid w:val="00AD0D1E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D96"/>
    <w:rsid w:val="00AF5F63"/>
    <w:rsid w:val="00AF6134"/>
    <w:rsid w:val="00AF6256"/>
    <w:rsid w:val="00AF658F"/>
    <w:rsid w:val="00AF6AB2"/>
    <w:rsid w:val="00AF6DD7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692"/>
    <w:rsid w:val="00B02719"/>
    <w:rsid w:val="00B02B17"/>
    <w:rsid w:val="00B03E87"/>
    <w:rsid w:val="00B03FFD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E6"/>
    <w:rsid w:val="00B153B3"/>
    <w:rsid w:val="00B1544D"/>
    <w:rsid w:val="00B157BD"/>
    <w:rsid w:val="00B16997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27D7D"/>
    <w:rsid w:val="00B305F0"/>
    <w:rsid w:val="00B30632"/>
    <w:rsid w:val="00B307DE"/>
    <w:rsid w:val="00B30901"/>
    <w:rsid w:val="00B30C5E"/>
    <w:rsid w:val="00B31940"/>
    <w:rsid w:val="00B31DC3"/>
    <w:rsid w:val="00B32455"/>
    <w:rsid w:val="00B324DC"/>
    <w:rsid w:val="00B325DD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961"/>
    <w:rsid w:val="00B42CCD"/>
    <w:rsid w:val="00B42E1B"/>
    <w:rsid w:val="00B42E4C"/>
    <w:rsid w:val="00B4367F"/>
    <w:rsid w:val="00B43A83"/>
    <w:rsid w:val="00B43AF3"/>
    <w:rsid w:val="00B443E3"/>
    <w:rsid w:val="00B46108"/>
    <w:rsid w:val="00B4610A"/>
    <w:rsid w:val="00B4655D"/>
    <w:rsid w:val="00B46AEB"/>
    <w:rsid w:val="00B46C56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201F"/>
    <w:rsid w:val="00B7225F"/>
    <w:rsid w:val="00B72563"/>
    <w:rsid w:val="00B72828"/>
    <w:rsid w:val="00B728C4"/>
    <w:rsid w:val="00B7322A"/>
    <w:rsid w:val="00B735D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3BA4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719"/>
    <w:rsid w:val="00BD4B0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B62"/>
    <w:rsid w:val="00BE6C5B"/>
    <w:rsid w:val="00BE6EF9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6727"/>
    <w:rsid w:val="00C07B82"/>
    <w:rsid w:val="00C10293"/>
    <w:rsid w:val="00C10469"/>
    <w:rsid w:val="00C10693"/>
    <w:rsid w:val="00C10D93"/>
    <w:rsid w:val="00C11059"/>
    <w:rsid w:val="00C112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40581"/>
    <w:rsid w:val="00C40A92"/>
    <w:rsid w:val="00C40B0B"/>
    <w:rsid w:val="00C41089"/>
    <w:rsid w:val="00C4182B"/>
    <w:rsid w:val="00C41B42"/>
    <w:rsid w:val="00C42751"/>
    <w:rsid w:val="00C4313A"/>
    <w:rsid w:val="00C43985"/>
    <w:rsid w:val="00C43BFF"/>
    <w:rsid w:val="00C43E99"/>
    <w:rsid w:val="00C44288"/>
    <w:rsid w:val="00C44312"/>
    <w:rsid w:val="00C4440A"/>
    <w:rsid w:val="00C44A70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2B5"/>
    <w:rsid w:val="00CA0901"/>
    <w:rsid w:val="00CA1A31"/>
    <w:rsid w:val="00CA225A"/>
    <w:rsid w:val="00CA324C"/>
    <w:rsid w:val="00CA3559"/>
    <w:rsid w:val="00CA44B3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C68"/>
    <w:rsid w:val="00CB369B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486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A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365"/>
    <w:rsid w:val="00D316FA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1EEA"/>
    <w:rsid w:val="00D62A37"/>
    <w:rsid w:val="00D62CC9"/>
    <w:rsid w:val="00D62D11"/>
    <w:rsid w:val="00D6336F"/>
    <w:rsid w:val="00D63707"/>
    <w:rsid w:val="00D63890"/>
    <w:rsid w:val="00D63D7A"/>
    <w:rsid w:val="00D645E9"/>
    <w:rsid w:val="00D64DEC"/>
    <w:rsid w:val="00D6523B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D69"/>
    <w:rsid w:val="00D73279"/>
    <w:rsid w:val="00D744AC"/>
    <w:rsid w:val="00D74646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4A4"/>
    <w:rsid w:val="00D8764F"/>
    <w:rsid w:val="00D87BFE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2084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9C"/>
    <w:rsid w:val="00DE5F4A"/>
    <w:rsid w:val="00DE6192"/>
    <w:rsid w:val="00DE6727"/>
    <w:rsid w:val="00DE68D8"/>
    <w:rsid w:val="00DE6AA0"/>
    <w:rsid w:val="00DE6EE2"/>
    <w:rsid w:val="00DE7474"/>
    <w:rsid w:val="00DE7E58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4681"/>
    <w:rsid w:val="00DF4F27"/>
    <w:rsid w:val="00DF56AC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2403"/>
    <w:rsid w:val="00E027E8"/>
    <w:rsid w:val="00E03BC7"/>
    <w:rsid w:val="00E03DD2"/>
    <w:rsid w:val="00E0496B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1DD1"/>
    <w:rsid w:val="00E32526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2"/>
    <w:rsid w:val="00E5730C"/>
    <w:rsid w:val="00E600E6"/>
    <w:rsid w:val="00E605BC"/>
    <w:rsid w:val="00E60808"/>
    <w:rsid w:val="00E6094F"/>
    <w:rsid w:val="00E61326"/>
    <w:rsid w:val="00E61434"/>
    <w:rsid w:val="00E614AA"/>
    <w:rsid w:val="00E61535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3D1"/>
    <w:rsid w:val="00E9541D"/>
    <w:rsid w:val="00E95958"/>
    <w:rsid w:val="00E96D96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149"/>
    <w:rsid w:val="00EB0206"/>
    <w:rsid w:val="00EB034D"/>
    <w:rsid w:val="00EB040E"/>
    <w:rsid w:val="00EB1389"/>
    <w:rsid w:val="00EB16CF"/>
    <w:rsid w:val="00EB21C9"/>
    <w:rsid w:val="00EB2782"/>
    <w:rsid w:val="00EB2EE9"/>
    <w:rsid w:val="00EB3216"/>
    <w:rsid w:val="00EB3A2B"/>
    <w:rsid w:val="00EB493D"/>
    <w:rsid w:val="00EB4A40"/>
    <w:rsid w:val="00EB50A0"/>
    <w:rsid w:val="00EB5BE2"/>
    <w:rsid w:val="00EB63CA"/>
    <w:rsid w:val="00EB6539"/>
    <w:rsid w:val="00EB6697"/>
    <w:rsid w:val="00EB679B"/>
    <w:rsid w:val="00EB7C30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A39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6E2"/>
    <w:rsid w:val="00EF28EE"/>
    <w:rsid w:val="00EF2E75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ACF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12A7"/>
    <w:rsid w:val="00F317C1"/>
    <w:rsid w:val="00F31B40"/>
    <w:rsid w:val="00F3221C"/>
    <w:rsid w:val="00F32DA0"/>
    <w:rsid w:val="00F32FC8"/>
    <w:rsid w:val="00F3347A"/>
    <w:rsid w:val="00F337C1"/>
    <w:rsid w:val="00F33BF0"/>
    <w:rsid w:val="00F33CE4"/>
    <w:rsid w:val="00F34894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3424"/>
    <w:rsid w:val="00F43DFC"/>
    <w:rsid w:val="00F43FE9"/>
    <w:rsid w:val="00F441F1"/>
    <w:rsid w:val="00F44541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2F2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6DD"/>
    <w:rsid w:val="00F7077A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875F8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75"/>
    <w:rsid w:val="00FA0A87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60F0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1BF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4214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C2084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publications-data/spread-sars-cov-2-omicron-variant-sub-lineage-bq1-eueea" TargetMode="External"/><Relationship Id="rId13" Type="http://schemas.openxmlformats.org/officeDocument/2006/relationships/hyperlink" Target="https://github.com/italia/covid19-opendata-vaccini/blob/master/dati/platea-second-booster.csv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salute.gov.it/portale/nuovocoronavirus/Circolare23settembre2022.pdf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ovanorme.salute.gov.it/norme/renderNormsanPdf?anno=2022&amp;codLeg=88794&amp;parte=1%20&amp;serie=null" TargetMode="Externa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ufficio.stampa@gimbe.or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10" Type="http://schemas.openxmlformats.org/officeDocument/2006/relationships/hyperlink" Target="https://github.com/italia/covid19-opendata-vaccini/blob/master/dati/platea-dose-addizionale-booster.csv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picentro.iss.it/coronavirus/bollettino/Bollettino-sorveglianza-integrata-COVID-19_19-ottobre-2022.pdf" TargetMode="External"/><Relationship Id="rId14" Type="http://schemas.openxmlformats.org/officeDocument/2006/relationships/hyperlink" Target="https://coronavirus.gimbe.org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4606-C7B3-41DC-B477-6146F897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2356</Words>
  <Characters>13435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6</cp:revision>
  <cp:lastPrinted>2022-08-24T13:12:00Z</cp:lastPrinted>
  <dcterms:created xsi:type="dcterms:W3CDTF">2022-10-26T13:27:00Z</dcterms:created>
  <dcterms:modified xsi:type="dcterms:W3CDTF">2022-10-27T06:29:00Z</dcterms:modified>
</cp:coreProperties>
</file>