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2F117B" w:rsidRPr="000F56B7" w:rsidRDefault="00AA2946" w:rsidP="002F117B">
      <w:pPr>
        <w:spacing w:after="120"/>
        <w:jc w:val="center"/>
        <w:rPr>
          <w:b/>
          <w:sz w:val="36"/>
          <w:szCs w:val="36"/>
          <w:lang w:eastAsia="it-IT"/>
        </w:rPr>
      </w:pPr>
      <w:r w:rsidRPr="000F56B7">
        <w:rPr>
          <w:b/>
          <w:sz w:val="36"/>
          <w:szCs w:val="36"/>
          <w:lang w:eastAsia="it-IT"/>
        </w:rPr>
        <w:t xml:space="preserve">CORONAVIRUS: </w:t>
      </w:r>
      <w:r>
        <w:rPr>
          <w:b/>
          <w:sz w:val="36"/>
          <w:szCs w:val="36"/>
          <w:lang w:eastAsia="it-IT"/>
        </w:rPr>
        <w:t>QUASI 34 MILA CASI ATTUALMENTE POSITIVI.</w:t>
      </w:r>
      <w:r w:rsidRPr="000F56B7">
        <w:rPr>
          <w:b/>
          <w:sz w:val="36"/>
          <w:szCs w:val="36"/>
          <w:lang w:eastAsia="it-IT"/>
        </w:rPr>
        <w:t xml:space="preserve"> </w:t>
      </w:r>
      <w:r>
        <w:rPr>
          <w:b/>
          <w:sz w:val="36"/>
          <w:szCs w:val="36"/>
          <w:lang w:eastAsia="it-IT"/>
        </w:rPr>
        <w:br/>
        <w:t>AUMENTANO RICOVERI</w:t>
      </w:r>
      <w:r w:rsidRPr="000F56B7">
        <w:rPr>
          <w:b/>
          <w:sz w:val="36"/>
          <w:szCs w:val="36"/>
          <w:lang w:eastAsia="it-IT"/>
        </w:rPr>
        <w:t xml:space="preserve"> E </w:t>
      </w:r>
      <w:r>
        <w:rPr>
          <w:b/>
          <w:sz w:val="36"/>
          <w:szCs w:val="36"/>
          <w:lang w:eastAsia="it-IT"/>
        </w:rPr>
        <w:t xml:space="preserve">TERAPIE INTENSIVE, </w:t>
      </w:r>
      <w:r>
        <w:rPr>
          <w:b/>
          <w:sz w:val="36"/>
          <w:szCs w:val="36"/>
          <w:lang w:eastAsia="it-IT"/>
        </w:rPr>
        <w:br/>
      </w:r>
      <w:r w:rsidRPr="000F56B7">
        <w:rPr>
          <w:b/>
          <w:sz w:val="36"/>
          <w:szCs w:val="36"/>
          <w:lang w:eastAsia="it-IT"/>
        </w:rPr>
        <w:t>RALLENTA</w:t>
      </w:r>
      <w:r>
        <w:rPr>
          <w:b/>
          <w:sz w:val="36"/>
          <w:szCs w:val="36"/>
          <w:lang w:eastAsia="it-IT"/>
        </w:rPr>
        <w:t xml:space="preserve"> LA CRESCITA DEI NUOVI CASI</w:t>
      </w:r>
      <w:r w:rsidRPr="000F56B7">
        <w:rPr>
          <w:b/>
          <w:sz w:val="36"/>
          <w:szCs w:val="36"/>
          <w:lang w:eastAsia="it-IT"/>
        </w:rPr>
        <w:t xml:space="preserve"> </w:t>
      </w:r>
    </w:p>
    <w:p w:rsidR="008F1BD5" w:rsidRPr="000F56B7" w:rsidRDefault="003B761A" w:rsidP="00F96F71">
      <w:pPr>
        <w:spacing w:after="120"/>
        <w:jc w:val="both"/>
        <w:rPr>
          <w:b/>
          <w:color w:val="FF0000"/>
          <w:sz w:val="23"/>
          <w:szCs w:val="23"/>
          <w:lang w:eastAsia="it-IT"/>
        </w:rPr>
      </w:pPr>
      <w:bookmarkStart w:id="0" w:name="_GoBack"/>
      <w:r w:rsidRPr="009F5F16">
        <w:rPr>
          <w:b/>
          <w:sz w:val="23"/>
          <w:szCs w:val="23"/>
          <w:lang w:eastAsia="it-IT"/>
        </w:rPr>
        <w:t xml:space="preserve">NELLA SETTIMANA </w:t>
      </w:r>
      <w:r w:rsidR="000F56B7" w:rsidRPr="009F5F16">
        <w:rPr>
          <w:b/>
          <w:sz w:val="23"/>
          <w:szCs w:val="23"/>
          <w:lang w:eastAsia="it-IT"/>
        </w:rPr>
        <w:t>2-8</w:t>
      </w:r>
      <w:r w:rsidR="00F20599">
        <w:rPr>
          <w:b/>
          <w:sz w:val="23"/>
          <w:szCs w:val="23"/>
          <w:lang w:eastAsia="it-IT"/>
        </w:rPr>
        <w:t xml:space="preserve"> SETTEMBRE </w:t>
      </w:r>
      <w:r w:rsidR="009F5F16">
        <w:rPr>
          <w:b/>
          <w:sz w:val="23"/>
          <w:szCs w:val="23"/>
          <w:lang w:eastAsia="it-IT"/>
        </w:rPr>
        <w:t>AUMENTANO PIÙ LENTAMENTE I</w:t>
      </w:r>
      <w:r w:rsidRPr="009F5F16">
        <w:rPr>
          <w:b/>
          <w:sz w:val="23"/>
          <w:szCs w:val="23"/>
          <w:lang w:eastAsia="it-IT"/>
        </w:rPr>
        <w:t xml:space="preserve"> NUOVI </w:t>
      </w:r>
      <w:r w:rsidRPr="00580652">
        <w:rPr>
          <w:b/>
          <w:sz w:val="23"/>
          <w:szCs w:val="23"/>
          <w:lang w:eastAsia="it-IT"/>
        </w:rPr>
        <w:t>CASI (</w:t>
      </w:r>
      <w:r w:rsidR="00F20599" w:rsidRPr="00F20599">
        <w:rPr>
          <w:b/>
          <w:sz w:val="23"/>
          <w:szCs w:val="23"/>
          <w:lang w:eastAsia="it-IT"/>
        </w:rPr>
        <w:t>9.964</w:t>
      </w:r>
      <w:r w:rsidRPr="00580652">
        <w:rPr>
          <w:b/>
          <w:sz w:val="23"/>
          <w:szCs w:val="23"/>
          <w:lang w:eastAsia="it-IT"/>
        </w:rPr>
        <w:t xml:space="preserve">), MA </w:t>
      </w:r>
      <w:r w:rsidR="009F5F16">
        <w:rPr>
          <w:b/>
        </w:rPr>
        <w:t xml:space="preserve">CONTINUA AD </w:t>
      </w:r>
      <w:r w:rsidR="00FD5498">
        <w:rPr>
          <w:b/>
        </w:rPr>
        <w:t xml:space="preserve">AMPLIARSI </w:t>
      </w:r>
      <w:r w:rsidR="009F5F16">
        <w:rPr>
          <w:b/>
        </w:rPr>
        <w:t xml:space="preserve">IL BACINO DEI </w:t>
      </w:r>
      <w:r w:rsidR="009F5F16" w:rsidRPr="0022254C">
        <w:rPr>
          <w:b/>
        </w:rPr>
        <w:t>CASI ATTUALMENTE POSITIVI</w:t>
      </w:r>
      <w:r w:rsidR="009F5F16">
        <w:rPr>
          <w:b/>
          <w:sz w:val="23"/>
          <w:szCs w:val="23"/>
          <w:lang w:eastAsia="it-IT"/>
        </w:rPr>
        <w:t xml:space="preserve"> (</w:t>
      </w:r>
      <w:r w:rsidR="00F20599">
        <w:rPr>
          <w:b/>
          <w:sz w:val="23"/>
          <w:szCs w:val="23"/>
          <w:lang w:eastAsia="it-IT"/>
        </w:rPr>
        <w:t>33.</w:t>
      </w:r>
      <w:r w:rsidR="009F5F16" w:rsidRPr="009F5F16">
        <w:rPr>
          <w:b/>
          <w:sz w:val="23"/>
          <w:szCs w:val="23"/>
          <w:lang w:eastAsia="it-IT"/>
        </w:rPr>
        <w:t>7</w:t>
      </w:r>
      <w:r w:rsidR="00F20599">
        <w:rPr>
          <w:b/>
          <w:sz w:val="23"/>
          <w:szCs w:val="23"/>
          <w:lang w:eastAsia="it-IT"/>
        </w:rPr>
        <w:t>89</w:t>
      </w:r>
      <w:r w:rsidR="009F5F16">
        <w:rPr>
          <w:b/>
          <w:sz w:val="23"/>
          <w:szCs w:val="23"/>
          <w:lang w:eastAsia="it-IT"/>
        </w:rPr>
        <w:t>)</w:t>
      </w:r>
      <w:r w:rsidR="00D02BD5">
        <w:rPr>
          <w:b/>
          <w:sz w:val="23"/>
          <w:szCs w:val="23"/>
          <w:lang w:eastAsia="it-IT"/>
        </w:rPr>
        <w:t>. SI CONSOLIDA L’</w:t>
      </w:r>
      <w:r w:rsidR="00F20599">
        <w:rPr>
          <w:b/>
          <w:sz w:val="23"/>
          <w:szCs w:val="23"/>
          <w:lang w:eastAsia="it-IT"/>
        </w:rPr>
        <w:t xml:space="preserve">INCREMENTO </w:t>
      </w:r>
      <w:r w:rsidR="009F5F16">
        <w:rPr>
          <w:b/>
          <w:sz w:val="23"/>
          <w:szCs w:val="23"/>
          <w:lang w:eastAsia="it-IT"/>
        </w:rPr>
        <w:t>DEI</w:t>
      </w:r>
      <w:r w:rsidRPr="00FD5498">
        <w:rPr>
          <w:b/>
          <w:sz w:val="23"/>
          <w:szCs w:val="23"/>
          <w:lang w:eastAsia="it-IT"/>
        </w:rPr>
        <w:t xml:space="preserve"> PAZIE</w:t>
      </w:r>
      <w:r w:rsidR="00B95C53">
        <w:rPr>
          <w:b/>
          <w:sz w:val="23"/>
          <w:szCs w:val="23"/>
          <w:lang w:eastAsia="it-IT"/>
        </w:rPr>
        <w:t>NTI OSPEDALIZZATI CON SINTOMI (</w:t>
      </w:r>
      <w:r w:rsidR="00F20599">
        <w:rPr>
          <w:b/>
          <w:sz w:val="23"/>
          <w:szCs w:val="23"/>
          <w:lang w:eastAsia="it-IT"/>
        </w:rPr>
        <w:t>1.760</w:t>
      </w:r>
      <w:r w:rsidR="0052679C" w:rsidRPr="00FD5498">
        <w:rPr>
          <w:b/>
          <w:sz w:val="23"/>
          <w:szCs w:val="23"/>
          <w:lang w:eastAsia="it-IT"/>
        </w:rPr>
        <w:t>) E IN TERAPIA INTENSIVA (</w:t>
      </w:r>
      <w:r w:rsidR="00F20599">
        <w:rPr>
          <w:b/>
          <w:sz w:val="23"/>
          <w:szCs w:val="23"/>
          <w:lang w:eastAsia="it-IT"/>
        </w:rPr>
        <w:t>143</w:t>
      </w:r>
      <w:r w:rsidR="00D02BD5">
        <w:rPr>
          <w:b/>
          <w:sz w:val="23"/>
          <w:szCs w:val="23"/>
          <w:lang w:eastAsia="it-IT"/>
        </w:rPr>
        <w:t>), SENZA DETERMINARE AL MOMENTO ALCUN SEGNALE DI SOVRACCARICO DELL’ASSISTENZA OSPEDALIERA.</w:t>
      </w:r>
      <w:r w:rsidR="009F5F16">
        <w:rPr>
          <w:b/>
          <w:color w:val="FF0000"/>
        </w:rPr>
        <w:t xml:space="preserve"> </w:t>
      </w:r>
      <w:r w:rsidR="00D54F3F" w:rsidRPr="00D54F3F">
        <w:rPr>
          <w:b/>
        </w:rPr>
        <w:t xml:space="preserve">AL FINE DI </w:t>
      </w:r>
      <w:r w:rsidR="009F5F16" w:rsidRPr="00D54F3F">
        <w:rPr>
          <w:b/>
        </w:rPr>
        <w:t xml:space="preserve">EVITARE </w:t>
      </w:r>
      <w:r w:rsidR="009F5F16" w:rsidRPr="00FD5498">
        <w:rPr>
          <w:b/>
        </w:rPr>
        <w:t>IL CAOS ORGANIZZATIVO</w:t>
      </w:r>
      <w:r w:rsidR="00D54F3F">
        <w:rPr>
          <w:b/>
        </w:rPr>
        <w:t xml:space="preserve"> </w:t>
      </w:r>
      <w:r w:rsidR="00D54F3F" w:rsidRPr="00FD5498">
        <w:rPr>
          <w:b/>
        </w:rPr>
        <w:t>ALL’AVVIO DELL’ANNO SCOLASTICO</w:t>
      </w:r>
      <w:r w:rsidR="00D54F3F">
        <w:rPr>
          <w:b/>
        </w:rPr>
        <w:t xml:space="preserve"> </w:t>
      </w:r>
      <w:r w:rsidR="00B03553">
        <w:rPr>
          <w:b/>
        </w:rPr>
        <w:t xml:space="preserve">È </w:t>
      </w:r>
      <w:r w:rsidR="00B03553" w:rsidRPr="00FD5498">
        <w:rPr>
          <w:b/>
        </w:rPr>
        <w:t>FONDAMENTALE</w:t>
      </w:r>
      <w:r w:rsidR="001E2E7F" w:rsidRPr="001E2E7F">
        <w:rPr>
          <w:b/>
        </w:rPr>
        <w:t xml:space="preserve"> </w:t>
      </w:r>
      <w:r w:rsidR="00791096">
        <w:rPr>
          <w:b/>
        </w:rPr>
        <w:t>APPLICARE</w:t>
      </w:r>
      <w:r w:rsidR="00791096" w:rsidRPr="001E2E7F">
        <w:rPr>
          <w:b/>
        </w:rPr>
        <w:t xml:space="preserve"> </w:t>
      </w:r>
      <w:r w:rsidR="001E2E7F" w:rsidRPr="001E2E7F">
        <w:rPr>
          <w:b/>
        </w:rPr>
        <w:t>LE INDICAZIONI OPERATIVE DELL’ISTITUTO SUPERIORE DI SANITÀ IN MANIERA UNIFORME E TEMPESTIVA IN TUTTE LE REGIONI.</w:t>
      </w:r>
    </w:p>
    <w:p w:rsidR="00B443D8" w:rsidRDefault="00F469C4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10</w:t>
      </w:r>
      <w:r w:rsidR="00404ACE"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6250F">
        <w:rPr>
          <w:rFonts w:ascii="Calibri" w:eastAsia="Calibri" w:hAnsi="Calibri" w:cs="Times New Roman"/>
          <w:b/>
          <w:bCs/>
          <w:sz w:val="24"/>
          <w:szCs w:val="24"/>
        </w:rPr>
        <w:t xml:space="preserve">settembre 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71125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E5B44">
        <w:rPr>
          <w:lang w:eastAsia="it-IT"/>
        </w:rPr>
        <w:t>registra</w:t>
      </w:r>
      <w:r w:rsidR="00CE5B44" w:rsidRPr="00B93DEF">
        <w:rPr>
          <w:lang w:eastAsia="it-IT"/>
        </w:rPr>
        <w:t xml:space="preserve"> </w:t>
      </w:r>
      <w:r w:rsidRPr="00B93DEF">
        <w:t>n</w:t>
      </w:r>
      <w:r w:rsidR="00DD06F4" w:rsidRPr="00B93DEF">
        <w:t xml:space="preserve">ella settimana </w:t>
      </w:r>
      <w:r w:rsidR="00F469C4">
        <w:t>2-8</w:t>
      </w:r>
      <w:r w:rsidR="00B6250F">
        <w:t xml:space="preserve"> settembre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 xml:space="preserve">un </w:t>
      </w:r>
      <w:r w:rsidR="00DD06F4" w:rsidRPr="00B93DEF">
        <w:rPr>
          <w:lang w:eastAsia="it-IT"/>
        </w:rPr>
        <w:t>incremento dei nuovi casi (</w:t>
      </w:r>
      <w:r w:rsidR="005803F6">
        <w:rPr>
          <w:lang w:eastAsia="it-IT"/>
        </w:rPr>
        <w:t>9</w:t>
      </w:r>
      <w:r w:rsidR="00F1321F">
        <w:rPr>
          <w:lang w:eastAsia="it-IT"/>
        </w:rPr>
        <w:t>.</w:t>
      </w:r>
      <w:r w:rsidR="00F469C4">
        <w:rPr>
          <w:lang w:eastAsia="it-IT"/>
        </w:rPr>
        <w:t>964</w:t>
      </w:r>
      <w:r w:rsidR="005803F6">
        <w:rPr>
          <w:lang w:eastAsia="it-IT"/>
        </w:rPr>
        <w:t xml:space="preserve"> vs </w:t>
      </w:r>
      <w:r w:rsidR="00F469C4">
        <w:rPr>
          <w:lang w:eastAsia="it-IT"/>
        </w:rPr>
        <w:t>9</w:t>
      </w:r>
      <w:r w:rsidR="00756BF5">
        <w:rPr>
          <w:lang w:eastAsia="it-IT"/>
        </w:rPr>
        <w:t>.</w:t>
      </w:r>
      <w:r w:rsidR="00F469C4">
        <w:rPr>
          <w:lang w:eastAsia="it-IT"/>
        </w:rPr>
        <w:t>015</w:t>
      </w:r>
      <w:r w:rsidR="00796E28" w:rsidRPr="00B93DEF">
        <w:rPr>
          <w:lang w:eastAsia="it-IT"/>
        </w:rPr>
        <w:t>)</w:t>
      </w:r>
      <w:r w:rsidR="00D33012">
        <w:rPr>
          <w:lang w:eastAsia="it-IT"/>
        </w:rPr>
        <w:t xml:space="preserve"> e dei casi attualmente positivi (33.789 vs 26.754)</w:t>
      </w:r>
      <w:r w:rsidR="00F469C4">
        <w:rPr>
          <w:lang w:eastAsia="it-IT"/>
        </w:rPr>
        <w:t xml:space="preserve">. </w:t>
      </w:r>
      <w:r w:rsidR="00285170">
        <w:rPr>
          <w:lang w:eastAsia="it-IT"/>
        </w:rPr>
        <w:t xml:space="preserve">Aumentano anche </w:t>
      </w:r>
      <w:r w:rsidR="008F1BD5" w:rsidRPr="00C91BCF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5803F6">
        <w:rPr>
          <w:lang w:eastAsia="it-IT"/>
        </w:rPr>
        <w:t>1.</w:t>
      </w:r>
      <w:r w:rsidR="00F469C4">
        <w:rPr>
          <w:lang w:eastAsia="it-IT"/>
        </w:rPr>
        <w:t>760</w:t>
      </w:r>
      <w:r w:rsidR="005803F6">
        <w:rPr>
          <w:lang w:eastAsia="it-IT"/>
        </w:rPr>
        <w:t xml:space="preserve"> vs </w:t>
      </w:r>
      <w:r w:rsidR="00756BF5">
        <w:rPr>
          <w:lang w:eastAsia="it-IT"/>
        </w:rPr>
        <w:t>1.</w:t>
      </w:r>
      <w:r w:rsidR="00F469C4">
        <w:rPr>
          <w:lang w:eastAsia="it-IT"/>
        </w:rPr>
        <w:t>380</w:t>
      </w:r>
      <w:r w:rsidR="007B4206" w:rsidRPr="00C91BCF">
        <w:rPr>
          <w:lang w:eastAsia="it-IT"/>
        </w:rPr>
        <w:t>)</w:t>
      </w:r>
      <w:r w:rsidR="00F469C4">
        <w:rPr>
          <w:lang w:eastAsia="it-IT"/>
        </w:rPr>
        <w:t>,</w:t>
      </w:r>
      <w:r w:rsidR="00CD1202" w:rsidRPr="00C91BCF">
        <w:rPr>
          <w:lang w:eastAsia="it-IT"/>
        </w:rPr>
        <w:t xml:space="preserve"> </w:t>
      </w:r>
      <w:r w:rsidR="00285170">
        <w:rPr>
          <w:lang w:eastAsia="it-IT"/>
        </w:rPr>
        <w:t xml:space="preserve">quelli </w:t>
      </w:r>
      <w:r w:rsidR="0046598E" w:rsidRPr="00C91BCF">
        <w:rPr>
          <w:lang w:eastAsia="it-IT"/>
        </w:rPr>
        <w:t>in terapia intensiva (</w:t>
      </w:r>
      <w:r w:rsidR="00F469C4">
        <w:rPr>
          <w:lang w:eastAsia="it-IT"/>
        </w:rPr>
        <w:t>143</w:t>
      </w:r>
      <w:r w:rsidR="005803F6">
        <w:rPr>
          <w:lang w:eastAsia="it-IT"/>
        </w:rPr>
        <w:t xml:space="preserve"> vs </w:t>
      </w:r>
      <w:r w:rsidR="00F469C4">
        <w:rPr>
          <w:lang w:eastAsia="it-IT"/>
        </w:rPr>
        <w:t>107) e i decessi</w:t>
      </w:r>
      <w:r w:rsidR="00BE59CF">
        <w:rPr>
          <w:lang w:eastAsia="it-IT"/>
        </w:rPr>
        <w:t xml:space="preserve"> (</w:t>
      </w:r>
      <w:r w:rsidR="00F469C4">
        <w:rPr>
          <w:lang w:eastAsia="it-IT"/>
        </w:rPr>
        <w:t>72 vs 46</w:t>
      </w:r>
      <w:r w:rsidR="00BE59CF">
        <w:rPr>
          <w:lang w:eastAsia="it-IT"/>
        </w:rPr>
        <w:t>)</w:t>
      </w:r>
      <w:r w:rsidR="0069637C" w:rsidRPr="00C91BCF">
        <w:rPr>
          <w:lang w:eastAsia="it-IT"/>
        </w:rPr>
        <w:t xml:space="preserve">. </w:t>
      </w:r>
    </w:p>
    <w:p w:rsidR="00756BF5" w:rsidRDefault="0069637C" w:rsidP="00CD1202">
      <w:pPr>
        <w:spacing w:after="120"/>
        <w:jc w:val="both"/>
        <w:rPr>
          <w:lang w:eastAsia="it-IT"/>
        </w:rPr>
      </w:pPr>
      <w:r w:rsidRPr="00C91BCF">
        <w:rPr>
          <w:lang w:eastAsia="it-IT"/>
        </w:rPr>
        <w:t xml:space="preserve">In </w:t>
      </w:r>
      <w:r w:rsidR="00C036E5" w:rsidRPr="00C91BCF">
        <w:rPr>
          <w:lang w:eastAsia="it-IT"/>
        </w:rPr>
        <w:t>dettaglio</w:t>
      </w:r>
      <w:r w:rsidR="003442B9">
        <w:t xml:space="preserve">, </w:t>
      </w:r>
      <w:r w:rsidR="00BE59CF">
        <w:t xml:space="preserve">rispetto alla settimana precedente, </w:t>
      </w:r>
      <w:r w:rsidR="00742EE2">
        <w:t>si registrano le seguenti variazioni</w:t>
      </w:r>
      <w:r w:rsidRPr="00C91BCF">
        <w:rPr>
          <w:lang w:eastAsia="it-IT"/>
        </w:rPr>
        <w:t>:</w:t>
      </w:r>
      <w:r w:rsidR="006842FB">
        <w:rPr>
          <w:lang w:eastAsia="it-IT"/>
        </w:rPr>
        <w:t xml:space="preserve"> </w:t>
      </w:r>
    </w:p>
    <w:p w:rsidR="005E1B70" w:rsidRPr="00C91BCF" w:rsidRDefault="00300572" w:rsidP="008A0E45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D</w:t>
      </w:r>
      <w:r w:rsidR="005E1B70" w:rsidRPr="00C91BCF">
        <w:t xml:space="preserve">ecessi: </w:t>
      </w:r>
      <w:r w:rsidR="00BE59CF">
        <w:t>+</w:t>
      </w:r>
      <w:r w:rsidR="00F469C4">
        <w:t>2</w:t>
      </w:r>
      <w:r w:rsidR="003565EE">
        <w:t>6</w:t>
      </w:r>
      <w:r w:rsidR="003442B9">
        <w:t xml:space="preserve"> (+</w:t>
      </w:r>
      <w:r w:rsidR="00F469C4">
        <w:t>56,5</w:t>
      </w:r>
      <w:r w:rsidR="005862D2" w:rsidRPr="00511884">
        <w:t>%)</w:t>
      </w:r>
    </w:p>
    <w:p w:rsidR="005E1B70" w:rsidRPr="00C91BCF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3565EE">
        <w:t>+</w:t>
      </w:r>
      <w:r w:rsidR="00F469C4">
        <w:t>36</w:t>
      </w:r>
      <w:r w:rsidR="005862D2" w:rsidRPr="00C91BCF">
        <w:t xml:space="preserve"> (</w:t>
      </w:r>
      <w:r w:rsidR="000654A3" w:rsidRPr="00C91BCF">
        <w:t>+</w:t>
      </w:r>
      <w:r w:rsidR="00F469C4">
        <w:t>33</w:t>
      </w:r>
      <w:r w:rsidR="003565EE">
        <w:t>,</w:t>
      </w:r>
      <w:r w:rsidR="00F469C4">
        <w:t>6</w:t>
      </w:r>
      <w:r w:rsidR="003565EE">
        <w:t>%</w:t>
      </w:r>
      <w:r w:rsidR="005862D2" w:rsidRPr="00C91BCF">
        <w:t>)</w:t>
      </w:r>
    </w:p>
    <w:p w:rsidR="00DD06F4" w:rsidRPr="00C91BCF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F469C4">
        <w:t>380</w:t>
      </w:r>
      <w:r w:rsidR="00C91BCF" w:rsidRPr="00C91BCF">
        <w:t xml:space="preserve"> (+</w:t>
      </w:r>
      <w:r w:rsidR="00F469C4">
        <w:t>27</w:t>
      </w:r>
      <w:r w:rsidR="003565EE">
        <w:t>,</w:t>
      </w:r>
      <w:r w:rsidR="00F469C4">
        <w:t>5</w:t>
      </w:r>
      <w:r w:rsidR="003565EE">
        <w:t>%</w:t>
      </w:r>
      <w:r w:rsidR="005862D2" w:rsidRPr="00C91BCF">
        <w:t>)</w:t>
      </w:r>
    </w:p>
    <w:p w:rsidR="005E1B70" w:rsidRPr="003442B9" w:rsidRDefault="00BE59CF" w:rsidP="00FF344F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5E1B70" w:rsidRPr="003442B9">
        <w:t>:</w:t>
      </w:r>
      <w:r w:rsidR="00633FE4" w:rsidRPr="003442B9">
        <w:t xml:space="preserve"> </w:t>
      </w:r>
      <w:r w:rsidR="00185E17">
        <w:t>+</w:t>
      </w:r>
      <w:r w:rsidR="003565EE" w:rsidRPr="003442B9">
        <w:t>9</w:t>
      </w:r>
      <w:r w:rsidR="0079515D">
        <w:t>.964</w:t>
      </w:r>
      <w:r w:rsidR="00404ACE" w:rsidRPr="003442B9">
        <w:t xml:space="preserve"> </w:t>
      </w:r>
      <w:r w:rsidR="000654A3" w:rsidRPr="003442B9">
        <w:t>(+</w:t>
      </w:r>
      <w:r w:rsidR="00F469C4">
        <w:t>10</w:t>
      </w:r>
      <w:r>
        <w:t>,</w:t>
      </w:r>
      <w:r w:rsidR="00F469C4">
        <w:t>5</w:t>
      </w:r>
      <w:r w:rsidR="005862D2" w:rsidRPr="003442B9">
        <w:t>%)</w:t>
      </w:r>
    </w:p>
    <w:p w:rsidR="000B6B1F" w:rsidRPr="00BE59CF" w:rsidRDefault="000B6B1F" w:rsidP="00073DC9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BE59CF">
        <w:t xml:space="preserve">Casi </w:t>
      </w:r>
      <w:r w:rsidR="00487E15" w:rsidRPr="00BE59CF">
        <w:t>attualmente positivi</w:t>
      </w:r>
      <w:r w:rsidR="00595785">
        <w:t xml:space="preserve">: </w:t>
      </w:r>
      <w:r w:rsidR="00A406C1">
        <w:t>+7.035</w:t>
      </w:r>
      <w:r w:rsidR="00FE10CC" w:rsidRPr="00BE59CF">
        <w:t xml:space="preserve"> </w:t>
      </w:r>
      <w:r w:rsidR="00F469C4">
        <w:t>(</w:t>
      </w:r>
      <w:r w:rsidR="00D33012">
        <w:t>26,3</w:t>
      </w:r>
      <w:r w:rsidR="00FE10CC" w:rsidRPr="00BE59CF">
        <w:t>%</w:t>
      </w:r>
      <w:r w:rsidRPr="00BE59CF">
        <w:t>)</w:t>
      </w:r>
    </w:p>
    <w:p w:rsidR="00260775" w:rsidRPr="00C91BCF" w:rsidRDefault="002A3D04" w:rsidP="003565EE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C91BCF" w:rsidRPr="00C91BCF">
        <w:t>+</w:t>
      </w:r>
      <w:r w:rsidR="00F469C4">
        <w:t>26</w:t>
      </w:r>
      <w:r w:rsidR="003565EE" w:rsidRPr="003565EE">
        <w:t>.</w:t>
      </w:r>
      <w:r w:rsidR="00F469C4">
        <w:t>255</w:t>
      </w:r>
      <w:r w:rsidR="00BE59CF">
        <w:t xml:space="preserve"> </w:t>
      </w:r>
      <w:r w:rsidR="0092337D" w:rsidRPr="00C91BCF">
        <w:t>(</w:t>
      </w:r>
      <w:r w:rsidR="00C91BCF" w:rsidRPr="00C91BCF">
        <w:t>+</w:t>
      </w:r>
      <w:r w:rsidR="00F469C4">
        <w:t>6,6</w:t>
      </w:r>
      <w:r w:rsidR="003565EE">
        <w:t>%</w:t>
      </w:r>
      <w:r w:rsidR="0092337D" w:rsidRPr="00C91BCF">
        <w:t>)</w:t>
      </w:r>
    </w:p>
    <w:p w:rsidR="00260775" w:rsidRDefault="00260775" w:rsidP="00A149F4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A149F4">
        <w:t>+</w:t>
      </w:r>
      <w:r w:rsidR="00F469C4">
        <w:t>38.287</w:t>
      </w:r>
      <w:r w:rsidR="00BE59CF">
        <w:t xml:space="preserve"> </w:t>
      </w:r>
      <w:r w:rsidR="00A149F4">
        <w:t>(+</w:t>
      </w:r>
      <w:r w:rsidR="00F469C4">
        <w:t>6,4</w:t>
      </w:r>
      <w:r w:rsidR="00A149F4">
        <w:t>%</w:t>
      </w:r>
      <w:r w:rsidR="009D6AEE" w:rsidRPr="00C91BCF">
        <w:t>)</w:t>
      </w:r>
    </w:p>
    <w:p w:rsidR="00611E90" w:rsidRPr="00F469C4" w:rsidRDefault="00611E90" w:rsidP="00611E90">
      <w:pPr>
        <w:spacing w:after="120"/>
        <w:jc w:val="both"/>
        <w:rPr>
          <w:color w:val="FF0000"/>
        </w:rPr>
      </w:pPr>
      <w:r w:rsidRPr="000F56B7">
        <w:t>«</w:t>
      </w:r>
      <w:r w:rsidR="00487E15" w:rsidRPr="000F56B7">
        <w:t xml:space="preserve">Nell’ultima settimana </w:t>
      </w:r>
      <w:r w:rsidR="00E0665C" w:rsidRPr="000F56B7">
        <w:rPr>
          <w:lang w:eastAsia="it-IT"/>
        </w:rPr>
        <w:t>–</w:t>
      </w:r>
      <w:r w:rsidR="00E17238" w:rsidRPr="000F56B7">
        <w:rPr>
          <w:lang w:eastAsia="it-IT"/>
        </w:rPr>
        <w:t xml:space="preserve"> </w:t>
      </w:r>
      <w:r w:rsidR="003565EE" w:rsidRPr="000F56B7">
        <w:rPr>
          <w:lang w:eastAsia="it-IT"/>
        </w:rPr>
        <w:t>afferma</w:t>
      </w:r>
      <w:r w:rsidR="00E0665C" w:rsidRPr="000F56B7">
        <w:rPr>
          <w:lang w:eastAsia="it-IT"/>
        </w:rPr>
        <w:t xml:space="preserve"> Nino Cartabellotta, Presidente della Fondazione GIMBE –</w:t>
      </w:r>
      <w:r w:rsidR="00F1321F" w:rsidRPr="000F56B7">
        <w:rPr>
          <w:lang w:eastAsia="it-IT"/>
        </w:rPr>
        <w:t xml:space="preserve"> </w:t>
      </w:r>
      <w:r w:rsidR="0033698E">
        <w:rPr>
          <w:lang w:eastAsia="it-IT"/>
        </w:rPr>
        <w:t xml:space="preserve">crescono </w:t>
      </w:r>
      <w:r w:rsidR="00F026DD" w:rsidRPr="000F56B7">
        <w:rPr>
          <w:lang w:eastAsia="it-IT"/>
        </w:rPr>
        <w:t>i</w:t>
      </w:r>
      <w:r w:rsidR="003565EE" w:rsidRPr="000F56B7">
        <w:rPr>
          <w:lang w:eastAsia="it-IT"/>
        </w:rPr>
        <w:t xml:space="preserve"> nuovi casi e</w:t>
      </w:r>
      <w:r w:rsidR="000F56B7" w:rsidRPr="000F56B7">
        <w:rPr>
          <w:lang w:eastAsia="it-IT"/>
        </w:rPr>
        <w:t>, soprattutto,</w:t>
      </w:r>
      <w:r w:rsidR="000F56B7">
        <w:rPr>
          <w:lang w:eastAsia="it-IT"/>
        </w:rPr>
        <w:t xml:space="preserve"> </w:t>
      </w:r>
      <w:r w:rsidR="003565EE" w:rsidRPr="000F56B7">
        <w:rPr>
          <w:lang w:eastAsia="it-IT"/>
        </w:rPr>
        <w:t>le persone attualmente positive</w:t>
      </w:r>
      <w:r w:rsidR="00487E15" w:rsidRPr="000F56B7">
        <w:rPr>
          <w:lang w:eastAsia="it-IT"/>
        </w:rPr>
        <w:t>,</w:t>
      </w:r>
      <w:r w:rsidR="003565EE" w:rsidRPr="000F56B7">
        <w:rPr>
          <w:lang w:eastAsia="it-IT"/>
        </w:rPr>
        <w:t xml:space="preserve"> sia </w:t>
      </w:r>
      <w:r w:rsidR="000F56B7">
        <w:rPr>
          <w:lang w:eastAsia="it-IT"/>
        </w:rPr>
        <w:t xml:space="preserve">per </w:t>
      </w:r>
      <w:r w:rsidR="00212CD8" w:rsidRPr="000F56B7">
        <w:rPr>
          <w:lang w:eastAsia="it-IT"/>
        </w:rPr>
        <w:t>l’</w:t>
      </w:r>
      <w:r w:rsidR="00212CD8" w:rsidRPr="000F56B7">
        <w:t xml:space="preserve">incremento </w:t>
      </w:r>
      <w:r w:rsidR="003565EE" w:rsidRPr="000F56B7">
        <w:t xml:space="preserve">dei </w:t>
      </w:r>
      <w:r w:rsidR="00571125" w:rsidRPr="000F56B7">
        <w:t>casi testati</w:t>
      </w:r>
      <w:r w:rsidR="000F56B7">
        <w:t xml:space="preserve">, sia per il </w:t>
      </w:r>
      <w:r w:rsidR="003565EE" w:rsidRPr="000F56B7">
        <w:t>costante</w:t>
      </w:r>
      <w:r w:rsidR="00212CD8" w:rsidRPr="000F56B7">
        <w:t xml:space="preserve"> aumento del rapporto positivi/casi testati.</w:t>
      </w:r>
      <w:r w:rsidR="00212CD8" w:rsidRPr="00F469C4">
        <w:rPr>
          <w:color w:val="FF0000"/>
          <w:lang w:eastAsia="it-IT"/>
        </w:rPr>
        <w:t xml:space="preserve"> </w:t>
      </w:r>
      <w:r w:rsidR="000F56B7">
        <w:rPr>
          <w:lang w:eastAsia="it-IT"/>
        </w:rPr>
        <w:t>S</w:t>
      </w:r>
      <w:r w:rsidR="00571125" w:rsidRPr="000F56B7">
        <w:rPr>
          <w:lang w:eastAsia="it-IT"/>
        </w:rPr>
        <w:t xml:space="preserve">i </w:t>
      </w:r>
      <w:r w:rsidR="000F56B7">
        <w:rPr>
          <w:lang w:eastAsia="it-IT"/>
        </w:rPr>
        <w:t xml:space="preserve">consolida </w:t>
      </w:r>
      <w:r w:rsidR="00A82603">
        <w:rPr>
          <w:lang w:eastAsia="it-IT"/>
        </w:rPr>
        <w:t xml:space="preserve">inoltre </w:t>
      </w:r>
      <w:r w:rsidR="00571125" w:rsidRPr="000F56B7">
        <w:rPr>
          <w:lang w:eastAsia="it-IT"/>
        </w:rPr>
        <w:t xml:space="preserve">il trend in </w:t>
      </w:r>
      <w:r w:rsidR="00285170" w:rsidRPr="000F56B7">
        <w:rPr>
          <w:lang w:eastAsia="it-IT"/>
        </w:rPr>
        <w:t>aumento</w:t>
      </w:r>
      <w:r w:rsidR="00571125" w:rsidRPr="000F56B7">
        <w:rPr>
          <w:lang w:eastAsia="it-IT"/>
        </w:rPr>
        <w:t xml:space="preserve"> </w:t>
      </w:r>
      <w:r w:rsidR="00285170" w:rsidRPr="000F56B7">
        <w:t xml:space="preserve">delle ospedalizzazioni </w:t>
      </w:r>
      <w:r w:rsidR="00571125" w:rsidRPr="000F56B7">
        <w:t xml:space="preserve">con </w:t>
      </w:r>
      <w:r w:rsidR="00285170" w:rsidRPr="000F56B7">
        <w:t xml:space="preserve">sintomi e </w:t>
      </w:r>
      <w:r w:rsidR="00F026DD" w:rsidRPr="000F56B7">
        <w:t>de</w:t>
      </w:r>
      <w:r w:rsidR="00DD3D71" w:rsidRPr="000F56B7">
        <w:t>i</w:t>
      </w:r>
      <w:r w:rsidR="00F026DD" w:rsidRPr="000F56B7">
        <w:t xml:space="preserve"> pazienti in</w:t>
      </w:r>
      <w:r w:rsidR="00285170" w:rsidRPr="000F56B7">
        <w:t xml:space="preserve"> </w:t>
      </w:r>
      <w:r w:rsidR="00571125" w:rsidRPr="000F56B7">
        <w:t>terapia intensiva.</w:t>
      </w:r>
      <w:r w:rsidR="00571125" w:rsidRPr="008069D5">
        <w:t xml:space="preserve"> </w:t>
      </w:r>
      <w:r w:rsidR="00B07715" w:rsidRPr="008069D5">
        <w:t xml:space="preserve">Sono </w:t>
      </w:r>
      <w:r w:rsidR="008069D5" w:rsidRPr="008069D5">
        <w:t xml:space="preserve">tutti </w:t>
      </w:r>
      <w:r w:rsidR="00B07715" w:rsidRPr="008069D5">
        <w:t xml:space="preserve">segnali </w:t>
      </w:r>
      <w:r w:rsidR="008069D5" w:rsidRPr="008069D5">
        <w:t>che</w:t>
      </w:r>
      <w:r w:rsidR="00C718A8">
        <w:t>,</w:t>
      </w:r>
      <w:r w:rsidR="008069D5" w:rsidRPr="008069D5">
        <w:t xml:space="preserve"> </w:t>
      </w:r>
      <w:r w:rsidR="00C718A8" w:rsidRPr="008069D5">
        <w:t>guardando a quello che sta accadendo Oltralpe</w:t>
      </w:r>
      <w:r w:rsidR="00C718A8">
        <w:t>,</w:t>
      </w:r>
      <w:r w:rsidR="00C718A8" w:rsidRPr="008069D5">
        <w:t xml:space="preserve"> </w:t>
      </w:r>
      <w:r w:rsidR="008069D5" w:rsidRPr="008069D5">
        <w:t xml:space="preserve">impongono di mantenere </w:t>
      </w:r>
      <w:r w:rsidR="00C2408D" w:rsidRPr="008069D5">
        <w:t xml:space="preserve">molto alta </w:t>
      </w:r>
      <w:r w:rsidR="00A82603" w:rsidRPr="008069D5">
        <w:t>l’attenzione</w:t>
      </w:r>
      <w:r w:rsidRPr="008069D5">
        <w:rPr>
          <w:rFonts w:cstheme="minorHAnsi"/>
        </w:rPr>
        <w:t>»</w:t>
      </w:r>
      <w:r w:rsidR="00153964" w:rsidRPr="008069D5">
        <w:rPr>
          <w:lang w:eastAsia="it-IT"/>
        </w:rPr>
        <w:t>.</w:t>
      </w:r>
    </w:p>
    <w:p w:rsidR="00B00612" w:rsidRDefault="001630EB" w:rsidP="00A776BE">
      <w:pPr>
        <w:jc w:val="both"/>
      </w:pPr>
      <w:r>
        <w:t xml:space="preserve">Nel </w:t>
      </w:r>
      <w:r w:rsidR="00CB3113" w:rsidRPr="002A3D04">
        <w:t xml:space="preserve">quadro </w:t>
      </w:r>
      <w:r w:rsidR="00C6764B" w:rsidRPr="002A3D04">
        <w:t xml:space="preserve">di </w:t>
      </w:r>
      <w:r w:rsidR="00A776BE">
        <w:t xml:space="preserve">una </w:t>
      </w:r>
      <w:r w:rsidR="00AB4371" w:rsidRPr="002A3D04">
        <w:t>circol</w:t>
      </w:r>
      <w:r w:rsidR="00F52062" w:rsidRPr="002A3D04">
        <w:t>azione endemica del virus</w:t>
      </w:r>
      <w:r w:rsidR="00390E96">
        <w:t xml:space="preserve"> </w:t>
      </w:r>
      <w:r w:rsidR="00F15ECF">
        <w:t>l’aumento progressivo</w:t>
      </w:r>
      <w:r>
        <w:t xml:space="preserve"> </w:t>
      </w:r>
      <w:r w:rsidR="00F15ECF">
        <w:t>de</w:t>
      </w:r>
      <w:r>
        <w:t xml:space="preserve">i focolai </w:t>
      </w:r>
      <w:r w:rsidR="00F15ECF">
        <w:t xml:space="preserve">provoca una crescita </w:t>
      </w:r>
      <w:r w:rsidR="002A6ED6">
        <w:t xml:space="preserve">esponenziale </w:t>
      </w:r>
      <w:r w:rsidR="0090558C" w:rsidRPr="002A3D04">
        <w:t>dei nuovi casi</w:t>
      </w:r>
      <w:r w:rsidR="003C7356" w:rsidRPr="002A3D04">
        <w:t xml:space="preserve">, </w:t>
      </w:r>
      <w:r w:rsidR="00F15ECF">
        <w:t xml:space="preserve">prevalentemente </w:t>
      </w:r>
      <w:r w:rsidR="003C7356" w:rsidRPr="002A3D04">
        <w:t xml:space="preserve">autoctoni, </w:t>
      </w:r>
      <w:r w:rsidR="00F15ECF">
        <w:t xml:space="preserve">in parte </w:t>
      </w:r>
      <w:r w:rsidR="00E30A6E" w:rsidRPr="002A3D04">
        <w:t>d</w:t>
      </w:r>
      <w:r w:rsidR="00E30A6E">
        <w:t>a</w:t>
      </w:r>
      <w:r w:rsidR="00E30A6E" w:rsidRPr="002A3D04">
        <w:t xml:space="preserve"> </w:t>
      </w:r>
      <w:r w:rsidR="003C7356" w:rsidRPr="002A3D04">
        <w:t xml:space="preserve">rientro </w:t>
      </w:r>
      <w:r w:rsidR="00E30A6E" w:rsidRPr="002A3D04">
        <w:t>d</w:t>
      </w:r>
      <w:r w:rsidR="00E30A6E">
        <w:t>i</w:t>
      </w:r>
      <w:r w:rsidR="00E30A6E" w:rsidRPr="002A3D04">
        <w:t xml:space="preserve"> </w:t>
      </w:r>
      <w:r w:rsidR="00022EBF">
        <w:t>vacanzieri</w:t>
      </w:r>
      <w:r w:rsidR="00A21B24">
        <w:t xml:space="preserve"> </w:t>
      </w:r>
      <w:r w:rsidR="00F15ECF">
        <w:t>e</w:t>
      </w:r>
      <w:r w:rsidR="00621372">
        <w:t>,</w:t>
      </w:r>
      <w:r w:rsidR="00F15ECF">
        <w:t xml:space="preserve"> in misura </w:t>
      </w:r>
      <w:r w:rsidR="00621372">
        <w:t xml:space="preserve">nettamente </w:t>
      </w:r>
      <w:r w:rsidR="00F15ECF">
        <w:t>minore</w:t>
      </w:r>
      <w:r w:rsidR="00621372">
        <w:t>,</w:t>
      </w:r>
      <w:r w:rsidR="00F15ECF">
        <w:t xml:space="preserve"> </w:t>
      </w:r>
      <w:r w:rsidR="00A21B24" w:rsidRPr="002A3D04">
        <w:t xml:space="preserve">di importazione </w:t>
      </w:r>
      <w:r w:rsidR="00A21B24">
        <w:t>da stranieri</w:t>
      </w:r>
      <w:r w:rsidR="003C7356" w:rsidRPr="002A3D04">
        <w:t xml:space="preserve">. </w:t>
      </w:r>
      <w:r w:rsidR="00A21B24">
        <w:t xml:space="preserve">Infatti, </w:t>
      </w:r>
      <w:r w:rsidR="000A24C2">
        <w:t>da</w:t>
      </w:r>
      <w:r w:rsidR="002A6ED6">
        <w:t xml:space="preserve"> 1.408 </w:t>
      </w:r>
      <w:r w:rsidR="000A24C2">
        <w:t xml:space="preserve">nuovi casi riportati </w:t>
      </w:r>
      <w:r w:rsidR="002A6ED6">
        <w:t>nella settimana 15-21 luglio</w:t>
      </w:r>
      <w:r w:rsidR="002A6ED6" w:rsidRPr="002A3D04">
        <w:t xml:space="preserve"> </w:t>
      </w:r>
      <w:r w:rsidR="002A6ED6">
        <w:t xml:space="preserve">siamo passati a </w:t>
      </w:r>
      <w:r w:rsidR="00F15ECF">
        <w:t>9</w:t>
      </w:r>
      <w:r w:rsidR="00A21B24">
        <w:t>.</w:t>
      </w:r>
      <w:r w:rsidR="00F469C4">
        <w:t>964</w:t>
      </w:r>
      <w:r w:rsidR="00404ACE">
        <w:t xml:space="preserve"> </w:t>
      </w:r>
      <w:r w:rsidR="002A6ED6">
        <w:t xml:space="preserve">nuovi casi </w:t>
      </w:r>
      <w:r w:rsidR="00621372">
        <w:t xml:space="preserve">di quella </w:t>
      </w:r>
      <w:r w:rsidR="00F469C4">
        <w:t>2-8</w:t>
      </w:r>
      <w:r w:rsidR="00F15ECF">
        <w:t xml:space="preserve"> settembre</w:t>
      </w:r>
      <w:r w:rsidR="005512A0">
        <w:t xml:space="preserve">, con un incremento del rapporto positivi/casi testati </w:t>
      </w:r>
      <w:r w:rsidR="00F15ECF">
        <w:t>dallo 0,8% al 2,</w:t>
      </w:r>
      <w:r w:rsidR="00F469C4">
        <w:t>4</w:t>
      </w:r>
      <w:r w:rsidR="005512A0">
        <w:t>%</w:t>
      </w:r>
      <w:r w:rsidR="00621372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8958EF" w:rsidRPr="00A776BE">
        <w:t>.</w:t>
      </w:r>
      <w:r w:rsidR="000F56B7">
        <w:t xml:space="preserve"> </w:t>
      </w:r>
      <w:r w:rsidR="00B00612">
        <w:t>Q</w:t>
      </w:r>
      <w:r w:rsidR="000F56B7">
        <w:t xml:space="preserve">uesta dinamica </w:t>
      </w:r>
      <w:r w:rsidR="00D54F3F">
        <w:t xml:space="preserve">determina il </w:t>
      </w:r>
      <w:r w:rsidR="000F56B7">
        <w:t xml:space="preserve">progressivo aumento </w:t>
      </w:r>
      <w:r w:rsidR="00B00612">
        <w:t xml:space="preserve">dei casi attualmente positivi che </w:t>
      </w:r>
      <w:r w:rsidR="00FD5498">
        <w:t xml:space="preserve">in poco più di un mese </w:t>
      </w:r>
      <w:r w:rsidR="00B00612">
        <w:t xml:space="preserve">sono </w:t>
      </w:r>
      <w:r w:rsidR="00C04A0B">
        <w:t xml:space="preserve">passati </w:t>
      </w:r>
      <w:r w:rsidR="00FD5498">
        <w:t>da 12.</w:t>
      </w:r>
      <w:r w:rsidR="00B00612">
        <w:t>48</w:t>
      </w:r>
      <w:r w:rsidR="00FD5498">
        <w:t>2</w:t>
      </w:r>
      <w:r w:rsidR="00B00612">
        <w:t xml:space="preserve"> </w:t>
      </w:r>
      <w:r w:rsidR="00FD5498">
        <w:t xml:space="preserve">a 33.789 </w:t>
      </w:r>
      <w:r w:rsidR="00B00612">
        <w:t>(</w:t>
      </w:r>
      <w:r w:rsidR="00B00612" w:rsidRPr="00B00612">
        <w:rPr>
          <w:highlight w:val="yellow"/>
        </w:rPr>
        <w:t>figura 2</w:t>
      </w:r>
      <w:r w:rsidR="00B00612">
        <w:t>).</w:t>
      </w:r>
    </w:p>
    <w:p w:rsidR="00D33012" w:rsidRDefault="002A3D04" w:rsidP="00D33012">
      <w:pPr>
        <w:jc w:val="both"/>
      </w:pPr>
      <w:r w:rsidRPr="00A776BE">
        <w:t>«</w:t>
      </w:r>
      <w:r w:rsidR="000F56B7">
        <w:t>L’incremento dei casi attualmente positivi</w:t>
      </w:r>
      <w:r w:rsidR="00F15ECF">
        <w:t xml:space="preserve"> </w:t>
      </w:r>
      <w:r w:rsidRPr="00A776BE">
        <w:t>–</w:t>
      </w:r>
      <w:r w:rsidR="00390E96" w:rsidRPr="00A776BE">
        <w:t xml:space="preserve"> </w:t>
      </w:r>
      <w:r w:rsidR="00E30A6E" w:rsidRPr="00A776BE">
        <w:t xml:space="preserve">precisa il Presidente </w:t>
      </w:r>
      <w:r w:rsidRPr="00A776BE">
        <w:t>–</w:t>
      </w:r>
      <w:r w:rsidR="00F15ECF">
        <w:t xml:space="preserve"> </w:t>
      </w:r>
      <w:r w:rsidR="000F56B7">
        <w:t xml:space="preserve">costituisce un “bacino” di contagi che </w:t>
      </w:r>
      <w:r w:rsidR="00F15ECF">
        <w:t xml:space="preserve">si </w:t>
      </w:r>
      <w:r w:rsidR="002A6ED6" w:rsidRPr="00A776BE">
        <w:t>riflette</w:t>
      </w:r>
      <w:r w:rsidR="00D73AD1" w:rsidRPr="00A776BE">
        <w:t xml:space="preserve"> </w:t>
      </w:r>
      <w:r w:rsidR="000F56B7">
        <w:t xml:space="preserve">progressivamente anche </w:t>
      </w:r>
      <w:r w:rsidR="002A6ED6" w:rsidRPr="00A776BE">
        <w:t>sul</w:t>
      </w:r>
      <w:r w:rsidR="00D54F3F">
        <w:t xml:space="preserve"> graduale e progressivo </w:t>
      </w:r>
      <w:r w:rsidR="002A6ED6" w:rsidRPr="00A776BE">
        <w:t xml:space="preserve">aumento dei </w:t>
      </w:r>
      <w:r w:rsidR="00290EB0" w:rsidRPr="00A776BE">
        <w:t xml:space="preserve">pazienti </w:t>
      </w:r>
      <w:r w:rsidR="00571125">
        <w:t>ospedalizzati</w:t>
      </w:r>
      <w:r w:rsidR="002A6ED6" w:rsidRPr="00A776BE">
        <w:t xml:space="preserve">». </w:t>
      </w:r>
      <w:r w:rsidR="00F15ECF">
        <w:t>Infatti</w:t>
      </w:r>
      <w:r w:rsidR="00285170">
        <w:t xml:space="preserve">, </w:t>
      </w:r>
      <w:r w:rsidR="00F1321F">
        <w:t xml:space="preserve">dal 21 luglio al </w:t>
      </w:r>
      <w:r w:rsidR="00317410">
        <w:t xml:space="preserve">8 </w:t>
      </w:r>
      <w:r w:rsidR="00F1321F">
        <w:t xml:space="preserve">settembre </w:t>
      </w:r>
      <w:r w:rsidR="00285170">
        <w:t>i</w:t>
      </w:r>
      <w:r w:rsidR="00F15ECF">
        <w:t xml:space="preserve"> ricoverati con sintomi sono aumentati da 732 a 1.</w:t>
      </w:r>
      <w:r w:rsidR="00317410">
        <w:t>760</w:t>
      </w:r>
      <w:r w:rsidR="00F15ECF">
        <w:t xml:space="preserve"> </w:t>
      </w:r>
      <w:r w:rsidR="00F1321F">
        <w:t>e</w:t>
      </w:r>
      <w:r w:rsidR="00F15ECF">
        <w:t xml:space="preserve"> </w:t>
      </w:r>
      <w:r w:rsidR="0033698E">
        <w:t xml:space="preserve">i pazienti in terapia intensiva </w:t>
      </w:r>
      <w:r w:rsidR="00F1321F">
        <w:t>da 49</w:t>
      </w:r>
      <w:r w:rsidR="00F15ECF">
        <w:t xml:space="preserve"> a </w:t>
      </w:r>
      <w:r w:rsidR="00317410">
        <w:t>143</w:t>
      </w:r>
      <w:r w:rsidR="00F15ECF">
        <w:t xml:space="preserve"> </w:t>
      </w:r>
      <w:r w:rsidR="002A6ED6" w:rsidRPr="00A776BE">
        <w:t>(</w:t>
      </w:r>
      <w:r w:rsidR="002A6ED6" w:rsidRPr="00A776BE">
        <w:rPr>
          <w:highlight w:val="yellow"/>
        </w:rPr>
        <w:t xml:space="preserve">figura </w:t>
      </w:r>
      <w:r w:rsidR="00B00612" w:rsidRPr="00B00612">
        <w:rPr>
          <w:highlight w:val="yellow"/>
        </w:rPr>
        <w:t>3</w:t>
      </w:r>
      <w:r w:rsidR="002A6ED6" w:rsidRPr="00A776BE">
        <w:t>)</w:t>
      </w:r>
      <w:r w:rsidR="007E7B7B" w:rsidRPr="00A776BE">
        <w:t>.</w:t>
      </w:r>
      <w:r w:rsidR="00EE3F08" w:rsidRPr="00A776BE">
        <w:t xml:space="preserve"> </w:t>
      </w:r>
      <w:r w:rsidR="00C04A0B">
        <w:t xml:space="preserve">7 </w:t>
      </w:r>
      <w:r w:rsidR="00D33012">
        <w:t>Regioni</w:t>
      </w:r>
      <w:r w:rsidR="00BD1234">
        <w:t xml:space="preserve"> contano oltre i</w:t>
      </w:r>
      <w:r w:rsidR="00BD1234" w:rsidRPr="00D33012">
        <w:t xml:space="preserve">l 75% </w:t>
      </w:r>
      <w:r w:rsidR="00BD1234">
        <w:t>dei pazienti ricoverati</w:t>
      </w:r>
      <w:r w:rsidR="00BD1234" w:rsidRPr="00BD1234">
        <w:t xml:space="preserve"> </w:t>
      </w:r>
      <w:r w:rsidR="00BD1234">
        <w:t>con sintomi</w:t>
      </w:r>
      <w:r w:rsidR="00D33012">
        <w:t xml:space="preserve">: Lazio (354), </w:t>
      </w:r>
      <w:r w:rsidR="00D33012">
        <w:lastRenderedPageBreak/>
        <w:t xml:space="preserve">Lombardia (248), Campania (220), Puglia (163), </w:t>
      </w:r>
      <w:r w:rsidR="00B07715">
        <w:t>Emilia-Romagna</w:t>
      </w:r>
      <w:r w:rsidR="00D33012">
        <w:t xml:space="preserve"> (130), Sicilia (104) e Piemonte (104). </w:t>
      </w:r>
      <w:r w:rsidR="00FD5498">
        <w:t xml:space="preserve">Il </w:t>
      </w:r>
      <w:r w:rsidR="00D33012">
        <w:t xml:space="preserve">62% dei ricoverati in terapia intensiva si distribuisce in 6 Regioni: Lombardia (27), </w:t>
      </w:r>
      <w:r w:rsidR="00B07715">
        <w:t>Emilia-Romagna</w:t>
      </w:r>
      <w:r w:rsidR="00D33012">
        <w:t xml:space="preserve"> (16), Sicilia (13), Veneto (12), Liguria (11) e Sardegna (10)</w:t>
      </w:r>
      <w:r w:rsidR="00D33012" w:rsidRPr="00D33012">
        <w:t xml:space="preserve"> </w:t>
      </w:r>
      <w:r w:rsidR="00D33012" w:rsidRPr="00A776BE">
        <w:t>(</w:t>
      </w:r>
      <w:r w:rsidR="00D33012" w:rsidRPr="00A776BE">
        <w:rPr>
          <w:highlight w:val="yellow"/>
        </w:rPr>
        <w:t>figura</w:t>
      </w:r>
      <w:r w:rsidR="00D33012" w:rsidRPr="00B00612">
        <w:rPr>
          <w:highlight w:val="yellow"/>
        </w:rPr>
        <w:t xml:space="preserve"> </w:t>
      </w:r>
      <w:r w:rsidR="00B00612" w:rsidRPr="00B00612">
        <w:rPr>
          <w:highlight w:val="yellow"/>
        </w:rPr>
        <w:t>4</w:t>
      </w:r>
      <w:r w:rsidR="00D33012" w:rsidRPr="00A776BE">
        <w:t>)</w:t>
      </w:r>
      <w:r w:rsidR="00D33012">
        <w:t>.</w:t>
      </w:r>
      <w:r w:rsidR="000F56B7">
        <w:t xml:space="preserve"> </w:t>
      </w:r>
      <w:r w:rsidR="00D33012" w:rsidRPr="00A776BE">
        <w:t>«</w:t>
      </w:r>
      <w:r w:rsidR="00B07715">
        <w:t xml:space="preserve">Anche se </w:t>
      </w:r>
      <w:r w:rsidR="00D54F3F">
        <w:t xml:space="preserve">si tratta di </w:t>
      </w:r>
      <w:r w:rsidR="00D33012">
        <w:t xml:space="preserve">numeri esigui </w:t>
      </w:r>
      <w:r w:rsidR="00C04A0B" w:rsidRPr="00A776BE">
        <w:t xml:space="preserve">– </w:t>
      </w:r>
      <w:r w:rsidR="00C04A0B">
        <w:t>puntualizza</w:t>
      </w:r>
      <w:r w:rsidR="00C04A0B" w:rsidRPr="00A776BE">
        <w:t xml:space="preserve"> </w:t>
      </w:r>
      <w:r w:rsidR="00C04A0B">
        <w:t>Cartabellotta</w:t>
      </w:r>
      <w:r w:rsidR="00C04A0B" w:rsidRPr="00A776BE">
        <w:t xml:space="preserve"> –</w:t>
      </w:r>
      <w:r w:rsidR="00C04A0B">
        <w:t xml:space="preserve"> </w:t>
      </w:r>
      <w:r w:rsidR="00D54F3F">
        <w:t xml:space="preserve">che </w:t>
      </w:r>
      <w:r w:rsidR="00B07715">
        <w:t xml:space="preserve">al momento </w:t>
      </w:r>
      <w:r w:rsidR="00D54F3F">
        <w:t>non determinano alc</w:t>
      </w:r>
      <w:r w:rsidR="00B07715">
        <w:t>un</w:t>
      </w:r>
      <w:r w:rsidR="00D33012">
        <w:t xml:space="preserve"> sovraccarico dei servizi ospedalieri, </w:t>
      </w:r>
      <w:r w:rsidR="000F56B7">
        <w:t xml:space="preserve">il trend in costante aumento, </w:t>
      </w:r>
      <w:r w:rsidR="00D33012">
        <w:t xml:space="preserve">insieme all’incremento dei </w:t>
      </w:r>
      <w:r w:rsidR="000F56B7">
        <w:t xml:space="preserve">casi attualmente positivi, </w:t>
      </w:r>
      <w:r w:rsidR="00383720">
        <w:t>impongono di</w:t>
      </w:r>
      <w:r w:rsidR="00D33012">
        <w:t xml:space="preserve"> </w:t>
      </w:r>
      <w:r w:rsidR="000F56B7">
        <w:t>mantenere la guardia molto alta, soprattutto in alcune Regioni</w:t>
      </w:r>
      <w:r w:rsidR="00D33012" w:rsidRPr="00A776BE">
        <w:t>».</w:t>
      </w:r>
    </w:p>
    <w:p w:rsidR="00285170" w:rsidRPr="008069D5" w:rsidRDefault="007F7956" w:rsidP="009068D0">
      <w:pPr>
        <w:jc w:val="both"/>
      </w:pPr>
      <w:r w:rsidRPr="008069D5">
        <w:t>«</w:t>
      </w:r>
      <w:r w:rsidR="008069D5">
        <w:t xml:space="preserve">I numeri </w:t>
      </w:r>
      <w:r w:rsidR="00BD1234" w:rsidRPr="008069D5">
        <w:t xml:space="preserve">– conclude Cartabellotta – </w:t>
      </w:r>
      <w:r w:rsidR="00D54F3F">
        <w:t xml:space="preserve">attestano </w:t>
      </w:r>
      <w:r w:rsidR="008069D5">
        <w:t xml:space="preserve">in maniera inequivocabile </w:t>
      </w:r>
      <w:r w:rsidR="00D54F3F">
        <w:t>sia la risalita della curva dei</w:t>
      </w:r>
      <w:r w:rsidR="008069D5">
        <w:t xml:space="preserve"> contagi</w:t>
      </w:r>
      <w:r w:rsidR="00D54F3F">
        <w:t>, sia</w:t>
      </w:r>
      <w:r w:rsidR="008069D5">
        <w:t xml:space="preserve"> </w:t>
      </w:r>
      <w:r w:rsidR="00D54F3F">
        <w:t xml:space="preserve">quella </w:t>
      </w:r>
      <w:r w:rsidR="008069D5">
        <w:t xml:space="preserve">dei pazienti ospedalizzati </w:t>
      </w:r>
      <w:r w:rsidR="00F12842" w:rsidRPr="008069D5">
        <w:t>proprio nel momento cruciale della riapertura delle scuole</w:t>
      </w:r>
      <w:r w:rsidR="00093FC2">
        <w:t>. Tenendo conto del verosimile</w:t>
      </w:r>
      <w:r w:rsidR="00D54F3F">
        <w:t xml:space="preserve"> </w:t>
      </w:r>
      <w:r w:rsidR="000716C6">
        <w:t xml:space="preserve">ulteriore </w:t>
      </w:r>
      <w:r w:rsidR="008069D5">
        <w:t>aumento dei nuovi casi</w:t>
      </w:r>
      <w:r w:rsidR="00093FC2">
        <w:t xml:space="preserve">, </w:t>
      </w:r>
      <w:r w:rsidR="000716C6">
        <w:t xml:space="preserve">occorre </w:t>
      </w:r>
      <w:r w:rsidR="00093FC2">
        <w:t xml:space="preserve">assolutamente evitare il </w:t>
      </w:r>
      <w:r w:rsidR="00093FC2" w:rsidRPr="008069D5">
        <w:t>caos organizzativo di qualche settimana fa, quando il rientro dei vacanzieri da zone di contagio ci ha trovati inspiegabilmente impreparati</w:t>
      </w:r>
      <w:r w:rsidR="00093FC2">
        <w:t xml:space="preserve">. A tal fine, è </w:t>
      </w:r>
      <w:r w:rsidR="008069D5" w:rsidRPr="00C33F46">
        <w:t xml:space="preserve">indispensabile </w:t>
      </w:r>
      <w:r w:rsidR="00CE1C69" w:rsidRPr="00C33F46">
        <w:t>che le</w:t>
      </w:r>
      <w:r w:rsidR="00C2408D">
        <w:t xml:space="preserve"> “</w:t>
      </w:r>
      <w:hyperlink r:id="rId8" w:history="1">
        <w:r w:rsidR="00C2408D" w:rsidRPr="00C2408D">
          <w:rPr>
            <w:rStyle w:val="Collegamentoipertestuale"/>
          </w:rPr>
          <w:t>I</w:t>
        </w:r>
        <w:r w:rsidR="00CE1C69" w:rsidRPr="00C2408D">
          <w:rPr>
            <w:rStyle w:val="Collegamentoipertestuale"/>
          </w:rPr>
          <w:t>ndicazioni operative per la gestione di casi e focolai di Sars-CoV-2 nelle scuole e nei servizi operativi dell’infanzia</w:t>
        </w:r>
      </w:hyperlink>
      <w:r w:rsidR="00C2408D">
        <w:t>”</w:t>
      </w:r>
      <w:r w:rsidR="000716C6">
        <w:t>,</w:t>
      </w:r>
      <w:r w:rsidR="00CE1C69" w:rsidRPr="00C33F46">
        <w:t xml:space="preserve"> emanate dall’Istituto Superiore di Sanità, vengano attuate in modo uniforme in tutte le </w:t>
      </w:r>
      <w:r w:rsidR="00D54F3F">
        <w:t>R</w:t>
      </w:r>
      <w:r w:rsidR="00CE1C69" w:rsidRPr="00C33F46">
        <w:t>egioni</w:t>
      </w:r>
      <w:r w:rsidR="000716C6">
        <w:t xml:space="preserve">, garantendo un tempestivo sistema di </w:t>
      </w:r>
      <w:r w:rsidR="00F12842" w:rsidRPr="000F5922">
        <w:rPr>
          <w:i/>
        </w:rPr>
        <w:t>testing</w:t>
      </w:r>
      <w:r w:rsidR="00F12842" w:rsidRPr="00C33F46">
        <w:t xml:space="preserve"> e </w:t>
      </w:r>
      <w:r w:rsidR="00F12842" w:rsidRPr="000F5922">
        <w:rPr>
          <w:i/>
        </w:rPr>
        <w:t>tracing</w:t>
      </w:r>
      <w:r w:rsidR="00F12842" w:rsidRPr="00C33F46">
        <w:t xml:space="preserve"> dei casi che si manifes</w:t>
      </w:r>
      <w:r w:rsidR="008069D5" w:rsidRPr="00C33F46">
        <w:t>teranno tra alunni e insegnanti</w:t>
      </w:r>
      <w:r w:rsidRPr="008069D5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9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0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bookmarkEnd w:id="0"/>
    <w:p w:rsidR="00F1321F" w:rsidRDefault="00F1321F" w:rsidP="009B1C61">
      <w:pPr>
        <w:spacing w:after="0" w:line="360" w:lineRule="auto"/>
        <w:jc w:val="center"/>
        <w:rPr>
          <w:b/>
          <w:sz w:val="24"/>
        </w:rPr>
      </w:pPr>
    </w:p>
    <w:p w:rsidR="00D33012" w:rsidRDefault="00D33012">
      <w:pPr>
        <w:rPr>
          <w:b/>
          <w:sz w:val="24"/>
        </w:rPr>
      </w:pPr>
      <w:r>
        <w:rPr>
          <w:b/>
          <w:sz w:val="24"/>
        </w:rPr>
        <w:br w:type="page"/>
      </w:r>
    </w:p>
    <w:p w:rsidR="009B1C61" w:rsidRPr="009B1C61" w:rsidRDefault="00487E15" w:rsidP="009B1C6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Figura 1. </w:t>
      </w:r>
      <w:r w:rsidR="00BE0147">
        <w:rPr>
          <w:b/>
          <w:sz w:val="24"/>
        </w:rPr>
        <w:t>T</w:t>
      </w:r>
      <w:r w:rsidR="009B1C61" w:rsidRPr="005512A0">
        <w:rPr>
          <w:b/>
          <w:sz w:val="24"/>
        </w:rPr>
        <w:t>rend settimanale nuovi casi</w:t>
      </w:r>
      <w:r w:rsidR="00CB5911" w:rsidRPr="005512A0">
        <w:rPr>
          <w:b/>
          <w:sz w:val="24"/>
        </w:rPr>
        <w:t xml:space="preserve"> e</w:t>
      </w:r>
      <w:r w:rsidR="00AF5735">
        <w:rPr>
          <w:b/>
          <w:sz w:val="24"/>
        </w:rPr>
        <w:t xml:space="preserve"> rapporto positivi/casi testati</w:t>
      </w:r>
    </w:p>
    <w:p w:rsidR="009B1C61" w:rsidRDefault="00F469C4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8F88BCF" wp14:editId="72187B55">
            <wp:extent cx="5760000" cy="288591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  <w:rPr>
          <w:b/>
        </w:rPr>
      </w:pPr>
    </w:p>
    <w:p w:rsidR="00D33012" w:rsidRPr="00D33012" w:rsidRDefault="00D33012" w:rsidP="00D33012">
      <w:pPr>
        <w:spacing w:after="0" w:line="360" w:lineRule="auto"/>
        <w:jc w:val="center"/>
        <w:rPr>
          <w:b/>
          <w:sz w:val="24"/>
        </w:rPr>
      </w:pPr>
      <w:r w:rsidRPr="00D33012">
        <w:rPr>
          <w:b/>
          <w:sz w:val="24"/>
        </w:rPr>
        <w:t xml:space="preserve">Figura 2. </w:t>
      </w:r>
      <w:r>
        <w:rPr>
          <w:b/>
          <w:sz w:val="24"/>
        </w:rPr>
        <w:t>T</w:t>
      </w:r>
      <w:r w:rsidRPr="005512A0">
        <w:rPr>
          <w:b/>
          <w:sz w:val="24"/>
        </w:rPr>
        <w:t xml:space="preserve">rend settimanale </w:t>
      </w:r>
      <w:r>
        <w:rPr>
          <w:b/>
          <w:sz w:val="24"/>
        </w:rPr>
        <w:t>dei casi attualmente positivi</w:t>
      </w:r>
    </w:p>
    <w:p w:rsidR="00D33012" w:rsidRDefault="00B30F11" w:rsidP="009B1C61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8E5CCA5" wp14:editId="140DF607">
            <wp:extent cx="5760000" cy="282401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>
      <w:pPr>
        <w:rPr>
          <w:b/>
        </w:rPr>
      </w:pPr>
      <w:r>
        <w:rPr>
          <w:b/>
        </w:rPr>
        <w:br w:type="page"/>
      </w:r>
    </w:p>
    <w:p w:rsidR="00622A81" w:rsidRPr="0016713F" w:rsidRDefault="00487E15" w:rsidP="009B1C6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Figura </w:t>
      </w:r>
      <w:r w:rsidR="00D33012">
        <w:rPr>
          <w:b/>
        </w:rPr>
        <w:t>3</w:t>
      </w:r>
      <w:r>
        <w:rPr>
          <w:b/>
        </w:rPr>
        <w:t xml:space="preserve">. </w:t>
      </w:r>
      <w:r w:rsidR="0016713F" w:rsidRPr="0016713F">
        <w:rPr>
          <w:b/>
        </w:rPr>
        <w:t>Numero di</w:t>
      </w:r>
      <w:r w:rsidR="00EC2B05" w:rsidRPr="0016713F">
        <w:rPr>
          <w:b/>
        </w:rPr>
        <w:t xml:space="preserve"> </w:t>
      </w:r>
      <w:r w:rsidR="00CB5911" w:rsidRPr="0016713F">
        <w:rPr>
          <w:b/>
        </w:rPr>
        <w:t>ricoverati con sintomi e in terapia intensiva</w:t>
      </w:r>
    </w:p>
    <w:p w:rsidR="00622A81" w:rsidRDefault="00622A81" w:rsidP="009B1C61">
      <w:pPr>
        <w:spacing w:after="0" w:line="240" w:lineRule="auto"/>
        <w:jc w:val="center"/>
      </w:pPr>
    </w:p>
    <w:p w:rsidR="00622A81" w:rsidRDefault="00317410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A7B14BA" wp14:editId="5ED7166F">
            <wp:extent cx="5760000" cy="2776546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76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12" w:rsidRDefault="00D33012">
      <w:pPr>
        <w:rPr>
          <w:b/>
        </w:rPr>
      </w:pPr>
    </w:p>
    <w:p w:rsidR="00CB5911" w:rsidRPr="00D33012" w:rsidRDefault="00D33012" w:rsidP="009B1C61">
      <w:pPr>
        <w:spacing w:after="0" w:line="240" w:lineRule="auto"/>
        <w:jc w:val="center"/>
        <w:rPr>
          <w:b/>
        </w:rPr>
      </w:pPr>
      <w:r w:rsidRPr="00D33012">
        <w:rPr>
          <w:b/>
        </w:rPr>
        <w:t xml:space="preserve">Figura </w:t>
      </w:r>
      <w:r>
        <w:rPr>
          <w:b/>
        </w:rPr>
        <w:t xml:space="preserve">4. Distribuzione regionale dei </w:t>
      </w:r>
      <w:r w:rsidRPr="0016713F">
        <w:rPr>
          <w:b/>
        </w:rPr>
        <w:t>ricoverati con sintomi e in terapia intensiva</w:t>
      </w:r>
    </w:p>
    <w:p w:rsidR="00D33012" w:rsidRDefault="00D33012" w:rsidP="009B1C61">
      <w:pPr>
        <w:spacing w:after="0" w:line="240" w:lineRule="auto"/>
        <w:jc w:val="center"/>
      </w:pPr>
    </w:p>
    <w:p w:rsidR="00D33012" w:rsidRDefault="0079515D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C848BB1" wp14:editId="03F010AC">
            <wp:extent cx="5760000" cy="47504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75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A16" w:rsidRDefault="00EA2A16" w:rsidP="009B1C61">
      <w:pPr>
        <w:spacing w:after="0" w:line="240" w:lineRule="auto"/>
        <w:jc w:val="center"/>
      </w:pPr>
    </w:p>
    <w:p w:rsidR="00AC69F1" w:rsidRPr="00317410" w:rsidRDefault="0041135C" w:rsidP="00FE4DCA">
      <w:pPr>
        <w:rPr>
          <w:b/>
          <w:sz w:val="24"/>
        </w:rPr>
      </w:pPr>
      <w:r>
        <w:rPr>
          <w:b/>
          <w:sz w:val="24"/>
        </w:rPr>
        <w:br w:type="page"/>
      </w:r>
      <w:r w:rsidR="00D02BD5">
        <w:rPr>
          <w:b/>
          <w:sz w:val="24"/>
        </w:rPr>
        <w:lastRenderedPageBreak/>
        <w:t>Tabella.</w:t>
      </w:r>
      <w:r w:rsidR="003B761A" w:rsidRPr="007E177C">
        <w:rPr>
          <w:b/>
          <w:sz w:val="24"/>
        </w:rPr>
        <w:t xml:space="preserve"> </w:t>
      </w:r>
      <w:r w:rsidR="00D02BD5">
        <w:rPr>
          <w:b/>
          <w:sz w:val="24"/>
        </w:rPr>
        <w:t>N</w:t>
      </w:r>
      <w:r w:rsidR="003B761A" w:rsidRPr="007E177C">
        <w:rPr>
          <w:b/>
          <w:sz w:val="24"/>
        </w:rPr>
        <w:t>uovi casi settimana</w:t>
      </w:r>
      <w:r w:rsidR="003B761A">
        <w:rPr>
          <w:b/>
          <w:sz w:val="24"/>
        </w:rPr>
        <w:t xml:space="preserve"> </w:t>
      </w:r>
      <w:r w:rsidR="00317410">
        <w:rPr>
          <w:b/>
          <w:sz w:val="24"/>
        </w:rPr>
        <w:t>2-8</w:t>
      </w:r>
      <w:r w:rsidR="003B761A">
        <w:rPr>
          <w:b/>
          <w:sz w:val="24"/>
        </w:rPr>
        <w:t xml:space="preserve"> settembre</w:t>
      </w:r>
    </w:p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  <w:gridCol w:w="1228"/>
        <w:gridCol w:w="1793"/>
      </w:tblGrid>
      <w:tr w:rsidR="00317410" w:rsidRPr="00317410" w:rsidTr="00317410">
        <w:trPr>
          <w:trHeight w:val="1200"/>
          <w:jc w:val="center"/>
        </w:trPr>
        <w:tc>
          <w:tcPr>
            <w:tcW w:w="2000" w:type="dxa"/>
            <w:shd w:val="clear" w:color="000000" w:fill="00457D"/>
            <w:vAlign w:val="center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br w:type="page"/>
            </w:r>
            <w:r w:rsidRPr="0031741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668" w:type="dxa"/>
            <w:shd w:val="clear" w:color="000000" w:fill="00457D"/>
            <w:vAlign w:val="center"/>
            <w:hideMark/>
          </w:tcPr>
          <w:p w:rsidR="00317410" w:rsidRPr="009F6F0E" w:rsidRDefault="00317410" w:rsidP="0031741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317410" w:rsidRPr="00242494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228" w:type="dxa"/>
            <w:shd w:val="clear" w:color="000000" w:fill="00457D"/>
            <w:vAlign w:val="center"/>
            <w:hideMark/>
          </w:tcPr>
          <w:p w:rsidR="00317410" w:rsidRPr="009F6F0E" w:rsidRDefault="00317410" w:rsidP="0031741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317410" w:rsidRPr="00242494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93" w:type="dxa"/>
            <w:shd w:val="clear" w:color="000000" w:fill="00457D"/>
            <w:vAlign w:val="center"/>
          </w:tcPr>
          <w:p w:rsidR="00317410" w:rsidRPr="009F6F0E" w:rsidRDefault="00317410" w:rsidP="0031741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317410" w:rsidRPr="00242494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256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1.092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22,26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lang w:eastAsia="it-IT"/>
              </w:rPr>
              <w:t>Sicilia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240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lang w:eastAsia="it-IT"/>
              </w:rPr>
              <w:t>499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lang w:eastAsia="it-IT"/>
              </w:rPr>
              <w:t>9,98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203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563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13,97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Prov. Aut. Trento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186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46,76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158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445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28,70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8,71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6,93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25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13,17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10,60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lang w:eastAsia="it-IT"/>
              </w:rPr>
              <w:t>Campania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17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1.209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lang w:eastAsia="it-IT"/>
              </w:rPr>
              <w:t>20,84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15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660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17,70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14,97</w:t>
            </w:r>
          </w:p>
        </w:tc>
      </w:tr>
      <w:tr w:rsidR="00317410" w:rsidRPr="00317410" w:rsidTr="00317410">
        <w:trPr>
          <w:trHeight w:val="77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Prov. Aut. Bolzano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11,11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2668" w:type="dxa"/>
            <w:shd w:val="clear" w:color="000000" w:fill="FFC7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6,54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1.768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17,57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8,39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10,34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372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22,69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1.023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17,40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6100"/>
                <w:lang w:eastAsia="it-IT"/>
              </w:rPr>
              <w:t>-71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9,46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Emilia Romagna</w:t>
            </w:r>
          </w:p>
        </w:tc>
        <w:tc>
          <w:tcPr>
            <w:tcW w:w="2668" w:type="dxa"/>
            <w:shd w:val="clear" w:color="000000" w:fill="C6EFCE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-94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833</w:t>
            </w:r>
          </w:p>
        </w:tc>
        <w:tc>
          <w:tcPr>
            <w:tcW w:w="1793" w:type="dxa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color w:val="000000"/>
                <w:lang w:eastAsia="it-IT"/>
              </w:rPr>
              <w:t>18,68</w:t>
            </w:r>
          </w:p>
        </w:tc>
      </w:tr>
      <w:tr w:rsidR="00317410" w:rsidRPr="00317410" w:rsidTr="00317410">
        <w:trPr>
          <w:trHeight w:val="300"/>
          <w:jc w:val="center"/>
        </w:trPr>
        <w:tc>
          <w:tcPr>
            <w:tcW w:w="2000" w:type="dxa"/>
            <w:shd w:val="clear" w:color="auto" w:fill="D9D9D9" w:themeFill="background1" w:themeFillShade="D9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b/>
                <w:lang w:eastAsia="it-IT"/>
              </w:rPr>
              <w:t>ITALIA</w:t>
            </w:r>
          </w:p>
        </w:tc>
        <w:tc>
          <w:tcPr>
            <w:tcW w:w="2668" w:type="dxa"/>
            <w:shd w:val="clear" w:color="auto" w:fill="D9D9D9" w:themeFill="background1" w:themeFillShade="D9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b/>
                <w:lang w:eastAsia="it-IT"/>
              </w:rPr>
              <w:t>949</w:t>
            </w:r>
          </w:p>
        </w:tc>
        <w:tc>
          <w:tcPr>
            <w:tcW w:w="1228" w:type="dxa"/>
            <w:shd w:val="clear" w:color="auto" w:fill="D9D9D9" w:themeFill="background1" w:themeFillShade="D9"/>
            <w:noWrap/>
            <w:vAlign w:val="bottom"/>
            <w:hideMark/>
          </w:tcPr>
          <w:p w:rsidR="00317410" w:rsidRPr="00317410" w:rsidRDefault="00317410" w:rsidP="00317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b/>
                <w:lang w:eastAsia="it-IT"/>
              </w:rPr>
              <w:t>9.964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bottom"/>
          </w:tcPr>
          <w:p w:rsidR="00317410" w:rsidRPr="00317410" w:rsidRDefault="00317410" w:rsidP="0031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317410">
              <w:rPr>
                <w:rFonts w:ascii="Calibri" w:eastAsia="Times New Roman" w:hAnsi="Calibri" w:cs="Calibri"/>
                <w:b/>
                <w:lang w:eastAsia="it-IT"/>
              </w:rPr>
              <w:t>16,51</w:t>
            </w:r>
          </w:p>
        </w:tc>
      </w:tr>
    </w:tbl>
    <w:p w:rsidR="00317410" w:rsidRDefault="00317410" w:rsidP="009B1C61">
      <w:pPr>
        <w:spacing w:after="0" w:line="240" w:lineRule="auto"/>
        <w:jc w:val="center"/>
      </w:pPr>
    </w:p>
    <w:sectPr w:rsidR="00317410" w:rsidSect="00847FDE">
      <w:footerReference w:type="default" r:id="rId15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1E" w:rsidRDefault="006F0C1E">
      <w:pPr>
        <w:spacing w:after="0" w:line="240" w:lineRule="auto"/>
      </w:pPr>
      <w:r>
        <w:separator/>
      </w:r>
    </w:p>
  </w:endnote>
  <w:endnote w:type="continuationSeparator" w:id="0">
    <w:p w:rsidR="006F0C1E" w:rsidRDefault="006F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1E" w:rsidRDefault="006F0C1E">
      <w:pPr>
        <w:spacing w:after="0" w:line="240" w:lineRule="auto"/>
      </w:pPr>
      <w:r>
        <w:separator/>
      </w:r>
    </w:p>
  </w:footnote>
  <w:footnote w:type="continuationSeparator" w:id="0">
    <w:p w:rsidR="006F0C1E" w:rsidRDefault="006F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E79D4"/>
    <w:multiLevelType w:val="hybridMultilevel"/>
    <w:tmpl w:val="24F8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017"/>
    <w:multiLevelType w:val="hybridMultilevel"/>
    <w:tmpl w:val="8CDA050C"/>
    <w:lvl w:ilvl="0" w:tplc="2ECCC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8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9"/>
  </w:num>
  <w:num w:numId="23">
    <w:abstractNumId w:val="41"/>
  </w:num>
  <w:num w:numId="24">
    <w:abstractNumId w:val="13"/>
  </w:num>
  <w:num w:numId="25">
    <w:abstractNumId w:val="17"/>
  </w:num>
  <w:num w:numId="26">
    <w:abstractNumId w:val="27"/>
  </w:num>
  <w:num w:numId="27">
    <w:abstractNumId w:val="40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3"/>
  </w:num>
  <w:num w:numId="43">
    <w:abstractNumId w:val="3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610C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190C"/>
    <w:rsid w:val="000223CF"/>
    <w:rsid w:val="00022EBF"/>
    <w:rsid w:val="00023F18"/>
    <w:rsid w:val="00026DC0"/>
    <w:rsid w:val="00030B5F"/>
    <w:rsid w:val="000328C9"/>
    <w:rsid w:val="00035405"/>
    <w:rsid w:val="0004029D"/>
    <w:rsid w:val="00043148"/>
    <w:rsid w:val="00043A85"/>
    <w:rsid w:val="0004717B"/>
    <w:rsid w:val="00047EE0"/>
    <w:rsid w:val="000529FD"/>
    <w:rsid w:val="000534AE"/>
    <w:rsid w:val="000548AC"/>
    <w:rsid w:val="000559EC"/>
    <w:rsid w:val="00055E53"/>
    <w:rsid w:val="00055FB6"/>
    <w:rsid w:val="0005649A"/>
    <w:rsid w:val="000568EE"/>
    <w:rsid w:val="00057675"/>
    <w:rsid w:val="00060A3C"/>
    <w:rsid w:val="00062E06"/>
    <w:rsid w:val="000637B1"/>
    <w:rsid w:val="000648AF"/>
    <w:rsid w:val="00064937"/>
    <w:rsid w:val="000650A3"/>
    <w:rsid w:val="000654A3"/>
    <w:rsid w:val="00066FEB"/>
    <w:rsid w:val="0007007A"/>
    <w:rsid w:val="00070944"/>
    <w:rsid w:val="000713E0"/>
    <w:rsid w:val="000716C6"/>
    <w:rsid w:val="00071F3F"/>
    <w:rsid w:val="00072E7C"/>
    <w:rsid w:val="00073DC9"/>
    <w:rsid w:val="00075811"/>
    <w:rsid w:val="00075B48"/>
    <w:rsid w:val="0007670E"/>
    <w:rsid w:val="00080943"/>
    <w:rsid w:val="00081DF7"/>
    <w:rsid w:val="00082DDC"/>
    <w:rsid w:val="00083222"/>
    <w:rsid w:val="00083F44"/>
    <w:rsid w:val="0008470A"/>
    <w:rsid w:val="00087618"/>
    <w:rsid w:val="00090BE2"/>
    <w:rsid w:val="00091C99"/>
    <w:rsid w:val="00092A9D"/>
    <w:rsid w:val="00093477"/>
    <w:rsid w:val="00093FC2"/>
    <w:rsid w:val="000943CF"/>
    <w:rsid w:val="00094EF2"/>
    <w:rsid w:val="00095FCA"/>
    <w:rsid w:val="000A1C07"/>
    <w:rsid w:val="000A24C2"/>
    <w:rsid w:val="000A5441"/>
    <w:rsid w:val="000A5D42"/>
    <w:rsid w:val="000A7474"/>
    <w:rsid w:val="000A7D7F"/>
    <w:rsid w:val="000B0330"/>
    <w:rsid w:val="000B1503"/>
    <w:rsid w:val="000B23AC"/>
    <w:rsid w:val="000B2A0D"/>
    <w:rsid w:val="000B2A60"/>
    <w:rsid w:val="000B6B1F"/>
    <w:rsid w:val="000B6E50"/>
    <w:rsid w:val="000B77BB"/>
    <w:rsid w:val="000C1558"/>
    <w:rsid w:val="000C1EDD"/>
    <w:rsid w:val="000C22C6"/>
    <w:rsid w:val="000C271B"/>
    <w:rsid w:val="000C44FE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7D28"/>
    <w:rsid w:val="000F7EE8"/>
    <w:rsid w:val="00100714"/>
    <w:rsid w:val="00100F54"/>
    <w:rsid w:val="00103E7D"/>
    <w:rsid w:val="00104007"/>
    <w:rsid w:val="00104759"/>
    <w:rsid w:val="001047A9"/>
    <w:rsid w:val="0010550E"/>
    <w:rsid w:val="001059AD"/>
    <w:rsid w:val="00113053"/>
    <w:rsid w:val="00113554"/>
    <w:rsid w:val="00113C94"/>
    <w:rsid w:val="001218DD"/>
    <w:rsid w:val="00123005"/>
    <w:rsid w:val="0012440D"/>
    <w:rsid w:val="00124E32"/>
    <w:rsid w:val="00126676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4CF6"/>
    <w:rsid w:val="00145AFE"/>
    <w:rsid w:val="00146588"/>
    <w:rsid w:val="00147917"/>
    <w:rsid w:val="001509C3"/>
    <w:rsid w:val="00151D45"/>
    <w:rsid w:val="00152168"/>
    <w:rsid w:val="00153115"/>
    <w:rsid w:val="00153964"/>
    <w:rsid w:val="00156186"/>
    <w:rsid w:val="001630EB"/>
    <w:rsid w:val="0016624A"/>
    <w:rsid w:val="00166D9E"/>
    <w:rsid w:val="0016713F"/>
    <w:rsid w:val="00170961"/>
    <w:rsid w:val="0017590C"/>
    <w:rsid w:val="00175A46"/>
    <w:rsid w:val="001767BB"/>
    <w:rsid w:val="001815BB"/>
    <w:rsid w:val="0018261A"/>
    <w:rsid w:val="00183566"/>
    <w:rsid w:val="00183F81"/>
    <w:rsid w:val="00185E17"/>
    <w:rsid w:val="00186CF1"/>
    <w:rsid w:val="00187B8A"/>
    <w:rsid w:val="00191361"/>
    <w:rsid w:val="00191564"/>
    <w:rsid w:val="00191AFB"/>
    <w:rsid w:val="0019215F"/>
    <w:rsid w:val="00196162"/>
    <w:rsid w:val="00197B87"/>
    <w:rsid w:val="001A0964"/>
    <w:rsid w:val="001A25A5"/>
    <w:rsid w:val="001A2AC2"/>
    <w:rsid w:val="001A3813"/>
    <w:rsid w:val="001A3BD0"/>
    <w:rsid w:val="001A3EC6"/>
    <w:rsid w:val="001A62B9"/>
    <w:rsid w:val="001A642A"/>
    <w:rsid w:val="001B0820"/>
    <w:rsid w:val="001B29FE"/>
    <w:rsid w:val="001B3683"/>
    <w:rsid w:val="001B3E88"/>
    <w:rsid w:val="001C07D8"/>
    <w:rsid w:val="001C3419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2E7F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5992"/>
    <w:rsid w:val="0020632D"/>
    <w:rsid w:val="00207983"/>
    <w:rsid w:val="00210F6C"/>
    <w:rsid w:val="002115AE"/>
    <w:rsid w:val="002118B6"/>
    <w:rsid w:val="00212CD8"/>
    <w:rsid w:val="00213097"/>
    <w:rsid w:val="002149D9"/>
    <w:rsid w:val="00217534"/>
    <w:rsid w:val="00217C7C"/>
    <w:rsid w:val="002205C9"/>
    <w:rsid w:val="00222222"/>
    <w:rsid w:val="00223CBF"/>
    <w:rsid w:val="00223FDE"/>
    <w:rsid w:val="0022503B"/>
    <w:rsid w:val="002269AD"/>
    <w:rsid w:val="002273E1"/>
    <w:rsid w:val="002306E8"/>
    <w:rsid w:val="00232450"/>
    <w:rsid w:val="002329BC"/>
    <w:rsid w:val="0023363F"/>
    <w:rsid w:val="0023472D"/>
    <w:rsid w:val="0023571B"/>
    <w:rsid w:val="002372A1"/>
    <w:rsid w:val="002409AC"/>
    <w:rsid w:val="00240B0E"/>
    <w:rsid w:val="002419BE"/>
    <w:rsid w:val="00241BC8"/>
    <w:rsid w:val="00243835"/>
    <w:rsid w:val="002442BE"/>
    <w:rsid w:val="00244487"/>
    <w:rsid w:val="00246085"/>
    <w:rsid w:val="002509F9"/>
    <w:rsid w:val="0025131F"/>
    <w:rsid w:val="00252E88"/>
    <w:rsid w:val="0025387F"/>
    <w:rsid w:val="00255F11"/>
    <w:rsid w:val="0025799B"/>
    <w:rsid w:val="00260775"/>
    <w:rsid w:val="00260A99"/>
    <w:rsid w:val="00262053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5170"/>
    <w:rsid w:val="002852F5"/>
    <w:rsid w:val="00287EB2"/>
    <w:rsid w:val="00290EB0"/>
    <w:rsid w:val="00290FDF"/>
    <w:rsid w:val="00292F53"/>
    <w:rsid w:val="002933A0"/>
    <w:rsid w:val="0029457A"/>
    <w:rsid w:val="00296100"/>
    <w:rsid w:val="00297824"/>
    <w:rsid w:val="002A2099"/>
    <w:rsid w:val="002A3D04"/>
    <w:rsid w:val="002A4C5F"/>
    <w:rsid w:val="002A4DEE"/>
    <w:rsid w:val="002A4E8D"/>
    <w:rsid w:val="002A55EA"/>
    <w:rsid w:val="002A59D9"/>
    <w:rsid w:val="002A5FA2"/>
    <w:rsid w:val="002A6486"/>
    <w:rsid w:val="002A6ED6"/>
    <w:rsid w:val="002A6F3F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70B8"/>
    <w:rsid w:val="002D7694"/>
    <w:rsid w:val="002D76E0"/>
    <w:rsid w:val="002E0DAB"/>
    <w:rsid w:val="002E182B"/>
    <w:rsid w:val="002E2579"/>
    <w:rsid w:val="002E3B3A"/>
    <w:rsid w:val="002E450B"/>
    <w:rsid w:val="002F0DFB"/>
    <w:rsid w:val="002F1137"/>
    <w:rsid w:val="002F117B"/>
    <w:rsid w:val="002F1666"/>
    <w:rsid w:val="002F47DF"/>
    <w:rsid w:val="002F5E78"/>
    <w:rsid w:val="002F70DB"/>
    <w:rsid w:val="002F743B"/>
    <w:rsid w:val="00300572"/>
    <w:rsid w:val="00300FDE"/>
    <w:rsid w:val="003020A3"/>
    <w:rsid w:val="00303C74"/>
    <w:rsid w:val="00304BC8"/>
    <w:rsid w:val="00304F90"/>
    <w:rsid w:val="003055A2"/>
    <w:rsid w:val="00306624"/>
    <w:rsid w:val="00306D88"/>
    <w:rsid w:val="0030740E"/>
    <w:rsid w:val="003168CE"/>
    <w:rsid w:val="00317410"/>
    <w:rsid w:val="00317538"/>
    <w:rsid w:val="00320449"/>
    <w:rsid w:val="00323CCC"/>
    <w:rsid w:val="00325971"/>
    <w:rsid w:val="00326A22"/>
    <w:rsid w:val="00327AF6"/>
    <w:rsid w:val="00327D55"/>
    <w:rsid w:val="00327D6B"/>
    <w:rsid w:val="00330B57"/>
    <w:rsid w:val="00330DDC"/>
    <w:rsid w:val="003319BF"/>
    <w:rsid w:val="00336225"/>
    <w:rsid w:val="003366CD"/>
    <w:rsid w:val="0033698E"/>
    <w:rsid w:val="0033740A"/>
    <w:rsid w:val="00341741"/>
    <w:rsid w:val="00343D23"/>
    <w:rsid w:val="003442B9"/>
    <w:rsid w:val="00344C02"/>
    <w:rsid w:val="00345326"/>
    <w:rsid w:val="00345D05"/>
    <w:rsid w:val="0034652C"/>
    <w:rsid w:val="00346A49"/>
    <w:rsid w:val="003515F5"/>
    <w:rsid w:val="003522D4"/>
    <w:rsid w:val="00352733"/>
    <w:rsid w:val="00352A02"/>
    <w:rsid w:val="00353D22"/>
    <w:rsid w:val="00355D9B"/>
    <w:rsid w:val="003565EE"/>
    <w:rsid w:val="00356D01"/>
    <w:rsid w:val="00357398"/>
    <w:rsid w:val="003573F0"/>
    <w:rsid w:val="00360AA4"/>
    <w:rsid w:val="003624F9"/>
    <w:rsid w:val="0036340C"/>
    <w:rsid w:val="00363CCA"/>
    <w:rsid w:val="00365312"/>
    <w:rsid w:val="003658CE"/>
    <w:rsid w:val="00366193"/>
    <w:rsid w:val="0037366F"/>
    <w:rsid w:val="0037421B"/>
    <w:rsid w:val="00375555"/>
    <w:rsid w:val="00376334"/>
    <w:rsid w:val="00376B13"/>
    <w:rsid w:val="003827FB"/>
    <w:rsid w:val="00383720"/>
    <w:rsid w:val="00384F8E"/>
    <w:rsid w:val="003864BA"/>
    <w:rsid w:val="00387426"/>
    <w:rsid w:val="00390E96"/>
    <w:rsid w:val="003925EF"/>
    <w:rsid w:val="003944F4"/>
    <w:rsid w:val="003948A2"/>
    <w:rsid w:val="0039540D"/>
    <w:rsid w:val="003A0175"/>
    <w:rsid w:val="003A0F9B"/>
    <w:rsid w:val="003A2071"/>
    <w:rsid w:val="003B386F"/>
    <w:rsid w:val="003B3BA8"/>
    <w:rsid w:val="003B46B9"/>
    <w:rsid w:val="003B4B8E"/>
    <w:rsid w:val="003B5BD7"/>
    <w:rsid w:val="003B761A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2D73"/>
    <w:rsid w:val="00404ACE"/>
    <w:rsid w:val="00404CF8"/>
    <w:rsid w:val="00406927"/>
    <w:rsid w:val="00406DC9"/>
    <w:rsid w:val="00410301"/>
    <w:rsid w:val="00410F0D"/>
    <w:rsid w:val="0041135C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6A8E"/>
    <w:rsid w:val="00427B58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1DF0"/>
    <w:rsid w:val="00452084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598E"/>
    <w:rsid w:val="00465DF4"/>
    <w:rsid w:val="00467C46"/>
    <w:rsid w:val="004703BD"/>
    <w:rsid w:val="00470EA2"/>
    <w:rsid w:val="00470ED4"/>
    <w:rsid w:val="0047278C"/>
    <w:rsid w:val="004751C0"/>
    <w:rsid w:val="00475FAA"/>
    <w:rsid w:val="00476735"/>
    <w:rsid w:val="00476F10"/>
    <w:rsid w:val="004805BB"/>
    <w:rsid w:val="00480CC3"/>
    <w:rsid w:val="00481C9F"/>
    <w:rsid w:val="00482E09"/>
    <w:rsid w:val="004855A5"/>
    <w:rsid w:val="00487CA2"/>
    <w:rsid w:val="00487DFA"/>
    <w:rsid w:val="00487E15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C6651"/>
    <w:rsid w:val="004D26DF"/>
    <w:rsid w:val="004D3220"/>
    <w:rsid w:val="004D3455"/>
    <w:rsid w:val="004D381A"/>
    <w:rsid w:val="004D5A05"/>
    <w:rsid w:val="004D6BE7"/>
    <w:rsid w:val="004D7373"/>
    <w:rsid w:val="004D7D3F"/>
    <w:rsid w:val="004D7F8F"/>
    <w:rsid w:val="004E1A67"/>
    <w:rsid w:val="004E1AC9"/>
    <w:rsid w:val="004E39E1"/>
    <w:rsid w:val="004E46D4"/>
    <w:rsid w:val="004E6DA9"/>
    <w:rsid w:val="004E7D1A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2A03"/>
    <w:rsid w:val="00503664"/>
    <w:rsid w:val="00503976"/>
    <w:rsid w:val="005049A0"/>
    <w:rsid w:val="00504B2C"/>
    <w:rsid w:val="005052B2"/>
    <w:rsid w:val="00505F2C"/>
    <w:rsid w:val="005070CE"/>
    <w:rsid w:val="00511884"/>
    <w:rsid w:val="005126FA"/>
    <w:rsid w:val="005127EB"/>
    <w:rsid w:val="00512FC7"/>
    <w:rsid w:val="0051437E"/>
    <w:rsid w:val="00516047"/>
    <w:rsid w:val="005165ED"/>
    <w:rsid w:val="00521A13"/>
    <w:rsid w:val="00521CAE"/>
    <w:rsid w:val="00522819"/>
    <w:rsid w:val="00523087"/>
    <w:rsid w:val="0052545F"/>
    <w:rsid w:val="0052679C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2A0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B01"/>
    <w:rsid w:val="005670E5"/>
    <w:rsid w:val="00570E0C"/>
    <w:rsid w:val="00571125"/>
    <w:rsid w:val="005721B6"/>
    <w:rsid w:val="00572631"/>
    <w:rsid w:val="0057286A"/>
    <w:rsid w:val="00573443"/>
    <w:rsid w:val="00573CE1"/>
    <w:rsid w:val="00575FE4"/>
    <w:rsid w:val="005803F6"/>
    <w:rsid w:val="00580652"/>
    <w:rsid w:val="00582B47"/>
    <w:rsid w:val="00584F34"/>
    <w:rsid w:val="005850C4"/>
    <w:rsid w:val="005862D2"/>
    <w:rsid w:val="00586EDB"/>
    <w:rsid w:val="00587855"/>
    <w:rsid w:val="005879F9"/>
    <w:rsid w:val="00591FDA"/>
    <w:rsid w:val="005927E5"/>
    <w:rsid w:val="0059509E"/>
    <w:rsid w:val="00595785"/>
    <w:rsid w:val="00595C29"/>
    <w:rsid w:val="00596FA8"/>
    <w:rsid w:val="00597447"/>
    <w:rsid w:val="005A0C5E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3F52"/>
    <w:rsid w:val="005C5D3F"/>
    <w:rsid w:val="005D08B3"/>
    <w:rsid w:val="005D12FA"/>
    <w:rsid w:val="005D2F9E"/>
    <w:rsid w:val="005D38E6"/>
    <w:rsid w:val="005D493F"/>
    <w:rsid w:val="005D59BB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E7348"/>
    <w:rsid w:val="005F0188"/>
    <w:rsid w:val="005F4AC1"/>
    <w:rsid w:val="005F5D57"/>
    <w:rsid w:val="005F6212"/>
    <w:rsid w:val="005F7A93"/>
    <w:rsid w:val="00600B66"/>
    <w:rsid w:val="00600CCD"/>
    <w:rsid w:val="00602DF1"/>
    <w:rsid w:val="0060442D"/>
    <w:rsid w:val="00604986"/>
    <w:rsid w:val="00604A4F"/>
    <w:rsid w:val="00604DAE"/>
    <w:rsid w:val="00606D1D"/>
    <w:rsid w:val="006074AF"/>
    <w:rsid w:val="006115E6"/>
    <w:rsid w:val="00611E90"/>
    <w:rsid w:val="0061266D"/>
    <w:rsid w:val="00612C8A"/>
    <w:rsid w:val="00612F59"/>
    <w:rsid w:val="00615B1C"/>
    <w:rsid w:val="006165DD"/>
    <w:rsid w:val="00617AF9"/>
    <w:rsid w:val="00620EF4"/>
    <w:rsid w:val="0062113D"/>
    <w:rsid w:val="00621372"/>
    <w:rsid w:val="00622A81"/>
    <w:rsid w:val="00622F59"/>
    <w:rsid w:val="00627001"/>
    <w:rsid w:val="00627D19"/>
    <w:rsid w:val="00631EE7"/>
    <w:rsid w:val="00632682"/>
    <w:rsid w:val="00633FE4"/>
    <w:rsid w:val="006344FF"/>
    <w:rsid w:val="00634684"/>
    <w:rsid w:val="006347C6"/>
    <w:rsid w:val="006355A5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42FB"/>
    <w:rsid w:val="00687318"/>
    <w:rsid w:val="006876EB"/>
    <w:rsid w:val="00690ACD"/>
    <w:rsid w:val="006917E1"/>
    <w:rsid w:val="00691E9D"/>
    <w:rsid w:val="0069637C"/>
    <w:rsid w:val="006A1820"/>
    <w:rsid w:val="006A294B"/>
    <w:rsid w:val="006A3B33"/>
    <w:rsid w:val="006A40EB"/>
    <w:rsid w:val="006A5AB0"/>
    <w:rsid w:val="006B0D3D"/>
    <w:rsid w:val="006B12A9"/>
    <w:rsid w:val="006B2769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D40"/>
    <w:rsid w:val="006D127C"/>
    <w:rsid w:val="006D28FA"/>
    <w:rsid w:val="006D4E98"/>
    <w:rsid w:val="006D5C17"/>
    <w:rsid w:val="006D696D"/>
    <w:rsid w:val="006E02A4"/>
    <w:rsid w:val="006E2575"/>
    <w:rsid w:val="006E3E6F"/>
    <w:rsid w:val="006E4166"/>
    <w:rsid w:val="006E459F"/>
    <w:rsid w:val="006E488E"/>
    <w:rsid w:val="006E5D20"/>
    <w:rsid w:val="006F0C1E"/>
    <w:rsid w:val="006F20F9"/>
    <w:rsid w:val="006F24CB"/>
    <w:rsid w:val="006F2A40"/>
    <w:rsid w:val="006F34AA"/>
    <w:rsid w:val="006F4A1D"/>
    <w:rsid w:val="006F6445"/>
    <w:rsid w:val="007006C3"/>
    <w:rsid w:val="007013BF"/>
    <w:rsid w:val="00702C8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655"/>
    <w:rsid w:val="00723A22"/>
    <w:rsid w:val="0072783E"/>
    <w:rsid w:val="007305F0"/>
    <w:rsid w:val="00732E2F"/>
    <w:rsid w:val="00734FA2"/>
    <w:rsid w:val="0073695C"/>
    <w:rsid w:val="00737FDA"/>
    <w:rsid w:val="007429A2"/>
    <w:rsid w:val="00742B69"/>
    <w:rsid w:val="00742EE2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07AD"/>
    <w:rsid w:val="00772F06"/>
    <w:rsid w:val="00773CD5"/>
    <w:rsid w:val="007762D0"/>
    <w:rsid w:val="00777568"/>
    <w:rsid w:val="00777E08"/>
    <w:rsid w:val="00780B5E"/>
    <w:rsid w:val="00780B6B"/>
    <w:rsid w:val="00780CCA"/>
    <w:rsid w:val="007836E4"/>
    <w:rsid w:val="007852E6"/>
    <w:rsid w:val="00787430"/>
    <w:rsid w:val="00787494"/>
    <w:rsid w:val="00791096"/>
    <w:rsid w:val="00792513"/>
    <w:rsid w:val="007934E9"/>
    <w:rsid w:val="00794AEC"/>
    <w:rsid w:val="0079515D"/>
    <w:rsid w:val="00796A3E"/>
    <w:rsid w:val="00796E28"/>
    <w:rsid w:val="00797683"/>
    <w:rsid w:val="007A0E55"/>
    <w:rsid w:val="007A2B7E"/>
    <w:rsid w:val="007A3025"/>
    <w:rsid w:val="007A5918"/>
    <w:rsid w:val="007A5CE7"/>
    <w:rsid w:val="007A70DF"/>
    <w:rsid w:val="007B1502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D0C94"/>
    <w:rsid w:val="007D1284"/>
    <w:rsid w:val="007D21EE"/>
    <w:rsid w:val="007D2880"/>
    <w:rsid w:val="007D4C7F"/>
    <w:rsid w:val="007D7805"/>
    <w:rsid w:val="007E05D8"/>
    <w:rsid w:val="007E177C"/>
    <w:rsid w:val="007E1F0A"/>
    <w:rsid w:val="007E2BA6"/>
    <w:rsid w:val="007E2C64"/>
    <w:rsid w:val="007E2EE5"/>
    <w:rsid w:val="007E3B6F"/>
    <w:rsid w:val="007E6483"/>
    <w:rsid w:val="007E7B7B"/>
    <w:rsid w:val="007F276F"/>
    <w:rsid w:val="007F3F63"/>
    <w:rsid w:val="007F6282"/>
    <w:rsid w:val="007F7956"/>
    <w:rsid w:val="008006DB"/>
    <w:rsid w:val="00801134"/>
    <w:rsid w:val="00802724"/>
    <w:rsid w:val="00805F05"/>
    <w:rsid w:val="0080635D"/>
    <w:rsid w:val="008064EA"/>
    <w:rsid w:val="008069D5"/>
    <w:rsid w:val="00806A53"/>
    <w:rsid w:val="0080704D"/>
    <w:rsid w:val="00807B71"/>
    <w:rsid w:val="00807E75"/>
    <w:rsid w:val="008109FF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131"/>
    <w:rsid w:val="00824D1D"/>
    <w:rsid w:val="00825F7D"/>
    <w:rsid w:val="0082682D"/>
    <w:rsid w:val="0083016D"/>
    <w:rsid w:val="0083247F"/>
    <w:rsid w:val="00833C4A"/>
    <w:rsid w:val="00834083"/>
    <w:rsid w:val="00834413"/>
    <w:rsid w:val="00835264"/>
    <w:rsid w:val="00835930"/>
    <w:rsid w:val="008376AC"/>
    <w:rsid w:val="0084002B"/>
    <w:rsid w:val="00840E9B"/>
    <w:rsid w:val="0084133F"/>
    <w:rsid w:val="00842C0E"/>
    <w:rsid w:val="00843D5B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3A01"/>
    <w:rsid w:val="00854A33"/>
    <w:rsid w:val="00854B36"/>
    <w:rsid w:val="00855916"/>
    <w:rsid w:val="00856676"/>
    <w:rsid w:val="008613A9"/>
    <w:rsid w:val="00862990"/>
    <w:rsid w:val="00863411"/>
    <w:rsid w:val="00871B35"/>
    <w:rsid w:val="00873715"/>
    <w:rsid w:val="00873E22"/>
    <w:rsid w:val="00873FF0"/>
    <w:rsid w:val="00877452"/>
    <w:rsid w:val="008822E7"/>
    <w:rsid w:val="00882A5C"/>
    <w:rsid w:val="00883151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0E45"/>
    <w:rsid w:val="008A55F7"/>
    <w:rsid w:val="008A5BA9"/>
    <w:rsid w:val="008A6587"/>
    <w:rsid w:val="008A7176"/>
    <w:rsid w:val="008A7D9C"/>
    <w:rsid w:val="008B0811"/>
    <w:rsid w:val="008B13C3"/>
    <w:rsid w:val="008B1878"/>
    <w:rsid w:val="008B4508"/>
    <w:rsid w:val="008B5356"/>
    <w:rsid w:val="008B791C"/>
    <w:rsid w:val="008C0576"/>
    <w:rsid w:val="008C204C"/>
    <w:rsid w:val="008C54E1"/>
    <w:rsid w:val="008C7B6D"/>
    <w:rsid w:val="008D0904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2959"/>
    <w:rsid w:val="008F4115"/>
    <w:rsid w:val="008F4E0D"/>
    <w:rsid w:val="008F50B0"/>
    <w:rsid w:val="008F654F"/>
    <w:rsid w:val="008F675F"/>
    <w:rsid w:val="00900D84"/>
    <w:rsid w:val="00901A6B"/>
    <w:rsid w:val="00901D22"/>
    <w:rsid w:val="00902148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42AA"/>
    <w:rsid w:val="00967957"/>
    <w:rsid w:val="00970B5D"/>
    <w:rsid w:val="00972E1E"/>
    <w:rsid w:val="00974C0B"/>
    <w:rsid w:val="00974EC8"/>
    <w:rsid w:val="00975612"/>
    <w:rsid w:val="00975F96"/>
    <w:rsid w:val="00984DF6"/>
    <w:rsid w:val="0098527F"/>
    <w:rsid w:val="009856B6"/>
    <w:rsid w:val="009858B9"/>
    <w:rsid w:val="00990E18"/>
    <w:rsid w:val="00991393"/>
    <w:rsid w:val="00991CD3"/>
    <w:rsid w:val="009942DB"/>
    <w:rsid w:val="009952B5"/>
    <w:rsid w:val="009956AF"/>
    <w:rsid w:val="009970D3"/>
    <w:rsid w:val="009A1612"/>
    <w:rsid w:val="009A33DB"/>
    <w:rsid w:val="009A64A5"/>
    <w:rsid w:val="009A6824"/>
    <w:rsid w:val="009A7852"/>
    <w:rsid w:val="009B0507"/>
    <w:rsid w:val="009B1C61"/>
    <w:rsid w:val="009B1C75"/>
    <w:rsid w:val="009B22A4"/>
    <w:rsid w:val="009B314F"/>
    <w:rsid w:val="009B7B66"/>
    <w:rsid w:val="009C113E"/>
    <w:rsid w:val="009C12B3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E7D1B"/>
    <w:rsid w:val="009F0E8E"/>
    <w:rsid w:val="009F2B01"/>
    <w:rsid w:val="009F4108"/>
    <w:rsid w:val="009F5F16"/>
    <w:rsid w:val="009F6F0E"/>
    <w:rsid w:val="009F7BF1"/>
    <w:rsid w:val="009F7C36"/>
    <w:rsid w:val="00A00674"/>
    <w:rsid w:val="00A02B9F"/>
    <w:rsid w:val="00A05149"/>
    <w:rsid w:val="00A05DA4"/>
    <w:rsid w:val="00A061E7"/>
    <w:rsid w:val="00A07778"/>
    <w:rsid w:val="00A10324"/>
    <w:rsid w:val="00A125C6"/>
    <w:rsid w:val="00A148E1"/>
    <w:rsid w:val="00A149F4"/>
    <w:rsid w:val="00A176D4"/>
    <w:rsid w:val="00A200E1"/>
    <w:rsid w:val="00A208E0"/>
    <w:rsid w:val="00A20C16"/>
    <w:rsid w:val="00A21B24"/>
    <w:rsid w:val="00A2329E"/>
    <w:rsid w:val="00A24080"/>
    <w:rsid w:val="00A245F6"/>
    <w:rsid w:val="00A26E17"/>
    <w:rsid w:val="00A30D45"/>
    <w:rsid w:val="00A31274"/>
    <w:rsid w:val="00A3202F"/>
    <w:rsid w:val="00A32A97"/>
    <w:rsid w:val="00A33EF5"/>
    <w:rsid w:val="00A37423"/>
    <w:rsid w:val="00A37A23"/>
    <w:rsid w:val="00A406C1"/>
    <w:rsid w:val="00A4164F"/>
    <w:rsid w:val="00A42648"/>
    <w:rsid w:val="00A42764"/>
    <w:rsid w:val="00A42FDA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74E0"/>
    <w:rsid w:val="00A578D4"/>
    <w:rsid w:val="00A57EE9"/>
    <w:rsid w:val="00A60230"/>
    <w:rsid w:val="00A60C84"/>
    <w:rsid w:val="00A63180"/>
    <w:rsid w:val="00A64E2D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776BE"/>
    <w:rsid w:val="00A77F3C"/>
    <w:rsid w:val="00A8160A"/>
    <w:rsid w:val="00A8226A"/>
    <w:rsid w:val="00A82603"/>
    <w:rsid w:val="00A82638"/>
    <w:rsid w:val="00A833AA"/>
    <w:rsid w:val="00A835FA"/>
    <w:rsid w:val="00A86612"/>
    <w:rsid w:val="00A8692E"/>
    <w:rsid w:val="00A94367"/>
    <w:rsid w:val="00A94901"/>
    <w:rsid w:val="00A953E6"/>
    <w:rsid w:val="00A97066"/>
    <w:rsid w:val="00AA0C59"/>
    <w:rsid w:val="00AA1769"/>
    <w:rsid w:val="00AA1782"/>
    <w:rsid w:val="00AA2732"/>
    <w:rsid w:val="00AA2946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636"/>
    <w:rsid w:val="00AB6F51"/>
    <w:rsid w:val="00AB7A6D"/>
    <w:rsid w:val="00AB7C9B"/>
    <w:rsid w:val="00AC1D69"/>
    <w:rsid w:val="00AC2A51"/>
    <w:rsid w:val="00AC4710"/>
    <w:rsid w:val="00AC546F"/>
    <w:rsid w:val="00AC55D6"/>
    <w:rsid w:val="00AC69F1"/>
    <w:rsid w:val="00AD21A5"/>
    <w:rsid w:val="00AD3147"/>
    <w:rsid w:val="00AD4714"/>
    <w:rsid w:val="00AD4E60"/>
    <w:rsid w:val="00AD510C"/>
    <w:rsid w:val="00AD7137"/>
    <w:rsid w:val="00AE0068"/>
    <w:rsid w:val="00AE2B36"/>
    <w:rsid w:val="00AE35A2"/>
    <w:rsid w:val="00AE3EA3"/>
    <w:rsid w:val="00AE6C19"/>
    <w:rsid w:val="00AE7D6B"/>
    <w:rsid w:val="00AF55DD"/>
    <w:rsid w:val="00AF56B2"/>
    <w:rsid w:val="00AF5735"/>
    <w:rsid w:val="00AF71E2"/>
    <w:rsid w:val="00B00612"/>
    <w:rsid w:val="00B01615"/>
    <w:rsid w:val="00B01F54"/>
    <w:rsid w:val="00B021EA"/>
    <w:rsid w:val="00B03553"/>
    <w:rsid w:val="00B04792"/>
    <w:rsid w:val="00B04E45"/>
    <w:rsid w:val="00B050EF"/>
    <w:rsid w:val="00B05439"/>
    <w:rsid w:val="00B07715"/>
    <w:rsid w:val="00B10B61"/>
    <w:rsid w:val="00B11015"/>
    <w:rsid w:val="00B11737"/>
    <w:rsid w:val="00B14080"/>
    <w:rsid w:val="00B17140"/>
    <w:rsid w:val="00B23F66"/>
    <w:rsid w:val="00B241CC"/>
    <w:rsid w:val="00B24821"/>
    <w:rsid w:val="00B25576"/>
    <w:rsid w:val="00B27A9C"/>
    <w:rsid w:val="00B30F11"/>
    <w:rsid w:val="00B33FBD"/>
    <w:rsid w:val="00B34EB5"/>
    <w:rsid w:val="00B3670B"/>
    <w:rsid w:val="00B3789D"/>
    <w:rsid w:val="00B41CDA"/>
    <w:rsid w:val="00B41F3E"/>
    <w:rsid w:val="00B441BB"/>
    <w:rsid w:val="00B443D8"/>
    <w:rsid w:val="00B45494"/>
    <w:rsid w:val="00B4696D"/>
    <w:rsid w:val="00B47F95"/>
    <w:rsid w:val="00B50481"/>
    <w:rsid w:val="00B5100D"/>
    <w:rsid w:val="00B5483A"/>
    <w:rsid w:val="00B552B6"/>
    <w:rsid w:val="00B55C32"/>
    <w:rsid w:val="00B57331"/>
    <w:rsid w:val="00B6206C"/>
    <w:rsid w:val="00B6250F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3DEF"/>
    <w:rsid w:val="00B95C53"/>
    <w:rsid w:val="00B95C5D"/>
    <w:rsid w:val="00B97121"/>
    <w:rsid w:val="00BA08BE"/>
    <w:rsid w:val="00BA095D"/>
    <w:rsid w:val="00BA17A3"/>
    <w:rsid w:val="00BA3DDE"/>
    <w:rsid w:val="00BA44E0"/>
    <w:rsid w:val="00BA5083"/>
    <w:rsid w:val="00BA798E"/>
    <w:rsid w:val="00BA7A01"/>
    <w:rsid w:val="00BA7AE5"/>
    <w:rsid w:val="00BB0200"/>
    <w:rsid w:val="00BB044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34"/>
    <w:rsid w:val="00BD12F3"/>
    <w:rsid w:val="00BD2441"/>
    <w:rsid w:val="00BD49A5"/>
    <w:rsid w:val="00BD618E"/>
    <w:rsid w:val="00BD689A"/>
    <w:rsid w:val="00BE0147"/>
    <w:rsid w:val="00BE2807"/>
    <w:rsid w:val="00BE2B21"/>
    <w:rsid w:val="00BE3545"/>
    <w:rsid w:val="00BE4CBF"/>
    <w:rsid w:val="00BE59C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4A0B"/>
    <w:rsid w:val="00C05AB7"/>
    <w:rsid w:val="00C06ED3"/>
    <w:rsid w:val="00C075E0"/>
    <w:rsid w:val="00C1065A"/>
    <w:rsid w:val="00C12018"/>
    <w:rsid w:val="00C15FCE"/>
    <w:rsid w:val="00C20D5E"/>
    <w:rsid w:val="00C22254"/>
    <w:rsid w:val="00C2408D"/>
    <w:rsid w:val="00C24286"/>
    <w:rsid w:val="00C249E7"/>
    <w:rsid w:val="00C276DD"/>
    <w:rsid w:val="00C30DB5"/>
    <w:rsid w:val="00C31765"/>
    <w:rsid w:val="00C33F46"/>
    <w:rsid w:val="00C34525"/>
    <w:rsid w:val="00C3488A"/>
    <w:rsid w:val="00C34EA8"/>
    <w:rsid w:val="00C3563E"/>
    <w:rsid w:val="00C40014"/>
    <w:rsid w:val="00C4077E"/>
    <w:rsid w:val="00C41167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0CD"/>
    <w:rsid w:val="00C57B75"/>
    <w:rsid w:val="00C61B08"/>
    <w:rsid w:val="00C6226B"/>
    <w:rsid w:val="00C63D79"/>
    <w:rsid w:val="00C64990"/>
    <w:rsid w:val="00C6764B"/>
    <w:rsid w:val="00C71643"/>
    <w:rsid w:val="00C718A8"/>
    <w:rsid w:val="00C7252C"/>
    <w:rsid w:val="00C733CB"/>
    <w:rsid w:val="00C75C27"/>
    <w:rsid w:val="00C83CAC"/>
    <w:rsid w:val="00C84861"/>
    <w:rsid w:val="00C8751F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4B43"/>
    <w:rsid w:val="00CA71BA"/>
    <w:rsid w:val="00CB3113"/>
    <w:rsid w:val="00CB5127"/>
    <w:rsid w:val="00CB5911"/>
    <w:rsid w:val="00CB71D2"/>
    <w:rsid w:val="00CB7EB6"/>
    <w:rsid w:val="00CC1520"/>
    <w:rsid w:val="00CC153B"/>
    <w:rsid w:val="00CC25F5"/>
    <w:rsid w:val="00CC3BE0"/>
    <w:rsid w:val="00CC4F6E"/>
    <w:rsid w:val="00CC6930"/>
    <w:rsid w:val="00CC76C8"/>
    <w:rsid w:val="00CD019A"/>
    <w:rsid w:val="00CD1202"/>
    <w:rsid w:val="00CD173C"/>
    <w:rsid w:val="00CD2388"/>
    <w:rsid w:val="00CD4D51"/>
    <w:rsid w:val="00CE0186"/>
    <w:rsid w:val="00CE02BB"/>
    <w:rsid w:val="00CE10AB"/>
    <w:rsid w:val="00CE1598"/>
    <w:rsid w:val="00CE1C69"/>
    <w:rsid w:val="00CE2DBC"/>
    <w:rsid w:val="00CE5B44"/>
    <w:rsid w:val="00CE6335"/>
    <w:rsid w:val="00CE71FC"/>
    <w:rsid w:val="00CF1F59"/>
    <w:rsid w:val="00CF475E"/>
    <w:rsid w:val="00CF4849"/>
    <w:rsid w:val="00CF77FD"/>
    <w:rsid w:val="00D021F1"/>
    <w:rsid w:val="00D02BD5"/>
    <w:rsid w:val="00D02DA0"/>
    <w:rsid w:val="00D038AD"/>
    <w:rsid w:val="00D06D81"/>
    <w:rsid w:val="00D07536"/>
    <w:rsid w:val="00D07A13"/>
    <w:rsid w:val="00D10635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4EEE"/>
    <w:rsid w:val="00D25E02"/>
    <w:rsid w:val="00D31C5A"/>
    <w:rsid w:val="00D33012"/>
    <w:rsid w:val="00D332DE"/>
    <w:rsid w:val="00D349B7"/>
    <w:rsid w:val="00D35089"/>
    <w:rsid w:val="00D40BC4"/>
    <w:rsid w:val="00D40DE5"/>
    <w:rsid w:val="00D41B85"/>
    <w:rsid w:val="00D44392"/>
    <w:rsid w:val="00D50BC0"/>
    <w:rsid w:val="00D5109E"/>
    <w:rsid w:val="00D51B40"/>
    <w:rsid w:val="00D53A14"/>
    <w:rsid w:val="00D54F3F"/>
    <w:rsid w:val="00D55922"/>
    <w:rsid w:val="00D6016A"/>
    <w:rsid w:val="00D60482"/>
    <w:rsid w:val="00D648FE"/>
    <w:rsid w:val="00D67259"/>
    <w:rsid w:val="00D67E77"/>
    <w:rsid w:val="00D70181"/>
    <w:rsid w:val="00D713DC"/>
    <w:rsid w:val="00D71616"/>
    <w:rsid w:val="00D736FB"/>
    <w:rsid w:val="00D73AD1"/>
    <w:rsid w:val="00D7556D"/>
    <w:rsid w:val="00D75B91"/>
    <w:rsid w:val="00D76397"/>
    <w:rsid w:val="00D76D04"/>
    <w:rsid w:val="00D77456"/>
    <w:rsid w:val="00D80343"/>
    <w:rsid w:val="00D81C78"/>
    <w:rsid w:val="00D8626A"/>
    <w:rsid w:val="00D86C9A"/>
    <w:rsid w:val="00D87549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C0CA0"/>
    <w:rsid w:val="00DC3221"/>
    <w:rsid w:val="00DC40F5"/>
    <w:rsid w:val="00DC424F"/>
    <w:rsid w:val="00DC4DE7"/>
    <w:rsid w:val="00DD03C7"/>
    <w:rsid w:val="00DD0598"/>
    <w:rsid w:val="00DD06F4"/>
    <w:rsid w:val="00DD24D5"/>
    <w:rsid w:val="00DD3D71"/>
    <w:rsid w:val="00DD43F4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17238"/>
    <w:rsid w:val="00E2044B"/>
    <w:rsid w:val="00E23B0B"/>
    <w:rsid w:val="00E23DCC"/>
    <w:rsid w:val="00E243CC"/>
    <w:rsid w:val="00E244E2"/>
    <w:rsid w:val="00E256CA"/>
    <w:rsid w:val="00E25F3D"/>
    <w:rsid w:val="00E30A6E"/>
    <w:rsid w:val="00E33E7F"/>
    <w:rsid w:val="00E34B7A"/>
    <w:rsid w:val="00E35646"/>
    <w:rsid w:val="00E36C9C"/>
    <w:rsid w:val="00E36F43"/>
    <w:rsid w:val="00E37F8D"/>
    <w:rsid w:val="00E405FE"/>
    <w:rsid w:val="00E414C1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E01"/>
    <w:rsid w:val="00E66F49"/>
    <w:rsid w:val="00E6747E"/>
    <w:rsid w:val="00E709EA"/>
    <w:rsid w:val="00E70F18"/>
    <w:rsid w:val="00E7165C"/>
    <w:rsid w:val="00E73CFE"/>
    <w:rsid w:val="00E74431"/>
    <w:rsid w:val="00E74C75"/>
    <w:rsid w:val="00E751C2"/>
    <w:rsid w:val="00E7540C"/>
    <w:rsid w:val="00E757DD"/>
    <w:rsid w:val="00E76422"/>
    <w:rsid w:val="00E766DD"/>
    <w:rsid w:val="00E81093"/>
    <w:rsid w:val="00E81B54"/>
    <w:rsid w:val="00E83D64"/>
    <w:rsid w:val="00E84D5D"/>
    <w:rsid w:val="00E85CB8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A16"/>
    <w:rsid w:val="00EA2F90"/>
    <w:rsid w:val="00EA43D0"/>
    <w:rsid w:val="00EA48E0"/>
    <w:rsid w:val="00EA4E3A"/>
    <w:rsid w:val="00EA5993"/>
    <w:rsid w:val="00EA6343"/>
    <w:rsid w:val="00EA6CB9"/>
    <w:rsid w:val="00EB3915"/>
    <w:rsid w:val="00EB7C0F"/>
    <w:rsid w:val="00EC0983"/>
    <w:rsid w:val="00EC2B05"/>
    <w:rsid w:val="00EC3C73"/>
    <w:rsid w:val="00EC7463"/>
    <w:rsid w:val="00EC7EE7"/>
    <w:rsid w:val="00ED0E1A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F24A6"/>
    <w:rsid w:val="00EF29A0"/>
    <w:rsid w:val="00EF50D7"/>
    <w:rsid w:val="00EF6DF5"/>
    <w:rsid w:val="00F019EB"/>
    <w:rsid w:val="00F026DD"/>
    <w:rsid w:val="00F02F06"/>
    <w:rsid w:val="00F04C84"/>
    <w:rsid w:val="00F072AF"/>
    <w:rsid w:val="00F0750A"/>
    <w:rsid w:val="00F10001"/>
    <w:rsid w:val="00F1238A"/>
    <w:rsid w:val="00F12842"/>
    <w:rsid w:val="00F1321F"/>
    <w:rsid w:val="00F15ECF"/>
    <w:rsid w:val="00F16223"/>
    <w:rsid w:val="00F17C2A"/>
    <w:rsid w:val="00F20599"/>
    <w:rsid w:val="00F25F97"/>
    <w:rsid w:val="00F273A2"/>
    <w:rsid w:val="00F302CB"/>
    <w:rsid w:val="00F33C62"/>
    <w:rsid w:val="00F348D4"/>
    <w:rsid w:val="00F37431"/>
    <w:rsid w:val="00F37E81"/>
    <w:rsid w:val="00F42384"/>
    <w:rsid w:val="00F4306A"/>
    <w:rsid w:val="00F432D2"/>
    <w:rsid w:val="00F434A1"/>
    <w:rsid w:val="00F43895"/>
    <w:rsid w:val="00F438A6"/>
    <w:rsid w:val="00F43F00"/>
    <w:rsid w:val="00F469C4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2BE6"/>
    <w:rsid w:val="00F94702"/>
    <w:rsid w:val="00F95A9B"/>
    <w:rsid w:val="00F962F4"/>
    <w:rsid w:val="00F96F71"/>
    <w:rsid w:val="00FA3D96"/>
    <w:rsid w:val="00FA45AE"/>
    <w:rsid w:val="00FA5125"/>
    <w:rsid w:val="00FA7342"/>
    <w:rsid w:val="00FB13C1"/>
    <w:rsid w:val="00FB1F92"/>
    <w:rsid w:val="00FB3E94"/>
    <w:rsid w:val="00FB52B9"/>
    <w:rsid w:val="00FB5DBA"/>
    <w:rsid w:val="00FC14DC"/>
    <w:rsid w:val="00FC236B"/>
    <w:rsid w:val="00FC4217"/>
    <w:rsid w:val="00FC4D96"/>
    <w:rsid w:val="00FC5223"/>
    <w:rsid w:val="00FC5603"/>
    <w:rsid w:val="00FC7002"/>
    <w:rsid w:val="00FC713E"/>
    <w:rsid w:val="00FC7925"/>
    <w:rsid w:val="00FD18A7"/>
    <w:rsid w:val="00FD2C21"/>
    <w:rsid w:val="00FD4603"/>
    <w:rsid w:val="00FD5498"/>
    <w:rsid w:val="00FD6645"/>
    <w:rsid w:val="00FE10CC"/>
    <w:rsid w:val="00FE21F9"/>
    <w:rsid w:val="00FE25D1"/>
    <w:rsid w:val="00FE2BE5"/>
    <w:rsid w:val="00FE3503"/>
    <w:rsid w:val="00FE3A84"/>
    <w:rsid w:val="00FE4674"/>
    <w:rsid w:val="00FE4936"/>
    <w:rsid w:val="00FE4DCA"/>
    <w:rsid w:val="00FE6830"/>
    <w:rsid w:val="00FE6E72"/>
    <w:rsid w:val="00FE78EE"/>
    <w:rsid w:val="00FF02D1"/>
    <w:rsid w:val="00FF1316"/>
    <w:rsid w:val="00FF1617"/>
    <w:rsid w:val="00FF344F"/>
    <w:rsid w:val="00FF4316"/>
    <w:rsid w:val="00FF53EC"/>
    <w:rsid w:val="00FF681D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80345-8FDB-425A-93AC-511748B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te.gov.it/imgs/C_17_pubblicazioni_2944_allegato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onavirus.gimbe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5E78-CAE4-4CD5-9D2F-8DBCB764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6</cp:revision>
  <cp:lastPrinted>2020-07-29T14:23:00Z</cp:lastPrinted>
  <dcterms:created xsi:type="dcterms:W3CDTF">2020-09-10T06:55:00Z</dcterms:created>
  <dcterms:modified xsi:type="dcterms:W3CDTF">2020-09-10T09:03:00Z</dcterms:modified>
</cp:coreProperties>
</file>