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84B" w:rsidRPr="002E3070" w:rsidRDefault="00BD684B" w:rsidP="002E3070">
      <w:pPr>
        <w:jc w:val="center"/>
        <w:rPr>
          <w:rFonts w:cs="Calibri"/>
          <w:b/>
          <w:bCs/>
          <w:color w:val="auto"/>
          <w:sz w:val="32"/>
          <w:szCs w:val="32"/>
        </w:rPr>
      </w:pPr>
      <w:r>
        <w:rPr>
          <w:b/>
          <w:bCs/>
          <w:sz w:val="32"/>
          <w:szCs w:val="32"/>
        </w:rPr>
        <w:t>COMUNICATO STAMPA</w:t>
      </w:r>
    </w:p>
    <w:p w:rsidR="00F117F4" w:rsidRDefault="00BD684B" w:rsidP="00BD684B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 w:rsidRPr="00F77DC0">
        <w:rPr>
          <w:b/>
          <w:bCs/>
          <w:color w:val="auto"/>
          <w:spacing w:val="-2"/>
          <w:sz w:val="32"/>
          <w:szCs w:val="32"/>
        </w:rPr>
        <w:t xml:space="preserve">CORONAVIRUS: </w:t>
      </w:r>
      <w:r w:rsidR="00F77DC0" w:rsidRPr="00F77DC0">
        <w:rPr>
          <w:b/>
          <w:bCs/>
          <w:color w:val="auto"/>
          <w:spacing w:val="-2"/>
          <w:sz w:val="32"/>
          <w:szCs w:val="32"/>
        </w:rPr>
        <w:t xml:space="preserve">SI INVERTE LA CURVA DEI CONTAGI (+43% NUOVI CASI) </w:t>
      </w:r>
      <w:r w:rsidR="00C41B42">
        <w:rPr>
          <w:b/>
          <w:bCs/>
          <w:color w:val="auto"/>
          <w:spacing w:val="-2"/>
          <w:sz w:val="32"/>
          <w:szCs w:val="32"/>
        </w:rPr>
        <w:br/>
      </w:r>
      <w:r w:rsidR="00F77DC0" w:rsidRPr="00F77DC0">
        <w:rPr>
          <w:b/>
          <w:bCs/>
          <w:color w:val="auto"/>
          <w:spacing w:val="-2"/>
          <w:sz w:val="32"/>
          <w:szCs w:val="32"/>
        </w:rPr>
        <w:t>E AUMENTANO I RICOVERI (+7,5%)</w:t>
      </w:r>
      <w:r w:rsidR="003B3D8B">
        <w:rPr>
          <w:b/>
          <w:bCs/>
          <w:color w:val="auto"/>
          <w:spacing w:val="-2"/>
          <w:sz w:val="32"/>
          <w:szCs w:val="32"/>
        </w:rPr>
        <w:t>.</w:t>
      </w:r>
    </w:p>
    <w:p w:rsidR="00EE7BA6" w:rsidRDefault="00EE7BA6" w:rsidP="00C41B42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>EFFETTO GREEN PASS</w:t>
      </w:r>
      <w:r w:rsidR="00C95AC9">
        <w:rPr>
          <w:b/>
          <w:bCs/>
          <w:color w:val="auto"/>
          <w:spacing w:val="-2"/>
          <w:sz w:val="32"/>
          <w:szCs w:val="32"/>
        </w:rPr>
        <w:t xml:space="preserve">: </w:t>
      </w:r>
      <w:r w:rsidR="004D0E27">
        <w:rPr>
          <w:b/>
          <w:bCs/>
          <w:color w:val="auto"/>
          <w:spacing w:val="-2"/>
          <w:sz w:val="32"/>
          <w:szCs w:val="32"/>
        </w:rPr>
        <w:t xml:space="preserve">IN 7 GIORNI </w:t>
      </w:r>
      <w:r w:rsidR="00103B2C">
        <w:rPr>
          <w:b/>
          <w:bCs/>
          <w:color w:val="auto"/>
          <w:spacing w:val="-2"/>
          <w:sz w:val="32"/>
          <w:szCs w:val="32"/>
        </w:rPr>
        <w:t>-52,9% DI</w:t>
      </w:r>
      <w:r w:rsidR="00801F3C">
        <w:rPr>
          <w:b/>
          <w:bCs/>
          <w:color w:val="auto"/>
          <w:spacing w:val="-2"/>
          <w:sz w:val="32"/>
          <w:szCs w:val="32"/>
        </w:rPr>
        <w:t xml:space="preserve"> </w:t>
      </w:r>
      <w:r w:rsidR="003B3D8B">
        <w:rPr>
          <w:b/>
          <w:bCs/>
          <w:color w:val="auto"/>
          <w:spacing w:val="-2"/>
          <w:sz w:val="32"/>
          <w:szCs w:val="32"/>
        </w:rPr>
        <w:t>NUOVI VACCINATI.</w:t>
      </w:r>
    </w:p>
    <w:p w:rsidR="00C95AC9" w:rsidRDefault="00EE7BA6" w:rsidP="00C95AC9">
      <w:pPr>
        <w:spacing w:after="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b/>
          <w:bCs/>
          <w:color w:val="auto"/>
          <w:spacing w:val="-2"/>
          <w:sz w:val="32"/>
          <w:szCs w:val="32"/>
        </w:rPr>
        <w:t xml:space="preserve">VACCINI: </w:t>
      </w:r>
      <w:r w:rsidR="00C95AC9">
        <w:rPr>
          <w:b/>
          <w:bCs/>
          <w:color w:val="auto"/>
          <w:spacing w:val="-2"/>
          <w:sz w:val="32"/>
          <w:szCs w:val="32"/>
        </w:rPr>
        <w:t>1,2 MILIONI</w:t>
      </w:r>
      <w:r w:rsidR="00E2195C">
        <w:rPr>
          <w:b/>
          <w:bCs/>
          <w:color w:val="auto"/>
          <w:spacing w:val="-2"/>
          <w:sz w:val="32"/>
          <w:szCs w:val="32"/>
        </w:rPr>
        <w:t xml:space="preserve"> DI TERZE DOSI, MA BISOGNA ACCELERARE</w:t>
      </w:r>
    </w:p>
    <w:p w:rsidR="00BD684B" w:rsidRPr="00184E2C" w:rsidRDefault="00BD684B" w:rsidP="00BD684B">
      <w:pPr>
        <w:spacing w:after="0" w:line="276" w:lineRule="auto"/>
        <w:jc w:val="both"/>
        <w:rPr>
          <w:b/>
          <w:bCs/>
          <w:color w:val="FF0000"/>
          <w:spacing w:val="-2"/>
          <w:sz w:val="32"/>
          <w:szCs w:val="32"/>
          <w:lang w:eastAsia="en-US"/>
        </w:rPr>
      </w:pPr>
      <w:r w:rsidRPr="00883915">
        <w:rPr>
          <w:b/>
          <w:bCs/>
          <w:color w:val="auto"/>
          <w:sz w:val="24"/>
          <w:szCs w:val="24"/>
        </w:rPr>
        <w:t xml:space="preserve">IL MONITORAGGIO DELLA FONDAZIONE GIMBE, NELLA SETTIMANA </w:t>
      </w:r>
      <w:r w:rsidR="00883915" w:rsidRPr="00883915">
        <w:rPr>
          <w:b/>
          <w:bCs/>
          <w:color w:val="auto"/>
          <w:sz w:val="24"/>
          <w:szCs w:val="24"/>
        </w:rPr>
        <w:t>20</w:t>
      </w:r>
      <w:r w:rsidRPr="00883915">
        <w:rPr>
          <w:b/>
          <w:bCs/>
          <w:color w:val="auto"/>
          <w:sz w:val="24"/>
          <w:szCs w:val="24"/>
        </w:rPr>
        <w:t>-</w:t>
      </w:r>
      <w:r w:rsidR="00883915" w:rsidRPr="00883915">
        <w:rPr>
          <w:b/>
          <w:bCs/>
          <w:color w:val="auto"/>
          <w:sz w:val="24"/>
          <w:szCs w:val="24"/>
        </w:rPr>
        <w:t>26</w:t>
      </w:r>
      <w:r w:rsidRPr="00883915">
        <w:rPr>
          <w:b/>
          <w:bCs/>
          <w:color w:val="auto"/>
          <w:sz w:val="24"/>
          <w:szCs w:val="24"/>
        </w:rPr>
        <w:t xml:space="preserve"> OTTOBRE,</w:t>
      </w:r>
      <w:r w:rsidR="00EE7BA6">
        <w:rPr>
          <w:b/>
          <w:bCs/>
          <w:color w:val="auto"/>
          <w:sz w:val="24"/>
          <w:szCs w:val="24"/>
        </w:rPr>
        <w:t xml:space="preserve"> </w:t>
      </w:r>
      <w:r w:rsidR="00801F3C">
        <w:rPr>
          <w:b/>
          <w:bCs/>
          <w:color w:val="auto"/>
          <w:sz w:val="24"/>
          <w:szCs w:val="24"/>
        </w:rPr>
        <w:t xml:space="preserve">RILEVA </w:t>
      </w:r>
      <w:r w:rsidR="00EE7BA6">
        <w:rPr>
          <w:b/>
          <w:bCs/>
          <w:color w:val="auto"/>
          <w:sz w:val="24"/>
          <w:szCs w:val="24"/>
        </w:rPr>
        <w:t xml:space="preserve">UN </w:t>
      </w:r>
      <w:r w:rsidR="00103B2C">
        <w:rPr>
          <w:b/>
          <w:bCs/>
          <w:color w:val="auto"/>
          <w:sz w:val="24"/>
          <w:szCs w:val="24"/>
        </w:rPr>
        <w:t xml:space="preserve">NETTO </w:t>
      </w:r>
      <w:r w:rsidR="00EE7BA6">
        <w:rPr>
          <w:b/>
          <w:bCs/>
          <w:color w:val="auto"/>
          <w:sz w:val="24"/>
          <w:szCs w:val="24"/>
        </w:rPr>
        <w:t xml:space="preserve">AUMENTO </w:t>
      </w:r>
      <w:r w:rsidR="00103B2C">
        <w:rPr>
          <w:b/>
          <w:bCs/>
          <w:color w:val="auto"/>
          <w:sz w:val="24"/>
          <w:szCs w:val="24"/>
        </w:rPr>
        <w:t xml:space="preserve">DEI NUOVI CASI SETTIMANALI: DA </w:t>
      </w:r>
      <w:r w:rsidR="00103B2C" w:rsidRPr="00103B2C">
        <w:rPr>
          <w:b/>
          <w:bCs/>
          <w:color w:val="auto"/>
          <w:sz w:val="24"/>
          <w:szCs w:val="24"/>
        </w:rPr>
        <w:t>17.870</w:t>
      </w:r>
      <w:r w:rsidR="00103B2C">
        <w:rPr>
          <w:b/>
          <w:bCs/>
          <w:color w:val="auto"/>
          <w:sz w:val="24"/>
          <w:szCs w:val="24"/>
        </w:rPr>
        <w:t xml:space="preserve"> A </w:t>
      </w:r>
      <w:r w:rsidR="00103B2C" w:rsidRPr="00103B2C">
        <w:rPr>
          <w:b/>
          <w:bCs/>
          <w:color w:val="auto"/>
          <w:sz w:val="24"/>
          <w:szCs w:val="24"/>
        </w:rPr>
        <w:t>25.585</w:t>
      </w:r>
      <w:r w:rsidR="00EE7BA6">
        <w:rPr>
          <w:b/>
          <w:bCs/>
          <w:color w:val="auto"/>
          <w:sz w:val="24"/>
          <w:szCs w:val="24"/>
        </w:rPr>
        <w:t xml:space="preserve">. </w:t>
      </w:r>
      <w:r w:rsidR="008551BE">
        <w:rPr>
          <w:b/>
          <w:bCs/>
          <w:color w:val="auto"/>
          <w:sz w:val="24"/>
          <w:szCs w:val="24"/>
        </w:rPr>
        <w:t xml:space="preserve">ANCHE SE </w:t>
      </w:r>
      <w:r w:rsidR="00B41F6B">
        <w:rPr>
          <w:b/>
          <w:bCs/>
          <w:color w:val="auto"/>
          <w:sz w:val="24"/>
          <w:szCs w:val="24"/>
        </w:rPr>
        <w:t xml:space="preserve">LA </w:t>
      </w:r>
      <w:r w:rsidR="00EE7BA6">
        <w:rPr>
          <w:b/>
          <w:bCs/>
          <w:color w:val="auto"/>
          <w:sz w:val="24"/>
          <w:szCs w:val="24"/>
        </w:rPr>
        <w:t>CRESCITA P</w:t>
      </w:r>
      <w:r w:rsidR="00801F3C">
        <w:rPr>
          <w:b/>
          <w:bCs/>
          <w:color w:val="auto"/>
          <w:sz w:val="24"/>
          <w:szCs w:val="24"/>
        </w:rPr>
        <w:t xml:space="preserve">OTREBBE IN PARTE </w:t>
      </w:r>
      <w:r w:rsidR="00EE7BA6">
        <w:rPr>
          <w:b/>
          <w:bCs/>
          <w:color w:val="auto"/>
          <w:sz w:val="24"/>
          <w:szCs w:val="24"/>
        </w:rPr>
        <w:t xml:space="preserve">ESSERE LEGATA </w:t>
      </w:r>
      <w:r w:rsidR="002E3070">
        <w:rPr>
          <w:b/>
          <w:bCs/>
          <w:color w:val="auto"/>
          <w:sz w:val="24"/>
          <w:szCs w:val="24"/>
        </w:rPr>
        <w:t xml:space="preserve">ALL’INCREMENTO </w:t>
      </w:r>
      <w:r w:rsidR="00EE7BA6">
        <w:rPr>
          <w:b/>
          <w:bCs/>
          <w:color w:val="auto"/>
          <w:sz w:val="24"/>
          <w:szCs w:val="24"/>
        </w:rPr>
        <w:t>DEI TAMPONI TOTALI</w:t>
      </w:r>
      <w:r w:rsidR="00801F3C">
        <w:rPr>
          <w:b/>
          <w:bCs/>
          <w:color w:val="auto"/>
          <w:sz w:val="24"/>
          <w:szCs w:val="24"/>
        </w:rPr>
        <w:t xml:space="preserve">, </w:t>
      </w:r>
      <w:r w:rsidR="00F17D4C">
        <w:rPr>
          <w:b/>
          <w:bCs/>
          <w:color w:val="auto"/>
          <w:sz w:val="24"/>
          <w:szCs w:val="24"/>
        </w:rPr>
        <w:t>L’AU</w:t>
      </w:r>
      <w:r w:rsidR="00103B2C">
        <w:rPr>
          <w:b/>
          <w:bCs/>
          <w:color w:val="auto"/>
          <w:sz w:val="24"/>
          <w:szCs w:val="24"/>
        </w:rPr>
        <w:t>MENTO DEL TASSO DI POSITIVITÀ D</w:t>
      </w:r>
      <w:r w:rsidR="00F17D4C">
        <w:rPr>
          <w:b/>
          <w:bCs/>
          <w:color w:val="auto"/>
          <w:sz w:val="24"/>
          <w:szCs w:val="24"/>
        </w:rPr>
        <w:t xml:space="preserve">I </w:t>
      </w:r>
      <w:r w:rsidR="00103B2C">
        <w:rPr>
          <w:b/>
          <w:bCs/>
          <w:color w:val="auto"/>
          <w:sz w:val="24"/>
          <w:szCs w:val="24"/>
        </w:rPr>
        <w:t>QUELLI</w:t>
      </w:r>
      <w:r w:rsidR="00F17D4C">
        <w:rPr>
          <w:b/>
          <w:bCs/>
          <w:color w:val="auto"/>
          <w:sz w:val="24"/>
          <w:szCs w:val="24"/>
        </w:rPr>
        <w:t xml:space="preserve"> MOLECOLARI E DEI RICOVERI</w:t>
      </w:r>
      <w:r w:rsidR="00103B2C">
        <w:rPr>
          <w:b/>
          <w:bCs/>
          <w:color w:val="auto"/>
          <w:sz w:val="24"/>
          <w:szCs w:val="24"/>
        </w:rPr>
        <w:t xml:space="preserve"> (+181)</w:t>
      </w:r>
      <w:r w:rsidR="00F17D4C">
        <w:rPr>
          <w:b/>
          <w:bCs/>
          <w:color w:val="auto"/>
          <w:sz w:val="24"/>
          <w:szCs w:val="24"/>
        </w:rPr>
        <w:t xml:space="preserve"> </w:t>
      </w:r>
      <w:r w:rsidR="008551BE">
        <w:rPr>
          <w:b/>
          <w:bCs/>
          <w:color w:val="auto"/>
          <w:sz w:val="24"/>
          <w:szCs w:val="24"/>
        </w:rPr>
        <w:t xml:space="preserve">INDICANO </w:t>
      </w:r>
      <w:r w:rsidR="00EE7BA6">
        <w:rPr>
          <w:b/>
          <w:bCs/>
          <w:color w:val="auto"/>
          <w:sz w:val="24"/>
          <w:szCs w:val="24"/>
        </w:rPr>
        <w:t xml:space="preserve">UNA MAGGIOR CIRCOLAZIONE DEL VIRUS. </w:t>
      </w:r>
      <w:r w:rsidRPr="00BF55B6">
        <w:rPr>
          <w:b/>
          <w:bCs/>
          <w:color w:val="auto"/>
          <w:sz w:val="24"/>
          <w:szCs w:val="24"/>
        </w:rPr>
        <w:t xml:space="preserve">CAMPAGNA VACCINALE: </w:t>
      </w:r>
      <w:r w:rsidR="00EE7BA6" w:rsidRPr="00BF55B6">
        <w:rPr>
          <w:b/>
          <w:bCs/>
          <w:color w:val="auto"/>
          <w:sz w:val="24"/>
          <w:szCs w:val="24"/>
        </w:rPr>
        <w:t>CALANO</w:t>
      </w:r>
      <w:r w:rsidR="005268E4" w:rsidRPr="00BF55B6">
        <w:rPr>
          <w:b/>
          <w:bCs/>
          <w:color w:val="auto"/>
          <w:sz w:val="24"/>
          <w:szCs w:val="24"/>
        </w:rPr>
        <w:t xml:space="preserve"> </w:t>
      </w:r>
      <w:r w:rsidR="00DD6DE7" w:rsidRPr="00BF55B6">
        <w:rPr>
          <w:b/>
          <w:bCs/>
          <w:color w:val="auto"/>
          <w:sz w:val="24"/>
          <w:szCs w:val="24"/>
        </w:rPr>
        <w:t xml:space="preserve">LE SOMMINISTRAZIONI </w:t>
      </w:r>
      <w:r w:rsidR="00EE7BA6" w:rsidRPr="00BF55B6">
        <w:rPr>
          <w:b/>
          <w:bCs/>
          <w:color w:val="auto"/>
          <w:sz w:val="24"/>
          <w:szCs w:val="24"/>
        </w:rPr>
        <w:t>(</w:t>
      </w:r>
      <w:r w:rsidR="00DD6DE7" w:rsidRPr="00BF55B6">
        <w:rPr>
          <w:b/>
          <w:bCs/>
          <w:color w:val="auto"/>
          <w:sz w:val="24"/>
          <w:szCs w:val="24"/>
        </w:rPr>
        <w:t>1</w:t>
      </w:r>
      <w:r w:rsidR="00EE7BA6" w:rsidRPr="00BF55B6">
        <w:rPr>
          <w:b/>
          <w:bCs/>
          <w:color w:val="auto"/>
          <w:sz w:val="24"/>
          <w:szCs w:val="24"/>
        </w:rPr>
        <w:t>52</w:t>
      </w:r>
      <w:r w:rsidR="004055EE" w:rsidRPr="00BF55B6">
        <w:rPr>
          <w:b/>
          <w:bCs/>
          <w:color w:val="auto"/>
          <w:sz w:val="24"/>
          <w:szCs w:val="24"/>
        </w:rPr>
        <w:t xml:space="preserve"> MILA AL GIORNO</w:t>
      </w:r>
      <w:r w:rsidR="00EE7BA6" w:rsidRPr="00BF55B6">
        <w:rPr>
          <w:b/>
          <w:bCs/>
          <w:color w:val="auto"/>
          <w:sz w:val="24"/>
          <w:szCs w:val="24"/>
        </w:rPr>
        <w:t>)</w:t>
      </w:r>
      <w:r w:rsidR="008C1F7C" w:rsidRPr="00BF55B6">
        <w:rPr>
          <w:b/>
          <w:bCs/>
          <w:color w:val="auto"/>
          <w:sz w:val="24"/>
          <w:szCs w:val="24"/>
        </w:rPr>
        <w:t xml:space="preserve"> </w:t>
      </w:r>
      <w:r w:rsidR="00EE7BA6" w:rsidRPr="00BF55B6">
        <w:rPr>
          <w:b/>
          <w:bCs/>
          <w:color w:val="auto"/>
          <w:sz w:val="24"/>
          <w:szCs w:val="24"/>
        </w:rPr>
        <w:t>E RIMANGONO</w:t>
      </w:r>
      <w:r w:rsidR="002A50E7" w:rsidRPr="00BF55B6">
        <w:rPr>
          <w:b/>
          <w:bCs/>
          <w:color w:val="auto"/>
          <w:sz w:val="24"/>
          <w:szCs w:val="24"/>
        </w:rPr>
        <w:t xml:space="preserve"> 1</w:t>
      </w:r>
      <w:r w:rsidR="00EE7BA6" w:rsidRPr="00BF55B6">
        <w:rPr>
          <w:b/>
          <w:bCs/>
          <w:color w:val="auto"/>
          <w:sz w:val="24"/>
          <w:szCs w:val="24"/>
        </w:rPr>
        <w:t>1</w:t>
      </w:r>
      <w:r w:rsidR="002A50E7" w:rsidRPr="00BF55B6">
        <w:rPr>
          <w:b/>
          <w:bCs/>
          <w:color w:val="auto"/>
          <w:sz w:val="24"/>
          <w:szCs w:val="24"/>
        </w:rPr>
        <w:t xml:space="preserve"> MILIONI DI DOSI “IN FRIGO”</w:t>
      </w:r>
      <w:r w:rsidR="00BF55B6">
        <w:rPr>
          <w:b/>
          <w:bCs/>
          <w:color w:val="auto"/>
          <w:sz w:val="24"/>
          <w:szCs w:val="24"/>
        </w:rPr>
        <w:t xml:space="preserve">. </w:t>
      </w:r>
      <w:r w:rsidRPr="00BF55B6">
        <w:rPr>
          <w:b/>
          <w:bCs/>
          <w:color w:val="auto"/>
          <w:sz w:val="24"/>
          <w:szCs w:val="24"/>
        </w:rPr>
        <w:t>TERZ</w:t>
      </w:r>
      <w:r w:rsidR="00E32D9C" w:rsidRPr="00BF55B6">
        <w:rPr>
          <w:b/>
          <w:bCs/>
          <w:color w:val="auto"/>
          <w:sz w:val="24"/>
          <w:szCs w:val="24"/>
        </w:rPr>
        <w:t>E</w:t>
      </w:r>
      <w:r w:rsidRPr="00BF55B6">
        <w:rPr>
          <w:b/>
          <w:bCs/>
          <w:color w:val="auto"/>
          <w:sz w:val="24"/>
          <w:szCs w:val="24"/>
        </w:rPr>
        <w:t xml:space="preserve"> </w:t>
      </w:r>
      <w:r w:rsidR="00E32D9C" w:rsidRPr="00BF55B6">
        <w:rPr>
          <w:b/>
          <w:bCs/>
          <w:color w:val="auto"/>
          <w:sz w:val="24"/>
          <w:szCs w:val="24"/>
        </w:rPr>
        <w:t>DOSI</w:t>
      </w:r>
      <w:r w:rsidRPr="00BF55B6">
        <w:rPr>
          <w:b/>
          <w:bCs/>
          <w:color w:val="auto"/>
          <w:sz w:val="24"/>
          <w:szCs w:val="24"/>
        </w:rPr>
        <w:t xml:space="preserve">: </w:t>
      </w:r>
      <w:r w:rsidR="00BF55B6" w:rsidRPr="00BF55B6">
        <w:rPr>
          <w:b/>
          <w:bCs/>
          <w:color w:val="auto"/>
          <w:sz w:val="24"/>
          <w:szCs w:val="24"/>
        </w:rPr>
        <w:t>COPERTUR</w:t>
      </w:r>
      <w:r w:rsidR="00BF55B6">
        <w:rPr>
          <w:b/>
          <w:bCs/>
          <w:color w:val="auto"/>
          <w:sz w:val="24"/>
          <w:szCs w:val="24"/>
        </w:rPr>
        <w:t>E</w:t>
      </w:r>
      <w:r w:rsidR="00BF55B6" w:rsidRPr="00BF55B6">
        <w:rPr>
          <w:b/>
          <w:bCs/>
          <w:color w:val="auto"/>
          <w:sz w:val="24"/>
          <w:szCs w:val="24"/>
        </w:rPr>
        <w:t xml:space="preserve"> NAZIONAL</w:t>
      </w:r>
      <w:r w:rsidR="00BF55B6">
        <w:rPr>
          <w:b/>
          <w:bCs/>
          <w:color w:val="auto"/>
          <w:sz w:val="24"/>
          <w:szCs w:val="24"/>
        </w:rPr>
        <w:t xml:space="preserve">I PER </w:t>
      </w:r>
      <w:r w:rsidR="00BF55B6" w:rsidRPr="00BF55B6">
        <w:rPr>
          <w:b/>
          <w:bCs/>
          <w:color w:val="auto"/>
          <w:sz w:val="24"/>
          <w:szCs w:val="24"/>
        </w:rPr>
        <w:t xml:space="preserve">DOSE </w:t>
      </w:r>
      <w:r w:rsidR="00BF55B6" w:rsidRPr="00BC4CC8">
        <w:rPr>
          <w:b/>
          <w:bCs/>
          <w:i/>
          <w:color w:val="auto"/>
          <w:sz w:val="24"/>
          <w:szCs w:val="24"/>
        </w:rPr>
        <w:t>BOOSTER</w:t>
      </w:r>
      <w:r w:rsidR="00BF55B6" w:rsidRPr="00BF55B6">
        <w:rPr>
          <w:b/>
          <w:bCs/>
          <w:color w:val="auto"/>
          <w:sz w:val="24"/>
          <w:szCs w:val="24"/>
        </w:rPr>
        <w:t xml:space="preserve"> AL 32,3% E PER DOSI AGGIUNTIVE AL 25,5% MA CON NOTEVOLI DIFFERENZE REGIONALI</w:t>
      </w:r>
      <w:r w:rsidR="00BF55B6" w:rsidRPr="003B3D8B">
        <w:rPr>
          <w:b/>
          <w:bCs/>
          <w:color w:val="auto"/>
          <w:sz w:val="24"/>
          <w:szCs w:val="24"/>
        </w:rPr>
        <w:t xml:space="preserve">. </w:t>
      </w:r>
      <w:r w:rsidR="002A50E7" w:rsidRPr="00BC4CC8">
        <w:rPr>
          <w:b/>
          <w:bCs/>
          <w:color w:val="auto"/>
          <w:sz w:val="24"/>
          <w:szCs w:val="24"/>
        </w:rPr>
        <w:t xml:space="preserve">EFFETTO </w:t>
      </w:r>
      <w:r w:rsidRPr="00BC4CC8">
        <w:rPr>
          <w:b/>
          <w:bCs/>
          <w:color w:val="auto"/>
          <w:sz w:val="24"/>
          <w:szCs w:val="24"/>
        </w:rPr>
        <w:t xml:space="preserve">GREEN PASS: </w:t>
      </w:r>
      <w:r w:rsidR="00F407F6" w:rsidRPr="00BC4CC8">
        <w:rPr>
          <w:b/>
          <w:bCs/>
          <w:color w:val="auto"/>
          <w:sz w:val="24"/>
          <w:szCs w:val="24"/>
        </w:rPr>
        <w:t xml:space="preserve">CON QUASI 7,5 MLN DI PERSONE SENZA NEMMENO UNA DOSE DI VACCINO E </w:t>
      </w:r>
      <w:r w:rsidR="00BF55B6" w:rsidRPr="00BC4CC8">
        <w:rPr>
          <w:b/>
          <w:bCs/>
          <w:color w:val="auto"/>
          <w:sz w:val="24"/>
          <w:szCs w:val="24"/>
        </w:rPr>
        <w:t>POCO PIÙ DI 193 MILA NUOVI VACCINATI</w:t>
      </w:r>
      <w:r w:rsidR="00F407F6" w:rsidRPr="00BC4CC8">
        <w:rPr>
          <w:b/>
          <w:bCs/>
          <w:color w:val="auto"/>
          <w:sz w:val="24"/>
          <w:szCs w:val="24"/>
        </w:rPr>
        <w:t xml:space="preserve"> IN UNA SETTIMANA SI ALLONTANA L’OBIETTIVO 90% DI COPERTURA VACCINALE</w:t>
      </w:r>
      <w:r w:rsidR="00DE6192" w:rsidRPr="00BC4CC8">
        <w:rPr>
          <w:b/>
          <w:bCs/>
          <w:color w:val="auto"/>
          <w:sz w:val="24"/>
          <w:szCs w:val="24"/>
        </w:rPr>
        <w:t xml:space="preserve"> DEGLI OVER</w:t>
      </w:r>
      <w:r w:rsidR="00B41F6B">
        <w:rPr>
          <w:b/>
          <w:bCs/>
          <w:color w:val="auto"/>
          <w:sz w:val="24"/>
          <w:szCs w:val="24"/>
        </w:rPr>
        <w:t xml:space="preserve"> </w:t>
      </w:r>
      <w:r w:rsidR="00DE6192" w:rsidRPr="00BC4CC8">
        <w:rPr>
          <w:b/>
          <w:bCs/>
          <w:color w:val="auto"/>
          <w:sz w:val="24"/>
          <w:szCs w:val="24"/>
        </w:rPr>
        <w:t>12</w:t>
      </w:r>
      <w:r w:rsidR="00F407F6" w:rsidRPr="00BC4CC8">
        <w:rPr>
          <w:b/>
          <w:bCs/>
          <w:color w:val="auto"/>
          <w:sz w:val="24"/>
          <w:szCs w:val="24"/>
        </w:rPr>
        <w:t>.</w:t>
      </w:r>
    </w:p>
    <w:p w:rsidR="007B682B" w:rsidRPr="00234B97" w:rsidRDefault="00184E2C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28</w:t>
      </w:r>
      <w:r w:rsidR="005C1E56">
        <w:rPr>
          <w:b/>
          <w:bCs/>
          <w:sz w:val="24"/>
          <w:szCs w:val="24"/>
        </w:rPr>
        <w:t xml:space="preserve"> ottobre</w:t>
      </w:r>
      <w:r w:rsidR="00CE577D" w:rsidRPr="00234B97">
        <w:rPr>
          <w:b/>
          <w:bCs/>
          <w:sz w:val="24"/>
          <w:szCs w:val="24"/>
        </w:rPr>
        <w:t xml:space="preserve"> 2021 - Fondazione GIMBE, Bologna</w:t>
      </w:r>
    </w:p>
    <w:p w:rsidR="00883915" w:rsidRPr="00883915" w:rsidRDefault="00883915" w:rsidP="007A602C">
      <w:pPr>
        <w:spacing w:after="120" w:line="276" w:lineRule="auto"/>
        <w:jc w:val="both"/>
        <w:rPr>
          <w:color w:val="auto"/>
        </w:rPr>
      </w:pPr>
      <w:r w:rsidRPr="00883915">
        <w:rPr>
          <w:color w:val="auto"/>
        </w:rPr>
        <w:t xml:space="preserve">Il monitoraggio indipendente della Fondazione GIMBE rileva nella settimana 20-26 ottobre 2021, rispetto alla precedente, un aumento </w:t>
      </w:r>
      <w:r>
        <w:rPr>
          <w:color w:val="auto"/>
        </w:rPr>
        <w:t>del 43,2% dei</w:t>
      </w:r>
      <w:r w:rsidRPr="00883915">
        <w:rPr>
          <w:color w:val="auto"/>
        </w:rPr>
        <w:t xml:space="preserve"> nuovi casi (25.585 vs 17.870) (</w:t>
      </w:r>
      <w:r w:rsidRPr="00073DFF">
        <w:rPr>
          <w:color w:val="auto"/>
          <w:highlight w:val="yellow"/>
        </w:rPr>
        <w:t>figura 1</w:t>
      </w:r>
      <w:r w:rsidRPr="00883915">
        <w:rPr>
          <w:color w:val="auto"/>
        </w:rPr>
        <w:t>) e una diminuzione dei decessi (249 vs 271) (</w:t>
      </w:r>
      <w:r w:rsidRPr="00073DFF">
        <w:rPr>
          <w:color w:val="auto"/>
          <w:highlight w:val="yellow"/>
        </w:rPr>
        <w:t>figura 2</w:t>
      </w:r>
      <w:r w:rsidRPr="00883915">
        <w:rPr>
          <w:color w:val="auto"/>
        </w:rPr>
        <w:t xml:space="preserve">). </w:t>
      </w:r>
      <w:r w:rsidR="00D7796E">
        <w:rPr>
          <w:color w:val="auto"/>
        </w:rPr>
        <w:t xml:space="preserve">In lieve aumento </w:t>
      </w:r>
      <w:r w:rsidRPr="00883915">
        <w:rPr>
          <w:color w:val="auto"/>
        </w:rPr>
        <w:t xml:space="preserve">i casi attualmente positivi (75.046 vs 74.546), le persone in isolamento domiciliare (72.101 </w:t>
      </w:r>
      <w:r w:rsidR="00D7796E">
        <w:rPr>
          <w:color w:val="auto"/>
        </w:rPr>
        <w:t xml:space="preserve">vs 71.768) e </w:t>
      </w:r>
      <w:r w:rsidRPr="00883915">
        <w:rPr>
          <w:color w:val="auto"/>
        </w:rPr>
        <w:t>i ricoveri</w:t>
      </w:r>
      <w:r>
        <w:rPr>
          <w:color w:val="auto"/>
        </w:rPr>
        <w:t xml:space="preserve"> con sintomi (2.604 vs 2.423), </w:t>
      </w:r>
      <w:r w:rsidR="00D7796E">
        <w:rPr>
          <w:color w:val="auto"/>
        </w:rPr>
        <w:t>mentre calano</w:t>
      </w:r>
      <w:r>
        <w:rPr>
          <w:color w:val="auto"/>
        </w:rPr>
        <w:t xml:space="preserve"> </w:t>
      </w:r>
      <w:r w:rsidRPr="00883915">
        <w:rPr>
          <w:color w:val="auto"/>
        </w:rPr>
        <w:t>le terapie intensive (341 vs 355) (</w:t>
      </w:r>
      <w:r w:rsidRPr="00073DFF">
        <w:rPr>
          <w:color w:val="auto"/>
          <w:highlight w:val="yellow"/>
        </w:rPr>
        <w:t>figura 3</w:t>
      </w:r>
      <w:r w:rsidRPr="00883915">
        <w:rPr>
          <w:color w:val="auto"/>
        </w:rPr>
        <w:t>). In dettaglio, rispetto alla settimana precedente, si registrano le seguenti variazioni:</w:t>
      </w:r>
    </w:p>
    <w:p w:rsidR="00883915" w:rsidRPr="00883915" w:rsidRDefault="00883915" w:rsidP="00883915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883915">
        <w:rPr>
          <w:color w:val="auto"/>
        </w:rPr>
        <w:t>Decessi: 249 (-8,1%)</w:t>
      </w:r>
    </w:p>
    <w:p w:rsidR="00883915" w:rsidRPr="00883915" w:rsidRDefault="00883915" w:rsidP="00883915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883915">
        <w:rPr>
          <w:color w:val="auto"/>
        </w:rPr>
        <w:t>Terapia intensiva: -14 (-3,9%)</w:t>
      </w:r>
    </w:p>
    <w:p w:rsidR="00883915" w:rsidRPr="00883915" w:rsidRDefault="00883915" w:rsidP="00883915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883915">
        <w:rPr>
          <w:color w:val="auto"/>
        </w:rPr>
        <w:t>Ricoverati con sintomi: +181 (+7,5%)</w:t>
      </w:r>
    </w:p>
    <w:p w:rsidR="00883915" w:rsidRPr="00883915" w:rsidRDefault="00883915" w:rsidP="00883915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883915">
        <w:rPr>
          <w:color w:val="auto"/>
        </w:rPr>
        <w:t>Isolamento domiciliare: +333 (+0,5%)</w:t>
      </w:r>
    </w:p>
    <w:p w:rsidR="00883915" w:rsidRPr="00883915" w:rsidRDefault="00883915" w:rsidP="00883915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 w:rsidRPr="00883915">
        <w:rPr>
          <w:color w:val="auto"/>
        </w:rPr>
        <w:t>Nuovi casi: 25.585 (+43,2%)</w:t>
      </w:r>
    </w:p>
    <w:p w:rsidR="00560DC0" w:rsidRPr="00883915" w:rsidRDefault="00883915" w:rsidP="00883915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 w:rsidRPr="00883915">
        <w:rPr>
          <w:color w:val="auto"/>
        </w:rPr>
        <w:t>Casi attualmente positivi: +500 (+0,7%)</w:t>
      </w:r>
    </w:p>
    <w:p w:rsidR="00815D0F" w:rsidRDefault="00797AB7" w:rsidP="004A0F1A">
      <w:pPr>
        <w:spacing w:line="276" w:lineRule="auto"/>
        <w:jc w:val="both"/>
        <w:rPr>
          <w:color w:val="FF0000"/>
        </w:rPr>
      </w:pPr>
      <w:r w:rsidRPr="00E355FA">
        <w:rPr>
          <w:color w:val="auto"/>
        </w:rPr>
        <w:t>«</w:t>
      </w:r>
      <w:r w:rsidR="00071A13" w:rsidRPr="00E355FA">
        <w:rPr>
          <w:color w:val="auto"/>
        </w:rPr>
        <w:t>A livello nazionale</w:t>
      </w:r>
      <w:r w:rsidR="008C1F7C" w:rsidRPr="00E355FA">
        <w:rPr>
          <w:color w:val="auto"/>
        </w:rPr>
        <w:t xml:space="preserve"> </w:t>
      </w:r>
      <w:r w:rsidR="0042340E" w:rsidRPr="00E355FA">
        <w:rPr>
          <w:color w:val="auto"/>
        </w:rPr>
        <w:t xml:space="preserve">– dichiara Nino Cartabellotta, Presidente della Fondazione GIMBE – </w:t>
      </w:r>
      <w:r w:rsidR="00883915" w:rsidRPr="00E355FA">
        <w:rPr>
          <w:color w:val="auto"/>
        </w:rPr>
        <w:t>dopo</w:t>
      </w:r>
      <w:r w:rsidR="008C1F7C" w:rsidRPr="00E355FA">
        <w:rPr>
          <w:color w:val="auto"/>
        </w:rPr>
        <w:t xml:space="preserve"> 7 settimane </w:t>
      </w:r>
      <w:r w:rsidR="00883915" w:rsidRPr="00E355FA">
        <w:rPr>
          <w:color w:val="auto"/>
        </w:rPr>
        <w:t xml:space="preserve">si registra </w:t>
      </w:r>
      <w:r w:rsidR="00B81071" w:rsidRPr="00E355FA">
        <w:rPr>
          <w:color w:val="auto"/>
        </w:rPr>
        <w:t>un</w:t>
      </w:r>
      <w:r w:rsidR="00B81071">
        <w:rPr>
          <w:color w:val="auto"/>
        </w:rPr>
        <w:t>’</w:t>
      </w:r>
      <w:r w:rsidR="00883915" w:rsidRPr="00E355FA">
        <w:rPr>
          <w:color w:val="auto"/>
        </w:rPr>
        <w:t>inversione di tendenza de</w:t>
      </w:r>
      <w:r w:rsidR="008C1F7C" w:rsidRPr="00E355FA">
        <w:rPr>
          <w:color w:val="auto"/>
        </w:rPr>
        <w:t xml:space="preserve">i </w:t>
      </w:r>
      <w:r w:rsidR="00071A13" w:rsidRPr="00E355FA">
        <w:rPr>
          <w:color w:val="auto"/>
        </w:rPr>
        <w:t>nuovi casi settimanali</w:t>
      </w:r>
      <w:r w:rsidR="00883915" w:rsidRPr="00E355FA">
        <w:rPr>
          <w:color w:val="auto"/>
        </w:rPr>
        <w:t xml:space="preserve"> che n</w:t>
      </w:r>
      <w:r w:rsidR="0042340E" w:rsidRPr="00E355FA">
        <w:rPr>
          <w:color w:val="auto"/>
        </w:rPr>
        <w:t xml:space="preserve">ell’ultima settimana </w:t>
      </w:r>
      <w:r w:rsidR="00F77DC0">
        <w:rPr>
          <w:color w:val="auto"/>
        </w:rPr>
        <w:t>aumentano</w:t>
      </w:r>
      <w:r w:rsidR="00F77DC0" w:rsidRPr="00E355FA">
        <w:rPr>
          <w:color w:val="auto"/>
        </w:rPr>
        <w:t xml:space="preserve"> </w:t>
      </w:r>
      <w:r w:rsidR="00883915" w:rsidRPr="00E355FA">
        <w:rPr>
          <w:color w:val="auto"/>
        </w:rPr>
        <w:t>del 43,2%</w:t>
      </w:r>
      <w:r w:rsidR="0059338C">
        <w:rPr>
          <w:color w:val="auto"/>
        </w:rPr>
        <w:t>,</w:t>
      </w:r>
      <w:r w:rsidR="00002300" w:rsidRPr="00E355FA">
        <w:rPr>
          <w:color w:val="auto"/>
        </w:rPr>
        <w:t xml:space="preserve"> con una media mobile a 7 giorni che </w:t>
      </w:r>
      <w:r w:rsidR="00F77DC0">
        <w:rPr>
          <w:color w:val="auto"/>
        </w:rPr>
        <w:t>passa</w:t>
      </w:r>
      <w:r w:rsidR="00F77DC0" w:rsidRPr="00E355FA">
        <w:rPr>
          <w:color w:val="auto"/>
        </w:rPr>
        <w:t xml:space="preserve"> </w:t>
      </w:r>
      <w:r w:rsidR="00002300" w:rsidRPr="00E355FA">
        <w:rPr>
          <w:color w:val="auto"/>
        </w:rPr>
        <w:t xml:space="preserve">da </w:t>
      </w:r>
      <w:r w:rsidR="00E355FA" w:rsidRPr="00E355FA">
        <w:rPr>
          <w:color w:val="auto"/>
        </w:rPr>
        <w:t xml:space="preserve">2.553 del 19 ottobre </w:t>
      </w:r>
      <w:r w:rsidR="00002300" w:rsidRPr="00E355FA">
        <w:rPr>
          <w:color w:val="auto"/>
        </w:rPr>
        <w:t xml:space="preserve">a </w:t>
      </w:r>
      <w:r w:rsidR="00E355FA" w:rsidRPr="00E355FA">
        <w:rPr>
          <w:color w:val="auto"/>
        </w:rPr>
        <w:t>3.655 il 26 ottobre</w:t>
      </w:r>
      <w:r w:rsidRPr="00E355FA">
        <w:rPr>
          <w:color w:val="auto"/>
        </w:rPr>
        <w:t>»</w:t>
      </w:r>
      <w:r w:rsidR="00E355FA">
        <w:rPr>
          <w:color w:val="auto"/>
        </w:rPr>
        <w:t xml:space="preserve"> (</w:t>
      </w:r>
      <w:r w:rsidR="00E355FA" w:rsidRPr="00E355FA">
        <w:rPr>
          <w:color w:val="auto"/>
          <w:highlight w:val="yellow"/>
        </w:rPr>
        <w:t>figura 4</w:t>
      </w:r>
      <w:r w:rsidR="00E355FA">
        <w:rPr>
          <w:color w:val="auto"/>
        </w:rPr>
        <w:t>)</w:t>
      </w:r>
      <w:r w:rsidRPr="00E355FA">
        <w:rPr>
          <w:color w:val="auto"/>
        </w:rPr>
        <w:t>.</w:t>
      </w:r>
      <w:r w:rsidR="00815D0F">
        <w:rPr>
          <w:color w:val="auto"/>
        </w:rPr>
        <w:t xml:space="preserve"> </w:t>
      </w:r>
      <w:r w:rsidR="0059338C">
        <w:rPr>
          <w:color w:val="auto"/>
        </w:rPr>
        <w:t xml:space="preserve">La crescita </w:t>
      </w:r>
      <w:r w:rsidR="00815D0F">
        <w:rPr>
          <w:color w:val="auto"/>
        </w:rPr>
        <w:t xml:space="preserve">dei casi, </w:t>
      </w:r>
      <w:r w:rsidR="00103B2C">
        <w:rPr>
          <w:color w:val="auto"/>
        </w:rPr>
        <w:t xml:space="preserve">che potrebbe essere </w:t>
      </w:r>
      <w:r w:rsidR="00732E1A">
        <w:rPr>
          <w:color w:val="auto"/>
        </w:rPr>
        <w:t>in parte</w:t>
      </w:r>
      <w:r w:rsidR="00073DFF">
        <w:rPr>
          <w:color w:val="auto"/>
        </w:rPr>
        <w:t xml:space="preserve"> </w:t>
      </w:r>
      <w:r w:rsidR="0059338C">
        <w:rPr>
          <w:color w:val="auto"/>
        </w:rPr>
        <w:t xml:space="preserve">influenzata </w:t>
      </w:r>
      <w:r w:rsidR="00073DFF">
        <w:rPr>
          <w:color w:val="auto"/>
        </w:rPr>
        <w:t>d</w:t>
      </w:r>
      <w:r w:rsidR="00815D0F">
        <w:rPr>
          <w:color w:val="auto"/>
        </w:rPr>
        <w:t xml:space="preserve">all’aumento </w:t>
      </w:r>
      <w:r w:rsidR="002E3070">
        <w:rPr>
          <w:color w:val="auto"/>
        </w:rPr>
        <w:t xml:space="preserve">del 21,1% </w:t>
      </w:r>
      <w:r w:rsidR="00815D0F">
        <w:rPr>
          <w:color w:val="auto"/>
        </w:rPr>
        <w:t xml:space="preserve">dei </w:t>
      </w:r>
      <w:r w:rsidR="00815D0F" w:rsidRPr="00883915">
        <w:rPr>
          <w:color w:val="auto"/>
        </w:rPr>
        <w:t xml:space="preserve">tamponi totali </w:t>
      </w:r>
      <w:r w:rsidR="002E3070">
        <w:rPr>
          <w:color w:val="auto"/>
        </w:rPr>
        <w:t xml:space="preserve">rispetto alla settimana precedente </w:t>
      </w:r>
      <w:r w:rsidR="00815D0F" w:rsidRPr="00883915">
        <w:rPr>
          <w:color w:val="auto"/>
        </w:rPr>
        <w:t>(2.604.550 vs 2.151.081</w:t>
      </w:r>
      <w:r w:rsidR="00815D0F">
        <w:rPr>
          <w:color w:val="auto"/>
        </w:rPr>
        <w:t xml:space="preserve">), </w:t>
      </w:r>
      <w:r w:rsidR="00073DFF">
        <w:rPr>
          <w:color w:val="auto"/>
        </w:rPr>
        <w:t>sicuramente consegue</w:t>
      </w:r>
      <w:r w:rsidR="00815D0F">
        <w:rPr>
          <w:color w:val="auto"/>
        </w:rPr>
        <w:t xml:space="preserve"> </w:t>
      </w:r>
      <w:r w:rsidR="00073DFF">
        <w:rPr>
          <w:color w:val="auto"/>
        </w:rPr>
        <w:t xml:space="preserve">ad </w:t>
      </w:r>
      <w:r w:rsidR="00815D0F">
        <w:rPr>
          <w:color w:val="auto"/>
        </w:rPr>
        <w:t>un aumento della circolazione virale</w:t>
      </w:r>
      <w:r w:rsidR="00BD5050">
        <w:rPr>
          <w:color w:val="auto"/>
        </w:rPr>
        <w:t xml:space="preserve"> per due ragioni: innanzitutto</w:t>
      </w:r>
      <w:r w:rsidR="00815D0F">
        <w:rPr>
          <w:color w:val="auto"/>
        </w:rPr>
        <w:t xml:space="preserve">, </w:t>
      </w:r>
      <w:r w:rsidR="00BD5050">
        <w:rPr>
          <w:color w:val="auto"/>
        </w:rPr>
        <w:t xml:space="preserve">per </w:t>
      </w:r>
      <w:r w:rsidR="00815D0F">
        <w:rPr>
          <w:color w:val="auto"/>
        </w:rPr>
        <w:t>l’inversione di tendenza sui ricoveri in area medica</w:t>
      </w:r>
      <w:r w:rsidR="00BD5050">
        <w:rPr>
          <w:color w:val="auto"/>
        </w:rPr>
        <w:t xml:space="preserve">, in secondo luogo perché </w:t>
      </w:r>
      <w:r w:rsidR="00815D0F">
        <w:rPr>
          <w:color w:val="auto"/>
        </w:rPr>
        <w:t>a fronte di un rapporto positivi/tamponi antigenici</w:t>
      </w:r>
      <w:r w:rsidR="00BD5050">
        <w:rPr>
          <w:color w:val="auto"/>
        </w:rPr>
        <w:t xml:space="preserve"> in lieve calo, per l’enorme aumento del denominatore, </w:t>
      </w:r>
      <w:r w:rsidR="00815D0F">
        <w:rPr>
          <w:color w:val="auto"/>
        </w:rPr>
        <w:t>si registra un incremento del rapporto positivi/tamponi molecolari</w:t>
      </w:r>
      <w:r w:rsidR="0059338C">
        <w:rPr>
          <w:color w:val="auto"/>
        </w:rPr>
        <w:t xml:space="preserve"> (</w:t>
      </w:r>
      <w:r w:rsidR="005B3275" w:rsidRPr="005B3275">
        <w:rPr>
          <w:color w:val="auto"/>
        </w:rPr>
        <w:t>dal 2,4% del 19</w:t>
      </w:r>
      <w:r w:rsidR="005B3275">
        <w:rPr>
          <w:color w:val="auto"/>
        </w:rPr>
        <w:t xml:space="preserve"> ottobre </w:t>
      </w:r>
      <w:r w:rsidR="005B3275" w:rsidRPr="005B3275">
        <w:rPr>
          <w:color w:val="auto"/>
        </w:rPr>
        <w:t>al 3,5% del 26</w:t>
      </w:r>
      <w:r w:rsidR="008617F3">
        <w:rPr>
          <w:color w:val="auto"/>
        </w:rPr>
        <w:t xml:space="preserve"> ottobre</w:t>
      </w:r>
      <w:r w:rsidR="0059338C">
        <w:rPr>
          <w:color w:val="auto"/>
        </w:rPr>
        <w:t>)</w:t>
      </w:r>
      <w:r w:rsidR="005B3275" w:rsidRPr="005B3275">
        <w:rPr>
          <w:color w:val="auto"/>
        </w:rPr>
        <w:t xml:space="preserve"> </w:t>
      </w:r>
      <w:r w:rsidR="00815D0F">
        <w:rPr>
          <w:color w:val="auto"/>
        </w:rPr>
        <w:t>(</w:t>
      </w:r>
      <w:r w:rsidR="00815D0F" w:rsidRPr="00940E5B">
        <w:rPr>
          <w:color w:val="auto"/>
          <w:highlight w:val="yellow"/>
        </w:rPr>
        <w:t xml:space="preserve">figura </w:t>
      </w:r>
      <w:r w:rsidR="00815D0F">
        <w:rPr>
          <w:color w:val="auto"/>
          <w:highlight w:val="yellow"/>
        </w:rPr>
        <w:t>5</w:t>
      </w:r>
      <w:r w:rsidR="00815D0F">
        <w:rPr>
          <w:color w:val="auto"/>
        </w:rPr>
        <w:t>).</w:t>
      </w:r>
      <w:r w:rsidR="00815D0F">
        <w:rPr>
          <w:color w:val="FF0000"/>
        </w:rPr>
        <w:t xml:space="preserve"> </w:t>
      </w:r>
    </w:p>
    <w:p w:rsidR="00BD67DE" w:rsidRPr="009E41F3" w:rsidRDefault="00BD67DE" w:rsidP="004A0F1A">
      <w:pPr>
        <w:spacing w:line="276" w:lineRule="auto"/>
        <w:jc w:val="both"/>
        <w:rPr>
          <w:color w:val="FF0000"/>
        </w:rPr>
      </w:pPr>
      <w:r>
        <w:rPr>
          <w:color w:val="auto"/>
        </w:rPr>
        <w:t>N</w:t>
      </w:r>
      <w:r w:rsidR="00883915" w:rsidRPr="00883915">
        <w:rPr>
          <w:color w:val="auto"/>
        </w:rPr>
        <w:t xml:space="preserve">ella settimana 20-26 ottobre 2021, </w:t>
      </w:r>
      <w:r w:rsidR="00883915">
        <w:rPr>
          <w:color w:val="auto"/>
        </w:rPr>
        <w:t>tutte le</w:t>
      </w:r>
      <w:r w:rsidR="00883915" w:rsidRPr="00883915">
        <w:rPr>
          <w:color w:val="auto"/>
        </w:rPr>
        <w:t xml:space="preserve"> Regioni </w:t>
      </w:r>
      <w:r w:rsidR="00883915">
        <w:rPr>
          <w:color w:val="auto"/>
        </w:rPr>
        <w:t>tranne Sardegna e Valle D’Aosta</w:t>
      </w:r>
      <w:r w:rsidR="009B2F08">
        <w:rPr>
          <w:color w:val="auto"/>
        </w:rPr>
        <w:t>,</w:t>
      </w:r>
      <w:r w:rsidR="00883915">
        <w:rPr>
          <w:color w:val="auto"/>
        </w:rPr>
        <w:t xml:space="preserve"> </w:t>
      </w:r>
      <w:r w:rsidR="00883915" w:rsidRPr="00883915">
        <w:rPr>
          <w:color w:val="auto"/>
        </w:rPr>
        <w:t>registrano un incremento percentuale dei nuovi casi</w:t>
      </w:r>
      <w:r w:rsidR="00883915">
        <w:rPr>
          <w:color w:val="auto"/>
        </w:rPr>
        <w:t xml:space="preserve"> e</w:t>
      </w:r>
      <w:r w:rsidR="00883915" w:rsidRPr="00883915">
        <w:rPr>
          <w:color w:val="auto"/>
        </w:rPr>
        <w:t xml:space="preserve"> in 15 Regioni crescono i casi attualmente </w:t>
      </w:r>
      <w:r w:rsidR="00883915" w:rsidRPr="00BD67DE">
        <w:rPr>
          <w:color w:val="auto"/>
        </w:rPr>
        <w:t>positivi (</w:t>
      </w:r>
      <w:r w:rsidR="00883915" w:rsidRPr="00BD67DE">
        <w:rPr>
          <w:color w:val="auto"/>
          <w:highlight w:val="yellow"/>
        </w:rPr>
        <w:t>tabella 1</w:t>
      </w:r>
      <w:r w:rsidR="00883915" w:rsidRPr="00BD67DE">
        <w:rPr>
          <w:color w:val="auto"/>
        </w:rPr>
        <w:t>).</w:t>
      </w:r>
      <w:r w:rsidRPr="00BD67DE">
        <w:rPr>
          <w:color w:val="auto"/>
        </w:rPr>
        <w:t xml:space="preserve"> Sono 33 le Province </w:t>
      </w:r>
      <w:r w:rsidR="00265C72">
        <w:rPr>
          <w:color w:val="auto"/>
        </w:rPr>
        <w:t>con</w:t>
      </w:r>
      <w:r w:rsidRPr="00BD67DE">
        <w:rPr>
          <w:color w:val="auto"/>
        </w:rPr>
        <w:t xml:space="preserve"> un’incidenza </w:t>
      </w:r>
      <w:r w:rsidR="00265C72">
        <w:rPr>
          <w:rFonts w:cs="Calibri"/>
          <w:color w:val="auto"/>
        </w:rPr>
        <w:t>≥</w:t>
      </w:r>
      <w:r w:rsidRPr="00BD67DE">
        <w:rPr>
          <w:color w:val="auto"/>
        </w:rPr>
        <w:t>50 casi per 100.000 abitanti</w:t>
      </w:r>
      <w:r w:rsidR="00265C72">
        <w:rPr>
          <w:color w:val="auto"/>
        </w:rPr>
        <w:t>:</w:t>
      </w:r>
      <w:r w:rsidRPr="00BD67DE">
        <w:rPr>
          <w:color w:val="auto"/>
        </w:rPr>
        <w:t xml:space="preserve"> tra queste la Provincia di Trieste registra oltre 150 casi per 100.000 abitanti. Diminuiscono i decessi: 249 negli ultimi 7 giorni (di cui 29 riferiti a periodi precedenti), con una media di 36 al giorno rispetto ai 39 della settimana precedente.</w:t>
      </w:r>
    </w:p>
    <w:p w:rsidR="00BD67DE" w:rsidRDefault="00626103" w:rsidP="00626103">
      <w:pPr>
        <w:spacing w:line="276" w:lineRule="auto"/>
        <w:jc w:val="both"/>
        <w:rPr>
          <w:color w:val="FF0000"/>
        </w:rPr>
      </w:pPr>
      <w:bookmarkStart w:id="0" w:name="_Hlk85025666"/>
      <w:r w:rsidRPr="00BD67DE">
        <w:rPr>
          <w:color w:val="auto"/>
        </w:rPr>
        <w:lastRenderedPageBreak/>
        <w:t>«</w:t>
      </w:r>
      <w:r w:rsidR="001F4AD2" w:rsidRPr="00BD67DE">
        <w:rPr>
          <w:color w:val="auto"/>
        </w:rPr>
        <w:t>Sul fronte</w:t>
      </w:r>
      <w:r w:rsidR="005F2C47" w:rsidRPr="00BD67DE">
        <w:rPr>
          <w:color w:val="auto"/>
        </w:rPr>
        <w:t xml:space="preserve"> ospedaliero </w:t>
      </w:r>
      <w:r w:rsidRPr="00BD67DE">
        <w:rPr>
          <w:color w:val="auto"/>
        </w:rPr>
        <w:t xml:space="preserve">– afferma Renata Gili, responsabile Ricerca sui Servizi Sanitari della Fondazione GIMBE – </w:t>
      </w:r>
      <w:r w:rsidRPr="00BD67DE">
        <w:rPr>
          <w:rFonts w:eastAsia="Times New Roman" w:cs="Calibri"/>
          <w:color w:val="auto"/>
          <w:bdr w:val="none" w:sz="0" w:space="0" w:color="auto"/>
        </w:rPr>
        <w:t xml:space="preserve">si registra un </w:t>
      </w:r>
      <w:r w:rsidR="00BD67DE" w:rsidRPr="00BD67DE">
        <w:rPr>
          <w:rFonts w:eastAsia="Times New Roman" w:cs="Calibri"/>
          <w:color w:val="auto"/>
          <w:bdr w:val="none" w:sz="0" w:space="0" w:color="auto"/>
        </w:rPr>
        <w:t xml:space="preserve">incremento del 7,5% dei </w:t>
      </w:r>
      <w:r w:rsidRPr="00BD67DE">
        <w:rPr>
          <w:rFonts w:eastAsia="Times New Roman" w:cs="Calibri"/>
          <w:color w:val="auto"/>
          <w:bdr w:val="none" w:sz="0" w:space="0" w:color="auto"/>
        </w:rPr>
        <w:t>posti letto occupati da</w:t>
      </w:r>
      <w:r w:rsidR="00BD7DAB" w:rsidRPr="00BD67DE">
        <w:rPr>
          <w:rFonts w:eastAsia="Times New Roman" w:cs="Calibri"/>
          <w:color w:val="auto"/>
          <w:bdr w:val="none" w:sz="0" w:space="0" w:color="auto"/>
        </w:rPr>
        <w:t xml:space="preserve">i </w:t>
      </w:r>
      <w:r w:rsidRPr="00BD67DE">
        <w:rPr>
          <w:rFonts w:eastAsia="Times New Roman" w:cs="Calibri"/>
          <w:color w:val="auto"/>
          <w:bdr w:val="none" w:sz="0" w:space="0" w:color="auto"/>
        </w:rPr>
        <w:t>pazienti COVID-19</w:t>
      </w:r>
      <w:r w:rsidR="00BD67DE" w:rsidRPr="00BD67DE">
        <w:rPr>
          <w:rFonts w:eastAsia="Times New Roman" w:cs="Calibri"/>
          <w:color w:val="auto"/>
          <w:bdr w:val="none" w:sz="0" w:space="0" w:color="auto"/>
        </w:rPr>
        <w:t xml:space="preserve"> in area medica e un</w:t>
      </w:r>
      <w:r w:rsidR="00D7796E">
        <w:rPr>
          <w:rFonts w:eastAsia="Times New Roman" w:cs="Calibri"/>
          <w:color w:val="auto"/>
          <w:bdr w:val="none" w:sz="0" w:space="0" w:color="auto"/>
        </w:rPr>
        <w:t>a riduzione</w:t>
      </w:r>
      <w:r w:rsidR="00BD67DE" w:rsidRPr="00BD67DE">
        <w:rPr>
          <w:rFonts w:eastAsia="Times New Roman" w:cs="Calibri"/>
          <w:color w:val="auto"/>
          <w:bdr w:val="none" w:sz="0" w:space="0" w:color="auto"/>
        </w:rPr>
        <w:t xml:space="preserve"> del 3,9% </w:t>
      </w:r>
      <w:r w:rsidR="00E93B9A">
        <w:rPr>
          <w:rFonts w:eastAsia="Times New Roman" w:cs="Calibri"/>
          <w:color w:val="auto"/>
          <w:bdr w:val="none" w:sz="0" w:space="0" w:color="auto"/>
        </w:rPr>
        <w:t>di quelli</w:t>
      </w:r>
      <w:r w:rsidR="00BD67DE" w:rsidRPr="00BD67DE">
        <w:rPr>
          <w:rFonts w:eastAsia="Times New Roman" w:cs="Calibri"/>
          <w:color w:val="auto"/>
          <w:bdr w:val="none" w:sz="0" w:space="0" w:color="auto"/>
        </w:rPr>
        <w:t xml:space="preserve"> in terapia intensiva</w:t>
      </w:r>
      <w:r w:rsidRPr="00BD67DE">
        <w:rPr>
          <w:color w:val="auto"/>
        </w:rPr>
        <w:t>». A livello nazionale il tasso di occupazione rimane</w:t>
      </w:r>
      <w:r w:rsidR="00E3714A" w:rsidRPr="00BD67DE">
        <w:rPr>
          <w:color w:val="auto"/>
        </w:rPr>
        <w:t xml:space="preserve"> molto</w:t>
      </w:r>
      <w:r w:rsidRPr="00BD67DE">
        <w:rPr>
          <w:color w:val="auto"/>
        </w:rPr>
        <w:t xml:space="preserve"> basso (</w:t>
      </w:r>
      <w:r w:rsidR="00BD67DE" w:rsidRPr="00BD67DE">
        <w:rPr>
          <w:color w:val="auto"/>
        </w:rPr>
        <w:t>5</w:t>
      </w:r>
      <w:r w:rsidRPr="00BD67DE">
        <w:rPr>
          <w:color w:val="auto"/>
        </w:rPr>
        <w:t>% in area medica e 4% in area critica</w:t>
      </w:r>
      <w:r w:rsidR="000F6EBD" w:rsidRPr="00BD67DE">
        <w:rPr>
          <w:color w:val="auto"/>
        </w:rPr>
        <w:t>)</w:t>
      </w:r>
      <w:r w:rsidRPr="00BD67DE">
        <w:rPr>
          <w:color w:val="auto"/>
        </w:rPr>
        <w:t xml:space="preserve"> e nessuna Regione supera le soglie del 15% per l’area medica e del 10% per l’area critica (</w:t>
      </w:r>
      <w:r w:rsidRPr="00BD67DE">
        <w:rPr>
          <w:color w:val="auto"/>
          <w:highlight w:val="yellow"/>
        </w:rPr>
        <w:t xml:space="preserve">figura </w:t>
      </w:r>
      <w:r w:rsidR="00184E2C" w:rsidRPr="00BD67DE">
        <w:rPr>
          <w:color w:val="auto"/>
          <w:highlight w:val="yellow"/>
        </w:rPr>
        <w:t>6</w:t>
      </w:r>
      <w:r w:rsidRPr="00BD67DE">
        <w:rPr>
          <w:color w:val="auto"/>
        </w:rPr>
        <w:t xml:space="preserve">). </w:t>
      </w:r>
      <w:bookmarkEnd w:id="0"/>
      <w:r w:rsidR="00BD67DE" w:rsidRPr="00BD67DE">
        <w:rPr>
          <w:color w:val="auto"/>
        </w:rPr>
        <w:t>«Si registra un lieve aumento degli ingressi giornalieri in terapia intensiva – spiega Marco Mosti, Direttore Operativo della Fondazione GIMBE – con una media mobile a 7 giorni di 23 ingressi/die rispetto ai 20 della settimana precedente» (</w:t>
      </w:r>
      <w:r w:rsidR="00BD67DE" w:rsidRPr="00BD67DE">
        <w:rPr>
          <w:color w:val="auto"/>
          <w:highlight w:val="yellow"/>
        </w:rPr>
        <w:t>figura 7</w:t>
      </w:r>
      <w:r w:rsidR="00BD67DE" w:rsidRPr="00BD67DE">
        <w:rPr>
          <w:color w:val="auto"/>
        </w:rPr>
        <w:t>).</w:t>
      </w:r>
    </w:p>
    <w:p w:rsidR="00D325D0" w:rsidRPr="00BD67DE" w:rsidRDefault="00D325D0" w:rsidP="00A5775A">
      <w:pPr>
        <w:spacing w:line="276" w:lineRule="auto"/>
        <w:jc w:val="both"/>
        <w:rPr>
          <w:color w:val="auto"/>
        </w:rPr>
      </w:pPr>
      <w:r w:rsidRPr="00BD67DE">
        <w:rPr>
          <w:b/>
          <w:bCs/>
          <w:color w:val="auto"/>
        </w:rPr>
        <w:t>Vaccini: forniture</w:t>
      </w:r>
      <w:r w:rsidRPr="00BD67DE">
        <w:rPr>
          <w:color w:val="auto"/>
        </w:rPr>
        <w:t xml:space="preserve">. </w:t>
      </w:r>
      <w:r w:rsidR="00993DFA" w:rsidRPr="00BD67DE">
        <w:rPr>
          <w:color w:val="auto"/>
        </w:rPr>
        <w:t xml:space="preserve">Al </w:t>
      </w:r>
      <w:r w:rsidR="007E5D35" w:rsidRPr="00BD67DE">
        <w:rPr>
          <w:color w:val="auto"/>
        </w:rPr>
        <w:t>2</w:t>
      </w:r>
      <w:r w:rsidR="00BD67DE" w:rsidRPr="00BD67DE">
        <w:rPr>
          <w:color w:val="auto"/>
        </w:rPr>
        <w:t>7</w:t>
      </w:r>
      <w:r w:rsidR="00993DFA" w:rsidRPr="00BD67DE">
        <w:rPr>
          <w:color w:val="auto"/>
        </w:rPr>
        <w:t xml:space="preserve"> ottobre (aggiornamento ore </w:t>
      </w:r>
      <w:r w:rsidR="001E1FB2">
        <w:rPr>
          <w:color w:val="auto"/>
        </w:rPr>
        <w:t>0</w:t>
      </w:r>
      <w:r w:rsidR="00041D6E" w:rsidRPr="00BD67DE">
        <w:rPr>
          <w:color w:val="auto"/>
        </w:rPr>
        <w:t>6</w:t>
      </w:r>
      <w:r w:rsidR="00D83353" w:rsidRPr="00BD67DE">
        <w:rPr>
          <w:color w:val="auto"/>
        </w:rPr>
        <w:t>.</w:t>
      </w:r>
      <w:r w:rsidR="00041D6E" w:rsidRPr="00BD67DE">
        <w:rPr>
          <w:color w:val="auto"/>
        </w:rPr>
        <w:t>1</w:t>
      </w:r>
      <w:r w:rsidR="00BD67DE" w:rsidRPr="00BD67DE">
        <w:rPr>
          <w:color w:val="auto"/>
        </w:rPr>
        <w:t>6</w:t>
      </w:r>
      <w:r w:rsidR="00993DFA" w:rsidRPr="00BD67DE">
        <w:rPr>
          <w:color w:val="auto"/>
        </w:rPr>
        <w:t xml:space="preserve">) </w:t>
      </w:r>
      <w:r w:rsidR="00E618D5" w:rsidRPr="00BD67DE">
        <w:rPr>
          <w:color w:val="auto"/>
        </w:rPr>
        <w:t xml:space="preserve">risultano consegnate </w:t>
      </w:r>
      <w:r w:rsidR="00112E06" w:rsidRPr="00BD67DE">
        <w:rPr>
          <w:color w:val="auto"/>
        </w:rPr>
        <w:t>99.</w:t>
      </w:r>
      <w:r w:rsidR="00BD67DE" w:rsidRPr="00BD67DE">
        <w:rPr>
          <w:color w:val="auto"/>
        </w:rPr>
        <w:t>780.625</w:t>
      </w:r>
      <w:r w:rsidR="00112E06" w:rsidRPr="00BD67DE">
        <w:rPr>
          <w:color w:val="auto"/>
        </w:rPr>
        <w:t xml:space="preserve"> </w:t>
      </w:r>
      <w:r w:rsidR="00E618D5" w:rsidRPr="00BD67DE">
        <w:rPr>
          <w:color w:val="auto"/>
        </w:rPr>
        <w:t>dosi</w:t>
      </w:r>
      <w:r w:rsidR="00A5775A" w:rsidRPr="00BD67DE">
        <w:rPr>
          <w:color w:val="auto"/>
        </w:rPr>
        <w:t xml:space="preserve">: </w:t>
      </w:r>
      <w:r w:rsidR="00E618D5" w:rsidRPr="00BD67DE">
        <w:rPr>
          <w:color w:val="auto"/>
        </w:rPr>
        <w:t xml:space="preserve">pur </w:t>
      </w:r>
      <w:r w:rsidR="00A33529" w:rsidRPr="00BD67DE">
        <w:rPr>
          <w:color w:val="auto"/>
        </w:rPr>
        <w:t>in assenza di</w:t>
      </w:r>
      <w:r w:rsidR="00112E06" w:rsidRPr="00BD67DE">
        <w:rPr>
          <w:color w:val="auto"/>
        </w:rPr>
        <w:t xml:space="preserve"> </w:t>
      </w:r>
      <w:r w:rsidR="00A33529" w:rsidRPr="00BD67DE">
        <w:rPr>
          <w:color w:val="auto"/>
        </w:rPr>
        <w:t xml:space="preserve">nuove </w:t>
      </w:r>
      <w:r w:rsidR="00071A13" w:rsidRPr="00BD67DE">
        <w:rPr>
          <w:color w:val="auto"/>
        </w:rPr>
        <w:t xml:space="preserve">forniture </w:t>
      </w:r>
      <w:r w:rsidR="005B5BD7">
        <w:rPr>
          <w:color w:val="auto"/>
        </w:rPr>
        <w:t>per la seconda settimana consecutiva</w:t>
      </w:r>
      <w:r w:rsidR="00BD0D3E" w:rsidRPr="00BD67DE">
        <w:rPr>
          <w:color w:val="auto"/>
        </w:rPr>
        <w:t xml:space="preserve"> </w:t>
      </w:r>
      <w:r w:rsidR="009216B6" w:rsidRPr="00BD67DE">
        <w:rPr>
          <w:color w:val="auto"/>
        </w:rPr>
        <w:t>(</w:t>
      </w:r>
      <w:r w:rsidR="009216B6" w:rsidRPr="00BD67DE">
        <w:rPr>
          <w:color w:val="auto"/>
          <w:highlight w:val="yellow"/>
        </w:rPr>
        <w:t xml:space="preserve">figura </w:t>
      </w:r>
      <w:r w:rsidR="00184E2C" w:rsidRPr="00BD67DE">
        <w:rPr>
          <w:color w:val="auto"/>
          <w:highlight w:val="yellow"/>
        </w:rPr>
        <w:t>8</w:t>
      </w:r>
      <w:r w:rsidR="009216B6" w:rsidRPr="00BD67DE">
        <w:rPr>
          <w:color w:val="auto"/>
        </w:rPr>
        <w:t>)</w:t>
      </w:r>
      <w:r w:rsidR="006642BB" w:rsidRPr="00BD67DE">
        <w:rPr>
          <w:color w:val="auto"/>
        </w:rPr>
        <w:t>,</w:t>
      </w:r>
      <w:r w:rsidR="00741B18" w:rsidRPr="00BD67DE">
        <w:rPr>
          <w:color w:val="auto"/>
        </w:rPr>
        <w:t xml:space="preserve"> </w:t>
      </w:r>
      <w:r w:rsidR="00315CB0" w:rsidRPr="00BD67DE">
        <w:rPr>
          <w:color w:val="auto"/>
        </w:rPr>
        <w:t>le scorte di vaccini a mRNA</w:t>
      </w:r>
      <w:r w:rsidR="00112E06" w:rsidRPr="00BD67DE">
        <w:rPr>
          <w:color w:val="auto"/>
        </w:rPr>
        <w:t xml:space="preserve"> </w:t>
      </w:r>
      <w:r w:rsidR="00041D6E" w:rsidRPr="00BD67DE">
        <w:rPr>
          <w:color w:val="auto"/>
        </w:rPr>
        <w:t xml:space="preserve">si attestano </w:t>
      </w:r>
      <w:r w:rsidR="00E618D5" w:rsidRPr="00BD67DE">
        <w:rPr>
          <w:color w:val="auto"/>
        </w:rPr>
        <w:t xml:space="preserve">a </w:t>
      </w:r>
      <w:r w:rsidR="00FE2F96" w:rsidRPr="00BD67DE">
        <w:rPr>
          <w:color w:val="auto"/>
        </w:rPr>
        <w:t xml:space="preserve">quota </w:t>
      </w:r>
      <w:r w:rsidR="00112E06" w:rsidRPr="00BD67DE">
        <w:rPr>
          <w:color w:val="auto"/>
        </w:rPr>
        <w:t>1</w:t>
      </w:r>
      <w:r w:rsidR="00BD67DE" w:rsidRPr="00BD67DE">
        <w:rPr>
          <w:color w:val="auto"/>
        </w:rPr>
        <w:t>1</w:t>
      </w:r>
      <w:r w:rsidR="009332D3" w:rsidRPr="00BD67DE">
        <w:rPr>
          <w:color w:val="auto"/>
        </w:rPr>
        <w:t xml:space="preserve"> milioni</w:t>
      </w:r>
      <w:r w:rsidRPr="00BD67DE">
        <w:rPr>
          <w:color w:val="auto"/>
        </w:rPr>
        <w:t>.</w:t>
      </w:r>
    </w:p>
    <w:p w:rsidR="00BD67DE" w:rsidRDefault="00BD67DE" w:rsidP="00595E53">
      <w:pPr>
        <w:spacing w:line="276" w:lineRule="auto"/>
        <w:jc w:val="both"/>
        <w:rPr>
          <w:color w:val="auto"/>
        </w:rPr>
      </w:pPr>
      <w:r w:rsidRPr="00BD67DE">
        <w:rPr>
          <w:b/>
          <w:color w:val="auto"/>
        </w:rPr>
        <w:t>Vaccini: somministrazioni.</w:t>
      </w:r>
      <w:r w:rsidRPr="00BD67DE">
        <w:rPr>
          <w:color w:val="auto"/>
        </w:rPr>
        <w:t xml:space="preserve"> Al 27 ottobre (aggiornamento ore 06.16) il 78,5% della popolazione (n. 46.525.495) ha ricevuto almeno una dose di vaccino (+204.896 rispetto alla settimana precedente) e il </w:t>
      </w:r>
      <w:r w:rsidRPr="00BD67DE">
        <w:rPr>
          <w:rFonts w:eastAsia="Times New Roman" w:cs="Calibri"/>
          <w:bdr w:val="none" w:sz="0" w:space="0" w:color="auto"/>
        </w:rPr>
        <w:t>75,1% (n. 44.507.167) ha completato il ciclo vaccinale (+459.731)</w:t>
      </w:r>
      <w:r w:rsidRPr="00BD67DE">
        <w:rPr>
          <w:color w:val="auto"/>
        </w:rPr>
        <w:t xml:space="preserve"> (</w:t>
      </w:r>
      <w:r w:rsidRPr="00BD67DE">
        <w:rPr>
          <w:color w:val="auto"/>
          <w:highlight w:val="yellow"/>
        </w:rPr>
        <w:t>figura 9</w:t>
      </w:r>
      <w:r w:rsidRPr="00BD67DE">
        <w:rPr>
          <w:color w:val="auto"/>
        </w:rPr>
        <w:t xml:space="preserve">). In calo nell’ultima settimana il numero di somministrazioni (n. 1.118.114), con una media mobile a 7 giorni di 152.345 </w:t>
      </w:r>
      <w:r w:rsidR="00A321C6">
        <w:rPr>
          <w:color w:val="auto"/>
        </w:rPr>
        <w:t>dosi</w:t>
      </w:r>
      <w:r w:rsidRPr="00BD67DE">
        <w:rPr>
          <w:color w:val="auto"/>
        </w:rPr>
        <w:t>/die.</w:t>
      </w:r>
    </w:p>
    <w:p w:rsidR="00D34302" w:rsidRPr="00184E2C" w:rsidRDefault="00DD1090" w:rsidP="00BD67DE">
      <w:pPr>
        <w:spacing w:line="276" w:lineRule="auto"/>
        <w:jc w:val="both"/>
        <w:rPr>
          <w:color w:val="FF0000"/>
        </w:rPr>
      </w:pPr>
      <w:r w:rsidRPr="00FD0889">
        <w:rPr>
          <w:b/>
          <w:color w:val="auto"/>
          <w:u w:color="FF0000"/>
        </w:rPr>
        <w:t>Vaccini: copertur</w:t>
      </w:r>
      <w:r w:rsidR="004A3B4B" w:rsidRPr="00FD0889">
        <w:rPr>
          <w:b/>
          <w:color w:val="auto"/>
          <w:u w:color="FF0000"/>
        </w:rPr>
        <w:t>e</w:t>
      </w:r>
      <w:r w:rsidRPr="00FD0889">
        <w:rPr>
          <w:b/>
          <w:color w:val="auto"/>
          <w:u w:color="FF0000"/>
        </w:rPr>
        <w:t>.</w:t>
      </w:r>
      <w:r w:rsidRPr="00FD0889">
        <w:rPr>
          <w:color w:val="auto"/>
          <w:u w:color="FF0000"/>
        </w:rPr>
        <w:t xml:space="preserve"> </w:t>
      </w:r>
      <w:r w:rsidR="004A3B4B" w:rsidRPr="00FD0889">
        <w:rPr>
          <w:color w:val="auto"/>
        </w:rPr>
        <w:t>Le coperture vaccinali con almeno una dose di vaccino sono molto variabili</w:t>
      </w:r>
      <w:r w:rsidR="00936D85" w:rsidRPr="00FD0889">
        <w:rPr>
          <w:color w:val="auto"/>
        </w:rPr>
        <w:t xml:space="preserve"> nelle diverse fasce di età</w:t>
      </w:r>
      <w:r w:rsidR="004A3B4B" w:rsidRPr="00FD0889">
        <w:rPr>
          <w:color w:val="auto"/>
        </w:rPr>
        <w:t xml:space="preserve">: </w:t>
      </w:r>
      <w:r w:rsidR="00D34302" w:rsidRPr="00FD0889">
        <w:rPr>
          <w:color w:val="auto"/>
        </w:rPr>
        <w:t>dal 97</w:t>
      </w:r>
      <w:r w:rsidR="004A3B4B" w:rsidRPr="00FD0889">
        <w:rPr>
          <w:color w:val="auto"/>
        </w:rPr>
        <w:t>% degli over 80 al 7</w:t>
      </w:r>
      <w:r w:rsidR="00D34302" w:rsidRPr="00FD0889">
        <w:rPr>
          <w:color w:val="auto"/>
        </w:rPr>
        <w:t>2</w:t>
      </w:r>
      <w:r w:rsidR="004A3B4B" w:rsidRPr="00FD0889">
        <w:rPr>
          <w:color w:val="auto"/>
        </w:rPr>
        <w:t>,</w:t>
      </w:r>
      <w:r w:rsidR="00FD0889" w:rsidRPr="00FD0889">
        <w:rPr>
          <w:color w:val="auto"/>
        </w:rPr>
        <w:t>9</w:t>
      </w:r>
      <w:r w:rsidR="004A3B4B" w:rsidRPr="00FD0889">
        <w:rPr>
          <w:color w:val="auto"/>
        </w:rPr>
        <w:t>% della fascia 12-19 (</w:t>
      </w:r>
      <w:r w:rsidR="004A3B4B" w:rsidRPr="00FD0889">
        <w:rPr>
          <w:color w:val="auto"/>
          <w:highlight w:val="yellow"/>
        </w:rPr>
        <w:t xml:space="preserve">figura </w:t>
      </w:r>
      <w:r w:rsidR="00184E2C" w:rsidRPr="00FD0889">
        <w:rPr>
          <w:color w:val="auto"/>
          <w:highlight w:val="yellow"/>
        </w:rPr>
        <w:t>10</w:t>
      </w:r>
      <w:r w:rsidR="004A3B4B" w:rsidRPr="00FD0889">
        <w:rPr>
          <w:color w:val="auto"/>
        </w:rPr>
        <w:t xml:space="preserve">). In generale, rispetto alla settimana precedente, si registrano incrementi </w:t>
      </w:r>
      <w:r w:rsidR="00FD0889" w:rsidRPr="00FD0889">
        <w:rPr>
          <w:color w:val="auto"/>
        </w:rPr>
        <w:t xml:space="preserve">sempre più </w:t>
      </w:r>
      <w:r w:rsidR="004A3B4B" w:rsidRPr="00FD0889">
        <w:rPr>
          <w:color w:val="auto"/>
        </w:rPr>
        <w:t xml:space="preserve">modesti: il numero di vaccinati con almeno una dose cresce </w:t>
      </w:r>
      <w:r w:rsidR="00FD0889" w:rsidRPr="00FD0889">
        <w:rPr>
          <w:color w:val="auto"/>
        </w:rPr>
        <w:t>dello 0</w:t>
      </w:r>
      <w:r w:rsidR="004A3B4B" w:rsidRPr="00FD0889">
        <w:rPr>
          <w:color w:val="auto"/>
        </w:rPr>
        <w:t>,</w:t>
      </w:r>
      <w:r w:rsidR="00FD0889" w:rsidRPr="00FD0889">
        <w:rPr>
          <w:color w:val="auto"/>
        </w:rPr>
        <w:t>7</w:t>
      </w:r>
      <w:r w:rsidR="004A3B4B" w:rsidRPr="00FD0889">
        <w:rPr>
          <w:color w:val="auto"/>
        </w:rPr>
        <w:t>% nell</w:t>
      </w:r>
      <w:r w:rsidR="00FD0889" w:rsidRPr="00FD0889">
        <w:rPr>
          <w:color w:val="auto"/>
        </w:rPr>
        <w:t>e</w:t>
      </w:r>
      <w:r w:rsidR="00D34302" w:rsidRPr="00FD0889">
        <w:rPr>
          <w:color w:val="auto"/>
        </w:rPr>
        <w:t xml:space="preserve"> </w:t>
      </w:r>
      <w:r w:rsidR="00624679" w:rsidRPr="00FD0889">
        <w:rPr>
          <w:color w:val="auto"/>
        </w:rPr>
        <w:t>fasc</w:t>
      </w:r>
      <w:r w:rsidR="00FD0889" w:rsidRPr="00FD0889">
        <w:rPr>
          <w:color w:val="auto"/>
        </w:rPr>
        <w:t>e</w:t>
      </w:r>
      <w:r w:rsidR="00E300F1">
        <w:rPr>
          <w:color w:val="auto"/>
        </w:rPr>
        <w:t xml:space="preserve"> anagrafiche</w:t>
      </w:r>
      <w:r w:rsidR="00FD0889" w:rsidRPr="00FD0889">
        <w:rPr>
          <w:color w:val="auto"/>
        </w:rPr>
        <w:t xml:space="preserve"> 12-19, 20-29 e</w:t>
      </w:r>
      <w:r w:rsidR="00D34302" w:rsidRPr="00FD0889">
        <w:rPr>
          <w:color w:val="auto"/>
        </w:rPr>
        <w:t xml:space="preserve"> 3</w:t>
      </w:r>
      <w:r w:rsidR="00E618D5" w:rsidRPr="00FD0889">
        <w:rPr>
          <w:color w:val="auto"/>
        </w:rPr>
        <w:t>0-</w:t>
      </w:r>
      <w:r w:rsidR="00D34302" w:rsidRPr="00FD0889">
        <w:rPr>
          <w:color w:val="auto"/>
        </w:rPr>
        <w:t>3</w:t>
      </w:r>
      <w:r w:rsidR="00E618D5" w:rsidRPr="00FD0889">
        <w:rPr>
          <w:color w:val="auto"/>
        </w:rPr>
        <w:t>9</w:t>
      </w:r>
      <w:r w:rsidR="00D34302" w:rsidRPr="00FD0889">
        <w:rPr>
          <w:color w:val="auto"/>
        </w:rPr>
        <w:t xml:space="preserve">, </w:t>
      </w:r>
      <w:r w:rsidR="004A3B4B" w:rsidRPr="00FD0889">
        <w:rPr>
          <w:color w:val="auto"/>
        </w:rPr>
        <w:t>dell</w:t>
      </w:r>
      <w:r w:rsidR="00FD0889" w:rsidRPr="00FD0889">
        <w:rPr>
          <w:color w:val="auto"/>
        </w:rPr>
        <w:t>o 0</w:t>
      </w:r>
      <w:r w:rsidR="00D34302" w:rsidRPr="00FD0889">
        <w:rPr>
          <w:color w:val="auto"/>
        </w:rPr>
        <w:t>,</w:t>
      </w:r>
      <w:r w:rsidR="00FD0889" w:rsidRPr="00FD0889">
        <w:rPr>
          <w:color w:val="auto"/>
        </w:rPr>
        <w:t>5</w:t>
      </w:r>
      <w:r w:rsidR="00D34302" w:rsidRPr="00FD0889">
        <w:rPr>
          <w:color w:val="auto"/>
        </w:rPr>
        <w:t>% nella fascia 40-49, dello 0,</w:t>
      </w:r>
      <w:r w:rsidR="00FD0889" w:rsidRPr="00FD0889">
        <w:rPr>
          <w:color w:val="auto"/>
        </w:rPr>
        <w:t>4</w:t>
      </w:r>
      <w:r w:rsidR="00D34302" w:rsidRPr="00FD0889">
        <w:rPr>
          <w:color w:val="auto"/>
        </w:rPr>
        <w:t xml:space="preserve">% nella fascia </w:t>
      </w:r>
      <w:r w:rsidR="00E618D5" w:rsidRPr="00FD0889">
        <w:rPr>
          <w:color w:val="auto"/>
        </w:rPr>
        <w:t>5</w:t>
      </w:r>
      <w:r w:rsidR="004A3B4B" w:rsidRPr="00FD0889">
        <w:rPr>
          <w:color w:val="auto"/>
        </w:rPr>
        <w:t>0-</w:t>
      </w:r>
      <w:r w:rsidR="00E618D5" w:rsidRPr="00FD0889">
        <w:rPr>
          <w:color w:val="auto"/>
        </w:rPr>
        <w:t>5</w:t>
      </w:r>
      <w:r w:rsidR="004A3B4B" w:rsidRPr="00FD0889">
        <w:rPr>
          <w:color w:val="auto"/>
        </w:rPr>
        <w:t xml:space="preserve">9, mentre negli over 60 l’incremento non </w:t>
      </w:r>
      <w:r w:rsidR="00624679" w:rsidRPr="00FD0889">
        <w:rPr>
          <w:color w:val="auto"/>
        </w:rPr>
        <w:t>supera</w:t>
      </w:r>
      <w:r w:rsidR="004A3B4B" w:rsidRPr="00FD0889">
        <w:rPr>
          <w:color w:val="auto"/>
        </w:rPr>
        <w:t xml:space="preserve"> lo 0</w:t>
      </w:r>
      <w:r w:rsidR="00FD0889" w:rsidRPr="00FD0889">
        <w:rPr>
          <w:color w:val="auto"/>
        </w:rPr>
        <w:t>,2</w:t>
      </w:r>
      <w:r w:rsidR="00FE1CCB" w:rsidRPr="00FD0889">
        <w:rPr>
          <w:color w:val="auto"/>
        </w:rPr>
        <w:t>%.</w:t>
      </w:r>
    </w:p>
    <w:p w:rsidR="00A81E2A" w:rsidRPr="00D257A4" w:rsidRDefault="00F86251" w:rsidP="00E355FA">
      <w:pPr>
        <w:spacing w:after="0" w:line="276" w:lineRule="auto"/>
        <w:jc w:val="both"/>
        <w:rPr>
          <w:color w:val="auto"/>
        </w:rPr>
      </w:pPr>
      <w:r w:rsidRPr="00041D6E">
        <w:rPr>
          <w:b/>
          <w:color w:val="auto"/>
        </w:rPr>
        <w:t xml:space="preserve">Vaccini: terza dose. </w:t>
      </w:r>
      <w:r w:rsidR="002E3070">
        <w:rPr>
          <w:color w:val="auto"/>
        </w:rPr>
        <w:t>L</w:t>
      </w:r>
      <w:r w:rsidR="00A81E2A" w:rsidRPr="00A81E2A">
        <w:rPr>
          <w:color w:val="auto"/>
        </w:rPr>
        <w:t xml:space="preserve">a </w:t>
      </w:r>
      <w:hyperlink r:id="rId8" w:history="1">
        <w:r w:rsidR="00A81E2A" w:rsidRPr="007A6242">
          <w:rPr>
            <w:rStyle w:val="Collegamentoipertestuale"/>
          </w:rPr>
          <w:t>platea vaccinabile con la terza dose</w:t>
        </w:r>
      </w:hyperlink>
      <w:r w:rsidR="00A81E2A" w:rsidRPr="00A81E2A">
        <w:rPr>
          <w:color w:val="auto"/>
        </w:rPr>
        <w:t xml:space="preserve"> </w:t>
      </w:r>
      <w:r w:rsidR="00E355FA">
        <w:rPr>
          <w:color w:val="auto"/>
        </w:rPr>
        <w:t>(</w:t>
      </w:r>
      <w:r w:rsidR="00E355FA" w:rsidRPr="00E355FA">
        <w:rPr>
          <w:color w:val="auto"/>
          <w:highlight w:val="yellow"/>
        </w:rPr>
        <w:t>figura 11</w:t>
      </w:r>
      <w:r w:rsidR="00E355FA">
        <w:rPr>
          <w:color w:val="auto"/>
        </w:rPr>
        <w:t xml:space="preserve">) </w:t>
      </w:r>
      <w:r w:rsidR="00A81E2A" w:rsidRPr="00A81E2A">
        <w:rPr>
          <w:color w:val="auto"/>
        </w:rPr>
        <w:t>è così costituita:</w:t>
      </w:r>
    </w:p>
    <w:p w:rsidR="00A81E2A" w:rsidRDefault="00E355FA" w:rsidP="00E355FA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color w:val="auto"/>
        </w:rPr>
      </w:pPr>
      <w:r>
        <w:rPr>
          <w:color w:val="auto"/>
        </w:rPr>
        <w:t>D</w:t>
      </w:r>
      <w:r w:rsidR="005D1676" w:rsidRPr="00E355FA">
        <w:rPr>
          <w:color w:val="auto"/>
        </w:rPr>
        <w:t>ose aggiuntiva</w:t>
      </w:r>
      <w:r w:rsidR="009B067C">
        <w:rPr>
          <w:color w:val="auto"/>
        </w:rPr>
        <w:t xml:space="preserve"> (n. 877.999)</w:t>
      </w:r>
      <w:r w:rsidR="005D1676">
        <w:rPr>
          <w:color w:val="auto"/>
        </w:rPr>
        <w:t xml:space="preserve">: una </w:t>
      </w:r>
      <w:r w:rsidR="007A6242">
        <w:rPr>
          <w:color w:val="auto"/>
        </w:rPr>
        <w:t>dose di vaccino Pfizer o Moderna ad almeno 28 giorni di distanza dal completamento del ciclo vaccinale</w:t>
      </w:r>
      <w:r w:rsidR="006B3B7F">
        <w:rPr>
          <w:color w:val="auto"/>
        </w:rPr>
        <w:t xml:space="preserve"> per</w:t>
      </w:r>
      <w:r w:rsidR="006B3B7F" w:rsidRPr="006B3B7F">
        <w:rPr>
          <w:color w:val="auto"/>
        </w:rPr>
        <w:t xml:space="preserve"> </w:t>
      </w:r>
      <w:r w:rsidR="006B3B7F">
        <w:rPr>
          <w:color w:val="auto"/>
        </w:rPr>
        <w:t>p</w:t>
      </w:r>
      <w:r w:rsidR="006B3B7F" w:rsidRPr="00D257A4">
        <w:rPr>
          <w:color w:val="auto"/>
        </w:rPr>
        <w:t>azienti immunocompromessi</w:t>
      </w:r>
      <w:r w:rsidR="007A6242">
        <w:rPr>
          <w:color w:val="auto"/>
        </w:rPr>
        <w:t>;</w:t>
      </w:r>
    </w:p>
    <w:p w:rsidR="007A6242" w:rsidRPr="005D1676" w:rsidRDefault="00E355FA" w:rsidP="00E355FA">
      <w:pPr>
        <w:pStyle w:val="Paragrafoelenco"/>
        <w:numPr>
          <w:ilvl w:val="0"/>
          <w:numId w:val="2"/>
        </w:numPr>
        <w:spacing w:line="276" w:lineRule="auto"/>
        <w:ind w:left="357" w:hanging="357"/>
        <w:jc w:val="both"/>
        <w:rPr>
          <w:color w:val="auto"/>
        </w:rPr>
      </w:pPr>
      <w:r>
        <w:rPr>
          <w:color w:val="auto"/>
        </w:rPr>
        <w:t>D</w:t>
      </w:r>
      <w:r w:rsidR="005D1676" w:rsidRPr="00E355FA">
        <w:rPr>
          <w:color w:val="auto"/>
        </w:rPr>
        <w:t xml:space="preserve">ose </w:t>
      </w:r>
      <w:r w:rsidR="005D1676" w:rsidRPr="00647FC0">
        <w:rPr>
          <w:i/>
          <w:color w:val="auto"/>
        </w:rPr>
        <w:t>booster</w:t>
      </w:r>
      <w:r w:rsidR="005D1676">
        <w:rPr>
          <w:color w:val="auto"/>
        </w:rPr>
        <w:t xml:space="preserve"> </w:t>
      </w:r>
      <w:r w:rsidR="005D1676" w:rsidRPr="00E355FA">
        <w:rPr>
          <w:color w:val="auto"/>
        </w:rPr>
        <w:t>(</w:t>
      </w:r>
      <w:r w:rsidR="009B067C">
        <w:rPr>
          <w:color w:val="auto"/>
        </w:rPr>
        <w:t>n. 2.988.562</w:t>
      </w:r>
      <w:r w:rsidR="005D1676" w:rsidRPr="00E355FA">
        <w:rPr>
          <w:color w:val="auto"/>
        </w:rPr>
        <w:t>)</w:t>
      </w:r>
      <w:r w:rsidR="005D1676" w:rsidRPr="00E56B15">
        <w:rPr>
          <w:color w:val="auto"/>
        </w:rPr>
        <w:t>:</w:t>
      </w:r>
      <w:r w:rsidR="005D1676">
        <w:rPr>
          <w:color w:val="auto"/>
        </w:rPr>
        <w:t xml:space="preserve"> </w:t>
      </w:r>
      <w:r w:rsidR="00A263C6">
        <w:rPr>
          <w:color w:val="auto"/>
        </w:rPr>
        <w:t xml:space="preserve">una dose di vaccino Pfizer ad almeno 6 mesi dal completamento del ciclo vaccinale per </w:t>
      </w:r>
      <w:r w:rsidR="005D1676">
        <w:rPr>
          <w:color w:val="auto"/>
        </w:rPr>
        <w:t>o</w:t>
      </w:r>
      <w:r w:rsidR="007A6242" w:rsidRPr="005D1676">
        <w:rPr>
          <w:color w:val="auto"/>
        </w:rPr>
        <w:t>ver</w:t>
      </w:r>
      <w:r w:rsidR="007A6242">
        <w:rPr>
          <w:color w:val="auto"/>
        </w:rPr>
        <w:t xml:space="preserve"> 60 anni, ospiti delle RSA, operatori sanitari e sociosanitari e persone </w:t>
      </w:r>
      <w:r w:rsidR="006B3B7F">
        <w:rPr>
          <w:color w:val="auto"/>
        </w:rPr>
        <w:t xml:space="preserve">di età </w:t>
      </w:r>
      <w:r w:rsidR="003D7D3B">
        <w:rPr>
          <w:rFonts w:cs="Calibri"/>
          <w:color w:val="auto"/>
        </w:rPr>
        <w:t>≥</w:t>
      </w:r>
      <w:r w:rsidR="007A6242">
        <w:rPr>
          <w:color w:val="auto"/>
        </w:rPr>
        <w:t xml:space="preserve">18 anni con </w:t>
      </w:r>
      <w:r w:rsidR="007A6242" w:rsidRPr="007A6242">
        <w:rPr>
          <w:color w:val="auto"/>
        </w:rPr>
        <w:t>elevata fragilità motivata da patologie concomitanti/preesistenti</w:t>
      </w:r>
      <w:r w:rsidR="007A6242">
        <w:rPr>
          <w:color w:val="auto"/>
        </w:rPr>
        <w:t>.</w:t>
      </w:r>
      <w:r w:rsidR="005D1676">
        <w:rPr>
          <w:color w:val="auto"/>
        </w:rPr>
        <w:t xml:space="preserve"> </w:t>
      </w:r>
      <w:r w:rsidR="007A6242" w:rsidRPr="005D1676">
        <w:rPr>
          <w:color w:val="auto"/>
        </w:rPr>
        <w:t xml:space="preserve">Il 25 ottobre 2021 la </w:t>
      </w:r>
      <w:r w:rsidR="007A6242" w:rsidRPr="005D1676">
        <w:rPr>
          <w:i/>
          <w:color w:val="auto"/>
        </w:rPr>
        <w:t>European Medicines Agency</w:t>
      </w:r>
      <w:r w:rsidR="007A6242" w:rsidRPr="005D1676">
        <w:rPr>
          <w:color w:val="auto"/>
        </w:rPr>
        <w:t xml:space="preserve"> (EMA) </w:t>
      </w:r>
      <w:hyperlink r:id="rId9" w:history="1">
        <w:r w:rsidR="007A6242" w:rsidRPr="00272094">
          <w:rPr>
            <w:rStyle w:val="Collegamentoipertestuale"/>
          </w:rPr>
          <w:t xml:space="preserve">ha </w:t>
        </w:r>
        <w:r w:rsidR="0005772C">
          <w:rPr>
            <w:rStyle w:val="Collegamentoipertestuale"/>
          </w:rPr>
          <w:t>autorizzato</w:t>
        </w:r>
      </w:hyperlink>
      <w:r w:rsidR="007A6242" w:rsidRPr="005D1676">
        <w:rPr>
          <w:color w:val="auto"/>
        </w:rPr>
        <w:t xml:space="preserve"> anche il vaccino Moderna </w:t>
      </w:r>
      <w:r w:rsidR="005D1676">
        <w:rPr>
          <w:color w:val="auto"/>
        </w:rPr>
        <w:t>come dose</w:t>
      </w:r>
      <w:r w:rsidR="007A6242" w:rsidRPr="005D1676">
        <w:rPr>
          <w:color w:val="auto"/>
        </w:rPr>
        <w:t xml:space="preserve"> </w:t>
      </w:r>
      <w:r w:rsidR="007A6242" w:rsidRPr="005D1676">
        <w:rPr>
          <w:i/>
          <w:color w:val="auto"/>
        </w:rPr>
        <w:t>booster</w:t>
      </w:r>
      <w:r w:rsidR="007A6242" w:rsidRPr="005D1676">
        <w:rPr>
          <w:color w:val="auto"/>
        </w:rPr>
        <w:t xml:space="preserve"> </w:t>
      </w:r>
      <w:r w:rsidR="00A263C6">
        <w:rPr>
          <w:color w:val="auto"/>
        </w:rPr>
        <w:t>per gli over 18</w:t>
      </w:r>
      <w:r w:rsidR="007A6242" w:rsidRPr="005D1676">
        <w:rPr>
          <w:color w:val="auto"/>
        </w:rPr>
        <w:t>: mezza dose di vaccino</w:t>
      </w:r>
      <w:r w:rsidR="00272094" w:rsidRPr="005D1676">
        <w:rPr>
          <w:color w:val="auto"/>
        </w:rPr>
        <w:t xml:space="preserve"> a una distanza di 6-8 mesi </w:t>
      </w:r>
      <w:r w:rsidR="00A263C6">
        <w:rPr>
          <w:color w:val="auto"/>
        </w:rPr>
        <w:t>dalla</w:t>
      </w:r>
      <w:r w:rsidR="00272094" w:rsidRPr="005D1676">
        <w:rPr>
          <w:color w:val="auto"/>
        </w:rPr>
        <w:t xml:space="preserve"> seconda dose.</w:t>
      </w:r>
      <w:r w:rsidR="00F2750E" w:rsidRPr="005D1676">
        <w:rPr>
          <w:color w:val="auto"/>
        </w:rPr>
        <w:t xml:space="preserve"> </w:t>
      </w:r>
      <w:r w:rsidR="00A263C6">
        <w:rPr>
          <w:color w:val="auto"/>
        </w:rPr>
        <w:t>In Italia s</w:t>
      </w:r>
      <w:r w:rsidR="0005772C">
        <w:rPr>
          <w:color w:val="auto"/>
        </w:rPr>
        <w:t>i attende il via libera dell</w:t>
      </w:r>
      <w:r w:rsidR="00F2750E" w:rsidRPr="005D1676">
        <w:rPr>
          <w:color w:val="auto"/>
        </w:rPr>
        <w:t xml:space="preserve">’Agenzia Italiana del Farmaco (AIFA) per </w:t>
      </w:r>
      <w:r w:rsidR="007273EF">
        <w:rPr>
          <w:color w:val="auto"/>
        </w:rPr>
        <w:t>avviare</w:t>
      </w:r>
      <w:r w:rsidR="00F2750E" w:rsidRPr="005D1676">
        <w:rPr>
          <w:color w:val="auto"/>
        </w:rPr>
        <w:t xml:space="preserve"> le somministrazioni.</w:t>
      </w:r>
      <w:r w:rsidR="00272094" w:rsidRPr="005D1676">
        <w:rPr>
          <w:color w:val="auto"/>
        </w:rPr>
        <w:t xml:space="preserve"> Per quanto riguarda le</w:t>
      </w:r>
      <w:r w:rsidR="00FD0889">
        <w:rPr>
          <w:color w:val="auto"/>
        </w:rPr>
        <w:t xml:space="preserve"> 1.490.285</w:t>
      </w:r>
      <w:r w:rsidR="00272094" w:rsidRPr="005D1676">
        <w:rPr>
          <w:color w:val="auto"/>
        </w:rPr>
        <w:t xml:space="preserve"> persone che hanno ricevuto il vaccino Johnson&amp;Johnson</w:t>
      </w:r>
      <w:r w:rsidR="000D1250" w:rsidRPr="000D1250">
        <w:rPr>
          <w:color w:val="auto"/>
        </w:rPr>
        <w:t xml:space="preserve"> </w:t>
      </w:r>
      <w:r w:rsidR="000D1250">
        <w:rPr>
          <w:color w:val="auto"/>
        </w:rPr>
        <w:t xml:space="preserve">si attende </w:t>
      </w:r>
      <w:r w:rsidR="000D1250" w:rsidRPr="005D1676">
        <w:rPr>
          <w:color w:val="auto"/>
        </w:rPr>
        <w:t>in settimana la valutazione da parte di EMA</w:t>
      </w:r>
      <w:r w:rsidR="000D1250">
        <w:rPr>
          <w:color w:val="auto"/>
        </w:rPr>
        <w:t xml:space="preserve"> e di AIFA</w:t>
      </w:r>
      <w:r w:rsidR="00272094" w:rsidRPr="005D1676">
        <w:rPr>
          <w:color w:val="auto"/>
        </w:rPr>
        <w:t xml:space="preserve">, </w:t>
      </w:r>
      <w:r w:rsidR="00F2750E" w:rsidRPr="005D1676">
        <w:rPr>
          <w:color w:val="auto"/>
        </w:rPr>
        <w:t>dopo l’</w:t>
      </w:r>
      <w:hyperlink r:id="rId10" w:history="1">
        <w:r w:rsidR="00F2750E" w:rsidRPr="00F2750E">
          <w:rPr>
            <w:rStyle w:val="Collegamentoipertestuale"/>
          </w:rPr>
          <w:t>autorizzazione</w:t>
        </w:r>
      </w:hyperlink>
      <w:r w:rsidR="00F2750E" w:rsidRPr="005D1676">
        <w:rPr>
          <w:color w:val="auto"/>
        </w:rPr>
        <w:t xml:space="preserve"> della </w:t>
      </w:r>
      <w:r w:rsidR="00F2750E" w:rsidRPr="005D1676">
        <w:rPr>
          <w:i/>
          <w:color w:val="auto"/>
        </w:rPr>
        <w:t>Food and Drug Administration</w:t>
      </w:r>
      <w:r w:rsidR="00F2750E" w:rsidRPr="005D1676">
        <w:rPr>
          <w:color w:val="auto"/>
        </w:rPr>
        <w:t xml:space="preserve"> (FDA) statunitense a una dose di r</w:t>
      </w:r>
      <w:r w:rsidR="000D1250">
        <w:rPr>
          <w:color w:val="auto"/>
        </w:rPr>
        <w:t>ichiamo a due mesi dalla prima.</w:t>
      </w:r>
    </w:p>
    <w:p w:rsidR="00F86251" w:rsidRPr="00FD0889" w:rsidRDefault="002E3070" w:rsidP="00BD67DE">
      <w:pPr>
        <w:spacing w:line="276" w:lineRule="auto"/>
        <w:jc w:val="both"/>
        <w:rPr>
          <w:color w:val="auto"/>
        </w:rPr>
      </w:pPr>
      <w:r>
        <w:rPr>
          <w:color w:val="auto"/>
        </w:rPr>
        <w:t>Al 27 ottobre</w:t>
      </w:r>
      <w:r w:rsidRPr="00FD0889">
        <w:rPr>
          <w:color w:val="auto"/>
        </w:rPr>
        <w:t xml:space="preserve"> </w:t>
      </w:r>
      <w:r w:rsidR="00D12939" w:rsidRPr="00FD0889">
        <w:rPr>
          <w:color w:val="auto"/>
        </w:rPr>
        <w:t>sono</w:t>
      </w:r>
      <w:r w:rsidR="009B067C">
        <w:rPr>
          <w:color w:val="auto"/>
        </w:rPr>
        <w:t xml:space="preserve"> state somministrate</w:t>
      </w:r>
      <w:r w:rsidR="00FD0889" w:rsidRPr="00FD0889">
        <w:rPr>
          <w:color w:val="auto"/>
        </w:rPr>
        <w:t xml:space="preserve"> 1.191.327</w:t>
      </w:r>
      <w:r w:rsidR="00D12939" w:rsidRPr="00FD0889">
        <w:rPr>
          <w:color w:val="auto"/>
        </w:rPr>
        <w:t xml:space="preserve"> terze dosi</w:t>
      </w:r>
      <w:r w:rsidR="009B067C">
        <w:rPr>
          <w:color w:val="auto"/>
        </w:rPr>
        <w:t xml:space="preserve"> di cui 224.597 dosi aggiuntive e 966.730 dosi </w:t>
      </w:r>
      <w:r w:rsidR="009B067C" w:rsidRPr="00073DFF">
        <w:rPr>
          <w:i/>
          <w:color w:val="auto"/>
        </w:rPr>
        <w:t>booster</w:t>
      </w:r>
      <w:r w:rsidR="00D12939" w:rsidRPr="00FD0889">
        <w:rPr>
          <w:color w:val="auto"/>
        </w:rPr>
        <w:t>, con una media giornaliera di</w:t>
      </w:r>
      <w:r w:rsidR="00FD0889" w:rsidRPr="00FD0889">
        <w:rPr>
          <w:color w:val="auto"/>
        </w:rPr>
        <w:t xml:space="preserve"> 29</w:t>
      </w:r>
      <w:r w:rsidR="009B067C">
        <w:rPr>
          <w:color w:val="auto"/>
        </w:rPr>
        <w:t xml:space="preserve"> mila</w:t>
      </w:r>
      <w:r w:rsidR="00D12939" w:rsidRPr="00FD0889">
        <w:rPr>
          <w:color w:val="auto"/>
        </w:rPr>
        <w:t xml:space="preserve"> </w:t>
      </w:r>
      <w:r w:rsidR="00A60D85">
        <w:rPr>
          <w:color w:val="auto"/>
        </w:rPr>
        <w:t xml:space="preserve">somministrazioni </w:t>
      </w:r>
      <w:r w:rsidR="00D12939" w:rsidRPr="00FD0889">
        <w:rPr>
          <w:color w:val="auto"/>
        </w:rPr>
        <w:t>(</w:t>
      </w:r>
      <w:r w:rsidR="00D12939" w:rsidRPr="00E355FA">
        <w:rPr>
          <w:color w:val="auto"/>
          <w:highlight w:val="yellow"/>
        </w:rPr>
        <w:t xml:space="preserve">figura </w:t>
      </w:r>
      <w:r w:rsidR="00E355FA">
        <w:rPr>
          <w:color w:val="auto"/>
          <w:highlight w:val="yellow"/>
        </w:rPr>
        <w:t>12</w:t>
      </w:r>
      <w:r w:rsidR="00D12939" w:rsidRPr="00FD0889">
        <w:rPr>
          <w:color w:val="auto"/>
        </w:rPr>
        <w:t xml:space="preserve">). </w:t>
      </w:r>
      <w:r>
        <w:rPr>
          <w:color w:val="auto"/>
        </w:rPr>
        <w:t>Il</w:t>
      </w:r>
      <w:r w:rsidRPr="00FD0889">
        <w:rPr>
          <w:color w:val="auto"/>
        </w:rPr>
        <w:t xml:space="preserve"> tasso</w:t>
      </w:r>
      <w:r>
        <w:rPr>
          <w:color w:val="auto"/>
        </w:rPr>
        <w:t xml:space="preserve"> nazionale</w:t>
      </w:r>
      <w:r w:rsidRPr="00FD0889">
        <w:rPr>
          <w:color w:val="auto"/>
        </w:rPr>
        <w:t xml:space="preserve"> di copertura vaccinale </w:t>
      </w:r>
      <w:r>
        <w:rPr>
          <w:color w:val="auto"/>
        </w:rPr>
        <w:t>p</w:t>
      </w:r>
      <w:r w:rsidRPr="00FD0889">
        <w:rPr>
          <w:color w:val="auto"/>
        </w:rPr>
        <w:t>er le dosi aggiuntive</w:t>
      </w:r>
      <w:r>
        <w:rPr>
          <w:color w:val="auto"/>
        </w:rPr>
        <w:t xml:space="preserve"> è del 25,6% con nette differenze regionali: d</w:t>
      </w:r>
      <w:r w:rsidRPr="00FD0889">
        <w:rPr>
          <w:color w:val="auto"/>
        </w:rPr>
        <w:t>allo 0,9% della Valle D’Aosta al 98,8% dell’Umbria (</w:t>
      </w:r>
      <w:r w:rsidRPr="00FD0889">
        <w:rPr>
          <w:color w:val="auto"/>
          <w:highlight w:val="yellow"/>
        </w:rPr>
        <w:t>figura 1</w:t>
      </w:r>
      <w:r w:rsidR="007D29FD">
        <w:rPr>
          <w:color w:val="auto"/>
          <w:highlight w:val="yellow"/>
        </w:rPr>
        <w:t>3</w:t>
      </w:r>
      <w:r w:rsidRPr="00FD0889">
        <w:rPr>
          <w:color w:val="auto"/>
        </w:rPr>
        <w:t>).</w:t>
      </w:r>
      <w:r>
        <w:rPr>
          <w:color w:val="auto"/>
        </w:rPr>
        <w:t xml:space="preserve"> </w:t>
      </w:r>
      <w:r w:rsidR="007D29FD">
        <w:rPr>
          <w:color w:val="auto"/>
        </w:rPr>
        <w:t xml:space="preserve">La copertura nazionale </w:t>
      </w:r>
      <w:r w:rsidR="00D12939" w:rsidRPr="00FD0889">
        <w:rPr>
          <w:color w:val="auto"/>
        </w:rPr>
        <w:t xml:space="preserve">con </w:t>
      </w:r>
      <w:r w:rsidR="00784E4D">
        <w:rPr>
          <w:color w:val="auto"/>
        </w:rPr>
        <w:t xml:space="preserve">dose </w:t>
      </w:r>
      <w:r w:rsidR="00784E4D" w:rsidRPr="00647FC0">
        <w:rPr>
          <w:i/>
          <w:color w:val="auto"/>
        </w:rPr>
        <w:t>booster</w:t>
      </w:r>
      <w:r w:rsidR="00784E4D">
        <w:rPr>
          <w:color w:val="auto"/>
        </w:rPr>
        <w:t xml:space="preserve"> è </w:t>
      </w:r>
      <w:r w:rsidR="007D29FD">
        <w:rPr>
          <w:color w:val="auto"/>
        </w:rPr>
        <w:t xml:space="preserve">invece </w:t>
      </w:r>
      <w:r w:rsidR="00784E4D">
        <w:rPr>
          <w:color w:val="auto"/>
        </w:rPr>
        <w:t xml:space="preserve">del 32,3% </w:t>
      </w:r>
      <w:r w:rsidR="007D29FD">
        <w:rPr>
          <w:color w:val="auto"/>
        </w:rPr>
        <w:t xml:space="preserve">anche qui con notevoli </w:t>
      </w:r>
      <w:r w:rsidR="00D12939" w:rsidRPr="00FD0889">
        <w:rPr>
          <w:color w:val="auto"/>
        </w:rPr>
        <w:t xml:space="preserve">differenze </w:t>
      </w:r>
      <w:r w:rsidR="000D1250">
        <w:rPr>
          <w:color w:val="auto"/>
        </w:rPr>
        <w:t>tra le Regioni</w:t>
      </w:r>
      <w:r w:rsidR="00D12939" w:rsidRPr="00FD0889">
        <w:rPr>
          <w:color w:val="auto"/>
        </w:rPr>
        <w:t xml:space="preserve">: dal </w:t>
      </w:r>
      <w:r w:rsidR="00784E4D" w:rsidRPr="00FD0889">
        <w:rPr>
          <w:color w:val="auto"/>
        </w:rPr>
        <w:t>10% della Calabria</w:t>
      </w:r>
      <w:r w:rsidR="00784E4D">
        <w:rPr>
          <w:color w:val="auto"/>
        </w:rPr>
        <w:t xml:space="preserve"> al </w:t>
      </w:r>
      <w:r w:rsidR="00FD0889" w:rsidRPr="00FD0889">
        <w:rPr>
          <w:color w:val="auto"/>
        </w:rPr>
        <w:t>73,8%</w:t>
      </w:r>
      <w:r w:rsidR="00D12939" w:rsidRPr="00FD0889">
        <w:rPr>
          <w:color w:val="auto"/>
        </w:rPr>
        <w:t xml:space="preserve"> del </w:t>
      </w:r>
      <w:r w:rsidR="00FD0889" w:rsidRPr="00FD0889">
        <w:rPr>
          <w:color w:val="auto"/>
        </w:rPr>
        <w:t>Molise</w:t>
      </w:r>
      <w:r w:rsidR="00D12939" w:rsidRPr="00FD0889">
        <w:rPr>
          <w:color w:val="auto"/>
        </w:rPr>
        <w:t xml:space="preserve"> </w:t>
      </w:r>
      <w:r w:rsidR="00784E4D" w:rsidRPr="00FD0889">
        <w:rPr>
          <w:color w:val="auto"/>
        </w:rPr>
        <w:t>(</w:t>
      </w:r>
      <w:r w:rsidR="00784E4D" w:rsidRPr="00FD0889">
        <w:rPr>
          <w:color w:val="auto"/>
          <w:highlight w:val="yellow"/>
        </w:rPr>
        <w:t>figura 1</w:t>
      </w:r>
      <w:r w:rsidR="007D29FD">
        <w:rPr>
          <w:color w:val="auto"/>
          <w:highlight w:val="yellow"/>
        </w:rPr>
        <w:t>4</w:t>
      </w:r>
      <w:r w:rsidR="00784E4D" w:rsidRPr="00FD0889">
        <w:rPr>
          <w:color w:val="auto"/>
        </w:rPr>
        <w:t>)</w:t>
      </w:r>
      <w:r w:rsidR="00784E4D">
        <w:rPr>
          <w:color w:val="auto"/>
        </w:rPr>
        <w:t xml:space="preserve">. </w:t>
      </w:r>
    </w:p>
    <w:p w:rsidR="00331A02" w:rsidRPr="003D4BF6" w:rsidRDefault="00801F3C" w:rsidP="003D4BF6">
      <w:pPr>
        <w:spacing w:line="276" w:lineRule="auto"/>
        <w:jc w:val="both"/>
        <w:rPr>
          <w:color w:val="auto"/>
        </w:rPr>
      </w:pPr>
      <w:bookmarkStart w:id="1" w:name="_Hlk84934176"/>
      <w:r>
        <w:rPr>
          <w:b/>
          <w:color w:val="auto"/>
        </w:rPr>
        <w:t>Effetto</w:t>
      </w:r>
      <w:r w:rsidR="002A50E7" w:rsidRPr="00331A02">
        <w:rPr>
          <w:b/>
          <w:color w:val="auto"/>
        </w:rPr>
        <w:t xml:space="preserve"> g</w:t>
      </w:r>
      <w:r w:rsidR="00E2010C" w:rsidRPr="00331A02">
        <w:rPr>
          <w:b/>
          <w:color w:val="auto"/>
        </w:rPr>
        <w:t xml:space="preserve">reen </w:t>
      </w:r>
      <w:r w:rsidR="00D42875" w:rsidRPr="00331A02">
        <w:rPr>
          <w:b/>
          <w:color w:val="auto"/>
        </w:rPr>
        <w:t>pass</w:t>
      </w:r>
      <w:r w:rsidR="00E2010C" w:rsidRPr="00331A02">
        <w:rPr>
          <w:b/>
          <w:color w:val="auto"/>
        </w:rPr>
        <w:t>.</w:t>
      </w:r>
      <w:r w:rsidR="00E2010C" w:rsidRPr="00331A02">
        <w:rPr>
          <w:color w:val="auto"/>
        </w:rPr>
        <w:t xml:space="preserve"> </w:t>
      </w:r>
      <w:r w:rsidR="00331A02" w:rsidRPr="00331A02">
        <w:rPr>
          <w:color w:val="auto"/>
        </w:rPr>
        <w:t>La media mobile a 7 giorni del numero dei tamponi antigenici rapidi, dopo l’impennata da 173.235 del 13 ottobre a 371.960 il 21 ottobre (+114,7%), si è stabilizzata</w:t>
      </w:r>
      <w:r w:rsidR="00827B8E">
        <w:rPr>
          <w:color w:val="auto"/>
        </w:rPr>
        <w:t xml:space="preserve">: </w:t>
      </w:r>
      <w:r w:rsidR="001E6262" w:rsidRPr="00331A02">
        <w:rPr>
          <w:color w:val="auto"/>
        </w:rPr>
        <w:t xml:space="preserve">nell’ultima settimana sono stati </w:t>
      </w:r>
      <w:r w:rsidR="001E6262" w:rsidRPr="003D4BF6">
        <w:rPr>
          <w:color w:val="auto"/>
        </w:rPr>
        <w:t xml:space="preserve">effettuati </w:t>
      </w:r>
      <w:r w:rsidR="00331A02" w:rsidRPr="003D4BF6">
        <w:rPr>
          <w:color w:val="auto"/>
        </w:rPr>
        <w:t xml:space="preserve">2.604.550 </w:t>
      </w:r>
      <w:r w:rsidR="001E6262" w:rsidRPr="003D4BF6">
        <w:rPr>
          <w:color w:val="auto"/>
        </w:rPr>
        <w:t>tamponi antigenici rapid</w:t>
      </w:r>
      <w:r w:rsidR="00331A02" w:rsidRPr="003D4BF6">
        <w:rPr>
          <w:color w:val="auto"/>
        </w:rPr>
        <w:t>i</w:t>
      </w:r>
      <w:r w:rsidR="00E2010C" w:rsidRPr="003D4BF6">
        <w:rPr>
          <w:color w:val="auto"/>
        </w:rPr>
        <w:t xml:space="preserve">. </w:t>
      </w:r>
      <w:r w:rsidR="002127CE" w:rsidRPr="003D4BF6">
        <w:rPr>
          <w:color w:val="auto"/>
        </w:rPr>
        <w:t>L</w:t>
      </w:r>
      <w:r w:rsidR="00E2010C" w:rsidRPr="003D4BF6">
        <w:rPr>
          <w:color w:val="auto"/>
        </w:rPr>
        <w:t>a media mobile a 7 giorni dei nuovi vaccinati</w:t>
      </w:r>
      <w:r w:rsidR="00331A02" w:rsidRPr="003D4BF6">
        <w:rPr>
          <w:color w:val="auto"/>
        </w:rPr>
        <w:t xml:space="preserve"> si </w:t>
      </w:r>
      <w:r w:rsidR="00A07987">
        <w:rPr>
          <w:color w:val="auto"/>
        </w:rPr>
        <w:t xml:space="preserve">è </w:t>
      </w:r>
      <w:r w:rsidR="00331A02" w:rsidRPr="003D4BF6">
        <w:rPr>
          <w:color w:val="auto"/>
        </w:rPr>
        <w:t>rid</w:t>
      </w:r>
      <w:r w:rsidR="00A07987">
        <w:rPr>
          <w:color w:val="auto"/>
        </w:rPr>
        <w:t xml:space="preserve">otta </w:t>
      </w:r>
      <w:r w:rsidR="00331A02" w:rsidRPr="003D4BF6">
        <w:rPr>
          <w:color w:val="auto"/>
        </w:rPr>
        <w:t>da 58.620</w:t>
      </w:r>
      <w:r w:rsidR="00D828A0" w:rsidRPr="003D4BF6">
        <w:rPr>
          <w:color w:val="auto"/>
        </w:rPr>
        <w:t xml:space="preserve"> </w:t>
      </w:r>
      <w:r w:rsidR="00E2010C" w:rsidRPr="003D4BF6">
        <w:rPr>
          <w:color w:val="auto"/>
        </w:rPr>
        <w:t xml:space="preserve">del </w:t>
      </w:r>
      <w:r w:rsidR="00331A02" w:rsidRPr="003D4BF6">
        <w:rPr>
          <w:color w:val="auto"/>
        </w:rPr>
        <w:t>19</w:t>
      </w:r>
      <w:r w:rsidR="00E2010C" w:rsidRPr="003D4BF6">
        <w:rPr>
          <w:color w:val="auto"/>
        </w:rPr>
        <w:t xml:space="preserve"> </w:t>
      </w:r>
      <w:r w:rsidR="0042267C" w:rsidRPr="003D4BF6">
        <w:rPr>
          <w:color w:val="auto"/>
        </w:rPr>
        <w:t>ottobre</w:t>
      </w:r>
      <w:r w:rsidR="00E2010C" w:rsidRPr="003D4BF6">
        <w:rPr>
          <w:color w:val="auto"/>
        </w:rPr>
        <w:t xml:space="preserve"> </w:t>
      </w:r>
      <w:r w:rsidR="0042267C" w:rsidRPr="003D4BF6">
        <w:rPr>
          <w:color w:val="auto"/>
        </w:rPr>
        <w:t xml:space="preserve">a </w:t>
      </w:r>
      <w:r w:rsidR="00331A02" w:rsidRPr="003D4BF6">
        <w:rPr>
          <w:color w:val="auto"/>
        </w:rPr>
        <w:t>27.601</w:t>
      </w:r>
      <w:r w:rsidR="00D828A0" w:rsidRPr="003D4BF6">
        <w:rPr>
          <w:color w:val="auto"/>
        </w:rPr>
        <w:t xml:space="preserve"> del </w:t>
      </w:r>
      <w:r w:rsidR="00331A02" w:rsidRPr="003D4BF6">
        <w:rPr>
          <w:color w:val="auto"/>
        </w:rPr>
        <w:t>26</w:t>
      </w:r>
      <w:r w:rsidR="00513024" w:rsidRPr="003D4BF6">
        <w:rPr>
          <w:color w:val="auto"/>
        </w:rPr>
        <w:t xml:space="preserve"> ottobre</w:t>
      </w:r>
      <w:r w:rsidR="008C1F7C" w:rsidRPr="003D4BF6">
        <w:rPr>
          <w:color w:val="auto"/>
        </w:rPr>
        <w:t>;</w:t>
      </w:r>
      <w:r w:rsidR="002127CE" w:rsidRPr="003D4BF6">
        <w:rPr>
          <w:color w:val="auto"/>
        </w:rPr>
        <w:t xml:space="preserve"> nell’ultima settimana sono </w:t>
      </w:r>
      <w:r w:rsidR="00F407F6">
        <w:rPr>
          <w:color w:val="auto"/>
        </w:rPr>
        <w:t xml:space="preserve">solo </w:t>
      </w:r>
      <w:r w:rsidR="003D4BF6" w:rsidRPr="003D4BF6">
        <w:rPr>
          <w:color w:val="auto"/>
        </w:rPr>
        <w:t>193.205</w:t>
      </w:r>
      <w:r w:rsidR="008C1F7C" w:rsidRPr="003D4BF6">
        <w:rPr>
          <w:color w:val="auto"/>
        </w:rPr>
        <w:t xml:space="preserve"> </w:t>
      </w:r>
      <w:r w:rsidR="00827B8E">
        <w:rPr>
          <w:color w:val="auto"/>
        </w:rPr>
        <w:t>i nuovi vaccinati</w:t>
      </w:r>
      <w:r w:rsidR="008B1D8F" w:rsidRPr="003D4BF6">
        <w:rPr>
          <w:color w:val="auto"/>
        </w:rPr>
        <w:t xml:space="preserve"> (</w:t>
      </w:r>
      <w:r w:rsidR="003D4BF6" w:rsidRPr="003D4BF6">
        <w:rPr>
          <w:color w:val="auto"/>
        </w:rPr>
        <w:t>-52,9%</w:t>
      </w:r>
      <w:r w:rsidR="007D29FD">
        <w:rPr>
          <w:color w:val="auto"/>
        </w:rPr>
        <w:t xml:space="preserve"> rispetto alla settimana precedente</w:t>
      </w:r>
      <w:r w:rsidR="008B1D8F" w:rsidRPr="003D4BF6">
        <w:rPr>
          <w:color w:val="auto"/>
        </w:rPr>
        <w:t>)</w:t>
      </w:r>
      <w:r w:rsidR="00184E2C" w:rsidRPr="003D4BF6">
        <w:rPr>
          <w:color w:val="auto"/>
        </w:rPr>
        <w:t xml:space="preserve"> (</w:t>
      </w:r>
      <w:r w:rsidR="00184E2C" w:rsidRPr="003D4BF6">
        <w:rPr>
          <w:color w:val="auto"/>
          <w:highlight w:val="yellow"/>
        </w:rPr>
        <w:t>figura 1</w:t>
      </w:r>
      <w:r w:rsidR="003D4BF6">
        <w:rPr>
          <w:color w:val="auto"/>
          <w:highlight w:val="yellow"/>
        </w:rPr>
        <w:t>5</w:t>
      </w:r>
      <w:r w:rsidR="00184E2C" w:rsidRPr="003D4BF6">
        <w:rPr>
          <w:color w:val="auto"/>
        </w:rPr>
        <w:t>)</w:t>
      </w:r>
      <w:r w:rsidR="000D1250">
        <w:rPr>
          <w:color w:val="auto"/>
        </w:rPr>
        <w:t xml:space="preserve">. </w:t>
      </w:r>
      <w:r w:rsidR="00F407F6" w:rsidRPr="00BC4CC8">
        <w:rPr>
          <w:color w:val="auto"/>
        </w:rPr>
        <w:t xml:space="preserve">E con quasi 7,5 milioni </w:t>
      </w:r>
      <w:r w:rsidR="0097785F" w:rsidRPr="00BC4CC8">
        <w:rPr>
          <w:color w:val="auto"/>
        </w:rPr>
        <w:t>senza nessuna dose di vaccino</w:t>
      </w:r>
      <w:r w:rsidR="00F407F6" w:rsidRPr="00BC4CC8">
        <w:rPr>
          <w:color w:val="auto"/>
        </w:rPr>
        <w:t xml:space="preserve"> si allontana l’obiettivo di raggiungere il 90% di copertura vaccinale negli over</w:t>
      </w:r>
      <w:r w:rsidR="00827B8E">
        <w:rPr>
          <w:color w:val="auto"/>
        </w:rPr>
        <w:t xml:space="preserve"> </w:t>
      </w:r>
      <w:r w:rsidR="00F407F6" w:rsidRPr="00BC4CC8">
        <w:rPr>
          <w:color w:val="auto"/>
        </w:rPr>
        <w:t>12</w:t>
      </w:r>
      <w:r w:rsidR="00513024" w:rsidRPr="00BC4CC8">
        <w:rPr>
          <w:color w:val="auto"/>
        </w:rPr>
        <w:t>.</w:t>
      </w:r>
      <w:r w:rsidR="008864FB" w:rsidRPr="00BC4CC8">
        <w:rPr>
          <w:color w:val="auto"/>
        </w:rPr>
        <w:t xml:space="preserve"> </w:t>
      </w:r>
    </w:p>
    <w:p w:rsidR="00D34004" w:rsidRDefault="00AE1BD7" w:rsidP="00BD67DE">
      <w:pPr>
        <w:spacing w:line="276" w:lineRule="auto"/>
        <w:jc w:val="both"/>
        <w:rPr>
          <w:color w:val="FF0000"/>
        </w:rPr>
      </w:pPr>
      <w:r>
        <w:rPr>
          <w:color w:val="auto"/>
        </w:rPr>
        <w:t>Dei</w:t>
      </w:r>
      <w:r w:rsidR="00A438B3" w:rsidRPr="00D34004">
        <w:rPr>
          <w:color w:val="auto"/>
        </w:rPr>
        <w:t xml:space="preserve"> </w:t>
      </w:r>
      <w:r w:rsidR="003D4BF6" w:rsidRPr="00D34004">
        <w:rPr>
          <w:color w:val="auto"/>
        </w:rPr>
        <w:t>193.205</w:t>
      </w:r>
      <w:r w:rsidR="0042267C" w:rsidRPr="00D34004">
        <w:rPr>
          <w:color w:val="auto"/>
        </w:rPr>
        <w:t xml:space="preserve"> </w:t>
      </w:r>
      <w:r>
        <w:rPr>
          <w:color w:val="auto"/>
        </w:rPr>
        <w:t>nuovi</w:t>
      </w:r>
      <w:r w:rsidR="00AA3B0A" w:rsidRPr="00D34004">
        <w:rPr>
          <w:color w:val="auto"/>
        </w:rPr>
        <w:t xml:space="preserve"> </w:t>
      </w:r>
      <w:r>
        <w:rPr>
          <w:color w:val="auto"/>
        </w:rPr>
        <w:t>vaccinati</w:t>
      </w:r>
      <w:r w:rsidR="003D2A0B" w:rsidRPr="00D34004">
        <w:rPr>
          <w:color w:val="auto"/>
        </w:rPr>
        <w:t xml:space="preserve"> nella settimana </w:t>
      </w:r>
      <w:r w:rsidR="00D34004" w:rsidRPr="00D34004">
        <w:rPr>
          <w:color w:val="auto"/>
        </w:rPr>
        <w:t>20-27</w:t>
      </w:r>
      <w:r w:rsidR="003D2A0B" w:rsidRPr="00D34004">
        <w:rPr>
          <w:color w:val="auto"/>
        </w:rPr>
        <w:t xml:space="preserve"> ottobre </w:t>
      </w:r>
      <w:r w:rsidR="00D34004" w:rsidRPr="00D34004">
        <w:rPr>
          <w:color w:val="auto"/>
        </w:rPr>
        <w:t>il 79,1%</w:t>
      </w:r>
      <w:r w:rsidR="00AA3B0A" w:rsidRPr="00D34004">
        <w:rPr>
          <w:color w:val="auto"/>
        </w:rPr>
        <w:t xml:space="preserve">% </w:t>
      </w:r>
      <w:r w:rsidR="007328D1" w:rsidRPr="00D34004">
        <w:rPr>
          <w:color w:val="auto"/>
        </w:rPr>
        <w:t>appart</w:t>
      </w:r>
      <w:r>
        <w:rPr>
          <w:color w:val="auto"/>
        </w:rPr>
        <w:t xml:space="preserve">engono </w:t>
      </w:r>
      <w:r w:rsidR="007328D1" w:rsidRPr="00D34004">
        <w:rPr>
          <w:color w:val="auto"/>
        </w:rPr>
        <w:t xml:space="preserve">a </w:t>
      </w:r>
      <w:r w:rsidR="00085386" w:rsidRPr="00D34004">
        <w:rPr>
          <w:color w:val="auto"/>
        </w:rPr>
        <w:t xml:space="preserve">fasce anagrafiche </w:t>
      </w:r>
      <w:r w:rsidR="00857AB0" w:rsidRPr="00D34004">
        <w:rPr>
          <w:color w:val="auto"/>
        </w:rPr>
        <w:t>che includono</w:t>
      </w:r>
      <w:r w:rsidR="00085386" w:rsidRPr="00D34004">
        <w:rPr>
          <w:color w:val="auto"/>
        </w:rPr>
        <w:t xml:space="preserve"> persone in età lavorativa: </w:t>
      </w:r>
      <w:r w:rsidR="00D34004" w:rsidRPr="00D34004">
        <w:rPr>
          <w:color w:val="auto"/>
        </w:rPr>
        <w:t>34.526</w:t>
      </w:r>
      <w:r w:rsidR="00085386" w:rsidRPr="00D34004">
        <w:rPr>
          <w:color w:val="auto"/>
        </w:rPr>
        <w:t xml:space="preserve"> nella fascia 20-29 anni, </w:t>
      </w:r>
      <w:r w:rsidR="00D34004" w:rsidRPr="00D34004">
        <w:rPr>
          <w:color w:val="auto"/>
        </w:rPr>
        <w:t>39.771</w:t>
      </w:r>
      <w:r w:rsidR="00085386" w:rsidRPr="00D34004">
        <w:rPr>
          <w:color w:val="auto"/>
        </w:rPr>
        <w:t xml:space="preserve"> nella fascia 30-39 anni,</w:t>
      </w:r>
      <w:r w:rsidR="00FD0D93" w:rsidRPr="00D34004">
        <w:rPr>
          <w:color w:val="auto"/>
        </w:rPr>
        <w:t xml:space="preserve"> </w:t>
      </w:r>
      <w:r w:rsidR="00D34004" w:rsidRPr="00D34004">
        <w:rPr>
          <w:color w:val="auto"/>
        </w:rPr>
        <w:t>35.217</w:t>
      </w:r>
      <w:r w:rsidR="00FD0D93" w:rsidRPr="00D34004">
        <w:rPr>
          <w:color w:val="auto"/>
        </w:rPr>
        <w:t xml:space="preserve"> nella fascia 40-49 anni</w:t>
      </w:r>
      <w:r w:rsidR="00AA3B0A" w:rsidRPr="00D34004">
        <w:rPr>
          <w:color w:val="auto"/>
        </w:rPr>
        <w:t xml:space="preserve">, </w:t>
      </w:r>
      <w:r w:rsidR="00D34004" w:rsidRPr="00D34004">
        <w:rPr>
          <w:color w:val="auto"/>
        </w:rPr>
        <w:t>29.075</w:t>
      </w:r>
      <w:r w:rsidR="00E914EB" w:rsidRPr="00D34004">
        <w:rPr>
          <w:color w:val="auto"/>
        </w:rPr>
        <w:t xml:space="preserve"> </w:t>
      </w:r>
      <w:r w:rsidR="00085386" w:rsidRPr="00D34004">
        <w:rPr>
          <w:color w:val="auto"/>
        </w:rPr>
        <w:t>nel</w:t>
      </w:r>
      <w:bookmarkStart w:id="2" w:name="_GoBack"/>
      <w:bookmarkEnd w:id="2"/>
      <w:r w:rsidR="00085386" w:rsidRPr="00D34004">
        <w:rPr>
          <w:color w:val="auto"/>
        </w:rPr>
        <w:t>la fascia 50-59 anni</w:t>
      </w:r>
      <w:r w:rsidR="00AA3B0A" w:rsidRPr="00D34004">
        <w:rPr>
          <w:color w:val="auto"/>
        </w:rPr>
        <w:t xml:space="preserve"> e </w:t>
      </w:r>
      <w:r w:rsidR="00D34004" w:rsidRPr="00D34004">
        <w:rPr>
          <w:color w:val="auto"/>
        </w:rPr>
        <w:t>14.300</w:t>
      </w:r>
      <w:r w:rsidR="00AA3B0A" w:rsidRPr="00D34004">
        <w:rPr>
          <w:color w:val="auto"/>
        </w:rPr>
        <w:t xml:space="preserve"> nella fascia 60-69</w:t>
      </w:r>
      <w:r w:rsidR="00085386" w:rsidRPr="00D34004">
        <w:rPr>
          <w:color w:val="auto"/>
        </w:rPr>
        <w:t>.</w:t>
      </w:r>
    </w:p>
    <w:p w:rsidR="00D34004" w:rsidRPr="003F6A89" w:rsidRDefault="00D34004" w:rsidP="00D34004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0696E1E1" wp14:editId="6564175A">
            <wp:extent cx="5760000" cy="3661941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073DFF" w:rsidRDefault="00073DFF" w:rsidP="00073DFF">
      <w:pPr>
        <w:spacing w:line="276" w:lineRule="auto"/>
        <w:jc w:val="both"/>
        <w:rPr>
          <w:color w:val="auto"/>
        </w:rPr>
      </w:pPr>
      <w:r w:rsidRPr="000E5ABA">
        <w:rPr>
          <w:b/>
          <w:color w:val="auto"/>
        </w:rPr>
        <w:t>Variante delta plus.</w:t>
      </w:r>
      <w:r>
        <w:rPr>
          <w:b/>
          <w:bCs/>
          <w:color w:val="FF0000"/>
        </w:rPr>
        <w:t xml:space="preserve"> </w:t>
      </w:r>
      <w:r w:rsidRPr="000E5ABA">
        <w:rPr>
          <w:color w:val="auto"/>
        </w:rPr>
        <w:t>La variante AY.4.2 (cosiddetta “</w:t>
      </w:r>
      <w:r>
        <w:rPr>
          <w:color w:val="auto"/>
        </w:rPr>
        <w:t>d</w:t>
      </w:r>
      <w:r w:rsidRPr="000E5ABA">
        <w:rPr>
          <w:color w:val="auto"/>
        </w:rPr>
        <w:t xml:space="preserve">elta plus”) è in lenta crescita </w:t>
      </w:r>
      <w:r>
        <w:rPr>
          <w:color w:val="auto"/>
        </w:rPr>
        <w:t xml:space="preserve">nel Regno Unito dove </w:t>
      </w:r>
      <w:r w:rsidR="00AE1BD7">
        <w:rPr>
          <w:color w:val="auto"/>
        </w:rPr>
        <w:t>rappresenta</w:t>
      </w:r>
      <w:r w:rsidRPr="000E5ABA">
        <w:rPr>
          <w:color w:val="auto"/>
        </w:rPr>
        <w:t xml:space="preserve"> circa il 6% dei casi sequenziati</w:t>
      </w:r>
      <w:r>
        <w:rPr>
          <w:color w:val="auto"/>
        </w:rPr>
        <w:t xml:space="preserve">, con </w:t>
      </w:r>
      <w:r w:rsidRPr="000E5ABA">
        <w:rPr>
          <w:color w:val="auto"/>
        </w:rPr>
        <w:t>15.120 casi isolati al 21 ottobre 2021</w:t>
      </w:r>
      <w:r w:rsidR="00AE1BD7">
        <w:rPr>
          <w:color w:val="auto"/>
        </w:rPr>
        <w:t xml:space="preserve">. </w:t>
      </w:r>
      <w:hyperlink r:id="rId12" w:history="1">
        <w:r w:rsidR="00AE1BD7">
          <w:rPr>
            <w:rStyle w:val="Collegamentoipertestuale"/>
          </w:rPr>
          <w:t>I</w:t>
        </w:r>
        <w:r>
          <w:rPr>
            <w:rStyle w:val="Collegamentoipertestuale"/>
          </w:rPr>
          <w:t>ndicata</w:t>
        </w:r>
        <w:r w:rsidRPr="000E5ABA">
          <w:rPr>
            <w:rStyle w:val="Collegamentoipertestuale"/>
          </w:rPr>
          <w:t xml:space="preserve"> </w:t>
        </w:r>
        <w:r>
          <w:rPr>
            <w:rStyle w:val="Collegamentoipertestuale"/>
          </w:rPr>
          <w:t>come</w:t>
        </w:r>
        <w:r w:rsidRPr="000E5ABA">
          <w:rPr>
            <w:rStyle w:val="Collegamentoipertestuale"/>
          </w:rPr>
          <w:t xml:space="preserve"> “variante di interesse”</w:t>
        </w:r>
      </w:hyperlink>
      <w:r w:rsidRPr="000E5ABA">
        <w:rPr>
          <w:color w:val="auto"/>
        </w:rPr>
        <w:t xml:space="preserve"> </w:t>
      </w:r>
      <w:r>
        <w:rPr>
          <w:color w:val="auto"/>
        </w:rPr>
        <w:t>lo scorso 20 ottobre, sarà strettamente monitorata nei</w:t>
      </w:r>
      <w:r w:rsidRPr="000E5ABA">
        <w:rPr>
          <w:color w:val="auto"/>
        </w:rPr>
        <w:t xml:space="preserve"> prossimi mesi. </w:t>
      </w:r>
      <w:r>
        <w:rPr>
          <w:color w:val="auto"/>
        </w:rPr>
        <w:t xml:space="preserve">Rispetto alla </w:t>
      </w:r>
      <w:r w:rsidR="00AE1BD7">
        <w:rPr>
          <w:color w:val="auto"/>
        </w:rPr>
        <w:t xml:space="preserve">variante </w:t>
      </w:r>
      <w:r>
        <w:rPr>
          <w:color w:val="auto"/>
        </w:rPr>
        <w:t>delta,</w:t>
      </w:r>
      <w:r w:rsidR="00120DCD">
        <w:rPr>
          <w:color w:val="auto"/>
        </w:rPr>
        <w:t xml:space="preserve"> al momento</w:t>
      </w:r>
      <w:r>
        <w:rPr>
          <w:color w:val="auto"/>
        </w:rPr>
        <w:t xml:space="preserve"> </w:t>
      </w:r>
      <w:r w:rsidRPr="000E5ABA">
        <w:rPr>
          <w:color w:val="auto"/>
        </w:rPr>
        <w:t xml:space="preserve">non ci sono evidenze che </w:t>
      </w:r>
      <w:r w:rsidR="00AE1BD7">
        <w:rPr>
          <w:color w:val="auto"/>
        </w:rPr>
        <w:t xml:space="preserve">la delta plus possa determinare </w:t>
      </w:r>
      <w:r w:rsidRPr="000E5ABA">
        <w:rPr>
          <w:color w:val="auto"/>
        </w:rPr>
        <w:t xml:space="preserve">un quadro clinico più severo </w:t>
      </w:r>
      <w:r>
        <w:rPr>
          <w:color w:val="auto"/>
        </w:rPr>
        <w:t>e/</w:t>
      </w:r>
      <w:r w:rsidRPr="000E5ABA">
        <w:rPr>
          <w:color w:val="auto"/>
        </w:rPr>
        <w:t xml:space="preserve">o </w:t>
      </w:r>
      <w:r w:rsidR="00AE1BD7">
        <w:rPr>
          <w:color w:val="auto"/>
        </w:rPr>
        <w:t>ridurre</w:t>
      </w:r>
      <w:r w:rsidRPr="000E5ABA">
        <w:rPr>
          <w:color w:val="auto"/>
        </w:rPr>
        <w:t xml:space="preserve"> l’efficacia dei vaccini</w:t>
      </w:r>
      <w:r w:rsidR="00AE1BD7">
        <w:rPr>
          <w:color w:val="auto"/>
        </w:rPr>
        <w:t>;</w:t>
      </w:r>
      <w:r>
        <w:rPr>
          <w:color w:val="auto"/>
        </w:rPr>
        <w:t xml:space="preserve"> potrebbe essere più contagiosa del 10-15%, ma i dati sono ancora preliminari</w:t>
      </w:r>
      <w:r w:rsidRPr="000E5ABA">
        <w:rPr>
          <w:color w:val="auto"/>
        </w:rPr>
        <w:t>.</w:t>
      </w:r>
      <w:r>
        <w:rPr>
          <w:color w:val="auto"/>
        </w:rPr>
        <w:t xml:space="preserve"> </w:t>
      </w:r>
    </w:p>
    <w:p w:rsidR="00947330" w:rsidRPr="00C65468" w:rsidRDefault="00DA133A" w:rsidP="00BD67DE">
      <w:pPr>
        <w:jc w:val="both"/>
        <w:rPr>
          <w:color w:val="auto"/>
        </w:rPr>
      </w:pPr>
      <w:r w:rsidRPr="00C65468">
        <w:rPr>
          <w:color w:val="auto"/>
        </w:rPr>
        <w:t>«</w:t>
      </w:r>
      <w:r w:rsidR="00CF062A">
        <w:rPr>
          <w:color w:val="auto"/>
        </w:rPr>
        <w:t xml:space="preserve">Con l’inverno alle porte </w:t>
      </w:r>
      <w:r w:rsidRPr="00C65468">
        <w:rPr>
          <w:color w:val="auto"/>
        </w:rPr>
        <w:t>– conclude Cartabellotta –</w:t>
      </w:r>
      <w:r w:rsidR="00CF062A">
        <w:rPr>
          <w:color w:val="auto"/>
        </w:rPr>
        <w:t xml:space="preserve"> </w:t>
      </w:r>
      <w:r w:rsidR="00E91DC0">
        <w:rPr>
          <w:color w:val="auto"/>
        </w:rPr>
        <w:t xml:space="preserve">il repentino aumento </w:t>
      </w:r>
      <w:r w:rsidR="00CF062A">
        <w:rPr>
          <w:color w:val="auto"/>
        </w:rPr>
        <w:t>dei nuovi casi e dei ricoveri e il progressivo calo dell’efficacia dei vaccini sull’infezione</w:t>
      </w:r>
      <w:r w:rsidR="00CF062A" w:rsidRPr="00C65468">
        <w:rPr>
          <w:color w:val="auto"/>
        </w:rPr>
        <w:t xml:space="preserve"> </w:t>
      </w:r>
      <w:r w:rsidR="0071252F">
        <w:rPr>
          <w:color w:val="auto"/>
        </w:rPr>
        <w:t xml:space="preserve">impongono </w:t>
      </w:r>
      <w:r w:rsidR="00073DFF">
        <w:rPr>
          <w:color w:val="auto"/>
        </w:rPr>
        <w:t xml:space="preserve">sia </w:t>
      </w:r>
      <w:r w:rsidR="0071252F">
        <w:rPr>
          <w:color w:val="auto"/>
        </w:rPr>
        <w:t>di</w:t>
      </w:r>
      <w:r w:rsidR="00CF062A">
        <w:rPr>
          <w:color w:val="auto"/>
        </w:rPr>
        <w:t xml:space="preserve"> accelerare la somministrazione </w:t>
      </w:r>
      <w:r w:rsidR="00120DCD">
        <w:rPr>
          <w:color w:val="auto"/>
        </w:rPr>
        <w:t xml:space="preserve">della terza dose </w:t>
      </w:r>
      <w:r w:rsidR="00CF062A" w:rsidRPr="00CF062A">
        <w:rPr>
          <w:color w:val="auto"/>
        </w:rPr>
        <w:t>a tutte le cate</w:t>
      </w:r>
      <w:r w:rsidR="00CF062A">
        <w:rPr>
          <w:color w:val="auto"/>
        </w:rPr>
        <w:t>gorie individuate dalla C</w:t>
      </w:r>
      <w:r w:rsidR="00CF062A" w:rsidRPr="00CF062A">
        <w:rPr>
          <w:color w:val="auto"/>
        </w:rPr>
        <w:t xml:space="preserve">ircolare </w:t>
      </w:r>
      <w:r w:rsidR="00CF062A">
        <w:rPr>
          <w:color w:val="auto"/>
        </w:rPr>
        <w:t>M</w:t>
      </w:r>
      <w:r w:rsidR="00CF062A" w:rsidRPr="00CF062A">
        <w:rPr>
          <w:color w:val="auto"/>
        </w:rPr>
        <w:t>inisteriale</w:t>
      </w:r>
      <w:r w:rsidR="00073DFF">
        <w:rPr>
          <w:color w:val="auto"/>
        </w:rPr>
        <w:t xml:space="preserve">, sia </w:t>
      </w:r>
      <w:r w:rsidR="0071252F">
        <w:rPr>
          <w:color w:val="auto"/>
        </w:rPr>
        <w:t xml:space="preserve">di </w:t>
      </w:r>
      <w:r w:rsidR="00CF062A">
        <w:rPr>
          <w:color w:val="auto"/>
        </w:rPr>
        <w:t xml:space="preserve">convincere oltre </w:t>
      </w:r>
      <w:r w:rsidR="0071252F" w:rsidRPr="00073DFF">
        <w:rPr>
          <w:color w:val="auto"/>
        </w:rPr>
        <w:t xml:space="preserve">2,7 milioni </w:t>
      </w:r>
      <w:r w:rsidR="00CF062A" w:rsidRPr="00073DFF">
        <w:rPr>
          <w:color w:val="auto"/>
        </w:rPr>
        <w:t>di over</w:t>
      </w:r>
      <w:r w:rsidR="0071252F" w:rsidRPr="00073DFF">
        <w:rPr>
          <w:color w:val="auto"/>
        </w:rPr>
        <w:t xml:space="preserve"> </w:t>
      </w:r>
      <w:r w:rsidR="00CF062A">
        <w:rPr>
          <w:color w:val="auto"/>
        </w:rPr>
        <w:t>50 non ancora vaccinati</w:t>
      </w:r>
      <w:r w:rsidR="0071252F">
        <w:rPr>
          <w:color w:val="auto"/>
        </w:rPr>
        <w:t>, ad elevato rischio di ospedalizzazione</w:t>
      </w:r>
      <w:r w:rsidR="00073DFF">
        <w:rPr>
          <w:color w:val="auto"/>
        </w:rPr>
        <w:t xml:space="preserve"> e decesso</w:t>
      </w:r>
      <w:r w:rsidRPr="00C65468">
        <w:rPr>
          <w:color w:val="auto"/>
        </w:rPr>
        <w:t xml:space="preserve">». </w:t>
      </w:r>
    </w:p>
    <w:p w:rsidR="007B682B" w:rsidRPr="00234B97" w:rsidRDefault="00CE577D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 xml:space="preserve">Il monitoraggio GIMBE dell'epidemia di COVID-19 è disponibile a: </w:t>
      </w:r>
      <w:hyperlink r:id="rId13" w:history="1">
        <w:r w:rsidRPr="00234B97">
          <w:rPr>
            <w:rStyle w:val="Hyperlink0"/>
          </w:rPr>
          <w:t>https://coronavirus.gimbe.org</w:t>
        </w:r>
      </w:hyperlink>
    </w:p>
    <w:p w:rsidR="005A138A" w:rsidRPr="00613848" w:rsidRDefault="00CE577D" w:rsidP="00BD67DE">
      <w:pPr>
        <w:spacing w:after="120"/>
        <w:rPr>
          <w:rFonts w:eastAsia="Calibri" w:cs="Calibri"/>
          <w:color w:val="0563C1"/>
          <w:sz w:val="20"/>
          <w:szCs w:val="20"/>
          <w:u w:val="single" w:color="0563C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4" w:history="1">
        <w:r w:rsidRPr="00234B97">
          <w:rPr>
            <w:rStyle w:val="Hyperlink1"/>
          </w:rPr>
          <w:t>ufficio.stampa@gimbe.org</w:t>
        </w:r>
      </w:hyperlink>
    </w:p>
    <w:p w:rsidR="00B7201F" w:rsidRDefault="00B7201F" w:rsidP="00BD67D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F458BE" w:rsidRDefault="00F458BE" w:rsidP="00B720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:rsidR="007B682B" w:rsidRPr="00234B97" w:rsidRDefault="008F2AB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BE0D4C0" wp14:editId="0B4EA9A9">
            <wp:extent cx="5760000" cy="3193390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8F2AB2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63CF7F0D" wp14:editId="2A49FA94">
            <wp:extent cx="5760000" cy="3094654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CE577D">
      <w:pPr>
        <w:jc w:val="center"/>
        <w:sectPr w:rsidR="007B682B" w:rsidRPr="00234B97">
          <w:headerReference w:type="default" r:id="rId17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:rsidR="007B682B" w:rsidRPr="00234B97" w:rsidRDefault="00CE577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:rsidR="007B682B" w:rsidRPr="00234B97" w:rsidRDefault="008F2AB2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31EC5F8" wp14:editId="7E9DC2DC">
            <wp:extent cx="9360000" cy="4830880"/>
            <wp:effectExtent l="0" t="0" r="0" b="825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:rsidR="00184E2C" w:rsidRDefault="00184E2C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:rsidR="00184E2C" w:rsidRDefault="008F2AB2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5497739" wp14:editId="6E6F7E93">
            <wp:extent cx="5760000" cy="2824094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4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5</w:t>
      </w:r>
    </w:p>
    <w:p w:rsidR="00184E2C" w:rsidRPr="00D34302" w:rsidRDefault="008F2AB2" w:rsidP="00184E2C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4657C86F" wp14:editId="30B12E0E">
            <wp:extent cx="5760000" cy="3155765"/>
            <wp:effectExtent l="0" t="0" r="0" b="698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184E2C">
      <w:pPr>
        <w:spacing w:line="276" w:lineRule="auto"/>
        <w:jc w:val="both"/>
        <w:rPr>
          <w:color w:val="auto"/>
        </w:rPr>
      </w:pPr>
    </w:p>
    <w:p w:rsidR="00184E2C" w:rsidRDefault="00184E2C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234B97" w:rsidRDefault="00CE577D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184E2C">
        <w:rPr>
          <w:b/>
          <w:bCs/>
          <w:color w:val="00457D"/>
          <w:sz w:val="24"/>
          <w:szCs w:val="24"/>
          <w:u w:color="00457D"/>
        </w:rPr>
        <w:t>6</w:t>
      </w:r>
    </w:p>
    <w:p w:rsidR="00B66203" w:rsidRPr="00234B97" w:rsidRDefault="008F2AB2" w:rsidP="0034015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8409FDD" wp14:editId="02418D6C">
            <wp:extent cx="5760000" cy="5170369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170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84E2C">
        <w:rPr>
          <w:b/>
          <w:bCs/>
          <w:color w:val="00457D"/>
          <w:sz w:val="24"/>
          <w:szCs w:val="24"/>
          <w:u w:color="00457D"/>
        </w:rPr>
        <w:t>7</w:t>
      </w:r>
    </w:p>
    <w:p w:rsidR="00184E2C" w:rsidRDefault="008F2AB2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7DB1B30" wp14:editId="1BAEC7B3">
            <wp:extent cx="5760000" cy="2826141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7B682B" w:rsidRPr="00542585" w:rsidRDefault="00184E2C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8</w:t>
      </w:r>
    </w:p>
    <w:p w:rsidR="00D707B3" w:rsidRPr="00234B97" w:rsidRDefault="008F2AB2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B2FDE8B" wp14:editId="16793D09">
            <wp:extent cx="5760000" cy="308760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87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29F2" w:rsidRDefault="00F529F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7B682B" w:rsidRPr="00542585" w:rsidRDefault="006176B8" w:rsidP="003874BF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184E2C">
        <w:rPr>
          <w:b/>
          <w:bCs/>
          <w:color w:val="00457D"/>
          <w:sz w:val="24"/>
          <w:szCs w:val="24"/>
          <w:u w:color="00457D"/>
        </w:rPr>
        <w:t>9</w:t>
      </w:r>
    </w:p>
    <w:p w:rsidR="00542585" w:rsidRDefault="008F2AB2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4274122" wp14:editId="30FA9E67">
            <wp:extent cx="5760000" cy="451892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E56" w:rsidRDefault="005C1E56" w:rsidP="005C1E56">
      <w:pPr>
        <w:spacing w:after="0" w:line="240" w:lineRule="auto"/>
        <w:rPr>
          <w:b/>
          <w:bCs/>
          <w:color w:val="FF0000"/>
          <w:sz w:val="24"/>
          <w:szCs w:val="24"/>
          <w:u w:color="00457D"/>
        </w:rPr>
      </w:pP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36634C" w:rsidRDefault="00C510AB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184E2C">
        <w:rPr>
          <w:b/>
          <w:bCs/>
          <w:color w:val="00457D"/>
          <w:sz w:val="24"/>
          <w:szCs w:val="24"/>
          <w:u w:color="00457D"/>
        </w:rPr>
        <w:t>10</w:t>
      </w:r>
    </w:p>
    <w:p w:rsidR="00775DC3" w:rsidRPr="003E512B" w:rsidRDefault="008F2AB2" w:rsidP="00D3430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99BA239" wp14:editId="02AB1F28">
            <wp:extent cx="5760000" cy="3442302"/>
            <wp:effectExtent l="0" t="0" r="0" b="635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42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10AB" w:rsidRDefault="00C510AB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C510AB" w:rsidRPr="005B129C" w:rsidRDefault="00C510AB" w:rsidP="00C510A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FE1CCB">
        <w:rPr>
          <w:b/>
          <w:bCs/>
          <w:color w:val="00457D"/>
          <w:sz w:val="24"/>
          <w:szCs w:val="24"/>
          <w:u w:color="00457D"/>
        </w:rPr>
        <w:t>1</w:t>
      </w:r>
    </w:p>
    <w:p w:rsidR="00184E2C" w:rsidRDefault="00F01E45" w:rsidP="00184E2C">
      <w:pPr>
        <w:spacing w:line="276" w:lineRule="auto"/>
        <w:jc w:val="center"/>
        <w:rPr>
          <w:color w:val="auto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9D6E8B7" wp14:editId="44AAB49C">
            <wp:extent cx="5760000" cy="3843297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3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84E2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12</w:t>
      </w:r>
    </w:p>
    <w:p w:rsidR="00F01E45" w:rsidRDefault="00F01E45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color w:val="auto"/>
        </w:rPr>
        <w:drawing>
          <wp:inline distT="0" distB="0" distL="0" distR="0" wp14:anchorId="63DFA674" wp14:editId="16018B8E">
            <wp:extent cx="5760000" cy="3138440"/>
            <wp:effectExtent l="0" t="0" r="0" b="508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3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55FA" w:rsidRDefault="00E355FA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355FA" w:rsidRDefault="00E355FA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E355FA" w:rsidRDefault="00E355FA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13</w:t>
      </w:r>
    </w:p>
    <w:p w:rsidR="003A5301" w:rsidRPr="005B129C" w:rsidRDefault="003A5301" w:rsidP="00E355FA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color w:val="auto"/>
        </w:rPr>
        <w:drawing>
          <wp:inline distT="0" distB="0" distL="0" distR="0" wp14:anchorId="54539124" wp14:editId="24F3E1A7">
            <wp:extent cx="5760000" cy="4327169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7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184E2C">
      <w:pPr>
        <w:spacing w:line="276" w:lineRule="auto"/>
        <w:jc w:val="center"/>
        <w:rPr>
          <w:color w:val="auto"/>
        </w:rPr>
      </w:pPr>
    </w:p>
    <w:p w:rsidR="00F01E45" w:rsidRDefault="00F01E45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184E2C" w:rsidRPr="005B129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E355FA">
        <w:rPr>
          <w:b/>
          <w:bCs/>
          <w:color w:val="00457D"/>
          <w:sz w:val="24"/>
          <w:szCs w:val="24"/>
          <w:u w:color="00457D"/>
        </w:rPr>
        <w:t>4</w:t>
      </w:r>
    </w:p>
    <w:p w:rsidR="00184E2C" w:rsidRPr="00041D6E" w:rsidRDefault="003A5301" w:rsidP="00184E2C">
      <w:pPr>
        <w:spacing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3B2499C3" wp14:editId="062B9C5E">
            <wp:extent cx="5760000" cy="4327167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152" w:rsidRDefault="0034015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184E2C" w:rsidRDefault="00184E2C" w:rsidP="005130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E355FA">
        <w:rPr>
          <w:b/>
          <w:bCs/>
          <w:color w:val="00457D"/>
          <w:sz w:val="24"/>
          <w:szCs w:val="24"/>
          <w:u w:color="00457D"/>
        </w:rPr>
        <w:t>5</w:t>
      </w:r>
    </w:p>
    <w:p w:rsidR="00184E2C" w:rsidRDefault="008F2AB2" w:rsidP="00513024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21A8369" wp14:editId="5E303500">
            <wp:extent cx="5760000" cy="3545233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45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4E2C" w:rsidRDefault="00184E2C" w:rsidP="00184E2C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:rsidR="00340152" w:rsidRDefault="00340152" w:rsidP="00E355FA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:rsidR="00626103" w:rsidRPr="004D0247" w:rsidRDefault="00626103" w:rsidP="00513024">
      <w:pPr>
        <w:spacing w:after="0" w:line="240" w:lineRule="auto"/>
        <w:jc w:val="center"/>
        <w:rPr>
          <w:b/>
          <w:bCs/>
          <w:color w:val="00457D"/>
          <w:sz w:val="2"/>
          <w:szCs w:val="2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:rsidR="003F6A89" w:rsidRDefault="00CE577D" w:rsidP="003F6A89">
      <w:pPr>
        <w:spacing w:line="276" w:lineRule="auto"/>
        <w:jc w:val="center"/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3F6A89">
        <w:rPr>
          <w:b/>
          <w:bCs/>
          <w:color w:val="00457D"/>
          <w:sz w:val="24"/>
          <w:szCs w:val="24"/>
          <w:u w:color="00457D"/>
        </w:rPr>
        <w:t>20-26</w:t>
      </w:r>
      <w:r w:rsidR="009C0F77">
        <w:rPr>
          <w:b/>
          <w:bCs/>
          <w:color w:val="00457D"/>
          <w:sz w:val="24"/>
          <w:szCs w:val="24"/>
          <w:u w:color="00457D"/>
        </w:rPr>
        <w:t xml:space="preserve"> ottobre</w:t>
      </w:r>
      <w:r w:rsidRPr="00234B97">
        <w:rPr>
          <w:b/>
          <w:bCs/>
          <w:color w:val="00457D"/>
          <w:sz w:val="24"/>
          <w:szCs w:val="24"/>
          <w:u w:color="00457D"/>
        </w:rPr>
        <w:t xml:space="preserve"> 2021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227"/>
        <w:gridCol w:w="1175"/>
        <w:gridCol w:w="2145"/>
        <w:gridCol w:w="2107"/>
      </w:tblGrid>
      <w:tr w:rsidR="003F6A89" w:rsidRPr="003F6A89" w:rsidTr="0097785F">
        <w:trPr>
          <w:trHeight w:val="907"/>
        </w:trPr>
        <w:tc>
          <w:tcPr>
            <w:tcW w:w="198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222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F6A89" w:rsidRPr="003F6A89" w:rsidRDefault="003F6A89" w:rsidP="003F6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175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F6A89" w:rsidRPr="003F6A89" w:rsidRDefault="003F6A89" w:rsidP="003F6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45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3F6A89" w:rsidRPr="003F6A89" w:rsidRDefault="003F6A89" w:rsidP="003F6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07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3F6A89" w:rsidRPr="003F6A89" w:rsidRDefault="003F6A89" w:rsidP="003F6A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118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96,9%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137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4,3%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147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42,8%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126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46,7%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203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45,7%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113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68,0%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156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57,7%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58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12,9%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87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23,6%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132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65,6%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26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160,0%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89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26,5%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170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54,7%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9%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6%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71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54,9%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62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86,8%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82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-13,8%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146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49,0%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137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23,6%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4%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108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138,2%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8%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63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-35,7%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7%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0%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3F6A89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196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9C0006"/>
                <w:bdr w:val="none" w:sz="0" w:space="0" w:color="auto"/>
              </w:rPr>
              <w:t>33,3%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3%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006100"/>
                <w:bdr w:val="none" w:sz="0" w:space="0" w:color="auto"/>
              </w:rPr>
              <w:t>2%</w:t>
            </w:r>
          </w:p>
        </w:tc>
      </w:tr>
      <w:tr w:rsidR="003F6A89" w:rsidRPr="003F6A89" w:rsidTr="0097785F">
        <w:trPr>
          <w:trHeight w:val="340"/>
        </w:trPr>
        <w:tc>
          <w:tcPr>
            <w:tcW w:w="1985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22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126</w:t>
            </w:r>
          </w:p>
        </w:tc>
        <w:tc>
          <w:tcPr>
            <w:tcW w:w="117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43,2%</w:t>
            </w:r>
          </w:p>
        </w:tc>
        <w:tc>
          <w:tcPr>
            <w:tcW w:w="2145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5%</w:t>
            </w:r>
          </w:p>
        </w:tc>
        <w:tc>
          <w:tcPr>
            <w:tcW w:w="210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3F6A89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4%</w:t>
            </w:r>
          </w:p>
        </w:tc>
      </w:tr>
      <w:tr w:rsidR="003F6A89" w:rsidRPr="003F6A89" w:rsidTr="0097785F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3F6A89" w:rsidRPr="003F6A89" w:rsidRDefault="003F6A89" w:rsidP="0097785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nella prima colonna rosso, verde e giallo indicano rispettivamente una performance regionale in peggioramento, in miglioramento o stabile, rispetto alla settimana precedente.</w:t>
            </w: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3F6A89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:rsidR="003F6A89" w:rsidRPr="00234B97" w:rsidRDefault="003F6A89"/>
    <w:sectPr w:rsidR="003F6A89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2F70" w:rsidRDefault="00ED2F70">
      <w:pPr>
        <w:spacing w:after="0" w:line="240" w:lineRule="auto"/>
      </w:pPr>
      <w:r>
        <w:separator/>
      </w:r>
    </w:p>
  </w:endnote>
  <w:endnote w:type="continuationSeparator" w:id="0">
    <w:p w:rsidR="00ED2F70" w:rsidRDefault="00ED2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2F70" w:rsidRDefault="00ED2F70">
      <w:pPr>
        <w:spacing w:after="0" w:line="240" w:lineRule="auto"/>
      </w:pPr>
      <w:r>
        <w:separator/>
      </w:r>
    </w:p>
  </w:footnote>
  <w:footnote w:type="continuationSeparator" w:id="0">
    <w:p w:rsidR="00ED2F70" w:rsidRDefault="00ED2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3B0A" w:rsidRPr="00AA3B0A" w:rsidRDefault="00AA3B0A" w:rsidP="009C36F3">
    <w:pPr>
      <w:pStyle w:val="Intestazione"/>
      <w:jc w:val="center"/>
      <w:rPr>
        <w:b/>
        <w:color w:val="FF0000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14920"/>
    <w:multiLevelType w:val="hybridMultilevel"/>
    <w:tmpl w:val="3F8C4CC8"/>
    <w:numStyleLink w:val="Stileimportato1"/>
  </w:abstractNum>
  <w:abstractNum w:abstractNumId="5" w15:restartNumberingAfterBreak="0">
    <w:nsid w:val="17124B2D"/>
    <w:multiLevelType w:val="hybridMultilevel"/>
    <w:tmpl w:val="D040A854"/>
    <w:numStyleLink w:val="Stileimportato2"/>
  </w:abstractNum>
  <w:abstractNum w:abstractNumId="6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11"/>
  </w:num>
  <w:num w:numId="7">
    <w:abstractNumId w:val="8"/>
  </w:num>
  <w:num w:numId="8">
    <w:abstractNumId w:val="1"/>
  </w:num>
  <w:num w:numId="9">
    <w:abstractNumId w:val="9"/>
  </w:num>
  <w:num w:numId="10">
    <w:abstractNumId w:val="3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F7"/>
    <w:rsid w:val="00004CA3"/>
    <w:rsid w:val="00005172"/>
    <w:rsid w:val="000056DE"/>
    <w:rsid w:val="00007BF9"/>
    <w:rsid w:val="0001122C"/>
    <w:rsid w:val="00012113"/>
    <w:rsid w:val="0001299A"/>
    <w:rsid w:val="00014385"/>
    <w:rsid w:val="00015BAE"/>
    <w:rsid w:val="00017890"/>
    <w:rsid w:val="000206F4"/>
    <w:rsid w:val="00021C19"/>
    <w:rsid w:val="000222A5"/>
    <w:rsid w:val="00023784"/>
    <w:rsid w:val="00027033"/>
    <w:rsid w:val="00033800"/>
    <w:rsid w:val="00033A78"/>
    <w:rsid w:val="0003499E"/>
    <w:rsid w:val="000352B4"/>
    <w:rsid w:val="000373F1"/>
    <w:rsid w:val="00037A0A"/>
    <w:rsid w:val="00037F01"/>
    <w:rsid w:val="000415C2"/>
    <w:rsid w:val="00041D6E"/>
    <w:rsid w:val="000421A9"/>
    <w:rsid w:val="00042E7E"/>
    <w:rsid w:val="00043C39"/>
    <w:rsid w:val="00046B65"/>
    <w:rsid w:val="00051038"/>
    <w:rsid w:val="00052578"/>
    <w:rsid w:val="000552E2"/>
    <w:rsid w:val="00057324"/>
    <w:rsid w:val="0005772C"/>
    <w:rsid w:val="00057E5F"/>
    <w:rsid w:val="00061D4E"/>
    <w:rsid w:val="00062223"/>
    <w:rsid w:val="00063723"/>
    <w:rsid w:val="000653E7"/>
    <w:rsid w:val="00067039"/>
    <w:rsid w:val="000673B6"/>
    <w:rsid w:val="00071A13"/>
    <w:rsid w:val="0007243C"/>
    <w:rsid w:val="00072C04"/>
    <w:rsid w:val="00073A8A"/>
    <w:rsid w:val="00073DFF"/>
    <w:rsid w:val="000743B7"/>
    <w:rsid w:val="000747A9"/>
    <w:rsid w:val="000762C3"/>
    <w:rsid w:val="00077B7F"/>
    <w:rsid w:val="000803DA"/>
    <w:rsid w:val="00080F14"/>
    <w:rsid w:val="0008362E"/>
    <w:rsid w:val="00085386"/>
    <w:rsid w:val="00087236"/>
    <w:rsid w:val="00095DC5"/>
    <w:rsid w:val="00096350"/>
    <w:rsid w:val="000A08BA"/>
    <w:rsid w:val="000A0EDA"/>
    <w:rsid w:val="000A6581"/>
    <w:rsid w:val="000A6DB2"/>
    <w:rsid w:val="000A72BA"/>
    <w:rsid w:val="000B0548"/>
    <w:rsid w:val="000B0AC0"/>
    <w:rsid w:val="000B119C"/>
    <w:rsid w:val="000B1B66"/>
    <w:rsid w:val="000B21CF"/>
    <w:rsid w:val="000B2449"/>
    <w:rsid w:val="000B25F9"/>
    <w:rsid w:val="000B3CDF"/>
    <w:rsid w:val="000B5AC9"/>
    <w:rsid w:val="000C6B69"/>
    <w:rsid w:val="000C789B"/>
    <w:rsid w:val="000D0625"/>
    <w:rsid w:val="000D1250"/>
    <w:rsid w:val="000D24D7"/>
    <w:rsid w:val="000D2CAA"/>
    <w:rsid w:val="000D3B36"/>
    <w:rsid w:val="000D5B61"/>
    <w:rsid w:val="000D75CD"/>
    <w:rsid w:val="000D7E45"/>
    <w:rsid w:val="000E1A5A"/>
    <w:rsid w:val="000E476D"/>
    <w:rsid w:val="000E5ABA"/>
    <w:rsid w:val="000E6F3B"/>
    <w:rsid w:val="000F0385"/>
    <w:rsid w:val="000F09AA"/>
    <w:rsid w:val="000F1EC4"/>
    <w:rsid w:val="000F2389"/>
    <w:rsid w:val="000F387B"/>
    <w:rsid w:val="000F3AC7"/>
    <w:rsid w:val="000F4209"/>
    <w:rsid w:val="000F4917"/>
    <w:rsid w:val="000F5019"/>
    <w:rsid w:val="000F50A4"/>
    <w:rsid w:val="000F6EBD"/>
    <w:rsid w:val="00101803"/>
    <w:rsid w:val="001022BC"/>
    <w:rsid w:val="00103B2C"/>
    <w:rsid w:val="0010442F"/>
    <w:rsid w:val="00104974"/>
    <w:rsid w:val="0010568D"/>
    <w:rsid w:val="00106801"/>
    <w:rsid w:val="001104E4"/>
    <w:rsid w:val="00112E06"/>
    <w:rsid w:val="001130FB"/>
    <w:rsid w:val="00114088"/>
    <w:rsid w:val="00114459"/>
    <w:rsid w:val="00115B80"/>
    <w:rsid w:val="00116006"/>
    <w:rsid w:val="00116C93"/>
    <w:rsid w:val="00120DCD"/>
    <w:rsid w:val="00121EB7"/>
    <w:rsid w:val="00122302"/>
    <w:rsid w:val="0012327E"/>
    <w:rsid w:val="00123878"/>
    <w:rsid w:val="00123934"/>
    <w:rsid w:val="0012399B"/>
    <w:rsid w:val="0012540D"/>
    <w:rsid w:val="00126938"/>
    <w:rsid w:val="00127307"/>
    <w:rsid w:val="00127892"/>
    <w:rsid w:val="001324D5"/>
    <w:rsid w:val="00135006"/>
    <w:rsid w:val="00135DBC"/>
    <w:rsid w:val="0014031D"/>
    <w:rsid w:val="001410D3"/>
    <w:rsid w:val="0014184C"/>
    <w:rsid w:val="00141F0A"/>
    <w:rsid w:val="00141F2F"/>
    <w:rsid w:val="00144E5A"/>
    <w:rsid w:val="00147243"/>
    <w:rsid w:val="001513A9"/>
    <w:rsid w:val="001518FD"/>
    <w:rsid w:val="001527E3"/>
    <w:rsid w:val="001532BC"/>
    <w:rsid w:val="001533C7"/>
    <w:rsid w:val="001533DC"/>
    <w:rsid w:val="001546C9"/>
    <w:rsid w:val="00157CBE"/>
    <w:rsid w:val="00157F8B"/>
    <w:rsid w:val="00161AEE"/>
    <w:rsid w:val="00162B3C"/>
    <w:rsid w:val="0016301A"/>
    <w:rsid w:val="00163CCF"/>
    <w:rsid w:val="001667ED"/>
    <w:rsid w:val="0016753E"/>
    <w:rsid w:val="00171468"/>
    <w:rsid w:val="0017383E"/>
    <w:rsid w:val="00175709"/>
    <w:rsid w:val="00176590"/>
    <w:rsid w:val="00176B1E"/>
    <w:rsid w:val="001803BE"/>
    <w:rsid w:val="00181F5C"/>
    <w:rsid w:val="00183B21"/>
    <w:rsid w:val="00184068"/>
    <w:rsid w:val="00184E2C"/>
    <w:rsid w:val="00187EBF"/>
    <w:rsid w:val="00191EB1"/>
    <w:rsid w:val="0019345D"/>
    <w:rsid w:val="00197134"/>
    <w:rsid w:val="00197435"/>
    <w:rsid w:val="001A156C"/>
    <w:rsid w:val="001A1D07"/>
    <w:rsid w:val="001A25C7"/>
    <w:rsid w:val="001A2CC0"/>
    <w:rsid w:val="001A2F4F"/>
    <w:rsid w:val="001A3E0F"/>
    <w:rsid w:val="001A3E43"/>
    <w:rsid w:val="001A503E"/>
    <w:rsid w:val="001A50D6"/>
    <w:rsid w:val="001A633C"/>
    <w:rsid w:val="001A65C5"/>
    <w:rsid w:val="001A7237"/>
    <w:rsid w:val="001A7CDE"/>
    <w:rsid w:val="001B0691"/>
    <w:rsid w:val="001B3047"/>
    <w:rsid w:val="001B723C"/>
    <w:rsid w:val="001C0EBF"/>
    <w:rsid w:val="001C3E66"/>
    <w:rsid w:val="001C7E16"/>
    <w:rsid w:val="001D0234"/>
    <w:rsid w:val="001D0E98"/>
    <w:rsid w:val="001D224C"/>
    <w:rsid w:val="001D48DB"/>
    <w:rsid w:val="001D5B10"/>
    <w:rsid w:val="001D7E62"/>
    <w:rsid w:val="001E1FB2"/>
    <w:rsid w:val="001E481E"/>
    <w:rsid w:val="001E5653"/>
    <w:rsid w:val="001E6262"/>
    <w:rsid w:val="001F2C8F"/>
    <w:rsid w:val="001F3785"/>
    <w:rsid w:val="001F4334"/>
    <w:rsid w:val="001F4A7E"/>
    <w:rsid w:val="001F4AD2"/>
    <w:rsid w:val="001F50EF"/>
    <w:rsid w:val="001F63AA"/>
    <w:rsid w:val="001F668D"/>
    <w:rsid w:val="001F6835"/>
    <w:rsid w:val="001F7135"/>
    <w:rsid w:val="00200400"/>
    <w:rsid w:val="00201768"/>
    <w:rsid w:val="0020699D"/>
    <w:rsid w:val="00210040"/>
    <w:rsid w:val="002127CE"/>
    <w:rsid w:val="002127D1"/>
    <w:rsid w:val="00212F66"/>
    <w:rsid w:val="00213464"/>
    <w:rsid w:val="00216973"/>
    <w:rsid w:val="002171F6"/>
    <w:rsid w:val="002222F6"/>
    <w:rsid w:val="00223DBB"/>
    <w:rsid w:val="00226C11"/>
    <w:rsid w:val="00234B97"/>
    <w:rsid w:val="002351A0"/>
    <w:rsid w:val="00236626"/>
    <w:rsid w:val="00236FB0"/>
    <w:rsid w:val="0024188A"/>
    <w:rsid w:val="002427A3"/>
    <w:rsid w:val="00243949"/>
    <w:rsid w:val="00245DC3"/>
    <w:rsid w:val="0024739E"/>
    <w:rsid w:val="00247670"/>
    <w:rsid w:val="00247BA3"/>
    <w:rsid w:val="002515D1"/>
    <w:rsid w:val="00251A96"/>
    <w:rsid w:val="0025323D"/>
    <w:rsid w:val="00253DD5"/>
    <w:rsid w:val="002540D8"/>
    <w:rsid w:val="00254744"/>
    <w:rsid w:val="002569A9"/>
    <w:rsid w:val="00262272"/>
    <w:rsid w:val="002634F1"/>
    <w:rsid w:val="00263A36"/>
    <w:rsid w:val="00263DA4"/>
    <w:rsid w:val="0026464D"/>
    <w:rsid w:val="00265C72"/>
    <w:rsid w:val="00265ECF"/>
    <w:rsid w:val="00266358"/>
    <w:rsid w:val="002667D7"/>
    <w:rsid w:val="002669FF"/>
    <w:rsid w:val="00266BEA"/>
    <w:rsid w:val="0026717A"/>
    <w:rsid w:val="00272094"/>
    <w:rsid w:val="002739E8"/>
    <w:rsid w:val="00273C22"/>
    <w:rsid w:val="00275B6C"/>
    <w:rsid w:val="00275C72"/>
    <w:rsid w:val="00275FFE"/>
    <w:rsid w:val="00282D8E"/>
    <w:rsid w:val="0028387B"/>
    <w:rsid w:val="002846B6"/>
    <w:rsid w:val="00286F0E"/>
    <w:rsid w:val="002870DE"/>
    <w:rsid w:val="0029023D"/>
    <w:rsid w:val="00290E33"/>
    <w:rsid w:val="00291ECD"/>
    <w:rsid w:val="0029423D"/>
    <w:rsid w:val="00296666"/>
    <w:rsid w:val="002A0FB9"/>
    <w:rsid w:val="002A2883"/>
    <w:rsid w:val="002A407A"/>
    <w:rsid w:val="002A4098"/>
    <w:rsid w:val="002A50E7"/>
    <w:rsid w:val="002A53C2"/>
    <w:rsid w:val="002B0423"/>
    <w:rsid w:val="002B20E2"/>
    <w:rsid w:val="002B2371"/>
    <w:rsid w:val="002B3E49"/>
    <w:rsid w:val="002B7A43"/>
    <w:rsid w:val="002C16AA"/>
    <w:rsid w:val="002C19C1"/>
    <w:rsid w:val="002C4CF0"/>
    <w:rsid w:val="002C672C"/>
    <w:rsid w:val="002C7BFD"/>
    <w:rsid w:val="002D270C"/>
    <w:rsid w:val="002D288E"/>
    <w:rsid w:val="002D30A6"/>
    <w:rsid w:val="002D4F74"/>
    <w:rsid w:val="002D66EF"/>
    <w:rsid w:val="002E0B40"/>
    <w:rsid w:val="002E0CF7"/>
    <w:rsid w:val="002E1532"/>
    <w:rsid w:val="002E1669"/>
    <w:rsid w:val="002E3070"/>
    <w:rsid w:val="002E30C9"/>
    <w:rsid w:val="002E452A"/>
    <w:rsid w:val="002E63F1"/>
    <w:rsid w:val="002E732B"/>
    <w:rsid w:val="002F4065"/>
    <w:rsid w:val="002F5606"/>
    <w:rsid w:val="002F60B6"/>
    <w:rsid w:val="002F6277"/>
    <w:rsid w:val="002F7E69"/>
    <w:rsid w:val="002F7EF9"/>
    <w:rsid w:val="00300770"/>
    <w:rsid w:val="00301555"/>
    <w:rsid w:val="00301F67"/>
    <w:rsid w:val="00302774"/>
    <w:rsid w:val="00304225"/>
    <w:rsid w:val="00306641"/>
    <w:rsid w:val="003068D2"/>
    <w:rsid w:val="00312170"/>
    <w:rsid w:val="0031239E"/>
    <w:rsid w:val="00312A53"/>
    <w:rsid w:val="00312D49"/>
    <w:rsid w:val="00312EB1"/>
    <w:rsid w:val="00315CB0"/>
    <w:rsid w:val="00317E3D"/>
    <w:rsid w:val="00320D92"/>
    <w:rsid w:val="00322631"/>
    <w:rsid w:val="00322C39"/>
    <w:rsid w:val="00325D76"/>
    <w:rsid w:val="00326426"/>
    <w:rsid w:val="00330F23"/>
    <w:rsid w:val="00331A02"/>
    <w:rsid w:val="00332BC9"/>
    <w:rsid w:val="00332E22"/>
    <w:rsid w:val="00333D4F"/>
    <w:rsid w:val="0033511B"/>
    <w:rsid w:val="003375DC"/>
    <w:rsid w:val="00337B53"/>
    <w:rsid w:val="00340152"/>
    <w:rsid w:val="003408FB"/>
    <w:rsid w:val="0034119B"/>
    <w:rsid w:val="00342065"/>
    <w:rsid w:val="00342A3A"/>
    <w:rsid w:val="0034565E"/>
    <w:rsid w:val="003461BD"/>
    <w:rsid w:val="0035087A"/>
    <w:rsid w:val="00353CBD"/>
    <w:rsid w:val="0035543D"/>
    <w:rsid w:val="003614B8"/>
    <w:rsid w:val="0036518B"/>
    <w:rsid w:val="0036634C"/>
    <w:rsid w:val="0037026E"/>
    <w:rsid w:val="00370F56"/>
    <w:rsid w:val="003726E1"/>
    <w:rsid w:val="0037430E"/>
    <w:rsid w:val="003744DF"/>
    <w:rsid w:val="003747F1"/>
    <w:rsid w:val="0038374F"/>
    <w:rsid w:val="003874BF"/>
    <w:rsid w:val="00390F8F"/>
    <w:rsid w:val="00391BD8"/>
    <w:rsid w:val="00391D3F"/>
    <w:rsid w:val="003932D6"/>
    <w:rsid w:val="00393652"/>
    <w:rsid w:val="00394992"/>
    <w:rsid w:val="0039505A"/>
    <w:rsid w:val="00396346"/>
    <w:rsid w:val="003A051C"/>
    <w:rsid w:val="003A0661"/>
    <w:rsid w:val="003A27B9"/>
    <w:rsid w:val="003A3BE0"/>
    <w:rsid w:val="003A5301"/>
    <w:rsid w:val="003A5C42"/>
    <w:rsid w:val="003A62BF"/>
    <w:rsid w:val="003B0352"/>
    <w:rsid w:val="003B037E"/>
    <w:rsid w:val="003B19AE"/>
    <w:rsid w:val="003B3D8B"/>
    <w:rsid w:val="003B632B"/>
    <w:rsid w:val="003B6B24"/>
    <w:rsid w:val="003B6F85"/>
    <w:rsid w:val="003B720F"/>
    <w:rsid w:val="003C0C5D"/>
    <w:rsid w:val="003C17AF"/>
    <w:rsid w:val="003C186F"/>
    <w:rsid w:val="003C1BE8"/>
    <w:rsid w:val="003C2801"/>
    <w:rsid w:val="003C4E72"/>
    <w:rsid w:val="003C5AEF"/>
    <w:rsid w:val="003C6C3F"/>
    <w:rsid w:val="003C724A"/>
    <w:rsid w:val="003D049D"/>
    <w:rsid w:val="003D2A0B"/>
    <w:rsid w:val="003D353F"/>
    <w:rsid w:val="003D3EE4"/>
    <w:rsid w:val="003D4657"/>
    <w:rsid w:val="003D4BA4"/>
    <w:rsid w:val="003D4BF6"/>
    <w:rsid w:val="003D4D75"/>
    <w:rsid w:val="003D514B"/>
    <w:rsid w:val="003D5397"/>
    <w:rsid w:val="003D5649"/>
    <w:rsid w:val="003D7D3B"/>
    <w:rsid w:val="003E083A"/>
    <w:rsid w:val="003E1DB5"/>
    <w:rsid w:val="003E33FF"/>
    <w:rsid w:val="003E35A0"/>
    <w:rsid w:val="003E3C44"/>
    <w:rsid w:val="003E3EB4"/>
    <w:rsid w:val="003E3FDD"/>
    <w:rsid w:val="003E49D4"/>
    <w:rsid w:val="003E512B"/>
    <w:rsid w:val="003E5D4D"/>
    <w:rsid w:val="003E5E24"/>
    <w:rsid w:val="003E6288"/>
    <w:rsid w:val="003E6CFB"/>
    <w:rsid w:val="003F07EE"/>
    <w:rsid w:val="003F0B7E"/>
    <w:rsid w:val="003F0EDE"/>
    <w:rsid w:val="003F1259"/>
    <w:rsid w:val="003F2987"/>
    <w:rsid w:val="003F5167"/>
    <w:rsid w:val="003F5612"/>
    <w:rsid w:val="003F6A5F"/>
    <w:rsid w:val="003F6A89"/>
    <w:rsid w:val="00402E63"/>
    <w:rsid w:val="00403D87"/>
    <w:rsid w:val="004041F5"/>
    <w:rsid w:val="00405588"/>
    <w:rsid w:val="004055EE"/>
    <w:rsid w:val="00406554"/>
    <w:rsid w:val="00407F58"/>
    <w:rsid w:val="004127E6"/>
    <w:rsid w:val="004129D3"/>
    <w:rsid w:val="00413881"/>
    <w:rsid w:val="00414839"/>
    <w:rsid w:val="00414912"/>
    <w:rsid w:val="004167BB"/>
    <w:rsid w:val="00417326"/>
    <w:rsid w:val="00417D75"/>
    <w:rsid w:val="00420736"/>
    <w:rsid w:val="00421389"/>
    <w:rsid w:val="0042267C"/>
    <w:rsid w:val="0042340E"/>
    <w:rsid w:val="0043299D"/>
    <w:rsid w:val="00432C1D"/>
    <w:rsid w:val="00434350"/>
    <w:rsid w:val="0043788D"/>
    <w:rsid w:val="00440059"/>
    <w:rsid w:val="0044051F"/>
    <w:rsid w:val="004405AB"/>
    <w:rsid w:val="004410BB"/>
    <w:rsid w:val="0044264D"/>
    <w:rsid w:val="00442D9F"/>
    <w:rsid w:val="00443AF2"/>
    <w:rsid w:val="00444814"/>
    <w:rsid w:val="00444CD7"/>
    <w:rsid w:val="00445E8D"/>
    <w:rsid w:val="00450520"/>
    <w:rsid w:val="00450FC6"/>
    <w:rsid w:val="0045113F"/>
    <w:rsid w:val="00451EEA"/>
    <w:rsid w:val="00456315"/>
    <w:rsid w:val="00457225"/>
    <w:rsid w:val="00460941"/>
    <w:rsid w:val="00460D0D"/>
    <w:rsid w:val="0046121C"/>
    <w:rsid w:val="00461433"/>
    <w:rsid w:val="00463915"/>
    <w:rsid w:val="004642E7"/>
    <w:rsid w:val="00465213"/>
    <w:rsid w:val="00471002"/>
    <w:rsid w:val="0047216B"/>
    <w:rsid w:val="00472289"/>
    <w:rsid w:val="00473630"/>
    <w:rsid w:val="00474D7E"/>
    <w:rsid w:val="00476376"/>
    <w:rsid w:val="004770F1"/>
    <w:rsid w:val="00477725"/>
    <w:rsid w:val="0047778D"/>
    <w:rsid w:val="00477B91"/>
    <w:rsid w:val="00477F83"/>
    <w:rsid w:val="0048071C"/>
    <w:rsid w:val="00480E53"/>
    <w:rsid w:val="004821B7"/>
    <w:rsid w:val="004824DB"/>
    <w:rsid w:val="00483C7A"/>
    <w:rsid w:val="00484A42"/>
    <w:rsid w:val="00485372"/>
    <w:rsid w:val="00485811"/>
    <w:rsid w:val="004875F7"/>
    <w:rsid w:val="00490739"/>
    <w:rsid w:val="0049135C"/>
    <w:rsid w:val="00491484"/>
    <w:rsid w:val="004919DD"/>
    <w:rsid w:val="004920AE"/>
    <w:rsid w:val="0049213B"/>
    <w:rsid w:val="0049218A"/>
    <w:rsid w:val="004921A6"/>
    <w:rsid w:val="00492A5B"/>
    <w:rsid w:val="0049544D"/>
    <w:rsid w:val="0049549E"/>
    <w:rsid w:val="00495A9F"/>
    <w:rsid w:val="00496B48"/>
    <w:rsid w:val="00497D65"/>
    <w:rsid w:val="00497E19"/>
    <w:rsid w:val="004A0F1A"/>
    <w:rsid w:val="004A19D1"/>
    <w:rsid w:val="004A3027"/>
    <w:rsid w:val="004A309A"/>
    <w:rsid w:val="004A3B4B"/>
    <w:rsid w:val="004A7B51"/>
    <w:rsid w:val="004B0CED"/>
    <w:rsid w:val="004B102C"/>
    <w:rsid w:val="004B512D"/>
    <w:rsid w:val="004B5CB6"/>
    <w:rsid w:val="004B6438"/>
    <w:rsid w:val="004C0E6D"/>
    <w:rsid w:val="004C465D"/>
    <w:rsid w:val="004C70BD"/>
    <w:rsid w:val="004C75FC"/>
    <w:rsid w:val="004D0234"/>
    <w:rsid w:val="004D0247"/>
    <w:rsid w:val="004D0801"/>
    <w:rsid w:val="004D0D54"/>
    <w:rsid w:val="004D0E27"/>
    <w:rsid w:val="004D1C78"/>
    <w:rsid w:val="004D2A97"/>
    <w:rsid w:val="004D2E6B"/>
    <w:rsid w:val="004D3C41"/>
    <w:rsid w:val="004D3CD7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3F56"/>
    <w:rsid w:val="004E3F72"/>
    <w:rsid w:val="004E555F"/>
    <w:rsid w:val="004E6C61"/>
    <w:rsid w:val="004F0669"/>
    <w:rsid w:val="004F17AF"/>
    <w:rsid w:val="004F2DDA"/>
    <w:rsid w:val="004F6556"/>
    <w:rsid w:val="004F70C6"/>
    <w:rsid w:val="00500C6B"/>
    <w:rsid w:val="00505750"/>
    <w:rsid w:val="00505C8D"/>
    <w:rsid w:val="00506BF3"/>
    <w:rsid w:val="00507572"/>
    <w:rsid w:val="005110E4"/>
    <w:rsid w:val="00513024"/>
    <w:rsid w:val="00516F1E"/>
    <w:rsid w:val="00517884"/>
    <w:rsid w:val="005200FB"/>
    <w:rsid w:val="005206D7"/>
    <w:rsid w:val="00521485"/>
    <w:rsid w:val="005216C3"/>
    <w:rsid w:val="005239E5"/>
    <w:rsid w:val="005265EC"/>
    <w:rsid w:val="005268E4"/>
    <w:rsid w:val="00526D94"/>
    <w:rsid w:val="00527260"/>
    <w:rsid w:val="0053071C"/>
    <w:rsid w:val="00533B1C"/>
    <w:rsid w:val="0053578B"/>
    <w:rsid w:val="0053669F"/>
    <w:rsid w:val="00536726"/>
    <w:rsid w:val="00540EB3"/>
    <w:rsid w:val="00542585"/>
    <w:rsid w:val="0054316E"/>
    <w:rsid w:val="00545404"/>
    <w:rsid w:val="005455CA"/>
    <w:rsid w:val="00547B69"/>
    <w:rsid w:val="00553823"/>
    <w:rsid w:val="005549FE"/>
    <w:rsid w:val="00554C0B"/>
    <w:rsid w:val="00555BDA"/>
    <w:rsid w:val="005568AB"/>
    <w:rsid w:val="00560DC0"/>
    <w:rsid w:val="0056300B"/>
    <w:rsid w:val="00563184"/>
    <w:rsid w:val="00565708"/>
    <w:rsid w:val="00566BD9"/>
    <w:rsid w:val="00567F60"/>
    <w:rsid w:val="00571451"/>
    <w:rsid w:val="00572677"/>
    <w:rsid w:val="00573388"/>
    <w:rsid w:val="0057352F"/>
    <w:rsid w:val="005776BB"/>
    <w:rsid w:val="00580465"/>
    <w:rsid w:val="00580D28"/>
    <w:rsid w:val="00582285"/>
    <w:rsid w:val="00583951"/>
    <w:rsid w:val="00584F59"/>
    <w:rsid w:val="0058585F"/>
    <w:rsid w:val="00587698"/>
    <w:rsid w:val="0059338C"/>
    <w:rsid w:val="005943D6"/>
    <w:rsid w:val="00594D45"/>
    <w:rsid w:val="00595E1C"/>
    <w:rsid w:val="00595E53"/>
    <w:rsid w:val="00596736"/>
    <w:rsid w:val="005979B2"/>
    <w:rsid w:val="005A102B"/>
    <w:rsid w:val="005A1383"/>
    <w:rsid w:val="005A138A"/>
    <w:rsid w:val="005A2F3C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48EF"/>
    <w:rsid w:val="005B4F47"/>
    <w:rsid w:val="005B5BD7"/>
    <w:rsid w:val="005B6229"/>
    <w:rsid w:val="005C1BAF"/>
    <w:rsid w:val="005C1E30"/>
    <w:rsid w:val="005C1E56"/>
    <w:rsid w:val="005C2C9D"/>
    <w:rsid w:val="005C335F"/>
    <w:rsid w:val="005C4488"/>
    <w:rsid w:val="005C61A2"/>
    <w:rsid w:val="005C6FBE"/>
    <w:rsid w:val="005D08F1"/>
    <w:rsid w:val="005D1676"/>
    <w:rsid w:val="005D18C9"/>
    <w:rsid w:val="005D1A29"/>
    <w:rsid w:val="005D214D"/>
    <w:rsid w:val="005E19B1"/>
    <w:rsid w:val="005E1B40"/>
    <w:rsid w:val="005E26E5"/>
    <w:rsid w:val="005E375E"/>
    <w:rsid w:val="005E3CC5"/>
    <w:rsid w:val="005F14E1"/>
    <w:rsid w:val="005F1BEA"/>
    <w:rsid w:val="005F2C47"/>
    <w:rsid w:val="005F43B2"/>
    <w:rsid w:val="005F47B7"/>
    <w:rsid w:val="005F493D"/>
    <w:rsid w:val="005F4AAD"/>
    <w:rsid w:val="005F5079"/>
    <w:rsid w:val="005F57E7"/>
    <w:rsid w:val="005F69C0"/>
    <w:rsid w:val="006026F8"/>
    <w:rsid w:val="00603956"/>
    <w:rsid w:val="00605F09"/>
    <w:rsid w:val="0060713D"/>
    <w:rsid w:val="00610E6C"/>
    <w:rsid w:val="0061216F"/>
    <w:rsid w:val="006121D4"/>
    <w:rsid w:val="00613848"/>
    <w:rsid w:val="00614210"/>
    <w:rsid w:val="00614835"/>
    <w:rsid w:val="0061581B"/>
    <w:rsid w:val="00615DC1"/>
    <w:rsid w:val="00617672"/>
    <w:rsid w:val="006176B8"/>
    <w:rsid w:val="00617D14"/>
    <w:rsid w:val="0062012B"/>
    <w:rsid w:val="006236A4"/>
    <w:rsid w:val="00624679"/>
    <w:rsid w:val="00624898"/>
    <w:rsid w:val="00624DFE"/>
    <w:rsid w:val="00626103"/>
    <w:rsid w:val="0062682F"/>
    <w:rsid w:val="00632644"/>
    <w:rsid w:val="00632798"/>
    <w:rsid w:val="00634936"/>
    <w:rsid w:val="006369E2"/>
    <w:rsid w:val="00636A4A"/>
    <w:rsid w:val="00636D6F"/>
    <w:rsid w:val="006370BE"/>
    <w:rsid w:val="00640F5E"/>
    <w:rsid w:val="00641764"/>
    <w:rsid w:val="00641859"/>
    <w:rsid w:val="00643C9B"/>
    <w:rsid w:val="0064474F"/>
    <w:rsid w:val="006479B3"/>
    <w:rsid w:val="00647D99"/>
    <w:rsid w:val="00647FC0"/>
    <w:rsid w:val="006501A2"/>
    <w:rsid w:val="00650970"/>
    <w:rsid w:val="00651334"/>
    <w:rsid w:val="0065366C"/>
    <w:rsid w:val="00653A32"/>
    <w:rsid w:val="00655803"/>
    <w:rsid w:val="00655A1E"/>
    <w:rsid w:val="006603AC"/>
    <w:rsid w:val="00660954"/>
    <w:rsid w:val="00663407"/>
    <w:rsid w:val="00663DCF"/>
    <w:rsid w:val="006642BB"/>
    <w:rsid w:val="00666A47"/>
    <w:rsid w:val="00672C34"/>
    <w:rsid w:val="0067368F"/>
    <w:rsid w:val="00677ADA"/>
    <w:rsid w:val="00677B01"/>
    <w:rsid w:val="0068026F"/>
    <w:rsid w:val="00684004"/>
    <w:rsid w:val="0068405E"/>
    <w:rsid w:val="006850DD"/>
    <w:rsid w:val="00690B90"/>
    <w:rsid w:val="006927A5"/>
    <w:rsid w:val="00692A2C"/>
    <w:rsid w:val="00694315"/>
    <w:rsid w:val="00694C16"/>
    <w:rsid w:val="00694C54"/>
    <w:rsid w:val="00695005"/>
    <w:rsid w:val="00696746"/>
    <w:rsid w:val="006A03AB"/>
    <w:rsid w:val="006A22DD"/>
    <w:rsid w:val="006A37A7"/>
    <w:rsid w:val="006A3F3C"/>
    <w:rsid w:val="006A7099"/>
    <w:rsid w:val="006B344A"/>
    <w:rsid w:val="006B365C"/>
    <w:rsid w:val="006B3B7F"/>
    <w:rsid w:val="006B6E29"/>
    <w:rsid w:val="006B75AC"/>
    <w:rsid w:val="006B77FA"/>
    <w:rsid w:val="006C08D3"/>
    <w:rsid w:val="006C142C"/>
    <w:rsid w:val="006C2BF6"/>
    <w:rsid w:val="006C2FDF"/>
    <w:rsid w:val="006C322E"/>
    <w:rsid w:val="006C3678"/>
    <w:rsid w:val="006C7761"/>
    <w:rsid w:val="006D0DB7"/>
    <w:rsid w:val="006D1931"/>
    <w:rsid w:val="006D2E9D"/>
    <w:rsid w:val="006D60A3"/>
    <w:rsid w:val="006D67CC"/>
    <w:rsid w:val="006E201D"/>
    <w:rsid w:val="006E2AC2"/>
    <w:rsid w:val="006E2BC3"/>
    <w:rsid w:val="006E2DDC"/>
    <w:rsid w:val="006E4065"/>
    <w:rsid w:val="006E4555"/>
    <w:rsid w:val="006E4E9A"/>
    <w:rsid w:val="006E6EF5"/>
    <w:rsid w:val="006E6F88"/>
    <w:rsid w:val="006E759D"/>
    <w:rsid w:val="006F1B45"/>
    <w:rsid w:val="006F2768"/>
    <w:rsid w:val="006F3DD6"/>
    <w:rsid w:val="006F4447"/>
    <w:rsid w:val="006F46F1"/>
    <w:rsid w:val="006F5548"/>
    <w:rsid w:val="006F5A3D"/>
    <w:rsid w:val="006F6446"/>
    <w:rsid w:val="006F6B3E"/>
    <w:rsid w:val="006F7494"/>
    <w:rsid w:val="00701FEB"/>
    <w:rsid w:val="00705A25"/>
    <w:rsid w:val="00705BEA"/>
    <w:rsid w:val="00707895"/>
    <w:rsid w:val="00710899"/>
    <w:rsid w:val="007111CC"/>
    <w:rsid w:val="0071252F"/>
    <w:rsid w:val="007126C0"/>
    <w:rsid w:val="0071337F"/>
    <w:rsid w:val="007135C5"/>
    <w:rsid w:val="007145F8"/>
    <w:rsid w:val="00714C4E"/>
    <w:rsid w:val="00715CA2"/>
    <w:rsid w:val="00716FA6"/>
    <w:rsid w:val="007237EA"/>
    <w:rsid w:val="00727126"/>
    <w:rsid w:val="007273EF"/>
    <w:rsid w:val="007275D3"/>
    <w:rsid w:val="00731555"/>
    <w:rsid w:val="007328D1"/>
    <w:rsid w:val="00732E1A"/>
    <w:rsid w:val="007334AB"/>
    <w:rsid w:val="00733EDF"/>
    <w:rsid w:val="007355A6"/>
    <w:rsid w:val="00735B0D"/>
    <w:rsid w:val="00736022"/>
    <w:rsid w:val="00736B4B"/>
    <w:rsid w:val="00741B18"/>
    <w:rsid w:val="007433AC"/>
    <w:rsid w:val="00743F51"/>
    <w:rsid w:val="00745607"/>
    <w:rsid w:val="00745D53"/>
    <w:rsid w:val="00746D21"/>
    <w:rsid w:val="00750B6D"/>
    <w:rsid w:val="00753317"/>
    <w:rsid w:val="00753DEA"/>
    <w:rsid w:val="00753E57"/>
    <w:rsid w:val="007575B8"/>
    <w:rsid w:val="00757965"/>
    <w:rsid w:val="00763956"/>
    <w:rsid w:val="0076460C"/>
    <w:rsid w:val="00764772"/>
    <w:rsid w:val="007654DA"/>
    <w:rsid w:val="00766C89"/>
    <w:rsid w:val="00770441"/>
    <w:rsid w:val="00770468"/>
    <w:rsid w:val="00775DC3"/>
    <w:rsid w:val="00776FE3"/>
    <w:rsid w:val="00777916"/>
    <w:rsid w:val="00781526"/>
    <w:rsid w:val="007825E9"/>
    <w:rsid w:val="00782610"/>
    <w:rsid w:val="00782A95"/>
    <w:rsid w:val="007831C1"/>
    <w:rsid w:val="00784E4D"/>
    <w:rsid w:val="00791E54"/>
    <w:rsid w:val="0079301A"/>
    <w:rsid w:val="00793A6D"/>
    <w:rsid w:val="00793BD4"/>
    <w:rsid w:val="00793FA3"/>
    <w:rsid w:val="007945DD"/>
    <w:rsid w:val="00796514"/>
    <w:rsid w:val="00796F41"/>
    <w:rsid w:val="00797AB7"/>
    <w:rsid w:val="007A01BF"/>
    <w:rsid w:val="007A602C"/>
    <w:rsid w:val="007A6242"/>
    <w:rsid w:val="007A69F8"/>
    <w:rsid w:val="007A6E24"/>
    <w:rsid w:val="007B0A1A"/>
    <w:rsid w:val="007B1735"/>
    <w:rsid w:val="007B2B6D"/>
    <w:rsid w:val="007B33B7"/>
    <w:rsid w:val="007B398D"/>
    <w:rsid w:val="007B43CC"/>
    <w:rsid w:val="007B4655"/>
    <w:rsid w:val="007B682B"/>
    <w:rsid w:val="007B6DAF"/>
    <w:rsid w:val="007C11CB"/>
    <w:rsid w:val="007C4ED4"/>
    <w:rsid w:val="007C5961"/>
    <w:rsid w:val="007D101B"/>
    <w:rsid w:val="007D1633"/>
    <w:rsid w:val="007D2352"/>
    <w:rsid w:val="007D2680"/>
    <w:rsid w:val="007D29FD"/>
    <w:rsid w:val="007D3363"/>
    <w:rsid w:val="007D5A05"/>
    <w:rsid w:val="007D5F8C"/>
    <w:rsid w:val="007D70D0"/>
    <w:rsid w:val="007E07AE"/>
    <w:rsid w:val="007E0A27"/>
    <w:rsid w:val="007E1912"/>
    <w:rsid w:val="007E1F3B"/>
    <w:rsid w:val="007E2283"/>
    <w:rsid w:val="007E2586"/>
    <w:rsid w:val="007E4775"/>
    <w:rsid w:val="007E5D35"/>
    <w:rsid w:val="007E629F"/>
    <w:rsid w:val="007E79D7"/>
    <w:rsid w:val="007F139F"/>
    <w:rsid w:val="007F1BAD"/>
    <w:rsid w:val="007F2079"/>
    <w:rsid w:val="007F4CB5"/>
    <w:rsid w:val="007F4E31"/>
    <w:rsid w:val="007F5B75"/>
    <w:rsid w:val="007F6C2C"/>
    <w:rsid w:val="007F6D39"/>
    <w:rsid w:val="007F79CD"/>
    <w:rsid w:val="007F79F1"/>
    <w:rsid w:val="008002F6"/>
    <w:rsid w:val="00801062"/>
    <w:rsid w:val="00801F3C"/>
    <w:rsid w:val="008020E7"/>
    <w:rsid w:val="00803E96"/>
    <w:rsid w:val="0080443D"/>
    <w:rsid w:val="00811174"/>
    <w:rsid w:val="00811B49"/>
    <w:rsid w:val="00813F9F"/>
    <w:rsid w:val="00814786"/>
    <w:rsid w:val="00814DCC"/>
    <w:rsid w:val="00815D0F"/>
    <w:rsid w:val="00815E48"/>
    <w:rsid w:val="008160C8"/>
    <w:rsid w:val="00816811"/>
    <w:rsid w:val="00822041"/>
    <w:rsid w:val="00822759"/>
    <w:rsid w:val="00824DF6"/>
    <w:rsid w:val="00825C99"/>
    <w:rsid w:val="00827B8E"/>
    <w:rsid w:val="008327BE"/>
    <w:rsid w:val="00836759"/>
    <w:rsid w:val="00837F1E"/>
    <w:rsid w:val="00840EBB"/>
    <w:rsid w:val="00842C8F"/>
    <w:rsid w:val="008436F7"/>
    <w:rsid w:val="008444B0"/>
    <w:rsid w:val="0084571A"/>
    <w:rsid w:val="00846200"/>
    <w:rsid w:val="0085003A"/>
    <w:rsid w:val="00854918"/>
    <w:rsid w:val="008551BE"/>
    <w:rsid w:val="008552D6"/>
    <w:rsid w:val="00857AB0"/>
    <w:rsid w:val="008610FE"/>
    <w:rsid w:val="008617F3"/>
    <w:rsid w:val="00861A3B"/>
    <w:rsid w:val="00863261"/>
    <w:rsid w:val="00864639"/>
    <w:rsid w:val="008663EB"/>
    <w:rsid w:val="00867620"/>
    <w:rsid w:val="008703FF"/>
    <w:rsid w:val="00870881"/>
    <w:rsid w:val="0087125A"/>
    <w:rsid w:val="00872355"/>
    <w:rsid w:val="00872CB5"/>
    <w:rsid w:val="008738A0"/>
    <w:rsid w:val="00875B0E"/>
    <w:rsid w:val="00875ED5"/>
    <w:rsid w:val="00880B5D"/>
    <w:rsid w:val="00880C14"/>
    <w:rsid w:val="008828FB"/>
    <w:rsid w:val="00883915"/>
    <w:rsid w:val="008864FB"/>
    <w:rsid w:val="008947F5"/>
    <w:rsid w:val="00894C91"/>
    <w:rsid w:val="008A299E"/>
    <w:rsid w:val="008A3887"/>
    <w:rsid w:val="008A3B8C"/>
    <w:rsid w:val="008A44E1"/>
    <w:rsid w:val="008A6C7F"/>
    <w:rsid w:val="008A7B7E"/>
    <w:rsid w:val="008B15D8"/>
    <w:rsid w:val="008B1D8F"/>
    <w:rsid w:val="008B22E8"/>
    <w:rsid w:val="008B2AAF"/>
    <w:rsid w:val="008B33A7"/>
    <w:rsid w:val="008B3B5E"/>
    <w:rsid w:val="008B4CFE"/>
    <w:rsid w:val="008B58F8"/>
    <w:rsid w:val="008B625F"/>
    <w:rsid w:val="008C05C3"/>
    <w:rsid w:val="008C1F7C"/>
    <w:rsid w:val="008C27CE"/>
    <w:rsid w:val="008C4763"/>
    <w:rsid w:val="008C5E4E"/>
    <w:rsid w:val="008C626F"/>
    <w:rsid w:val="008C677D"/>
    <w:rsid w:val="008C6E0A"/>
    <w:rsid w:val="008D00D2"/>
    <w:rsid w:val="008D21DE"/>
    <w:rsid w:val="008D351A"/>
    <w:rsid w:val="008D3CA5"/>
    <w:rsid w:val="008D5FB8"/>
    <w:rsid w:val="008D7A28"/>
    <w:rsid w:val="008E0517"/>
    <w:rsid w:val="008E2689"/>
    <w:rsid w:val="008E33A1"/>
    <w:rsid w:val="008E4092"/>
    <w:rsid w:val="008F0A73"/>
    <w:rsid w:val="008F11C8"/>
    <w:rsid w:val="008F29A1"/>
    <w:rsid w:val="008F2AB2"/>
    <w:rsid w:val="008F3DF3"/>
    <w:rsid w:val="008F66E7"/>
    <w:rsid w:val="0090300F"/>
    <w:rsid w:val="00903DE5"/>
    <w:rsid w:val="009061FE"/>
    <w:rsid w:val="00910EAA"/>
    <w:rsid w:val="009129F1"/>
    <w:rsid w:val="00913BEB"/>
    <w:rsid w:val="00920965"/>
    <w:rsid w:val="009216B6"/>
    <w:rsid w:val="009231D3"/>
    <w:rsid w:val="00924945"/>
    <w:rsid w:val="00924D28"/>
    <w:rsid w:val="00924D62"/>
    <w:rsid w:val="0092593F"/>
    <w:rsid w:val="00930098"/>
    <w:rsid w:val="009332D3"/>
    <w:rsid w:val="00935328"/>
    <w:rsid w:val="00935401"/>
    <w:rsid w:val="00936B4D"/>
    <w:rsid w:val="00936D85"/>
    <w:rsid w:val="009403CB"/>
    <w:rsid w:val="00940E5B"/>
    <w:rsid w:val="00941445"/>
    <w:rsid w:val="00944092"/>
    <w:rsid w:val="00946299"/>
    <w:rsid w:val="0094638F"/>
    <w:rsid w:val="009466A4"/>
    <w:rsid w:val="00946F37"/>
    <w:rsid w:val="00947330"/>
    <w:rsid w:val="00955B70"/>
    <w:rsid w:val="0095662D"/>
    <w:rsid w:val="00957769"/>
    <w:rsid w:val="00957E32"/>
    <w:rsid w:val="009615E6"/>
    <w:rsid w:val="00961D34"/>
    <w:rsid w:val="009630F6"/>
    <w:rsid w:val="009643C6"/>
    <w:rsid w:val="00971726"/>
    <w:rsid w:val="00971D6F"/>
    <w:rsid w:val="00972DD8"/>
    <w:rsid w:val="0097494A"/>
    <w:rsid w:val="00975A2D"/>
    <w:rsid w:val="00975FC3"/>
    <w:rsid w:val="009762C3"/>
    <w:rsid w:val="0097785F"/>
    <w:rsid w:val="009809FC"/>
    <w:rsid w:val="0098299E"/>
    <w:rsid w:val="00982AA4"/>
    <w:rsid w:val="00982E58"/>
    <w:rsid w:val="00982FBA"/>
    <w:rsid w:val="0098487C"/>
    <w:rsid w:val="00984C2B"/>
    <w:rsid w:val="00984FFB"/>
    <w:rsid w:val="00985E6B"/>
    <w:rsid w:val="00986267"/>
    <w:rsid w:val="00986C25"/>
    <w:rsid w:val="009905F1"/>
    <w:rsid w:val="00991024"/>
    <w:rsid w:val="00993DFA"/>
    <w:rsid w:val="00993E22"/>
    <w:rsid w:val="00997E70"/>
    <w:rsid w:val="009A1C72"/>
    <w:rsid w:val="009A1DFB"/>
    <w:rsid w:val="009A3154"/>
    <w:rsid w:val="009A341F"/>
    <w:rsid w:val="009A34E5"/>
    <w:rsid w:val="009A389D"/>
    <w:rsid w:val="009A3BFF"/>
    <w:rsid w:val="009A647E"/>
    <w:rsid w:val="009A6621"/>
    <w:rsid w:val="009B067C"/>
    <w:rsid w:val="009B13A0"/>
    <w:rsid w:val="009B2C8D"/>
    <w:rsid w:val="009B2F08"/>
    <w:rsid w:val="009B371B"/>
    <w:rsid w:val="009B4B46"/>
    <w:rsid w:val="009B7CBC"/>
    <w:rsid w:val="009C0F77"/>
    <w:rsid w:val="009C36F3"/>
    <w:rsid w:val="009C41D8"/>
    <w:rsid w:val="009C44C5"/>
    <w:rsid w:val="009C48C9"/>
    <w:rsid w:val="009D4A03"/>
    <w:rsid w:val="009D710A"/>
    <w:rsid w:val="009D74BC"/>
    <w:rsid w:val="009E0CAE"/>
    <w:rsid w:val="009E269C"/>
    <w:rsid w:val="009E2750"/>
    <w:rsid w:val="009E27B4"/>
    <w:rsid w:val="009E41F3"/>
    <w:rsid w:val="009E42F7"/>
    <w:rsid w:val="009E4CC9"/>
    <w:rsid w:val="009E53C6"/>
    <w:rsid w:val="009E6B01"/>
    <w:rsid w:val="009F5E5D"/>
    <w:rsid w:val="009F77A2"/>
    <w:rsid w:val="00A00F54"/>
    <w:rsid w:val="00A01528"/>
    <w:rsid w:val="00A047C6"/>
    <w:rsid w:val="00A058D9"/>
    <w:rsid w:val="00A06C04"/>
    <w:rsid w:val="00A06D49"/>
    <w:rsid w:val="00A07987"/>
    <w:rsid w:val="00A108BA"/>
    <w:rsid w:val="00A110EF"/>
    <w:rsid w:val="00A1291F"/>
    <w:rsid w:val="00A12C1B"/>
    <w:rsid w:val="00A13133"/>
    <w:rsid w:val="00A13153"/>
    <w:rsid w:val="00A1387C"/>
    <w:rsid w:val="00A13EAB"/>
    <w:rsid w:val="00A14CE0"/>
    <w:rsid w:val="00A15244"/>
    <w:rsid w:val="00A153C5"/>
    <w:rsid w:val="00A16EF0"/>
    <w:rsid w:val="00A22D49"/>
    <w:rsid w:val="00A25891"/>
    <w:rsid w:val="00A263C6"/>
    <w:rsid w:val="00A303CB"/>
    <w:rsid w:val="00A314DD"/>
    <w:rsid w:val="00A321C6"/>
    <w:rsid w:val="00A3241F"/>
    <w:rsid w:val="00A32AD4"/>
    <w:rsid w:val="00A33529"/>
    <w:rsid w:val="00A33BE7"/>
    <w:rsid w:val="00A33F59"/>
    <w:rsid w:val="00A346DD"/>
    <w:rsid w:val="00A36909"/>
    <w:rsid w:val="00A37905"/>
    <w:rsid w:val="00A37F61"/>
    <w:rsid w:val="00A40F01"/>
    <w:rsid w:val="00A42754"/>
    <w:rsid w:val="00A438B3"/>
    <w:rsid w:val="00A46946"/>
    <w:rsid w:val="00A46E1B"/>
    <w:rsid w:val="00A46F1D"/>
    <w:rsid w:val="00A474BF"/>
    <w:rsid w:val="00A47542"/>
    <w:rsid w:val="00A525F7"/>
    <w:rsid w:val="00A53C37"/>
    <w:rsid w:val="00A553F8"/>
    <w:rsid w:val="00A5586E"/>
    <w:rsid w:val="00A56ABF"/>
    <w:rsid w:val="00A5775A"/>
    <w:rsid w:val="00A60D85"/>
    <w:rsid w:val="00A64725"/>
    <w:rsid w:val="00A65462"/>
    <w:rsid w:val="00A700EF"/>
    <w:rsid w:val="00A703E5"/>
    <w:rsid w:val="00A72492"/>
    <w:rsid w:val="00A74C39"/>
    <w:rsid w:val="00A75868"/>
    <w:rsid w:val="00A76391"/>
    <w:rsid w:val="00A76E11"/>
    <w:rsid w:val="00A7772E"/>
    <w:rsid w:val="00A77BBF"/>
    <w:rsid w:val="00A80B27"/>
    <w:rsid w:val="00A81E2A"/>
    <w:rsid w:val="00A8444F"/>
    <w:rsid w:val="00A86B88"/>
    <w:rsid w:val="00A86CE3"/>
    <w:rsid w:val="00A94175"/>
    <w:rsid w:val="00AA014E"/>
    <w:rsid w:val="00AA149F"/>
    <w:rsid w:val="00AA1561"/>
    <w:rsid w:val="00AA1E07"/>
    <w:rsid w:val="00AA33DA"/>
    <w:rsid w:val="00AA3B0A"/>
    <w:rsid w:val="00AA3F44"/>
    <w:rsid w:val="00AA4374"/>
    <w:rsid w:val="00AA58B0"/>
    <w:rsid w:val="00AA6389"/>
    <w:rsid w:val="00AA64E5"/>
    <w:rsid w:val="00AA6C06"/>
    <w:rsid w:val="00AB1454"/>
    <w:rsid w:val="00AB1727"/>
    <w:rsid w:val="00AB3133"/>
    <w:rsid w:val="00AB4E9F"/>
    <w:rsid w:val="00AB62F8"/>
    <w:rsid w:val="00AC22AB"/>
    <w:rsid w:val="00AC2B7E"/>
    <w:rsid w:val="00AC2F43"/>
    <w:rsid w:val="00AC451C"/>
    <w:rsid w:val="00AD1E10"/>
    <w:rsid w:val="00AD2EF1"/>
    <w:rsid w:val="00AD4BCC"/>
    <w:rsid w:val="00AD5A92"/>
    <w:rsid w:val="00AE02A2"/>
    <w:rsid w:val="00AE0B11"/>
    <w:rsid w:val="00AE1BD7"/>
    <w:rsid w:val="00AE2767"/>
    <w:rsid w:val="00AE340B"/>
    <w:rsid w:val="00AE3EC3"/>
    <w:rsid w:val="00AE41A0"/>
    <w:rsid w:val="00AE4F91"/>
    <w:rsid w:val="00AE5B4A"/>
    <w:rsid w:val="00AE6A72"/>
    <w:rsid w:val="00AE7D92"/>
    <w:rsid w:val="00AF08E9"/>
    <w:rsid w:val="00AF0F8E"/>
    <w:rsid w:val="00AF12C3"/>
    <w:rsid w:val="00AF16A2"/>
    <w:rsid w:val="00AF3E34"/>
    <w:rsid w:val="00B00C4C"/>
    <w:rsid w:val="00B03E87"/>
    <w:rsid w:val="00B063E2"/>
    <w:rsid w:val="00B07EF4"/>
    <w:rsid w:val="00B11517"/>
    <w:rsid w:val="00B12B0E"/>
    <w:rsid w:val="00B17F0A"/>
    <w:rsid w:val="00B254AD"/>
    <w:rsid w:val="00B305F0"/>
    <w:rsid w:val="00B30901"/>
    <w:rsid w:val="00B30C5E"/>
    <w:rsid w:val="00B324DC"/>
    <w:rsid w:val="00B339C4"/>
    <w:rsid w:val="00B33EDF"/>
    <w:rsid w:val="00B34C35"/>
    <w:rsid w:val="00B40E79"/>
    <w:rsid w:val="00B41F6B"/>
    <w:rsid w:val="00B4215E"/>
    <w:rsid w:val="00B4242D"/>
    <w:rsid w:val="00B42E1B"/>
    <w:rsid w:val="00B46108"/>
    <w:rsid w:val="00B4610A"/>
    <w:rsid w:val="00B46E4C"/>
    <w:rsid w:val="00B50183"/>
    <w:rsid w:val="00B51419"/>
    <w:rsid w:val="00B51B74"/>
    <w:rsid w:val="00B52247"/>
    <w:rsid w:val="00B52AF9"/>
    <w:rsid w:val="00B54301"/>
    <w:rsid w:val="00B54FC9"/>
    <w:rsid w:val="00B561D7"/>
    <w:rsid w:val="00B56876"/>
    <w:rsid w:val="00B61E79"/>
    <w:rsid w:val="00B6203D"/>
    <w:rsid w:val="00B635A4"/>
    <w:rsid w:val="00B649F9"/>
    <w:rsid w:val="00B66203"/>
    <w:rsid w:val="00B67538"/>
    <w:rsid w:val="00B70699"/>
    <w:rsid w:val="00B7201F"/>
    <w:rsid w:val="00B740D8"/>
    <w:rsid w:val="00B74FCA"/>
    <w:rsid w:val="00B77E16"/>
    <w:rsid w:val="00B80C2A"/>
    <w:rsid w:val="00B81071"/>
    <w:rsid w:val="00B8174F"/>
    <w:rsid w:val="00B81B08"/>
    <w:rsid w:val="00B842A4"/>
    <w:rsid w:val="00B85EBA"/>
    <w:rsid w:val="00B86D74"/>
    <w:rsid w:val="00B86D95"/>
    <w:rsid w:val="00B86DE1"/>
    <w:rsid w:val="00B90481"/>
    <w:rsid w:val="00B90D08"/>
    <w:rsid w:val="00B91F2F"/>
    <w:rsid w:val="00B91F34"/>
    <w:rsid w:val="00B922F0"/>
    <w:rsid w:val="00B935C1"/>
    <w:rsid w:val="00B94292"/>
    <w:rsid w:val="00B950D8"/>
    <w:rsid w:val="00B951CE"/>
    <w:rsid w:val="00B951EB"/>
    <w:rsid w:val="00BA0E9E"/>
    <w:rsid w:val="00BA43D6"/>
    <w:rsid w:val="00BA66B2"/>
    <w:rsid w:val="00BB04A6"/>
    <w:rsid w:val="00BB07D7"/>
    <w:rsid w:val="00BB0B64"/>
    <w:rsid w:val="00BB16C6"/>
    <w:rsid w:val="00BB1851"/>
    <w:rsid w:val="00BB383A"/>
    <w:rsid w:val="00BB5F01"/>
    <w:rsid w:val="00BB60A5"/>
    <w:rsid w:val="00BC0336"/>
    <w:rsid w:val="00BC0433"/>
    <w:rsid w:val="00BC432F"/>
    <w:rsid w:val="00BC4CC8"/>
    <w:rsid w:val="00BC4D3E"/>
    <w:rsid w:val="00BC660B"/>
    <w:rsid w:val="00BC759D"/>
    <w:rsid w:val="00BC7745"/>
    <w:rsid w:val="00BC7AB6"/>
    <w:rsid w:val="00BC7EC5"/>
    <w:rsid w:val="00BD0977"/>
    <w:rsid w:val="00BD0D3E"/>
    <w:rsid w:val="00BD1202"/>
    <w:rsid w:val="00BD2319"/>
    <w:rsid w:val="00BD27F8"/>
    <w:rsid w:val="00BD3F2E"/>
    <w:rsid w:val="00BD4CEC"/>
    <w:rsid w:val="00BD5050"/>
    <w:rsid w:val="00BD67DE"/>
    <w:rsid w:val="00BD684B"/>
    <w:rsid w:val="00BD6AC0"/>
    <w:rsid w:val="00BD7112"/>
    <w:rsid w:val="00BD7ADC"/>
    <w:rsid w:val="00BD7DAB"/>
    <w:rsid w:val="00BE1761"/>
    <w:rsid w:val="00BE32A5"/>
    <w:rsid w:val="00BE3414"/>
    <w:rsid w:val="00BE3893"/>
    <w:rsid w:val="00BE3F28"/>
    <w:rsid w:val="00BE3F2B"/>
    <w:rsid w:val="00BE5310"/>
    <w:rsid w:val="00BF05A8"/>
    <w:rsid w:val="00BF12A8"/>
    <w:rsid w:val="00BF1551"/>
    <w:rsid w:val="00BF36B3"/>
    <w:rsid w:val="00BF55B6"/>
    <w:rsid w:val="00BF7794"/>
    <w:rsid w:val="00C00CFE"/>
    <w:rsid w:val="00C02CEF"/>
    <w:rsid w:val="00C03625"/>
    <w:rsid w:val="00C049FB"/>
    <w:rsid w:val="00C07B82"/>
    <w:rsid w:val="00C10469"/>
    <w:rsid w:val="00C1172E"/>
    <w:rsid w:val="00C12AB9"/>
    <w:rsid w:val="00C15A30"/>
    <w:rsid w:val="00C15EAF"/>
    <w:rsid w:val="00C174AA"/>
    <w:rsid w:val="00C21A63"/>
    <w:rsid w:val="00C22774"/>
    <w:rsid w:val="00C23477"/>
    <w:rsid w:val="00C24A58"/>
    <w:rsid w:val="00C2588C"/>
    <w:rsid w:val="00C25CCC"/>
    <w:rsid w:val="00C2652A"/>
    <w:rsid w:val="00C265DE"/>
    <w:rsid w:val="00C269F1"/>
    <w:rsid w:val="00C26E1B"/>
    <w:rsid w:val="00C30159"/>
    <w:rsid w:val="00C30D3B"/>
    <w:rsid w:val="00C31A5D"/>
    <w:rsid w:val="00C320D6"/>
    <w:rsid w:val="00C33661"/>
    <w:rsid w:val="00C3740F"/>
    <w:rsid w:val="00C40581"/>
    <w:rsid w:val="00C41B42"/>
    <w:rsid w:val="00C4313A"/>
    <w:rsid w:val="00C43985"/>
    <w:rsid w:val="00C44288"/>
    <w:rsid w:val="00C4440A"/>
    <w:rsid w:val="00C464DA"/>
    <w:rsid w:val="00C50B1C"/>
    <w:rsid w:val="00C510AB"/>
    <w:rsid w:val="00C5216E"/>
    <w:rsid w:val="00C526A6"/>
    <w:rsid w:val="00C5279E"/>
    <w:rsid w:val="00C534E1"/>
    <w:rsid w:val="00C53812"/>
    <w:rsid w:val="00C54017"/>
    <w:rsid w:val="00C550FD"/>
    <w:rsid w:val="00C5672F"/>
    <w:rsid w:val="00C569D7"/>
    <w:rsid w:val="00C57BD2"/>
    <w:rsid w:val="00C60722"/>
    <w:rsid w:val="00C6367C"/>
    <w:rsid w:val="00C65468"/>
    <w:rsid w:val="00C6598C"/>
    <w:rsid w:val="00C66C47"/>
    <w:rsid w:val="00C71231"/>
    <w:rsid w:val="00C718CD"/>
    <w:rsid w:val="00C73150"/>
    <w:rsid w:val="00C744C9"/>
    <w:rsid w:val="00C75102"/>
    <w:rsid w:val="00C817D6"/>
    <w:rsid w:val="00C82D0C"/>
    <w:rsid w:val="00C83D13"/>
    <w:rsid w:val="00C85275"/>
    <w:rsid w:val="00C85A8F"/>
    <w:rsid w:val="00C90B7F"/>
    <w:rsid w:val="00C90F39"/>
    <w:rsid w:val="00C91DE7"/>
    <w:rsid w:val="00C92095"/>
    <w:rsid w:val="00C92515"/>
    <w:rsid w:val="00C94E2D"/>
    <w:rsid w:val="00C95AC9"/>
    <w:rsid w:val="00C95BCB"/>
    <w:rsid w:val="00C95BFF"/>
    <w:rsid w:val="00C9732C"/>
    <w:rsid w:val="00C974D4"/>
    <w:rsid w:val="00CA73D7"/>
    <w:rsid w:val="00CB0E1E"/>
    <w:rsid w:val="00CB20B0"/>
    <w:rsid w:val="00CB2555"/>
    <w:rsid w:val="00CB5C32"/>
    <w:rsid w:val="00CB5CD3"/>
    <w:rsid w:val="00CB5E57"/>
    <w:rsid w:val="00CB7A6F"/>
    <w:rsid w:val="00CC2FB5"/>
    <w:rsid w:val="00CC5999"/>
    <w:rsid w:val="00CC620E"/>
    <w:rsid w:val="00CC723C"/>
    <w:rsid w:val="00CC75F9"/>
    <w:rsid w:val="00CC7750"/>
    <w:rsid w:val="00CD09A4"/>
    <w:rsid w:val="00CD0E65"/>
    <w:rsid w:val="00CD10F7"/>
    <w:rsid w:val="00CD2020"/>
    <w:rsid w:val="00CD409D"/>
    <w:rsid w:val="00CD4B38"/>
    <w:rsid w:val="00CD53ED"/>
    <w:rsid w:val="00CD582C"/>
    <w:rsid w:val="00CD74C7"/>
    <w:rsid w:val="00CE0F85"/>
    <w:rsid w:val="00CE119C"/>
    <w:rsid w:val="00CE3EAA"/>
    <w:rsid w:val="00CE577D"/>
    <w:rsid w:val="00CE670D"/>
    <w:rsid w:val="00CF062A"/>
    <w:rsid w:val="00CF11B3"/>
    <w:rsid w:val="00CF2721"/>
    <w:rsid w:val="00CF456C"/>
    <w:rsid w:val="00CF5DEB"/>
    <w:rsid w:val="00CF68DE"/>
    <w:rsid w:val="00CF72E9"/>
    <w:rsid w:val="00CF74E2"/>
    <w:rsid w:val="00D00D7E"/>
    <w:rsid w:val="00D00E9B"/>
    <w:rsid w:val="00D02D5E"/>
    <w:rsid w:val="00D0315E"/>
    <w:rsid w:val="00D0330D"/>
    <w:rsid w:val="00D03C0F"/>
    <w:rsid w:val="00D04E11"/>
    <w:rsid w:val="00D1010A"/>
    <w:rsid w:val="00D12939"/>
    <w:rsid w:val="00D1391B"/>
    <w:rsid w:val="00D1624F"/>
    <w:rsid w:val="00D20A66"/>
    <w:rsid w:val="00D21777"/>
    <w:rsid w:val="00D225B0"/>
    <w:rsid w:val="00D22854"/>
    <w:rsid w:val="00D23836"/>
    <w:rsid w:val="00D241E2"/>
    <w:rsid w:val="00D257A4"/>
    <w:rsid w:val="00D26A8F"/>
    <w:rsid w:val="00D325D0"/>
    <w:rsid w:val="00D33951"/>
    <w:rsid w:val="00D34004"/>
    <w:rsid w:val="00D34302"/>
    <w:rsid w:val="00D36B44"/>
    <w:rsid w:val="00D37DB1"/>
    <w:rsid w:val="00D405FC"/>
    <w:rsid w:val="00D41BA2"/>
    <w:rsid w:val="00D42384"/>
    <w:rsid w:val="00D42875"/>
    <w:rsid w:val="00D43896"/>
    <w:rsid w:val="00D45C5F"/>
    <w:rsid w:val="00D50EF0"/>
    <w:rsid w:val="00D538B5"/>
    <w:rsid w:val="00D54B4A"/>
    <w:rsid w:val="00D55C02"/>
    <w:rsid w:val="00D56BB9"/>
    <w:rsid w:val="00D61C25"/>
    <w:rsid w:val="00D62CC9"/>
    <w:rsid w:val="00D64DEC"/>
    <w:rsid w:val="00D65B96"/>
    <w:rsid w:val="00D6645A"/>
    <w:rsid w:val="00D707B3"/>
    <w:rsid w:val="00D71F7F"/>
    <w:rsid w:val="00D729A6"/>
    <w:rsid w:val="00D744AC"/>
    <w:rsid w:val="00D75179"/>
    <w:rsid w:val="00D76765"/>
    <w:rsid w:val="00D7724D"/>
    <w:rsid w:val="00D7796E"/>
    <w:rsid w:val="00D77EAE"/>
    <w:rsid w:val="00D80DD9"/>
    <w:rsid w:val="00D828A0"/>
    <w:rsid w:val="00D82FAF"/>
    <w:rsid w:val="00D83353"/>
    <w:rsid w:val="00D84790"/>
    <w:rsid w:val="00D936AC"/>
    <w:rsid w:val="00D93F71"/>
    <w:rsid w:val="00D943DC"/>
    <w:rsid w:val="00D94910"/>
    <w:rsid w:val="00D94FF1"/>
    <w:rsid w:val="00D9517B"/>
    <w:rsid w:val="00D952E7"/>
    <w:rsid w:val="00DA0EE7"/>
    <w:rsid w:val="00DA1178"/>
    <w:rsid w:val="00DA133A"/>
    <w:rsid w:val="00DA1853"/>
    <w:rsid w:val="00DA2B4C"/>
    <w:rsid w:val="00DA33DB"/>
    <w:rsid w:val="00DA3756"/>
    <w:rsid w:val="00DA39C5"/>
    <w:rsid w:val="00DA672A"/>
    <w:rsid w:val="00DA708A"/>
    <w:rsid w:val="00DA7117"/>
    <w:rsid w:val="00DB1167"/>
    <w:rsid w:val="00DB26FB"/>
    <w:rsid w:val="00DB2CEA"/>
    <w:rsid w:val="00DB51B3"/>
    <w:rsid w:val="00DB5E0F"/>
    <w:rsid w:val="00DC0FBB"/>
    <w:rsid w:val="00DC12BC"/>
    <w:rsid w:val="00DC15CF"/>
    <w:rsid w:val="00DC15ED"/>
    <w:rsid w:val="00DC2299"/>
    <w:rsid w:val="00DC23FC"/>
    <w:rsid w:val="00DC27B0"/>
    <w:rsid w:val="00DC2E6E"/>
    <w:rsid w:val="00DC3704"/>
    <w:rsid w:val="00DC4350"/>
    <w:rsid w:val="00DC513A"/>
    <w:rsid w:val="00DC6175"/>
    <w:rsid w:val="00DC637B"/>
    <w:rsid w:val="00DC6EA0"/>
    <w:rsid w:val="00DC770C"/>
    <w:rsid w:val="00DD0F99"/>
    <w:rsid w:val="00DD1090"/>
    <w:rsid w:val="00DD2ADA"/>
    <w:rsid w:val="00DD30B2"/>
    <w:rsid w:val="00DD3438"/>
    <w:rsid w:val="00DD5C2C"/>
    <w:rsid w:val="00DD6DE7"/>
    <w:rsid w:val="00DD78C8"/>
    <w:rsid w:val="00DE0043"/>
    <w:rsid w:val="00DE0A4B"/>
    <w:rsid w:val="00DE3995"/>
    <w:rsid w:val="00DE6192"/>
    <w:rsid w:val="00DE7474"/>
    <w:rsid w:val="00DE7E8F"/>
    <w:rsid w:val="00DF0EB0"/>
    <w:rsid w:val="00DF2577"/>
    <w:rsid w:val="00DF6FFD"/>
    <w:rsid w:val="00DF7F37"/>
    <w:rsid w:val="00E02403"/>
    <w:rsid w:val="00E027E8"/>
    <w:rsid w:val="00E05220"/>
    <w:rsid w:val="00E06871"/>
    <w:rsid w:val="00E07201"/>
    <w:rsid w:val="00E075CE"/>
    <w:rsid w:val="00E1041B"/>
    <w:rsid w:val="00E13512"/>
    <w:rsid w:val="00E154C3"/>
    <w:rsid w:val="00E2010C"/>
    <w:rsid w:val="00E2042C"/>
    <w:rsid w:val="00E2195C"/>
    <w:rsid w:val="00E21BD0"/>
    <w:rsid w:val="00E21E4A"/>
    <w:rsid w:val="00E2256F"/>
    <w:rsid w:val="00E26609"/>
    <w:rsid w:val="00E300F1"/>
    <w:rsid w:val="00E32D9C"/>
    <w:rsid w:val="00E33744"/>
    <w:rsid w:val="00E33CA9"/>
    <w:rsid w:val="00E355FA"/>
    <w:rsid w:val="00E36ACB"/>
    <w:rsid w:val="00E3714A"/>
    <w:rsid w:val="00E37174"/>
    <w:rsid w:val="00E404D6"/>
    <w:rsid w:val="00E40793"/>
    <w:rsid w:val="00E41153"/>
    <w:rsid w:val="00E412E8"/>
    <w:rsid w:val="00E41677"/>
    <w:rsid w:val="00E42527"/>
    <w:rsid w:val="00E430A3"/>
    <w:rsid w:val="00E466E5"/>
    <w:rsid w:val="00E47A88"/>
    <w:rsid w:val="00E50DB3"/>
    <w:rsid w:val="00E54306"/>
    <w:rsid w:val="00E56B15"/>
    <w:rsid w:val="00E60808"/>
    <w:rsid w:val="00E6094F"/>
    <w:rsid w:val="00E618D5"/>
    <w:rsid w:val="00E62D7E"/>
    <w:rsid w:val="00E640D2"/>
    <w:rsid w:val="00E64C44"/>
    <w:rsid w:val="00E67F80"/>
    <w:rsid w:val="00E71FFF"/>
    <w:rsid w:val="00E73ECC"/>
    <w:rsid w:val="00E749D4"/>
    <w:rsid w:val="00E758A1"/>
    <w:rsid w:val="00E765CD"/>
    <w:rsid w:val="00E7721C"/>
    <w:rsid w:val="00E77426"/>
    <w:rsid w:val="00E77B0B"/>
    <w:rsid w:val="00E802A1"/>
    <w:rsid w:val="00E82446"/>
    <w:rsid w:val="00E82977"/>
    <w:rsid w:val="00E83882"/>
    <w:rsid w:val="00E838BE"/>
    <w:rsid w:val="00E84324"/>
    <w:rsid w:val="00E858E0"/>
    <w:rsid w:val="00E914EB"/>
    <w:rsid w:val="00E91DC0"/>
    <w:rsid w:val="00E926BB"/>
    <w:rsid w:val="00E93B9A"/>
    <w:rsid w:val="00E97680"/>
    <w:rsid w:val="00E97CA3"/>
    <w:rsid w:val="00EA05C9"/>
    <w:rsid w:val="00EA24C3"/>
    <w:rsid w:val="00EA4155"/>
    <w:rsid w:val="00EA429E"/>
    <w:rsid w:val="00EA6AE2"/>
    <w:rsid w:val="00EB034D"/>
    <w:rsid w:val="00EB16CF"/>
    <w:rsid w:val="00EB21C9"/>
    <w:rsid w:val="00EB2EE9"/>
    <w:rsid w:val="00EB3216"/>
    <w:rsid w:val="00EB3A2B"/>
    <w:rsid w:val="00EB6539"/>
    <w:rsid w:val="00EB6697"/>
    <w:rsid w:val="00EC0703"/>
    <w:rsid w:val="00EC401B"/>
    <w:rsid w:val="00EC5B15"/>
    <w:rsid w:val="00ED2F70"/>
    <w:rsid w:val="00ED316F"/>
    <w:rsid w:val="00ED47EC"/>
    <w:rsid w:val="00ED709C"/>
    <w:rsid w:val="00ED7456"/>
    <w:rsid w:val="00ED7F42"/>
    <w:rsid w:val="00EE1262"/>
    <w:rsid w:val="00EE265E"/>
    <w:rsid w:val="00EE280D"/>
    <w:rsid w:val="00EE385A"/>
    <w:rsid w:val="00EE6872"/>
    <w:rsid w:val="00EE6E7C"/>
    <w:rsid w:val="00EE7BA6"/>
    <w:rsid w:val="00EF4A8B"/>
    <w:rsid w:val="00EF64BE"/>
    <w:rsid w:val="00EF6CF6"/>
    <w:rsid w:val="00EF6DC3"/>
    <w:rsid w:val="00F00978"/>
    <w:rsid w:val="00F01E45"/>
    <w:rsid w:val="00F03DC7"/>
    <w:rsid w:val="00F05E94"/>
    <w:rsid w:val="00F07317"/>
    <w:rsid w:val="00F106B7"/>
    <w:rsid w:val="00F10F26"/>
    <w:rsid w:val="00F112A8"/>
    <w:rsid w:val="00F117F4"/>
    <w:rsid w:val="00F122C0"/>
    <w:rsid w:val="00F12951"/>
    <w:rsid w:val="00F134C8"/>
    <w:rsid w:val="00F13AD1"/>
    <w:rsid w:val="00F14A72"/>
    <w:rsid w:val="00F15458"/>
    <w:rsid w:val="00F1592D"/>
    <w:rsid w:val="00F17918"/>
    <w:rsid w:val="00F17D4C"/>
    <w:rsid w:val="00F21976"/>
    <w:rsid w:val="00F23E06"/>
    <w:rsid w:val="00F2750E"/>
    <w:rsid w:val="00F27836"/>
    <w:rsid w:val="00F27FC0"/>
    <w:rsid w:val="00F304F2"/>
    <w:rsid w:val="00F31B40"/>
    <w:rsid w:val="00F3221C"/>
    <w:rsid w:val="00F34894"/>
    <w:rsid w:val="00F407F6"/>
    <w:rsid w:val="00F416BF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51467"/>
    <w:rsid w:val="00F51F39"/>
    <w:rsid w:val="00F529F2"/>
    <w:rsid w:val="00F52DDA"/>
    <w:rsid w:val="00F551FA"/>
    <w:rsid w:val="00F55396"/>
    <w:rsid w:val="00F553EF"/>
    <w:rsid w:val="00F575A4"/>
    <w:rsid w:val="00F604BA"/>
    <w:rsid w:val="00F614A1"/>
    <w:rsid w:val="00F63151"/>
    <w:rsid w:val="00F65203"/>
    <w:rsid w:val="00F663F8"/>
    <w:rsid w:val="00F66EB5"/>
    <w:rsid w:val="00F72194"/>
    <w:rsid w:val="00F72B0C"/>
    <w:rsid w:val="00F72FD4"/>
    <w:rsid w:val="00F7357D"/>
    <w:rsid w:val="00F7419D"/>
    <w:rsid w:val="00F75BEE"/>
    <w:rsid w:val="00F75FCC"/>
    <w:rsid w:val="00F772F5"/>
    <w:rsid w:val="00F77D1F"/>
    <w:rsid w:val="00F77DC0"/>
    <w:rsid w:val="00F8233A"/>
    <w:rsid w:val="00F825E1"/>
    <w:rsid w:val="00F82848"/>
    <w:rsid w:val="00F83402"/>
    <w:rsid w:val="00F83B09"/>
    <w:rsid w:val="00F86251"/>
    <w:rsid w:val="00F92CFC"/>
    <w:rsid w:val="00F93CAD"/>
    <w:rsid w:val="00F93DAF"/>
    <w:rsid w:val="00F95688"/>
    <w:rsid w:val="00F96518"/>
    <w:rsid w:val="00F970BE"/>
    <w:rsid w:val="00F97375"/>
    <w:rsid w:val="00FA0A87"/>
    <w:rsid w:val="00FA2822"/>
    <w:rsid w:val="00FA59F5"/>
    <w:rsid w:val="00FA791F"/>
    <w:rsid w:val="00FB0E8B"/>
    <w:rsid w:val="00FB396D"/>
    <w:rsid w:val="00FB53E2"/>
    <w:rsid w:val="00FC0FA2"/>
    <w:rsid w:val="00FC29A4"/>
    <w:rsid w:val="00FC5A8C"/>
    <w:rsid w:val="00FD03FA"/>
    <w:rsid w:val="00FD07CB"/>
    <w:rsid w:val="00FD0889"/>
    <w:rsid w:val="00FD0D93"/>
    <w:rsid w:val="00FD15C5"/>
    <w:rsid w:val="00FD2D0B"/>
    <w:rsid w:val="00FD4218"/>
    <w:rsid w:val="00FD5775"/>
    <w:rsid w:val="00FD5BEE"/>
    <w:rsid w:val="00FD6AEE"/>
    <w:rsid w:val="00FD7913"/>
    <w:rsid w:val="00FE1CCB"/>
    <w:rsid w:val="00FE2956"/>
    <w:rsid w:val="00FE2CC8"/>
    <w:rsid w:val="00FE2F96"/>
    <w:rsid w:val="00FE452F"/>
    <w:rsid w:val="00FE50E9"/>
    <w:rsid w:val="00FE61B8"/>
    <w:rsid w:val="00FE71F0"/>
    <w:rsid w:val="00FF0A58"/>
    <w:rsid w:val="00FF2742"/>
    <w:rsid w:val="00FF42E8"/>
    <w:rsid w:val="00FF4B84"/>
    <w:rsid w:val="00FF504D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78D28"/>
  <w15:docId w15:val="{8FB274E9-A511-4A13-B805-6031FD9BC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184E2C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ovanorme.salute.gov.it/norme/renderNormsanPdf?anno=2021&amp;codLeg=83176&amp;parte=1%20&amp;serie=null" TargetMode="External"/><Relationship Id="rId13" Type="http://schemas.openxmlformats.org/officeDocument/2006/relationships/hyperlink" Target="https://coronavirus.gimbe.or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assets.publishing.service.gov.uk/government/uploads/system/uploads/attachment_data/file/1028113/Technical_Briefing_26.pdf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www.fda.gov/news-events/press-announcements/coronavirus-covid-19-update-fda-takes-additional-actions-use-booster-dose-covid-19-vaccines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ma.europa.eu/en/news/spikevax-ema-recommendation-booster" TargetMode="External"/><Relationship Id="rId14" Type="http://schemas.openxmlformats.org/officeDocument/2006/relationships/hyperlink" Target="mailto:ufficio.stampa@gimbe.org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2955DE-87CD-41DD-83CF-94D35E34D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1647</Words>
  <Characters>9391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3</cp:revision>
  <cp:lastPrinted>2021-10-20T13:41:00Z</cp:lastPrinted>
  <dcterms:created xsi:type="dcterms:W3CDTF">2021-10-28T06:28:00Z</dcterms:created>
  <dcterms:modified xsi:type="dcterms:W3CDTF">2021-10-28T08:09:00Z</dcterms:modified>
</cp:coreProperties>
</file>