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FE75" w14:textId="4DB4B3F9" w:rsidR="008D3BD7" w:rsidRPr="008D3BD7" w:rsidRDefault="00B53355" w:rsidP="00E96D96">
      <w:pPr>
        <w:spacing w:after="0" w:line="276" w:lineRule="auto"/>
        <w:jc w:val="center"/>
        <w:rPr>
          <w:rFonts w:eastAsia="Times New Roman" w:cs="Calibri"/>
          <w:b/>
          <w:bCs/>
          <w:color w:val="auto"/>
          <w:sz w:val="36"/>
          <w:szCs w:val="36"/>
          <w:bdr w:val="none" w:sz="0" w:space="0" w:color="auto"/>
        </w:rPr>
      </w:pPr>
      <w:r w:rsidRPr="00636A1A">
        <w:rPr>
          <w:b/>
          <w:bCs/>
          <w:color w:val="auto"/>
          <w:sz w:val="36"/>
          <w:szCs w:val="33"/>
        </w:rPr>
        <w:t>COMUNICATO STAMPA</w:t>
      </w:r>
      <w:r w:rsidRPr="00636A1A">
        <w:rPr>
          <w:b/>
          <w:bCs/>
          <w:color w:val="auto"/>
          <w:sz w:val="36"/>
          <w:szCs w:val="33"/>
        </w:rPr>
        <w:br/>
      </w:r>
      <w:r w:rsidR="00E96D96" w:rsidRPr="00AD5DE9">
        <w:rPr>
          <w:rFonts w:eastAsia="Times New Roman" w:cs="Calibri"/>
          <w:b/>
          <w:bCs/>
          <w:color w:val="auto"/>
          <w:sz w:val="36"/>
          <w:szCs w:val="36"/>
          <w:bdr w:val="none" w:sz="0" w:space="0" w:color="auto"/>
        </w:rPr>
        <w:t>CORONAVIRUS: +34% CONTAGI IN UNA SETTIMANA</w:t>
      </w:r>
      <w:r w:rsidR="00646262">
        <w:rPr>
          <w:rFonts w:eastAsia="Times New Roman" w:cs="Calibri"/>
          <w:b/>
          <w:bCs/>
          <w:color w:val="auto"/>
          <w:sz w:val="36"/>
          <w:szCs w:val="36"/>
          <w:bdr w:val="none" w:sz="0" w:space="0" w:color="auto"/>
        </w:rPr>
        <w:t>,</w:t>
      </w:r>
      <w:r w:rsidR="00E96D96">
        <w:rPr>
          <w:rFonts w:eastAsia="Times New Roman" w:cs="Calibri"/>
          <w:b/>
          <w:bCs/>
          <w:color w:val="auto"/>
          <w:sz w:val="36"/>
          <w:szCs w:val="36"/>
          <w:bdr w:val="none" w:sz="0" w:space="0" w:color="auto"/>
        </w:rPr>
        <w:t xml:space="preserve"> </w:t>
      </w:r>
      <w:r w:rsidR="00646262">
        <w:rPr>
          <w:rFonts w:eastAsia="Times New Roman" w:cs="Calibri"/>
          <w:b/>
          <w:bCs/>
          <w:color w:val="auto"/>
          <w:sz w:val="36"/>
          <w:szCs w:val="36"/>
          <w:bdr w:val="none" w:sz="0" w:space="0" w:color="auto"/>
        </w:rPr>
        <w:br/>
      </w:r>
      <w:r w:rsidR="00E96D96" w:rsidRPr="00AD5DE9">
        <w:rPr>
          <w:rFonts w:eastAsia="Times New Roman" w:cs="Calibri"/>
          <w:b/>
          <w:bCs/>
          <w:color w:val="auto"/>
          <w:sz w:val="36"/>
          <w:szCs w:val="36"/>
          <w:bdr w:val="none" w:sz="0" w:space="0" w:color="auto"/>
        </w:rPr>
        <w:t>TORNANO A SALIRE I RICOVERI O</w:t>
      </w:r>
      <w:bookmarkStart w:id="0" w:name="_GoBack"/>
      <w:bookmarkEnd w:id="0"/>
      <w:r w:rsidR="00E96D96" w:rsidRPr="00AD5DE9">
        <w:rPr>
          <w:rFonts w:eastAsia="Times New Roman" w:cs="Calibri"/>
          <w:b/>
          <w:bCs/>
          <w:color w:val="auto"/>
          <w:sz w:val="36"/>
          <w:szCs w:val="36"/>
          <w:bdr w:val="none" w:sz="0" w:space="0" w:color="auto"/>
        </w:rPr>
        <w:t xml:space="preserve">RDINARI (+4,5%). </w:t>
      </w:r>
      <w:r w:rsidR="00E96D96">
        <w:rPr>
          <w:rFonts w:eastAsia="Times New Roman" w:cs="Calibri"/>
          <w:b/>
          <w:bCs/>
          <w:color w:val="auto"/>
          <w:sz w:val="36"/>
          <w:szCs w:val="36"/>
          <w:bdr w:val="none" w:sz="0" w:space="0" w:color="auto"/>
        </w:rPr>
        <w:br/>
      </w:r>
      <w:r w:rsidR="00E96D96" w:rsidRPr="00AD5DE9">
        <w:rPr>
          <w:rFonts w:eastAsia="Times New Roman" w:cs="Calibri"/>
          <w:b/>
          <w:bCs/>
          <w:color w:val="auto"/>
          <w:sz w:val="36"/>
          <w:szCs w:val="36"/>
          <w:bdr w:val="none" w:sz="0" w:space="0" w:color="auto"/>
        </w:rPr>
        <w:t xml:space="preserve">IN CALO </w:t>
      </w:r>
      <w:r w:rsidR="0028306E" w:rsidRPr="00AD5DE9">
        <w:rPr>
          <w:rFonts w:eastAsia="Times New Roman" w:cs="Calibri"/>
          <w:b/>
          <w:bCs/>
          <w:color w:val="auto"/>
          <w:sz w:val="36"/>
          <w:szCs w:val="36"/>
          <w:bdr w:val="none" w:sz="0" w:space="0" w:color="auto"/>
        </w:rPr>
        <w:t>TERAPIE INTENSIVE (-14,7%)</w:t>
      </w:r>
      <w:r w:rsidR="0028306E">
        <w:rPr>
          <w:rFonts w:eastAsia="Times New Roman" w:cs="Calibri"/>
          <w:b/>
          <w:bCs/>
          <w:color w:val="auto"/>
          <w:sz w:val="36"/>
          <w:szCs w:val="36"/>
          <w:bdr w:val="none" w:sz="0" w:space="0" w:color="auto"/>
        </w:rPr>
        <w:t xml:space="preserve"> E </w:t>
      </w:r>
      <w:r w:rsidR="00E96D96" w:rsidRPr="00AD5DE9">
        <w:rPr>
          <w:rFonts w:eastAsia="Times New Roman" w:cs="Calibri"/>
          <w:b/>
          <w:bCs/>
          <w:color w:val="auto"/>
          <w:sz w:val="36"/>
          <w:szCs w:val="36"/>
          <w:bdr w:val="none" w:sz="0" w:space="0" w:color="auto"/>
        </w:rPr>
        <w:t>DECESSI (-8,1%)</w:t>
      </w:r>
      <w:r w:rsidR="0028306E">
        <w:rPr>
          <w:rFonts w:eastAsia="Times New Roman" w:cs="Calibri"/>
          <w:b/>
          <w:bCs/>
          <w:color w:val="auto"/>
          <w:sz w:val="36"/>
          <w:szCs w:val="36"/>
          <w:bdr w:val="none" w:sz="0" w:space="0" w:color="auto"/>
        </w:rPr>
        <w:t>.</w:t>
      </w:r>
      <w:r w:rsidR="00E96D96">
        <w:rPr>
          <w:rFonts w:eastAsia="Times New Roman" w:cs="Calibri"/>
          <w:b/>
          <w:bCs/>
          <w:color w:val="auto"/>
          <w:sz w:val="36"/>
          <w:szCs w:val="36"/>
          <w:bdr w:val="none" w:sz="0" w:space="0" w:color="auto"/>
        </w:rPr>
        <w:br/>
      </w:r>
      <w:r w:rsidR="0028306E">
        <w:rPr>
          <w:rFonts w:eastAsia="Times New Roman" w:cs="Calibri"/>
          <w:b/>
          <w:bCs/>
          <w:color w:val="auto"/>
          <w:sz w:val="36"/>
          <w:szCs w:val="36"/>
          <w:bdr w:val="none" w:sz="0" w:space="0" w:color="auto"/>
        </w:rPr>
        <w:t xml:space="preserve">NON DECOLLANO LE </w:t>
      </w:r>
      <w:r w:rsidR="00E96D96" w:rsidRPr="008D3BD7">
        <w:rPr>
          <w:rFonts w:eastAsia="Times New Roman" w:cs="Calibri"/>
          <w:b/>
          <w:bCs/>
          <w:color w:val="auto"/>
          <w:sz w:val="36"/>
          <w:szCs w:val="36"/>
          <w:bdr w:val="none" w:sz="0" w:space="0" w:color="auto"/>
        </w:rPr>
        <w:t>QUARTE DOSI</w:t>
      </w:r>
      <w:r w:rsidR="0028306E">
        <w:rPr>
          <w:rFonts w:eastAsia="Times New Roman" w:cs="Calibri"/>
          <w:b/>
          <w:bCs/>
          <w:color w:val="auto"/>
          <w:sz w:val="36"/>
          <w:szCs w:val="36"/>
          <w:bdr w:val="none" w:sz="0" w:space="0" w:color="auto"/>
        </w:rPr>
        <w:t>: COPERTURA</w:t>
      </w:r>
      <w:r w:rsidR="00E96D96" w:rsidRPr="008D3BD7">
        <w:rPr>
          <w:rFonts w:eastAsia="Times New Roman" w:cs="Calibri"/>
          <w:b/>
          <w:bCs/>
          <w:color w:val="auto"/>
          <w:sz w:val="36"/>
          <w:szCs w:val="36"/>
          <w:bdr w:val="none" w:sz="0" w:space="0" w:color="auto"/>
        </w:rPr>
        <w:t xml:space="preserve"> SOLO AL 17%.</w:t>
      </w:r>
    </w:p>
    <w:p w14:paraId="199B9D42" w14:textId="347A154D" w:rsidR="00E96D96" w:rsidRPr="008D3BD7" w:rsidRDefault="00741649" w:rsidP="00E96D96">
      <w:pPr>
        <w:spacing w:after="0" w:line="276" w:lineRule="auto"/>
        <w:jc w:val="center"/>
        <w:rPr>
          <w:b/>
          <w:bCs/>
          <w:caps/>
          <w:color w:val="auto"/>
          <w:sz w:val="36"/>
          <w:szCs w:val="36"/>
        </w:rPr>
      </w:pPr>
      <w:r>
        <w:rPr>
          <w:rFonts w:eastAsia="Times New Roman" w:cs="Calibri"/>
          <w:b/>
          <w:bCs/>
          <w:color w:val="auto"/>
          <w:sz w:val="36"/>
          <w:szCs w:val="36"/>
          <w:bdr w:val="none" w:sz="0" w:space="0" w:color="auto"/>
        </w:rPr>
        <w:t>CHIAMATA PER IL NUOVO</w:t>
      </w:r>
      <w:r w:rsidR="008D3BD7" w:rsidRPr="008D3BD7">
        <w:rPr>
          <w:rFonts w:eastAsia="Times New Roman" w:cs="Calibri"/>
          <w:b/>
          <w:bCs/>
          <w:color w:val="auto"/>
          <w:sz w:val="36"/>
          <w:szCs w:val="36"/>
          <w:bdr w:val="none" w:sz="0" w:space="0" w:color="auto"/>
        </w:rPr>
        <w:t xml:space="preserve"> ESECUTIVO: </w:t>
      </w:r>
      <w:r>
        <w:rPr>
          <w:rFonts w:eastAsia="Times New Roman" w:cs="Calibri"/>
          <w:b/>
          <w:bCs/>
          <w:color w:val="auto"/>
          <w:sz w:val="36"/>
          <w:szCs w:val="36"/>
          <w:bdr w:val="none" w:sz="0" w:space="0" w:color="auto"/>
        </w:rPr>
        <w:t xml:space="preserve">SERVONO </w:t>
      </w:r>
      <w:r w:rsidR="008D3BD7" w:rsidRPr="008D3BD7">
        <w:rPr>
          <w:rFonts w:eastAsia="Times New Roman" w:cs="Calibri"/>
          <w:b/>
          <w:bCs/>
          <w:color w:val="auto"/>
          <w:sz w:val="36"/>
          <w:szCs w:val="36"/>
          <w:bdr w:val="none" w:sz="0" w:space="0" w:color="auto"/>
        </w:rPr>
        <w:t>RACCOMANDAZIONI</w:t>
      </w:r>
      <w:r w:rsidR="00E96D96" w:rsidRPr="008D3BD7">
        <w:rPr>
          <w:rFonts w:eastAsia="Times New Roman" w:cs="Calibri"/>
          <w:b/>
          <w:bCs/>
          <w:color w:val="auto"/>
          <w:sz w:val="36"/>
          <w:szCs w:val="36"/>
          <w:bdr w:val="none" w:sz="0" w:space="0" w:color="auto"/>
        </w:rPr>
        <w:t xml:space="preserve"> </w:t>
      </w:r>
      <w:r w:rsidR="006878E8">
        <w:rPr>
          <w:rFonts w:eastAsia="Times New Roman" w:cs="Calibri"/>
          <w:b/>
          <w:bCs/>
          <w:color w:val="auto"/>
          <w:sz w:val="36"/>
          <w:szCs w:val="36"/>
          <w:bdr w:val="none" w:sz="0" w:space="0" w:color="auto"/>
        </w:rPr>
        <w:t xml:space="preserve">CHIARE </w:t>
      </w:r>
      <w:r w:rsidR="008D3BD7" w:rsidRPr="008D3BD7">
        <w:rPr>
          <w:rFonts w:eastAsia="Times New Roman" w:cs="Calibri"/>
          <w:b/>
          <w:bCs/>
          <w:color w:val="auto"/>
          <w:sz w:val="36"/>
          <w:szCs w:val="36"/>
          <w:bdr w:val="none" w:sz="0" w:space="0" w:color="auto"/>
        </w:rPr>
        <w:t xml:space="preserve">PER CONTRASTARE </w:t>
      </w:r>
      <w:r>
        <w:rPr>
          <w:rFonts w:eastAsia="Times New Roman" w:cs="Calibri"/>
          <w:b/>
          <w:bCs/>
          <w:color w:val="auto"/>
          <w:sz w:val="36"/>
          <w:szCs w:val="36"/>
          <w:bdr w:val="none" w:sz="0" w:space="0" w:color="auto"/>
        </w:rPr>
        <w:t>LA PANDEMIA</w:t>
      </w:r>
    </w:p>
    <w:p w14:paraId="01EC9CC9" w14:textId="352DE539" w:rsidR="00E96D96" w:rsidRPr="001D26EF" w:rsidRDefault="00E96D96" w:rsidP="00E96D96">
      <w:pPr>
        <w:spacing w:after="200" w:line="276" w:lineRule="auto"/>
        <w:jc w:val="both"/>
        <w:rPr>
          <w:b/>
          <w:bCs/>
          <w:color w:val="FF0000"/>
        </w:rPr>
      </w:pPr>
      <w:r w:rsidRPr="0024517F">
        <w:rPr>
          <w:b/>
          <w:bCs/>
          <w:color w:val="auto"/>
        </w:rPr>
        <w:t xml:space="preserve">IL MONITORAGGIO DELLA FONDAZIONE GIMBE RILEVA, NELLA SETTIMANA 21-27 SETTEMBRE, UN AUMENTO DEI NUOVI CASI (160.829 </w:t>
      </w:r>
      <w:r w:rsidR="00261A98">
        <w:rPr>
          <w:b/>
          <w:bCs/>
          <w:color w:val="auto"/>
        </w:rPr>
        <w:t>VS</w:t>
      </w:r>
      <w:r w:rsidR="00261A98" w:rsidRPr="0024517F">
        <w:rPr>
          <w:b/>
          <w:bCs/>
          <w:color w:val="auto"/>
        </w:rPr>
        <w:t xml:space="preserve"> </w:t>
      </w:r>
      <w:r w:rsidRPr="0024517F">
        <w:rPr>
          <w:b/>
          <w:bCs/>
          <w:color w:val="auto"/>
        </w:rPr>
        <w:t>120.057)</w:t>
      </w:r>
      <w:r>
        <w:rPr>
          <w:b/>
          <w:bCs/>
          <w:color w:val="auto"/>
        </w:rPr>
        <w:t xml:space="preserve"> CHE </w:t>
      </w:r>
      <w:r w:rsidR="003F6849">
        <w:rPr>
          <w:b/>
          <w:bCs/>
          <w:color w:val="auto"/>
        </w:rPr>
        <w:t>INVESTE TUTTE LE REGIONI</w:t>
      </w:r>
      <w:r w:rsidRPr="0024517F">
        <w:rPr>
          <w:b/>
          <w:bCs/>
          <w:color w:val="auto"/>
        </w:rPr>
        <w:t>. IN SALIT</w:t>
      </w:r>
      <w:r w:rsidR="003F6849">
        <w:rPr>
          <w:b/>
          <w:bCs/>
          <w:color w:val="auto"/>
        </w:rPr>
        <w:t>A</w:t>
      </w:r>
      <w:r w:rsidRPr="0024517F">
        <w:rPr>
          <w:b/>
          <w:bCs/>
          <w:color w:val="auto"/>
        </w:rPr>
        <w:t xml:space="preserve"> L’OCCUPAZIONE DEI POSTI LETTO IN AREA MEDICA (+158) MENTRE SCENDONO QUELLI IN TERAPIA INTENSIVA (-22)</w:t>
      </w:r>
      <w:r w:rsidR="003F6849">
        <w:rPr>
          <w:b/>
          <w:bCs/>
          <w:color w:val="auto"/>
        </w:rPr>
        <w:t xml:space="preserve">, </w:t>
      </w:r>
      <w:r w:rsidR="00261A98">
        <w:rPr>
          <w:b/>
          <w:bCs/>
          <w:color w:val="auto"/>
        </w:rPr>
        <w:t>CON</w:t>
      </w:r>
      <w:r w:rsidR="003F6849">
        <w:rPr>
          <w:b/>
          <w:bCs/>
          <w:color w:val="auto"/>
        </w:rPr>
        <w:t xml:space="preserve"> INGRESSI SETTIMANALI AL MINIMO DA LUGLIO 2021</w:t>
      </w:r>
      <w:r w:rsidRPr="0024517F">
        <w:rPr>
          <w:b/>
          <w:bCs/>
          <w:color w:val="auto"/>
        </w:rPr>
        <w:t>. DECESSI IN CALO (307 VS 334).</w:t>
      </w:r>
      <w:r w:rsidRPr="001D26EF">
        <w:rPr>
          <w:b/>
          <w:bCs/>
          <w:color w:val="FF0000"/>
        </w:rPr>
        <w:t xml:space="preserve"> </w:t>
      </w:r>
      <w:r w:rsidRPr="00EA12DE">
        <w:rPr>
          <w:b/>
          <w:bCs/>
          <w:color w:val="auto"/>
        </w:rPr>
        <w:t>SONO 6,81 MILIONI I NON VACCINATI, DI CUI 1,05 MILIONI DI GUARITI PROTETTI SOLO TEMPORANEAMENTE. 7,55 MILIONI DI PERSONE NON HANNO ANCORA RICEVUTO LA TERZA DOSE, DI CUI 2,22 MILIONI DI GUARITI CHE NON POSSONO RICEVERLA NELL’IMMEDIATO. QUARTE DOSI: SOMMINISTRATE MENO DI 3,26 MILIONI DI DOSI. NESSUN PARERE D</w:t>
      </w:r>
      <w:r>
        <w:rPr>
          <w:b/>
          <w:bCs/>
          <w:color w:val="auto"/>
        </w:rPr>
        <w:t xml:space="preserve">I </w:t>
      </w:r>
      <w:r w:rsidRPr="00EA12DE">
        <w:rPr>
          <w:b/>
          <w:bCs/>
          <w:color w:val="auto"/>
        </w:rPr>
        <w:t>AIFA NÉ INDICAZIONI DEL MINISTERO DELLA SALUTE IN MERITO AL PRIMO R</w:t>
      </w:r>
      <w:r>
        <w:rPr>
          <w:b/>
          <w:bCs/>
          <w:color w:val="auto"/>
        </w:rPr>
        <w:t xml:space="preserve">ICHIAMO PER LA FASCIA 5-11 ANNI. </w:t>
      </w:r>
      <w:r w:rsidR="00A278C0" w:rsidRPr="00EA12DE">
        <w:rPr>
          <w:b/>
          <w:bCs/>
          <w:color w:val="auto"/>
        </w:rPr>
        <w:t>CONTRASTO ALLA PANDEMIA</w:t>
      </w:r>
      <w:r w:rsidR="00A278C0">
        <w:rPr>
          <w:b/>
          <w:bCs/>
          <w:color w:val="auto"/>
        </w:rPr>
        <w:t>:</w:t>
      </w:r>
      <w:r w:rsidR="00A278C0" w:rsidRPr="00EA12DE">
        <w:rPr>
          <w:b/>
          <w:bCs/>
          <w:color w:val="auto"/>
        </w:rPr>
        <w:t xml:space="preserve"> </w:t>
      </w:r>
      <w:r w:rsidR="00261A98" w:rsidRPr="00EA12DE">
        <w:rPr>
          <w:b/>
          <w:bCs/>
          <w:color w:val="auto"/>
        </w:rPr>
        <w:t xml:space="preserve">PROGRAMMA DI </w:t>
      </w:r>
      <w:r w:rsidR="00261A98">
        <w:rPr>
          <w:b/>
          <w:bCs/>
          <w:color w:val="auto"/>
        </w:rPr>
        <w:t xml:space="preserve">CENTRO-DESTRA </w:t>
      </w:r>
      <w:r w:rsidR="00B34E2B">
        <w:rPr>
          <w:b/>
          <w:bCs/>
          <w:color w:val="auto"/>
        </w:rPr>
        <w:t>CONDIVIDI</w:t>
      </w:r>
      <w:r w:rsidR="00CD0474">
        <w:rPr>
          <w:b/>
          <w:bCs/>
          <w:color w:val="auto"/>
        </w:rPr>
        <w:t>SI</w:t>
      </w:r>
      <w:r w:rsidR="00B34E2B">
        <w:rPr>
          <w:b/>
          <w:bCs/>
          <w:color w:val="auto"/>
        </w:rPr>
        <w:t>BILE</w:t>
      </w:r>
      <w:r w:rsidR="00646262">
        <w:rPr>
          <w:b/>
          <w:bCs/>
          <w:color w:val="auto"/>
        </w:rPr>
        <w:t>,</w:t>
      </w:r>
      <w:r w:rsidRPr="00EA12DE">
        <w:rPr>
          <w:b/>
          <w:bCs/>
          <w:color w:val="auto"/>
        </w:rPr>
        <w:t xml:space="preserve"> </w:t>
      </w:r>
      <w:r w:rsidR="00B34E2B">
        <w:rPr>
          <w:b/>
          <w:bCs/>
          <w:color w:val="auto"/>
        </w:rPr>
        <w:t xml:space="preserve">MA GLI </w:t>
      </w:r>
      <w:r w:rsidR="00B34E2B" w:rsidRPr="00EA12DE">
        <w:rPr>
          <w:b/>
          <w:bCs/>
          <w:color w:val="auto"/>
        </w:rPr>
        <w:t xml:space="preserve">ADEGUAMENTI STRUTTURALI </w:t>
      </w:r>
      <w:r w:rsidRPr="00EA12DE">
        <w:rPr>
          <w:b/>
          <w:bCs/>
          <w:color w:val="auto"/>
        </w:rPr>
        <w:t xml:space="preserve">RICHIEDONO </w:t>
      </w:r>
      <w:r w:rsidR="00B023BD">
        <w:rPr>
          <w:b/>
          <w:bCs/>
          <w:color w:val="auto"/>
        </w:rPr>
        <w:t xml:space="preserve">COSPICUI </w:t>
      </w:r>
      <w:r w:rsidRPr="00EA12DE">
        <w:rPr>
          <w:b/>
          <w:bCs/>
          <w:color w:val="auto"/>
        </w:rPr>
        <w:t>INVESTIMENTI E TEMP</w:t>
      </w:r>
      <w:r w:rsidR="00B023BD">
        <w:rPr>
          <w:b/>
          <w:bCs/>
          <w:color w:val="auto"/>
        </w:rPr>
        <w:t>I</w:t>
      </w:r>
      <w:r w:rsidRPr="00EA12DE">
        <w:rPr>
          <w:b/>
          <w:bCs/>
          <w:color w:val="auto"/>
        </w:rPr>
        <w:t xml:space="preserve"> NON</w:t>
      </w:r>
      <w:r w:rsidR="00E26D7A">
        <w:rPr>
          <w:b/>
          <w:bCs/>
          <w:color w:val="auto"/>
        </w:rPr>
        <w:t xml:space="preserve"> </w:t>
      </w:r>
      <w:r w:rsidRPr="00EA12DE">
        <w:rPr>
          <w:b/>
          <w:bCs/>
          <w:color w:val="auto"/>
        </w:rPr>
        <w:t xml:space="preserve">COMPATIBILI CON </w:t>
      </w:r>
      <w:r w:rsidR="00646262">
        <w:rPr>
          <w:b/>
          <w:bCs/>
          <w:color w:val="auto"/>
        </w:rPr>
        <w:t>UNA EVENTUALE</w:t>
      </w:r>
      <w:r w:rsidRPr="00EA12DE">
        <w:rPr>
          <w:b/>
          <w:bCs/>
          <w:color w:val="auto"/>
        </w:rPr>
        <w:t xml:space="preserve"> NUOVA ONDATA</w:t>
      </w:r>
      <w:r>
        <w:rPr>
          <w:b/>
          <w:bCs/>
          <w:color w:val="auto"/>
        </w:rPr>
        <w:t>.</w:t>
      </w:r>
      <w:r w:rsidR="00646262">
        <w:rPr>
          <w:b/>
          <w:bCs/>
          <w:color w:val="auto"/>
        </w:rPr>
        <w:t xml:space="preserve"> URGENTE</w:t>
      </w:r>
      <w:r w:rsidR="00B34E2B">
        <w:rPr>
          <w:b/>
          <w:bCs/>
          <w:color w:val="auto"/>
        </w:rPr>
        <w:t xml:space="preserve"> PROTEGGERE ANZIANI E FRAGILI CON LA QUARTA DOSE E USARE </w:t>
      </w:r>
      <w:r w:rsidR="00646262">
        <w:rPr>
          <w:b/>
          <w:bCs/>
          <w:color w:val="auto"/>
        </w:rPr>
        <w:t xml:space="preserve">RESPONSABILMENTE </w:t>
      </w:r>
      <w:r w:rsidR="00B34E2B">
        <w:rPr>
          <w:b/>
          <w:bCs/>
          <w:color w:val="auto"/>
        </w:rPr>
        <w:t>LE MASCHERINE AL CHIUSO NEI LUOGHI AFFOLLATI E/O POCO AERATI.</w:t>
      </w:r>
    </w:p>
    <w:p w14:paraId="6D477A26" w14:textId="77777777" w:rsidR="00E96D96" w:rsidRPr="00636A1A" w:rsidRDefault="00E96D96" w:rsidP="00E96D96">
      <w:pPr>
        <w:spacing w:after="200" w:line="276" w:lineRule="auto"/>
        <w:jc w:val="center"/>
        <w:rPr>
          <w:rFonts w:eastAsia="Times New Roman" w:cs="Calibri"/>
          <w:color w:val="auto"/>
          <w:bdr w:val="none" w:sz="0" w:space="0" w:color="auto"/>
        </w:rPr>
      </w:pPr>
      <w:r w:rsidRPr="00636A1A">
        <w:rPr>
          <w:rFonts w:cs="Calibri"/>
          <w:b/>
          <w:bCs/>
          <w:color w:val="auto"/>
        </w:rPr>
        <w:t>2</w:t>
      </w:r>
      <w:r>
        <w:rPr>
          <w:rFonts w:cs="Calibri"/>
          <w:b/>
          <w:bCs/>
          <w:color w:val="auto"/>
        </w:rPr>
        <w:t>9</w:t>
      </w:r>
      <w:r w:rsidRPr="00636A1A">
        <w:rPr>
          <w:rFonts w:cs="Calibri"/>
          <w:b/>
          <w:bCs/>
          <w:color w:val="auto"/>
        </w:rPr>
        <w:t xml:space="preserve"> settembre 2022 - Fondazione GIMBE, Bologna</w:t>
      </w:r>
    </w:p>
    <w:p w14:paraId="6A25E74F" w14:textId="77777777" w:rsidR="00636A1A" w:rsidRPr="00636A1A" w:rsidRDefault="00636A1A" w:rsidP="0028306E">
      <w:pPr>
        <w:spacing w:after="0" w:line="276" w:lineRule="auto"/>
        <w:jc w:val="both"/>
        <w:rPr>
          <w:color w:val="auto"/>
        </w:rPr>
      </w:pPr>
      <w:r w:rsidRPr="00636A1A">
        <w:rPr>
          <w:color w:val="auto"/>
        </w:rPr>
        <w:t>Il monitoraggio indipendente della Fondazione GIMBE rileva nella settimana 21-27 settembre 2022, rispetto alla precedente, un aumento di nuovi casi (160.829 vs 120.057) (</w:t>
      </w:r>
      <w:r w:rsidRPr="00636A1A">
        <w:rPr>
          <w:color w:val="auto"/>
          <w:highlight w:val="yellow"/>
        </w:rPr>
        <w:t>figura 1</w:t>
      </w:r>
      <w:r w:rsidRPr="00636A1A">
        <w:rPr>
          <w:color w:val="auto"/>
        </w:rPr>
        <w:t>) e una diminuzione dei decessi (307 vs 334) (</w:t>
      </w:r>
      <w:r w:rsidRPr="00636A1A">
        <w:rPr>
          <w:color w:val="auto"/>
          <w:highlight w:val="yellow"/>
        </w:rPr>
        <w:t>figura 2</w:t>
      </w:r>
      <w:r w:rsidRPr="00636A1A">
        <w:rPr>
          <w:color w:val="auto"/>
        </w:rPr>
        <w:t xml:space="preserve">). </w:t>
      </w:r>
      <w:r w:rsidR="004C373C">
        <w:rPr>
          <w:color w:val="auto"/>
        </w:rPr>
        <w:t>Aumentano</w:t>
      </w:r>
      <w:r w:rsidRPr="00636A1A">
        <w:rPr>
          <w:color w:val="auto"/>
        </w:rPr>
        <w:t xml:space="preserve"> i casi attualmente positivi (444.389 vs 414.067), le persone in isolamento domiciliare (440.608 vs 410.422), i ricoveri con sintomi (3.653 vs 3.495)</w:t>
      </w:r>
      <w:r>
        <w:rPr>
          <w:color w:val="auto"/>
        </w:rPr>
        <w:t xml:space="preserve">, </w:t>
      </w:r>
      <w:r w:rsidR="004C373C">
        <w:rPr>
          <w:color w:val="auto"/>
        </w:rPr>
        <w:t xml:space="preserve">mentre si confermano </w:t>
      </w:r>
      <w:r>
        <w:rPr>
          <w:color w:val="auto"/>
        </w:rPr>
        <w:t xml:space="preserve">in calo </w:t>
      </w:r>
      <w:r w:rsidRPr="00636A1A">
        <w:rPr>
          <w:color w:val="auto"/>
        </w:rPr>
        <w:t>le terapie intensive (128 vs 150) (</w:t>
      </w:r>
      <w:r w:rsidRPr="00636A1A">
        <w:rPr>
          <w:color w:val="auto"/>
          <w:highlight w:val="yellow"/>
        </w:rPr>
        <w:t>figura 3</w:t>
      </w:r>
      <w:r w:rsidRPr="00636A1A">
        <w:rPr>
          <w:color w:val="auto"/>
        </w:rPr>
        <w:t>). In dettaglio, rispetto alla settimana precedente, si registrano le seguenti variazioni:</w:t>
      </w:r>
    </w:p>
    <w:p w14:paraId="4B27BB02" w14:textId="77777777" w:rsidR="00636A1A" w:rsidRPr="00636A1A" w:rsidRDefault="00636A1A" w:rsidP="00636A1A">
      <w:pPr>
        <w:pStyle w:val="Paragrafoelenco"/>
        <w:numPr>
          <w:ilvl w:val="0"/>
          <w:numId w:val="3"/>
        </w:numPr>
        <w:spacing w:after="0" w:line="276" w:lineRule="auto"/>
        <w:jc w:val="both"/>
        <w:rPr>
          <w:color w:val="auto"/>
        </w:rPr>
      </w:pPr>
      <w:r w:rsidRPr="00636A1A">
        <w:rPr>
          <w:color w:val="auto"/>
        </w:rPr>
        <w:t>Decessi: 307 (-8,1%), di cui 21 riferiti a periodi precedenti</w:t>
      </w:r>
    </w:p>
    <w:p w14:paraId="4E3E187D" w14:textId="77777777" w:rsidR="00636A1A" w:rsidRPr="00636A1A" w:rsidRDefault="00636A1A" w:rsidP="00636A1A">
      <w:pPr>
        <w:pStyle w:val="Paragrafoelenco"/>
        <w:numPr>
          <w:ilvl w:val="0"/>
          <w:numId w:val="3"/>
        </w:numPr>
        <w:spacing w:after="0" w:line="276" w:lineRule="auto"/>
        <w:jc w:val="both"/>
        <w:rPr>
          <w:color w:val="auto"/>
        </w:rPr>
      </w:pPr>
      <w:r w:rsidRPr="00636A1A">
        <w:rPr>
          <w:color w:val="auto"/>
        </w:rPr>
        <w:t>Terapia intensiva: -22 (-14,7%)</w:t>
      </w:r>
    </w:p>
    <w:p w14:paraId="3F3E484E" w14:textId="77777777" w:rsidR="00636A1A" w:rsidRPr="00636A1A" w:rsidRDefault="00636A1A" w:rsidP="00636A1A">
      <w:pPr>
        <w:pStyle w:val="Paragrafoelenco"/>
        <w:numPr>
          <w:ilvl w:val="0"/>
          <w:numId w:val="3"/>
        </w:numPr>
        <w:spacing w:after="0" w:line="276" w:lineRule="auto"/>
        <w:jc w:val="both"/>
        <w:rPr>
          <w:color w:val="auto"/>
        </w:rPr>
      </w:pPr>
      <w:r w:rsidRPr="00636A1A">
        <w:rPr>
          <w:color w:val="auto"/>
        </w:rPr>
        <w:t>Ricoverati con sintomi: +158 (+4,5%)</w:t>
      </w:r>
    </w:p>
    <w:p w14:paraId="5368AA75" w14:textId="77777777" w:rsidR="00636A1A" w:rsidRPr="00636A1A" w:rsidRDefault="00636A1A" w:rsidP="00636A1A">
      <w:pPr>
        <w:pStyle w:val="Paragrafoelenco"/>
        <w:numPr>
          <w:ilvl w:val="0"/>
          <w:numId w:val="3"/>
        </w:numPr>
        <w:spacing w:after="0" w:line="276" w:lineRule="auto"/>
        <w:jc w:val="both"/>
        <w:rPr>
          <w:color w:val="auto"/>
        </w:rPr>
      </w:pPr>
      <w:r w:rsidRPr="00636A1A">
        <w:rPr>
          <w:color w:val="auto"/>
        </w:rPr>
        <w:t>Isolamento domiciliare: +30.186 (+7,4%)</w:t>
      </w:r>
    </w:p>
    <w:p w14:paraId="71602756" w14:textId="77777777" w:rsidR="00636A1A" w:rsidRPr="00636A1A" w:rsidRDefault="00636A1A" w:rsidP="00636A1A">
      <w:pPr>
        <w:pStyle w:val="Paragrafoelenco"/>
        <w:numPr>
          <w:ilvl w:val="0"/>
          <w:numId w:val="3"/>
        </w:numPr>
        <w:spacing w:after="0" w:line="276" w:lineRule="auto"/>
        <w:jc w:val="both"/>
        <w:rPr>
          <w:color w:val="auto"/>
        </w:rPr>
      </w:pPr>
      <w:r w:rsidRPr="00636A1A">
        <w:rPr>
          <w:color w:val="auto"/>
        </w:rPr>
        <w:t>Nuovi casi: 160.829 (+34%)</w:t>
      </w:r>
    </w:p>
    <w:p w14:paraId="10D21079" w14:textId="77777777" w:rsidR="00636A1A" w:rsidRPr="00636A1A" w:rsidRDefault="00636A1A" w:rsidP="00636A1A">
      <w:pPr>
        <w:pStyle w:val="Paragrafoelenco"/>
        <w:numPr>
          <w:ilvl w:val="0"/>
          <w:numId w:val="3"/>
        </w:numPr>
        <w:spacing w:line="276" w:lineRule="auto"/>
        <w:ind w:left="357" w:hanging="357"/>
        <w:jc w:val="both"/>
        <w:rPr>
          <w:color w:val="auto"/>
        </w:rPr>
      </w:pPr>
      <w:r w:rsidRPr="00636A1A">
        <w:rPr>
          <w:color w:val="auto"/>
        </w:rPr>
        <w:t>Casi attualmente positivi: +30.322 (+7,3%)</w:t>
      </w:r>
    </w:p>
    <w:p w14:paraId="65CE99BE" w14:textId="77777777" w:rsidR="007C4457" w:rsidRPr="00666904" w:rsidRDefault="008030A9" w:rsidP="00666904">
      <w:pPr>
        <w:spacing w:line="276" w:lineRule="auto"/>
        <w:jc w:val="both"/>
        <w:rPr>
          <w:color w:val="auto"/>
        </w:rPr>
      </w:pPr>
      <w:bookmarkStart w:id="1" w:name="_Hlk105580520"/>
      <w:r w:rsidRPr="00666904">
        <w:rPr>
          <w:b/>
          <w:color w:val="auto"/>
        </w:rPr>
        <w:t xml:space="preserve">Nuovi casi. </w:t>
      </w:r>
      <w:r w:rsidRPr="00666904">
        <w:rPr>
          <w:color w:val="auto"/>
        </w:rPr>
        <w:t>«</w:t>
      </w:r>
      <w:r w:rsidR="00B61F26" w:rsidRPr="00666904">
        <w:rPr>
          <w:color w:val="auto"/>
        </w:rPr>
        <w:t xml:space="preserve">Dopo </w:t>
      </w:r>
      <w:r w:rsidR="00636A1A" w:rsidRPr="00666904">
        <w:rPr>
          <w:color w:val="auto"/>
        </w:rPr>
        <w:t>il modes</w:t>
      </w:r>
      <w:r w:rsidR="00165CBC">
        <w:rPr>
          <w:color w:val="auto"/>
        </w:rPr>
        <w:t>to incremento</w:t>
      </w:r>
      <w:r w:rsidR="00B61F26" w:rsidRPr="00666904">
        <w:rPr>
          <w:color w:val="auto"/>
        </w:rPr>
        <w:t xml:space="preserve"> </w:t>
      </w:r>
      <w:r w:rsidR="00636A1A" w:rsidRPr="00666904">
        <w:rPr>
          <w:color w:val="auto"/>
        </w:rPr>
        <w:t>registrato la scorsa settimana</w:t>
      </w:r>
      <w:r w:rsidR="004C373C">
        <w:rPr>
          <w:color w:val="auto"/>
        </w:rPr>
        <w:t xml:space="preserve"> </w:t>
      </w:r>
      <w:r w:rsidRPr="00666904">
        <w:rPr>
          <w:color w:val="auto"/>
        </w:rPr>
        <w:t>– dichiara Nino Cartabellotta, Presidente della Fondazione GIMBE –</w:t>
      </w:r>
      <w:r w:rsidR="00B673FC" w:rsidRPr="00666904">
        <w:rPr>
          <w:color w:val="auto"/>
        </w:rPr>
        <w:t xml:space="preserve"> </w:t>
      </w:r>
      <w:r w:rsidR="004C373C">
        <w:rPr>
          <w:color w:val="auto"/>
        </w:rPr>
        <w:t>assistiamo ad un balzo d</w:t>
      </w:r>
      <w:r w:rsidR="00165CBC" w:rsidRPr="00666904">
        <w:rPr>
          <w:color w:val="auto"/>
        </w:rPr>
        <w:t xml:space="preserve">i nuovi casi </w:t>
      </w:r>
      <w:r w:rsidR="00165CBC">
        <w:rPr>
          <w:color w:val="auto"/>
        </w:rPr>
        <w:t>settimanali</w:t>
      </w:r>
      <w:r w:rsidR="00165CBC" w:rsidRPr="00666904">
        <w:rPr>
          <w:color w:val="auto"/>
        </w:rPr>
        <w:t xml:space="preserve"> </w:t>
      </w:r>
      <w:r w:rsidR="00DC5AAB">
        <w:rPr>
          <w:color w:val="auto"/>
        </w:rPr>
        <w:t xml:space="preserve">(+34%) </w:t>
      </w:r>
      <w:r w:rsidR="004C373C">
        <w:rPr>
          <w:color w:val="auto"/>
        </w:rPr>
        <w:t xml:space="preserve">che </w:t>
      </w:r>
      <w:r w:rsidR="00B61F26" w:rsidRPr="00666904">
        <w:rPr>
          <w:color w:val="auto"/>
        </w:rPr>
        <w:t xml:space="preserve">da </w:t>
      </w:r>
      <w:r w:rsidR="004C373C">
        <w:rPr>
          <w:color w:val="auto"/>
        </w:rPr>
        <w:t>poco meno di</w:t>
      </w:r>
      <w:r w:rsidR="004C373C" w:rsidRPr="00666904">
        <w:rPr>
          <w:color w:val="auto"/>
        </w:rPr>
        <w:t xml:space="preserve"> </w:t>
      </w:r>
      <w:r w:rsidR="00CB369B" w:rsidRPr="00666904">
        <w:rPr>
          <w:color w:val="auto"/>
        </w:rPr>
        <w:t>108</w:t>
      </w:r>
      <w:r w:rsidRPr="00666904">
        <w:rPr>
          <w:color w:val="auto"/>
        </w:rPr>
        <w:t xml:space="preserve"> mila</w:t>
      </w:r>
      <w:r w:rsidR="004C373C">
        <w:rPr>
          <w:color w:val="auto"/>
        </w:rPr>
        <w:t xml:space="preserve"> arrivano a sfiorare quota</w:t>
      </w:r>
      <w:r w:rsidR="00636A1A" w:rsidRPr="00666904">
        <w:rPr>
          <w:color w:val="auto"/>
        </w:rPr>
        <w:t xml:space="preserve"> </w:t>
      </w:r>
      <w:r w:rsidR="00B61F26" w:rsidRPr="00666904">
        <w:rPr>
          <w:color w:val="auto"/>
        </w:rPr>
        <w:t>1</w:t>
      </w:r>
      <w:r w:rsidR="00636A1A" w:rsidRPr="00666904">
        <w:rPr>
          <w:color w:val="auto"/>
        </w:rPr>
        <w:t>61</w:t>
      </w:r>
      <w:r w:rsidR="00B61F26" w:rsidRPr="00666904">
        <w:rPr>
          <w:color w:val="auto"/>
        </w:rPr>
        <w:t xml:space="preserve"> mila</w:t>
      </w:r>
      <w:r w:rsidRPr="00666904">
        <w:rPr>
          <w:color w:val="auto"/>
        </w:rPr>
        <w:t xml:space="preserve">, </w:t>
      </w:r>
      <w:r w:rsidRPr="00636A1A">
        <w:rPr>
          <w:color w:val="auto"/>
        </w:rPr>
        <w:t xml:space="preserve">con una media mobile a 7 giorni di </w:t>
      </w:r>
      <w:r w:rsidR="00636A1A" w:rsidRPr="00636A1A">
        <w:rPr>
          <w:color w:val="auto"/>
        </w:rPr>
        <w:t>quasi</w:t>
      </w:r>
      <w:r w:rsidR="00CB369B" w:rsidRPr="00636A1A">
        <w:rPr>
          <w:color w:val="auto"/>
        </w:rPr>
        <w:t xml:space="preserve"> </w:t>
      </w:r>
      <w:r w:rsidR="00636A1A" w:rsidRPr="00636A1A">
        <w:rPr>
          <w:color w:val="auto"/>
        </w:rPr>
        <w:t>23</w:t>
      </w:r>
      <w:r w:rsidR="00B61F26" w:rsidRPr="00636A1A">
        <w:rPr>
          <w:color w:val="auto"/>
        </w:rPr>
        <w:t xml:space="preserve"> </w:t>
      </w:r>
      <w:r w:rsidRPr="00636A1A">
        <w:rPr>
          <w:color w:val="auto"/>
        </w:rPr>
        <w:t xml:space="preserve">mila </w:t>
      </w:r>
      <w:r w:rsidRPr="00666904">
        <w:rPr>
          <w:color w:val="auto"/>
        </w:rPr>
        <w:t>casi al giorn</w:t>
      </w:r>
      <w:r w:rsidR="00F41D5F" w:rsidRPr="00666904">
        <w:rPr>
          <w:color w:val="auto"/>
        </w:rPr>
        <w:t>o</w:t>
      </w:r>
      <w:r w:rsidRPr="00666904">
        <w:rPr>
          <w:color w:val="auto"/>
        </w:rPr>
        <w:t>»</w:t>
      </w:r>
      <w:bookmarkEnd w:id="1"/>
      <w:r w:rsidR="000A4BEE" w:rsidRPr="00666904">
        <w:rPr>
          <w:color w:val="auto"/>
        </w:rPr>
        <w:t xml:space="preserve"> </w:t>
      </w:r>
      <w:r w:rsidRPr="00666904">
        <w:rPr>
          <w:color w:val="auto"/>
        </w:rPr>
        <w:t>(</w:t>
      </w:r>
      <w:r w:rsidRPr="00666904">
        <w:rPr>
          <w:color w:val="auto"/>
          <w:highlight w:val="yellow"/>
        </w:rPr>
        <w:t>figura 4</w:t>
      </w:r>
      <w:r w:rsidR="00165CBC">
        <w:rPr>
          <w:color w:val="auto"/>
        </w:rPr>
        <w:t>). L</w:t>
      </w:r>
      <w:r w:rsidR="005674D3">
        <w:rPr>
          <w:color w:val="auto"/>
        </w:rPr>
        <w:t>’</w:t>
      </w:r>
      <w:r w:rsidR="00636A1A" w:rsidRPr="00666904">
        <w:rPr>
          <w:color w:val="auto"/>
        </w:rPr>
        <w:t xml:space="preserve">incremento </w:t>
      </w:r>
      <w:r w:rsidRPr="00666904">
        <w:rPr>
          <w:color w:val="auto"/>
        </w:rPr>
        <w:t xml:space="preserve">dei nuovi casi </w:t>
      </w:r>
      <w:r w:rsidR="005674D3">
        <w:rPr>
          <w:color w:val="auto"/>
        </w:rPr>
        <w:t>riguarda</w:t>
      </w:r>
      <w:r w:rsidR="00DC5AAB">
        <w:rPr>
          <w:color w:val="auto"/>
        </w:rPr>
        <w:t>, anche se in maniera eterogenea,</w:t>
      </w:r>
      <w:r w:rsidR="005674D3">
        <w:rPr>
          <w:color w:val="auto"/>
        </w:rPr>
        <w:t xml:space="preserve"> </w:t>
      </w:r>
      <w:r w:rsidR="005674D3" w:rsidRPr="00666904">
        <w:rPr>
          <w:color w:val="auto"/>
        </w:rPr>
        <w:t>tutte le Regioni</w:t>
      </w:r>
      <w:r w:rsidR="0028306E">
        <w:rPr>
          <w:color w:val="auto"/>
        </w:rPr>
        <w:t xml:space="preserve"> </w:t>
      </w:r>
      <w:r w:rsidR="00DC5AAB">
        <w:rPr>
          <w:color w:val="auto"/>
        </w:rPr>
        <w:t>(</w:t>
      </w:r>
      <w:r w:rsidRPr="00666904">
        <w:rPr>
          <w:color w:val="auto"/>
        </w:rPr>
        <w:t xml:space="preserve">dal </w:t>
      </w:r>
      <w:r w:rsidR="00636A1A" w:rsidRPr="00666904">
        <w:rPr>
          <w:color w:val="auto"/>
        </w:rPr>
        <w:t>+5</w:t>
      </w:r>
      <w:r w:rsidR="00B61F26" w:rsidRPr="00666904">
        <w:rPr>
          <w:color w:val="auto"/>
        </w:rPr>
        <w:t>,</w:t>
      </w:r>
      <w:r w:rsidR="00636A1A" w:rsidRPr="00666904">
        <w:rPr>
          <w:color w:val="auto"/>
        </w:rPr>
        <w:t>9</w:t>
      </w:r>
      <w:r w:rsidRPr="00666904">
        <w:rPr>
          <w:color w:val="auto"/>
        </w:rPr>
        <w:t xml:space="preserve">% </w:t>
      </w:r>
      <w:r w:rsidR="00B61F26" w:rsidRPr="00666904">
        <w:rPr>
          <w:color w:val="auto"/>
        </w:rPr>
        <w:t>della Sicilia</w:t>
      </w:r>
      <w:r w:rsidRPr="00666904">
        <w:rPr>
          <w:color w:val="auto"/>
        </w:rPr>
        <w:t xml:space="preserve"> </w:t>
      </w:r>
      <w:r w:rsidR="00F41D5F" w:rsidRPr="00666904">
        <w:rPr>
          <w:color w:val="auto"/>
        </w:rPr>
        <w:t xml:space="preserve">al </w:t>
      </w:r>
      <w:r w:rsidR="00636A1A" w:rsidRPr="00666904">
        <w:rPr>
          <w:color w:val="auto"/>
        </w:rPr>
        <w:t>+50,9% del Veneto</w:t>
      </w:r>
      <w:r w:rsidR="00DC5AAB">
        <w:rPr>
          <w:color w:val="auto"/>
        </w:rPr>
        <w:t>)</w:t>
      </w:r>
      <w:r w:rsidR="00636A1A" w:rsidRPr="00666904">
        <w:rPr>
          <w:color w:val="auto"/>
        </w:rPr>
        <w:t xml:space="preserve"> </w:t>
      </w:r>
      <w:r w:rsidRPr="00666904">
        <w:rPr>
          <w:color w:val="auto"/>
        </w:rPr>
        <w:t>(</w:t>
      </w:r>
      <w:r w:rsidRPr="00666904">
        <w:rPr>
          <w:color w:val="auto"/>
          <w:highlight w:val="yellow"/>
        </w:rPr>
        <w:t>tabella 1</w:t>
      </w:r>
      <w:r w:rsidRPr="00666904">
        <w:rPr>
          <w:color w:val="auto"/>
        </w:rPr>
        <w:t>)</w:t>
      </w:r>
      <w:r w:rsidR="00DC5AAB">
        <w:rPr>
          <w:color w:val="auto"/>
        </w:rPr>
        <w:t xml:space="preserve"> e</w:t>
      </w:r>
      <w:r w:rsidR="005674D3">
        <w:rPr>
          <w:color w:val="auto"/>
        </w:rPr>
        <w:t xml:space="preserve"> </w:t>
      </w:r>
      <w:r w:rsidR="00DC5AAB">
        <w:rPr>
          <w:color w:val="auto"/>
        </w:rPr>
        <w:t>pressoché</w:t>
      </w:r>
      <w:r w:rsidR="0028306E">
        <w:rPr>
          <w:color w:val="auto"/>
        </w:rPr>
        <w:t xml:space="preserve"> </w:t>
      </w:r>
      <w:r w:rsidR="005674D3">
        <w:rPr>
          <w:color w:val="auto"/>
        </w:rPr>
        <w:t xml:space="preserve">tutte le </w:t>
      </w:r>
      <w:r w:rsidR="00F41D5F" w:rsidRPr="00666904">
        <w:rPr>
          <w:color w:val="auto"/>
        </w:rPr>
        <w:t>Province</w:t>
      </w:r>
      <w:r w:rsidR="005674D3">
        <w:rPr>
          <w:color w:val="auto"/>
        </w:rPr>
        <w:t>:</w:t>
      </w:r>
      <w:r w:rsidR="00F41D5F" w:rsidRPr="00666904">
        <w:rPr>
          <w:color w:val="auto"/>
        </w:rPr>
        <w:t xml:space="preserve"> </w:t>
      </w:r>
      <w:r w:rsidR="005674D3">
        <w:rPr>
          <w:color w:val="auto"/>
        </w:rPr>
        <w:t xml:space="preserve">101 </w:t>
      </w:r>
      <w:r w:rsidR="00C64456" w:rsidRPr="00666904">
        <w:rPr>
          <w:color w:val="auto"/>
        </w:rPr>
        <w:t xml:space="preserve">segnano </w:t>
      </w:r>
      <w:r w:rsidR="00F41D5F" w:rsidRPr="00666904">
        <w:rPr>
          <w:color w:val="auto"/>
        </w:rPr>
        <w:t>un incremento</w:t>
      </w:r>
      <w:r w:rsidR="00CB369B" w:rsidRPr="00666904">
        <w:rPr>
          <w:color w:val="auto"/>
        </w:rPr>
        <w:t xml:space="preserve"> (dal +</w:t>
      </w:r>
      <w:r w:rsidR="00666904" w:rsidRPr="00666904">
        <w:rPr>
          <w:color w:val="auto"/>
        </w:rPr>
        <w:t>3</w:t>
      </w:r>
      <w:r w:rsidR="00CB369B" w:rsidRPr="00666904">
        <w:rPr>
          <w:color w:val="auto"/>
        </w:rPr>
        <w:t>,</w:t>
      </w:r>
      <w:r w:rsidR="00666904" w:rsidRPr="00666904">
        <w:rPr>
          <w:color w:val="auto"/>
        </w:rPr>
        <w:t>3</w:t>
      </w:r>
      <w:r w:rsidR="00CB369B" w:rsidRPr="00666904">
        <w:rPr>
          <w:color w:val="auto"/>
        </w:rPr>
        <w:t xml:space="preserve">% di </w:t>
      </w:r>
      <w:r w:rsidR="00666904" w:rsidRPr="00666904">
        <w:rPr>
          <w:color w:val="auto"/>
        </w:rPr>
        <w:t>Reggio di Calabria</w:t>
      </w:r>
      <w:r w:rsidR="00B61F26" w:rsidRPr="00666904">
        <w:rPr>
          <w:color w:val="auto"/>
        </w:rPr>
        <w:t xml:space="preserve"> </w:t>
      </w:r>
      <w:r w:rsidR="00CB369B" w:rsidRPr="00666904">
        <w:rPr>
          <w:color w:val="auto"/>
        </w:rPr>
        <w:t>al +</w:t>
      </w:r>
      <w:r w:rsidR="00B61F26" w:rsidRPr="00666904">
        <w:rPr>
          <w:color w:val="auto"/>
        </w:rPr>
        <w:t>8</w:t>
      </w:r>
      <w:r w:rsidR="00666904" w:rsidRPr="00666904">
        <w:rPr>
          <w:color w:val="auto"/>
        </w:rPr>
        <w:t>2</w:t>
      </w:r>
      <w:r w:rsidR="00B61F26" w:rsidRPr="00666904">
        <w:rPr>
          <w:color w:val="auto"/>
        </w:rPr>
        <w:t>,</w:t>
      </w:r>
      <w:r w:rsidR="00666904" w:rsidRPr="00666904">
        <w:rPr>
          <w:color w:val="auto"/>
        </w:rPr>
        <w:t>6</w:t>
      </w:r>
      <w:r w:rsidR="00CB369B" w:rsidRPr="00666904">
        <w:rPr>
          <w:color w:val="auto"/>
        </w:rPr>
        <w:t>% di</w:t>
      </w:r>
      <w:r w:rsidR="00666904" w:rsidRPr="00666904">
        <w:rPr>
          <w:color w:val="auto"/>
        </w:rPr>
        <w:t xml:space="preserve"> Pescara</w:t>
      </w:r>
      <w:r w:rsidR="00CB369B" w:rsidRPr="00666904">
        <w:rPr>
          <w:color w:val="auto"/>
        </w:rPr>
        <w:t>)</w:t>
      </w:r>
      <w:r w:rsidR="00CD0474">
        <w:rPr>
          <w:color w:val="auto"/>
        </w:rPr>
        <w:t xml:space="preserve"> e </w:t>
      </w:r>
      <w:r w:rsidR="005674D3">
        <w:rPr>
          <w:color w:val="auto"/>
        </w:rPr>
        <w:t xml:space="preserve">solo </w:t>
      </w:r>
      <w:r w:rsidR="005674D3" w:rsidRPr="00666904">
        <w:rPr>
          <w:color w:val="auto"/>
        </w:rPr>
        <w:t>6 una diminuzione (dal -0,6% di Agrigento al -21,3% di Enna</w:t>
      </w:r>
      <w:r w:rsidR="005674D3">
        <w:rPr>
          <w:color w:val="auto"/>
        </w:rPr>
        <w:t>).</w:t>
      </w:r>
      <w:r w:rsidR="005674D3" w:rsidRPr="00666904">
        <w:rPr>
          <w:color w:val="auto"/>
        </w:rPr>
        <w:t xml:space="preserve"> </w:t>
      </w:r>
      <w:r w:rsidR="005674D3">
        <w:rPr>
          <w:color w:val="auto"/>
        </w:rPr>
        <w:t xml:space="preserve"> </w:t>
      </w:r>
      <w:r w:rsidR="005674D3" w:rsidRPr="00666904">
        <w:rPr>
          <w:color w:val="auto"/>
        </w:rPr>
        <w:t xml:space="preserve">L’incidenza </w:t>
      </w:r>
      <w:r w:rsidR="005674D3">
        <w:rPr>
          <w:color w:val="auto"/>
        </w:rPr>
        <w:t xml:space="preserve">supera </w:t>
      </w:r>
      <w:r w:rsidR="005674D3" w:rsidRPr="00666904">
        <w:rPr>
          <w:color w:val="auto"/>
        </w:rPr>
        <w:t xml:space="preserve">i 500 casi per 100.000 abitanti </w:t>
      </w:r>
      <w:r w:rsidR="005674D3">
        <w:rPr>
          <w:color w:val="auto"/>
        </w:rPr>
        <w:t xml:space="preserve">in 4 </w:t>
      </w:r>
      <w:r w:rsidR="005674D3" w:rsidRPr="00666904">
        <w:rPr>
          <w:color w:val="auto"/>
        </w:rPr>
        <w:t>Province</w:t>
      </w:r>
      <w:r w:rsidR="005674D3">
        <w:rPr>
          <w:color w:val="auto"/>
        </w:rPr>
        <w:t>:</w:t>
      </w:r>
      <w:r w:rsidR="005674D3" w:rsidRPr="00666904">
        <w:rPr>
          <w:color w:val="auto"/>
        </w:rPr>
        <w:t xml:space="preserve"> </w:t>
      </w:r>
      <w:r w:rsidR="00666904" w:rsidRPr="00666904">
        <w:rPr>
          <w:color w:val="auto"/>
        </w:rPr>
        <w:t xml:space="preserve">Vicenza (589), Pescara (574), Trento (531) e Belluno (522) </w:t>
      </w:r>
      <w:r w:rsidRPr="00666904">
        <w:rPr>
          <w:color w:val="auto"/>
        </w:rPr>
        <w:t>(</w:t>
      </w:r>
      <w:r w:rsidRPr="00666904">
        <w:rPr>
          <w:color w:val="auto"/>
          <w:highlight w:val="yellow"/>
        </w:rPr>
        <w:t>tabella 2</w:t>
      </w:r>
      <w:r w:rsidRPr="00666904">
        <w:rPr>
          <w:color w:val="auto"/>
        </w:rPr>
        <w:t>).</w:t>
      </w:r>
    </w:p>
    <w:p w14:paraId="41ECF92C" w14:textId="77777777" w:rsidR="008030A9" w:rsidRPr="00B27D7D" w:rsidRDefault="008030A9" w:rsidP="008030A9">
      <w:pPr>
        <w:spacing w:line="276" w:lineRule="auto"/>
        <w:jc w:val="both"/>
        <w:rPr>
          <w:color w:val="auto"/>
        </w:rPr>
      </w:pPr>
      <w:r w:rsidRPr="00B27D7D">
        <w:rPr>
          <w:b/>
          <w:bCs/>
          <w:color w:val="auto"/>
        </w:rPr>
        <w:lastRenderedPageBreak/>
        <w:t>Reinfezioni</w:t>
      </w:r>
      <w:r w:rsidRPr="00B27D7D">
        <w:rPr>
          <w:color w:val="auto"/>
        </w:rPr>
        <w:t xml:space="preserve">. Secondo </w:t>
      </w:r>
      <w:hyperlink r:id="rId8" w:history="1">
        <w:r w:rsidRPr="00B27D7D">
          <w:rPr>
            <w:rStyle w:val="Collegamentoipertestuale"/>
            <w:color w:val="auto"/>
          </w:rPr>
          <w:t>l’ultimo report dell’Istituto Superiore di Sanità</w:t>
        </w:r>
      </w:hyperlink>
      <w:r w:rsidRPr="00B27D7D">
        <w:rPr>
          <w:rStyle w:val="Collegamentoipertestuale"/>
          <w:color w:val="auto"/>
          <w:u w:val="none"/>
        </w:rPr>
        <w:t>,</w:t>
      </w:r>
      <w:r w:rsidRPr="00B27D7D">
        <w:rPr>
          <w:color w:val="auto"/>
        </w:rPr>
        <w:t xml:space="preserve"> nel periodo 24 agosto 2021</w:t>
      </w:r>
      <w:r w:rsidR="00BE21B7" w:rsidRPr="00B27D7D">
        <w:rPr>
          <w:color w:val="auto"/>
        </w:rPr>
        <w:t>-</w:t>
      </w:r>
      <w:r w:rsidR="00B27D7D" w:rsidRPr="00B27D7D">
        <w:rPr>
          <w:color w:val="auto"/>
        </w:rPr>
        <w:t>21</w:t>
      </w:r>
      <w:r w:rsidR="00B31940" w:rsidRPr="00B27D7D">
        <w:rPr>
          <w:color w:val="auto"/>
        </w:rPr>
        <w:t xml:space="preserve"> settembre</w:t>
      </w:r>
      <w:r w:rsidRPr="00B27D7D">
        <w:rPr>
          <w:color w:val="auto"/>
        </w:rPr>
        <w:t xml:space="preserve"> 2022 </w:t>
      </w:r>
      <w:r w:rsidR="00387C86" w:rsidRPr="00B27D7D">
        <w:rPr>
          <w:color w:val="auto"/>
        </w:rPr>
        <w:t xml:space="preserve">in Italia </w:t>
      </w:r>
      <w:r w:rsidRPr="00B27D7D">
        <w:rPr>
          <w:color w:val="auto"/>
        </w:rPr>
        <w:t>sono state registrate oltre 1</w:t>
      </w:r>
      <w:r w:rsidR="007C4457" w:rsidRPr="00B27D7D">
        <w:rPr>
          <w:color w:val="auto"/>
        </w:rPr>
        <w:t>,0</w:t>
      </w:r>
      <w:r w:rsidR="00B27D7D" w:rsidRPr="00B27D7D">
        <w:rPr>
          <w:color w:val="auto"/>
        </w:rPr>
        <w:t>9</w:t>
      </w:r>
      <w:r w:rsidR="007C4457" w:rsidRPr="00B27D7D">
        <w:rPr>
          <w:color w:val="auto"/>
        </w:rPr>
        <w:t xml:space="preserve"> milioni </w:t>
      </w:r>
      <w:r w:rsidRPr="00B27D7D">
        <w:rPr>
          <w:color w:val="auto"/>
        </w:rPr>
        <w:t xml:space="preserve">di reinfezioni, pari al </w:t>
      </w:r>
      <w:r w:rsidR="00B31940" w:rsidRPr="00B27D7D">
        <w:rPr>
          <w:color w:val="auto"/>
        </w:rPr>
        <w:t>6</w:t>
      </w:r>
      <w:r w:rsidR="00BE21B7" w:rsidRPr="00B27D7D">
        <w:rPr>
          <w:color w:val="auto"/>
        </w:rPr>
        <w:t>,</w:t>
      </w:r>
      <w:r w:rsidR="00B27D7D" w:rsidRPr="00B27D7D">
        <w:rPr>
          <w:color w:val="auto"/>
        </w:rPr>
        <w:t>2</w:t>
      </w:r>
      <w:r w:rsidRPr="00B27D7D">
        <w:rPr>
          <w:color w:val="auto"/>
        </w:rPr>
        <w:t xml:space="preserve">% del totale dei casi. La loro incidenza nella settimana </w:t>
      </w:r>
      <w:r w:rsidR="00B27D7D" w:rsidRPr="00B27D7D">
        <w:rPr>
          <w:color w:val="auto"/>
        </w:rPr>
        <w:t>15</w:t>
      </w:r>
      <w:r w:rsidR="00633A4B" w:rsidRPr="00B27D7D">
        <w:rPr>
          <w:color w:val="auto"/>
        </w:rPr>
        <w:t>-</w:t>
      </w:r>
      <w:r w:rsidR="00B27D7D" w:rsidRPr="00B27D7D">
        <w:rPr>
          <w:color w:val="auto"/>
        </w:rPr>
        <w:t>21</w:t>
      </w:r>
      <w:r w:rsidR="00633A4B" w:rsidRPr="00B27D7D">
        <w:rPr>
          <w:color w:val="auto"/>
        </w:rPr>
        <w:t xml:space="preserve"> settembre</w:t>
      </w:r>
      <w:r w:rsidRPr="00B27D7D">
        <w:rPr>
          <w:color w:val="auto"/>
        </w:rPr>
        <w:t xml:space="preserve"> è </w:t>
      </w:r>
      <w:r w:rsidR="007C4457" w:rsidRPr="00B27D7D">
        <w:rPr>
          <w:color w:val="auto"/>
        </w:rPr>
        <w:t xml:space="preserve">del </w:t>
      </w:r>
      <w:r w:rsidR="00B27D7D" w:rsidRPr="00B27D7D">
        <w:rPr>
          <w:color w:val="auto"/>
        </w:rPr>
        <w:t>15</w:t>
      </w:r>
      <w:r w:rsidR="00B31940" w:rsidRPr="00B27D7D">
        <w:rPr>
          <w:color w:val="auto"/>
        </w:rPr>
        <w:t>,</w:t>
      </w:r>
      <w:r w:rsidR="00B27D7D" w:rsidRPr="00B27D7D">
        <w:rPr>
          <w:color w:val="auto"/>
        </w:rPr>
        <w:t>8</w:t>
      </w:r>
      <w:r w:rsidRPr="00B27D7D">
        <w:rPr>
          <w:color w:val="auto"/>
        </w:rPr>
        <w:t xml:space="preserve">% (n. </w:t>
      </w:r>
      <w:r w:rsidR="00B27D7D" w:rsidRPr="00B27D7D">
        <w:rPr>
          <w:color w:val="auto"/>
        </w:rPr>
        <w:t>23.934</w:t>
      </w:r>
      <w:r w:rsidR="00B27D7D">
        <w:rPr>
          <w:color w:val="auto"/>
        </w:rPr>
        <w:t xml:space="preserve"> </w:t>
      </w:r>
      <w:r w:rsidR="007C4457" w:rsidRPr="00B27D7D">
        <w:rPr>
          <w:color w:val="auto"/>
        </w:rPr>
        <w:t>reinfezioni)</w:t>
      </w:r>
      <w:r w:rsidR="00E8203F" w:rsidRPr="00B27D7D">
        <w:rPr>
          <w:color w:val="auto"/>
        </w:rPr>
        <w:t>,</w:t>
      </w:r>
      <w:r w:rsidR="007C4457" w:rsidRPr="00B27D7D">
        <w:rPr>
          <w:color w:val="auto"/>
        </w:rPr>
        <w:t xml:space="preserve"> in aumento rispetto alla settimana precedente (1</w:t>
      </w:r>
      <w:r w:rsidR="00B31940" w:rsidRPr="00B27D7D">
        <w:rPr>
          <w:color w:val="auto"/>
        </w:rPr>
        <w:t>4</w:t>
      </w:r>
      <w:r w:rsidR="00BE21B7" w:rsidRPr="00B27D7D">
        <w:rPr>
          <w:color w:val="auto"/>
        </w:rPr>
        <w:t>,</w:t>
      </w:r>
      <w:r w:rsidR="00B27D7D" w:rsidRPr="00B27D7D">
        <w:rPr>
          <w:color w:val="auto"/>
        </w:rPr>
        <w:t>9</w:t>
      </w:r>
      <w:r w:rsidR="007C4457" w:rsidRPr="00B27D7D">
        <w:rPr>
          <w:color w:val="auto"/>
        </w:rPr>
        <w:t>%).</w:t>
      </w:r>
    </w:p>
    <w:p w14:paraId="3B1FDD15" w14:textId="77777777" w:rsidR="00666904" w:rsidRPr="00666904" w:rsidRDefault="00666904" w:rsidP="008030A9">
      <w:pPr>
        <w:spacing w:line="276" w:lineRule="auto"/>
        <w:jc w:val="both"/>
        <w:rPr>
          <w:color w:val="auto"/>
        </w:rPr>
      </w:pPr>
      <w:r w:rsidRPr="00666904">
        <w:rPr>
          <w:b/>
          <w:color w:val="auto"/>
        </w:rPr>
        <w:t>Testing.</w:t>
      </w:r>
      <w:r w:rsidRPr="00666904">
        <w:rPr>
          <w:color w:val="auto"/>
        </w:rPr>
        <w:t xml:space="preserve"> Si registra un aumento del numero dei tamponi totali (+10,1%): da 969.140 della settimana 14-20 settembre a 1.066.571 della settimana 21-27 settembre. In particolare i tamponi rapidi sono aumentati del</w:t>
      </w:r>
      <w:r>
        <w:rPr>
          <w:color w:val="auto"/>
        </w:rPr>
        <w:t xml:space="preserve"> </w:t>
      </w:r>
      <w:r w:rsidRPr="00666904">
        <w:rPr>
          <w:color w:val="auto"/>
        </w:rPr>
        <w:t>13,3% (+101.021), mentre quelli molecolari sono diminuiti del</w:t>
      </w:r>
      <w:r>
        <w:rPr>
          <w:color w:val="auto"/>
        </w:rPr>
        <w:t>l’</w:t>
      </w:r>
      <w:r w:rsidRPr="00666904">
        <w:rPr>
          <w:color w:val="auto"/>
        </w:rPr>
        <w:t>1,7% (-3.590) (</w:t>
      </w:r>
      <w:r w:rsidRPr="00666904">
        <w:rPr>
          <w:color w:val="auto"/>
          <w:highlight w:val="yellow"/>
        </w:rPr>
        <w:t>figura 5</w:t>
      </w:r>
      <w:r w:rsidRPr="00666904">
        <w:rPr>
          <w:color w:val="auto"/>
        </w:rPr>
        <w:t>). La media mobile a 7 giorni del tasso di</w:t>
      </w:r>
      <w:r>
        <w:rPr>
          <w:color w:val="auto"/>
        </w:rPr>
        <w:t xml:space="preserve"> positività sale dal 6,5% all’</w:t>
      </w:r>
      <w:r w:rsidRPr="00666904">
        <w:rPr>
          <w:color w:val="auto"/>
        </w:rPr>
        <w:t>8,8% per i tamponi molecolari e dal 14% al 16,4% per gli antigenici rapidi (</w:t>
      </w:r>
      <w:r w:rsidRPr="00666904">
        <w:rPr>
          <w:color w:val="auto"/>
          <w:highlight w:val="yellow"/>
        </w:rPr>
        <w:t>figura 6</w:t>
      </w:r>
      <w:r w:rsidRPr="00666904">
        <w:rPr>
          <w:color w:val="auto"/>
        </w:rPr>
        <w:t>).</w:t>
      </w:r>
    </w:p>
    <w:p w14:paraId="50714F23" w14:textId="77777777" w:rsidR="009F1734" w:rsidRPr="00666904" w:rsidRDefault="009F1734" w:rsidP="009F1734">
      <w:pPr>
        <w:jc w:val="both"/>
        <w:rPr>
          <w:color w:val="auto"/>
        </w:rPr>
      </w:pPr>
      <w:r w:rsidRPr="00666904">
        <w:rPr>
          <w:b/>
          <w:color w:val="auto"/>
        </w:rPr>
        <w:t>Ospedalizzazioni</w:t>
      </w:r>
      <w:r w:rsidRPr="00666904">
        <w:rPr>
          <w:color w:val="auto"/>
        </w:rPr>
        <w:t xml:space="preserve">. «Sul fronte degli ospedali – afferma Marco Mosti, Direttore Operativo della Fondazione GIMBE – </w:t>
      </w:r>
      <w:r w:rsidR="005674D3" w:rsidRPr="00666904">
        <w:rPr>
          <w:color w:val="auto"/>
        </w:rPr>
        <w:t>prosegue la discesa in terapia intensiva (-14,7%)</w:t>
      </w:r>
      <w:r w:rsidR="005674D3">
        <w:rPr>
          <w:color w:val="auto"/>
        </w:rPr>
        <w:t xml:space="preserve">, ma </w:t>
      </w:r>
      <w:r w:rsidR="00666904" w:rsidRPr="00666904">
        <w:rPr>
          <w:color w:val="auto"/>
        </w:rPr>
        <w:t xml:space="preserve">si registra una inversione </w:t>
      </w:r>
      <w:r w:rsidR="00165CBC">
        <w:rPr>
          <w:color w:val="auto"/>
        </w:rPr>
        <w:t xml:space="preserve">di tendenza </w:t>
      </w:r>
      <w:r w:rsidR="00666904" w:rsidRPr="00666904">
        <w:rPr>
          <w:color w:val="auto"/>
        </w:rPr>
        <w:t xml:space="preserve">dei </w:t>
      </w:r>
      <w:r w:rsidRPr="00666904">
        <w:rPr>
          <w:color w:val="auto"/>
        </w:rPr>
        <w:t>ricoveri in area medica (</w:t>
      </w:r>
      <w:r w:rsidR="00666904" w:rsidRPr="00666904">
        <w:rPr>
          <w:color w:val="auto"/>
        </w:rPr>
        <w:t>+4</w:t>
      </w:r>
      <w:r w:rsidRPr="00666904">
        <w:rPr>
          <w:color w:val="auto"/>
        </w:rPr>
        <w:t>,</w:t>
      </w:r>
      <w:r w:rsidR="00666904" w:rsidRPr="00666904">
        <w:rPr>
          <w:color w:val="auto"/>
        </w:rPr>
        <w:t>5%)</w:t>
      </w:r>
      <w:r w:rsidRPr="00666904">
        <w:rPr>
          <w:color w:val="auto"/>
        </w:rPr>
        <w:t xml:space="preserve">». </w:t>
      </w:r>
      <w:r w:rsidR="003906D7" w:rsidRPr="00666904">
        <w:rPr>
          <w:color w:val="auto"/>
        </w:rPr>
        <w:t xml:space="preserve">In </w:t>
      </w:r>
      <w:r w:rsidR="00E32526">
        <w:rPr>
          <w:color w:val="auto"/>
        </w:rPr>
        <w:t>due mesi</w:t>
      </w:r>
      <w:r w:rsidRPr="00666904">
        <w:rPr>
          <w:color w:val="auto"/>
        </w:rPr>
        <w:t xml:space="preserve"> i ricoveri sono scesi da 434 a </w:t>
      </w:r>
      <w:r w:rsidR="00666904" w:rsidRPr="00666904">
        <w:rPr>
          <w:color w:val="auto"/>
        </w:rPr>
        <w:t>128 in area critica, mentre in area medica</w:t>
      </w:r>
      <w:r w:rsidR="00165CBC">
        <w:rPr>
          <w:color w:val="auto"/>
        </w:rPr>
        <w:t xml:space="preserve">, dopo aver </w:t>
      </w:r>
      <w:r w:rsidR="005674D3">
        <w:rPr>
          <w:color w:val="auto"/>
        </w:rPr>
        <w:t xml:space="preserve">raggiunto il </w:t>
      </w:r>
      <w:r w:rsidR="00666904" w:rsidRPr="00666904">
        <w:rPr>
          <w:color w:val="auto"/>
        </w:rPr>
        <w:t xml:space="preserve">minimo di 3.293 </w:t>
      </w:r>
      <w:r w:rsidR="005674D3">
        <w:rPr>
          <w:color w:val="auto"/>
        </w:rPr>
        <w:t xml:space="preserve">il </w:t>
      </w:r>
      <w:r w:rsidR="00666904" w:rsidRPr="00666904">
        <w:rPr>
          <w:color w:val="auto"/>
        </w:rPr>
        <w:t>24 settembre</w:t>
      </w:r>
      <w:r w:rsidR="005674D3">
        <w:rPr>
          <w:color w:val="auto"/>
        </w:rPr>
        <w:t xml:space="preserve">, </w:t>
      </w:r>
      <w:r w:rsidR="00E32526">
        <w:rPr>
          <w:color w:val="auto"/>
        </w:rPr>
        <w:t xml:space="preserve">in tre giorni </w:t>
      </w:r>
      <w:r w:rsidR="00CD0474">
        <w:rPr>
          <w:color w:val="auto"/>
        </w:rPr>
        <w:t xml:space="preserve">sono risaliti </w:t>
      </w:r>
      <w:r w:rsidR="00E32526">
        <w:rPr>
          <w:color w:val="auto"/>
        </w:rPr>
        <w:t>a quota</w:t>
      </w:r>
      <w:r w:rsidR="005674D3">
        <w:rPr>
          <w:color w:val="auto"/>
        </w:rPr>
        <w:t xml:space="preserve"> </w:t>
      </w:r>
      <w:r w:rsidR="00666904" w:rsidRPr="00666904">
        <w:rPr>
          <w:color w:val="auto"/>
        </w:rPr>
        <w:t xml:space="preserve">3.653 </w:t>
      </w:r>
      <w:r w:rsidRPr="00666904">
        <w:rPr>
          <w:color w:val="auto"/>
        </w:rPr>
        <w:t>(</w:t>
      </w:r>
      <w:r w:rsidRPr="00666904">
        <w:rPr>
          <w:color w:val="auto"/>
          <w:highlight w:val="yellow"/>
        </w:rPr>
        <w:t>figura 7</w:t>
      </w:r>
      <w:r w:rsidRPr="00666904">
        <w:rPr>
          <w:color w:val="auto"/>
        </w:rPr>
        <w:t xml:space="preserve">). </w:t>
      </w:r>
      <w:r w:rsidRPr="008820F4">
        <w:rPr>
          <w:color w:val="auto"/>
        </w:rPr>
        <w:t xml:space="preserve">Al </w:t>
      </w:r>
      <w:r w:rsidR="00666904" w:rsidRPr="008820F4">
        <w:rPr>
          <w:color w:val="auto"/>
        </w:rPr>
        <w:t>27</w:t>
      </w:r>
      <w:r w:rsidRPr="008820F4">
        <w:rPr>
          <w:color w:val="auto"/>
        </w:rPr>
        <w:t xml:space="preserve"> settembre il tasso nazionale di occupazione da parte di pazienti COVID è del 5,</w:t>
      </w:r>
      <w:r w:rsidR="008820F4" w:rsidRPr="008820F4">
        <w:rPr>
          <w:color w:val="auto"/>
        </w:rPr>
        <w:t>7</w:t>
      </w:r>
      <w:r w:rsidRPr="008820F4">
        <w:rPr>
          <w:color w:val="auto"/>
        </w:rPr>
        <w:t>% in area medica (dal 3,</w:t>
      </w:r>
      <w:r w:rsidR="008820F4" w:rsidRPr="008820F4">
        <w:rPr>
          <w:color w:val="auto"/>
        </w:rPr>
        <w:t>5</w:t>
      </w:r>
      <w:r w:rsidRPr="008820F4">
        <w:rPr>
          <w:color w:val="auto"/>
        </w:rPr>
        <w:t xml:space="preserve">% della </w:t>
      </w:r>
      <w:r w:rsidR="008820F4" w:rsidRPr="008820F4">
        <w:rPr>
          <w:color w:val="auto"/>
        </w:rPr>
        <w:t>Sardegna</w:t>
      </w:r>
      <w:r w:rsidRPr="008820F4">
        <w:rPr>
          <w:color w:val="auto"/>
        </w:rPr>
        <w:t xml:space="preserve"> al </w:t>
      </w:r>
      <w:r w:rsidR="008820F4" w:rsidRPr="008820F4">
        <w:rPr>
          <w:color w:val="auto"/>
        </w:rPr>
        <w:t>17,8% dell’Umbria</w:t>
      </w:r>
      <w:r w:rsidRPr="008820F4">
        <w:rPr>
          <w:color w:val="auto"/>
        </w:rPr>
        <w:t>) e del</w:t>
      </w:r>
      <w:r w:rsidR="003906D7" w:rsidRPr="008820F4">
        <w:rPr>
          <w:color w:val="auto"/>
        </w:rPr>
        <w:t>l’</w:t>
      </w:r>
      <w:r w:rsidRPr="008820F4">
        <w:rPr>
          <w:color w:val="auto"/>
        </w:rPr>
        <w:t>1,</w:t>
      </w:r>
      <w:r w:rsidR="008820F4" w:rsidRPr="008820F4">
        <w:rPr>
          <w:color w:val="auto"/>
        </w:rPr>
        <w:t>4</w:t>
      </w:r>
      <w:r w:rsidRPr="008820F4">
        <w:rPr>
          <w:color w:val="auto"/>
        </w:rPr>
        <w:t xml:space="preserve">% in area critica (dallo 0% </w:t>
      </w:r>
      <w:r w:rsidR="003906D7" w:rsidRPr="008820F4">
        <w:rPr>
          <w:color w:val="auto"/>
        </w:rPr>
        <w:t xml:space="preserve">di </w:t>
      </w:r>
      <w:r w:rsidR="008820F4" w:rsidRPr="008820F4">
        <w:rPr>
          <w:color w:val="auto"/>
        </w:rPr>
        <w:t xml:space="preserve">Basilicata, </w:t>
      </w:r>
      <w:r w:rsidRPr="008820F4">
        <w:rPr>
          <w:color w:val="auto"/>
        </w:rPr>
        <w:t>Molise e Valle d’Aosta al 4% della Provincia Autonoma di Bolzano) (</w:t>
      </w:r>
      <w:r w:rsidRPr="008820F4">
        <w:rPr>
          <w:color w:val="auto"/>
          <w:highlight w:val="yellow"/>
        </w:rPr>
        <w:t>figura 8</w:t>
      </w:r>
      <w:r w:rsidR="00666904" w:rsidRPr="008820F4">
        <w:rPr>
          <w:color w:val="auto"/>
        </w:rPr>
        <w:t>). «</w:t>
      </w:r>
      <w:r w:rsidR="0042539D">
        <w:rPr>
          <w:color w:val="auto"/>
        </w:rPr>
        <w:t>Calano</w:t>
      </w:r>
      <w:r w:rsidR="0042539D" w:rsidRPr="008820F4">
        <w:rPr>
          <w:color w:val="auto"/>
        </w:rPr>
        <w:t xml:space="preserve"> </w:t>
      </w:r>
      <w:r w:rsidR="005674D3" w:rsidRPr="008820F4">
        <w:rPr>
          <w:color w:val="auto"/>
        </w:rPr>
        <w:t xml:space="preserve">ancora </w:t>
      </w:r>
      <w:r w:rsidRPr="008820F4">
        <w:rPr>
          <w:color w:val="auto"/>
        </w:rPr>
        <w:t xml:space="preserve">gli </w:t>
      </w:r>
      <w:r w:rsidRPr="00666904">
        <w:rPr>
          <w:color w:val="auto"/>
        </w:rPr>
        <w:t xml:space="preserve">ingressi giornalieri in terapia intensiva – puntualizza Mosti – </w:t>
      </w:r>
      <w:r w:rsidR="0085656F">
        <w:rPr>
          <w:color w:val="auto"/>
        </w:rPr>
        <w:t>la cui</w:t>
      </w:r>
      <w:r w:rsidRPr="00666904">
        <w:rPr>
          <w:color w:val="auto"/>
        </w:rPr>
        <w:t xml:space="preserve"> media mobile a 7 giorni</w:t>
      </w:r>
      <w:r w:rsidR="004516C9">
        <w:rPr>
          <w:color w:val="auto"/>
        </w:rPr>
        <w:t xml:space="preserve"> rispetto alla settimana precedente</w:t>
      </w:r>
      <w:r w:rsidRPr="00666904">
        <w:rPr>
          <w:color w:val="auto"/>
        </w:rPr>
        <w:t xml:space="preserve"> </w:t>
      </w:r>
      <w:r w:rsidR="0042539D">
        <w:rPr>
          <w:color w:val="auto"/>
        </w:rPr>
        <w:t>scende da 14 a 11 ingressi/die</w:t>
      </w:r>
      <w:r w:rsidR="00FE7350">
        <w:rPr>
          <w:color w:val="auto"/>
        </w:rPr>
        <w:t xml:space="preserve">, il </w:t>
      </w:r>
      <w:r w:rsidR="0042539D">
        <w:rPr>
          <w:color w:val="auto"/>
        </w:rPr>
        <w:t>valore</w:t>
      </w:r>
      <w:r w:rsidR="00FE7350">
        <w:rPr>
          <w:color w:val="auto"/>
        </w:rPr>
        <w:t xml:space="preserve"> più basso da luglio 2021</w:t>
      </w:r>
      <w:r w:rsidRPr="00666904">
        <w:rPr>
          <w:color w:val="auto"/>
        </w:rPr>
        <w:t>» (</w:t>
      </w:r>
      <w:r w:rsidRPr="00666904">
        <w:rPr>
          <w:color w:val="auto"/>
          <w:highlight w:val="yellow"/>
        </w:rPr>
        <w:t>figura 9</w:t>
      </w:r>
      <w:r w:rsidRPr="00666904">
        <w:rPr>
          <w:color w:val="auto"/>
        </w:rPr>
        <w:t>).</w:t>
      </w:r>
    </w:p>
    <w:p w14:paraId="25F5C9C2" w14:textId="77777777" w:rsidR="00A46DB8" w:rsidRPr="00666904" w:rsidRDefault="00A46DB8" w:rsidP="008030A9">
      <w:pPr>
        <w:spacing w:line="276" w:lineRule="auto"/>
        <w:jc w:val="both"/>
        <w:rPr>
          <w:color w:val="auto"/>
        </w:rPr>
      </w:pPr>
      <w:r w:rsidRPr="00666904">
        <w:rPr>
          <w:b/>
          <w:color w:val="auto"/>
        </w:rPr>
        <w:t>Decessi</w:t>
      </w:r>
      <w:r w:rsidRPr="00666904">
        <w:rPr>
          <w:color w:val="auto"/>
        </w:rPr>
        <w:t xml:space="preserve">. </w:t>
      </w:r>
      <w:r w:rsidR="004516C9">
        <w:rPr>
          <w:color w:val="auto"/>
        </w:rPr>
        <w:t>Continuano a diminuire</w:t>
      </w:r>
      <w:r w:rsidRPr="00666904">
        <w:rPr>
          <w:color w:val="auto"/>
        </w:rPr>
        <w:t xml:space="preserve"> </w:t>
      </w:r>
      <w:r w:rsidR="004516C9">
        <w:rPr>
          <w:color w:val="auto"/>
        </w:rPr>
        <w:t>i</w:t>
      </w:r>
      <w:r w:rsidRPr="00666904">
        <w:rPr>
          <w:color w:val="auto"/>
        </w:rPr>
        <w:t xml:space="preserve"> decessi: </w:t>
      </w:r>
      <w:r w:rsidR="00666904" w:rsidRPr="00666904">
        <w:rPr>
          <w:color w:val="auto"/>
        </w:rPr>
        <w:t>307</w:t>
      </w:r>
      <w:r w:rsidRPr="00666904">
        <w:rPr>
          <w:color w:val="auto"/>
        </w:rPr>
        <w:t xml:space="preserve"> negli ultimi 7 giorni (di cui </w:t>
      </w:r>
      <w:r w:rsidR="00666904" w:rsidRPr="00666904">
        <w:rPr>
          <w:color w:val="auto"/>
        </w:rPr>
        <w:t>21</w:t>
      </w:r>
      <w:r w:rsidRPr="00666904">
        <w:rPr>
          <w:color w:val="auto"/>
        </w:rPr>
        <w:t xml:space="preserve"> riferiti a periodi precedenti), con una media di </w:t>
      </w:r>
      <w:r w:rsidR="00666904" w:rsidRPr="00666904">
        <w:rPr>
          <w:color w:val="auto"/>
        </w:rPr>
        <w:t>44</w:t>
      </w:r>
      <w:r w:rsidRPr="00666904">
        <w:rPr>
          <w:color w:val="auto"/>
        </w:rPr>
        <w:t xml:space="preserve"> al giorno rispetto ai </w:t>
      </w:r>
      <w:r w:rsidR="00666904" w:rsidRPr="00666904">
        <w:rPr>
          <w:color w:val="auto"/>
        </w:rPr>
        <w:t>48</w:t>
      </w:r>
      <w:r w:rsidRPr="00666904">
        <w:rPr>
          <w:color w:val="auto"/>
        </w:rPr>
        <w:t xml:space="preserve"> della settimana precedente.</w:t>
      </w:r>
    </w:p>
    <w:p w14:paraId="6149DB5C" w14:textId="77777777" w:rsidR="002330F2" w:rsidRPr="002330F2" w:rsidRDefault="002330F2" w:rsidP="008030A9">
      <w:pPr>
        <w:spacing w:line="276" w:lineRule="auto"/>
        <w:jc w:val="both"/>
        <w:rPr>
          <w:color w:val="auto"/>
        </w:rPr>
      </w:pPr>
      <w:r w:rsidRPr="002330F2">
        <w:rPr>
          <w:b/>
          <w:color w:val="auto"/>
        </w:rPr>
        <w:t>Vaccini: nuovi vaccinati.</w:t>
      </w:r>
      <w:r w:rsidRPr="002330F2">
        <w:rPr>
          <w:color w:val="auto"/>
        </w:rPr>
        <w:t xml:space="preserve"> Nella settimana 21-27 settembre calano i nuovi vaccinati: 1.288 rispetto ai 1.512 della settimana precedente (-14,8%). Di questi il 36,6% è rappresentato dalla fascia 5-11: 472, con una riduzione del 14,8% rispetto alla settimana precedente. Cala tra gli over 50, più a rischio di malattia grave, il numero di nuovi vaccinati che si attesta a quota 317 (-1,9% rispetto alla settimana precedente) (</w:t>
      </w:r>
      <w:r w:rsidRPr="002330F2">
        <w:rPr>
          <w:color w:val="auto"/>
          <w:highlight w:val="yellow"/>
        </w:rPr>
        <w:t>figura 10</w:t>
      </w:r>
      <w:r w:rsidRPr="002330F2">
        <w:rPr>
          <w:color w:val="auto"/>
        </w:rPr>
        <w:t>).</w:t>
      </w:r>
    </w:p>
    <w:p w14:paraId="697147FD" w14:textId="77777777" w:rsidR="002330F2" w:rsidRDefault="002330F2" w:rsidP="00CD0474">
      <w:pPr>
        <w:spacing w:after="0" w:line="276" w:lineRule="auto"/>
        <w:jc w:val="both"/>
        <w:rPr>
          <w:color w:val="auto"/>
        </w:rPr>
      </w:pPr>
      <w:r w:rsidRPr="002330F2">
        <w:rPr>
          <w:b/>
          <w:color w:val="auto"/>
        </w:rPr>
        <w:t>Vaccini: persone non vaccinate.</w:t>
      </w:r>
      <w:r w:rsidRPr="002330F2">
        <w:rPr>
          <w:color w:val="auto"/>
        </w:rPr>
        <w:t xml:space="preserve"> Al 28 settembre (aggiornamento ore 06.16) sono 6,81 milioni le persone di età superiore a 5 anni che non hanno ricevuto nemmeno una dose di vaccino (</w:t>
      </w:r>
      <w:r w:rsidR="004D25FE">
        <w:rPr>
          <w:color w:val="auto"/>
          <w:highlight w:val="yellow"/>
        </w:rPr>
        <w:t>figura</w:t>
      </w:r>
      <w:r w:rsidRPr="002330F2">
        <w:rPr>
          <w:color w:val="auto"/>
          <w:highlight w:val="yellow"/>
        </w:rPr>
        <w:t xml:space="preserve"> 1</w:t>
      </w:r>
      <w:r w:rsidR="004D25FE" w:rsidRPr="004D25FE">
        <w:rPr>
          <w:color w:val="auto"/>
          <w:highlight w:val="yellow"/>
        </w:rPr>
        <w:t>1</w:t>
      </w:r>
      <w:r w:rsidRPr="002330F2">
        <w:rPr>
          <w:color w:val="auto"/>
        </w:rPr>
        <w:t>), di cui:</w:t>
      </w:r>
    </w:p>
    <w:p w14:paraId="39E3A082" w14:textId="77777777" w:rsidR="002330F2" w:rsidRDefault="002330F2" w:rsidP="002330F2">
      <w:pPr>
        <w:pStyle w:val="Paragrafoelenco"/>
        <w:numPr>
          <w:ilvl w:val="0"/>
          <w:numId w:val="38"/>
        </w:numPr>
        <w:spacing w:after="0" w:line="276" w:lineRule="auto"/>
        <w:jc w:val="both"/>
        <w:rPr>
          <w:color w:val="auto"/>
        </w:rPr>
      </w:pPr>
      <w:r w:rsidRPr="002330F2">
        <w:rPr>
          <w:color w:val="auto"/>
        </w:rPr>
        <w:t>5,77 milioni attualmente vaccinabili, pari al 10% della platea (dal 7,4% del Lazi</w:t>
      </w:r>
      <w:r>
        <w:rPr>
          <w:color w:val="auto"/>
        </w:rPr>
        <w:t>o al 13,7% della Valle D</w:t>
      </w:r>
      <w:r w:rsidR="004516C9">
        <w:rPr>
          <w:color w:val="auto"/>
        </w:rPr>
        <w:t>’</w:t>
      </w:r>
      <w:r>
        <w:rPr>
          <w:color w:val="auto"/>
        </w:rPr>
        <w:t>Aosta);</w:t>
      </w:r>
    </w:p>
    <w:p w14:paraId="6C916EC5" w14:textId="77777777" w:rsidR="002330F2" w:rsidRPr="002330F2" w:rsidRDefault="002330F2" w:rsidP="002330F2">
      <w:pPr>
        <w:pStyle w:val="Paragrafoelenco"/>
        <w:numPr>
          <w:ilvl w:val="0"/>
          <w:numId w:val="38"/>
        </w:numPr>
        <w:spacing w:line="276" w:lineRule="auto"/>
        <w:jc w:val="both"/>
        <w:rPr>
          <w:color w:val="auto"/>
        </w:rPr>
      </w:pPr>
      <w:r w:rsidRPr="002330F2">
        <w:rPr>
          <w:color w:val="auto"/>
        </w:rPr>
        <w:t>1,05 milioni temporaneamente protette in quanto guarite da COVID-19 da meno di 180 giorni, pari al</w:t>
      </w:r>
      <w:r>
        <w:rPr>
          <w:color w:val="auto"/>
        </w:rPr>
        <w:t>l’1,8% della platea (dall’</w:t>
      </w:r>
      <w:r w:rsidRPr="002330F2">
        <w:rPr>
          <w:color w:val="auto"/>
        </w:rPr>
        <w:t>1,2% della Valle D</w:t>
      </w:r>
      <w:r w:rsidR="004516C9">
        <w:rPr>
          <w:color w:val="auto"/>
        </w:rPr>
        <w:t>’</w:t>
      </w:r>
      <w:r w:rsidRPr="002330F2">
        <w:rPr>
          <w:color w:val="auto"/>
        </w:rPr>
        <w:t>Aosta al 2,7% delle Marche).</w:t>
      </w:r>
    </w:p>
    <w:p w14:paraId="225369B7" w14:textId="77777777" w:rsidR="002330F2" w:rsidRPr="002330F2" w:rsidRDefault="002330F2" w:rsidP="008030A9">
      <w:pPr>
        <w:spacing w:line="276" w:lineRule="auto"/>
        <w:jc w:val="both"/>
        <w:rPr>
          <w:color w:val="auto"/>
        </w:rPr>
      </w:pPr>
      <w:r w:rsidRPr="002330F2">
        <w:rPr>
          <w:b/>
          <w:color w:val="auto"/>
        </w:rPr>
        <w:t>Vaccini: fascia 5-11 anni.</w:t>
      </w:r>
      <w:r w:rsidRPr="002330F2">
        <w:rPr>
          <w:color w:val="auto"/>
        </w:rPr>
        <w:t xml:space="preserve"> Al 28 settembre (aggiornamento ore 06.16) nella fascia 5-11 anni sono state somministrate 2.601.475 dosi: 1.406.106 hanno ricevuto almeno 1 dose di vaccino (di cui 1.285.895 hanno completato il ciclo vaccinale), con un tasso di copertura nazionale al 38,5% con nette differenze regionali </w:t>
      </w:r>
      <w:r w:rsidR="004516C9">
        <w:rPr>
          <w:color w:val="auto"/>
        </w:rPr>
        <w:t>(</w:t>
      </w:r>
      <w:r w:rsidRPr="002330F2">
        <w:rPr>
          <w:color w:val="auto"/>
        </w:rPr>
        <w:t>dal 21,1% della Provincia Autonoma di Bolzano al 53,9% della Puglia</w:t>
      </w:r>
      <w:r w:rsidR="004516C9">
        <w:rPr>
          <w:color w:val="auto"/>
        </w:rPr>
        <w:t>)</w:t>
      </w:r>
      <w:r w:rsidRPr="002330F2">
        <w:rPr>
          <w:color w:val="auto"/>
        </w:rPr>
        <w:t xml:space="preserve"> (</w:t>
      </w:r>
      <w:r w:rsidRPr="002330F2">
        <w:rPr>
          <w:color w:val="auto"/>
          <w:highlight w:val="yellow"/>
        </w:rPr>
        <w:t>figura 1</w:t>
      </w:r>
      <w:r w:rsidR="004D25FE">
        <w:rPr>
          <w:color w:val="auto"/>
          <w:highlight w:val="yellow"/>
        </w:rPr>
        <w:t>2</w:t>
      </w:r>
      <w:r w:rsidRPr="002330F2">
        <w:rPr>
          <w:color w:val="auto"/>
        </w:rPr>
        <w:t>).</w:t>
      </w:r>
    </w:p>
    <w:p w14:paraId="15144668" w14:textId="3137F111" w:rsidR="005D6FAA" w:rsidRDefault="00BD2CFE" w:rsidP="00BD2CFE">
      <w:pPr>
        <w:spacing w:line="276" w:lineRule="auto"/>
        <w:jc w:val="both"/>
        <w:rPr>
          <w:color w:val="auto"/>
        </w:rPr>
      </w:pPr>
      <w:r w:rsidRPr="00B216B1">
        <w:rPr>
          <w:b/>
          <w:bCs/>
        </w:rPr>
        <w:t>Nuovi vaccini</w:t>
      </w:r>
      <w:r>
        <w:t xml:space="preserve">. Dopo il via libera </w:t>
      </w:r>
      <w:r w:rsidR="004516C9">
        <w:t>dell’Agenzia Italia</w:t>
      </w:r>
      <w:r w:rsidR="002721B7">
        <w:t>na</w:t>
      </w:r>
      <w:r w:rsidR="004516C9">
        <w:t xml:space="preserve"> del Farmaco (AIFA) </w:t>
      </w:r>
      <w:r>
        <w:t xml:space="preserve">ai due vaccini aggiornati a Omicron BA.1 e </w:t>
      </w:r>
      <w:r w:rsidRPr="00BC2289">
        <w:t>Omicron BA.4-5</w:t>
      </w:r>
      <w:r w:rsidR="00B6608C" w:rsidRPr="00B6608C">
        <w:t xml:space="preserve"> </w:t>
      </w:r>
      <w:r w:rsidR="00B6608C" w:rsidRPr="00BC2289">
        <w:t xml:space="preserve">come dose </w:t>
      </w:r>
      <w:r w:rsidR="00B6608C" w:rsidRPr="00B216B1">
        <w:rPr>
          <w:i/>
        </w:rPr>
        <w:t>booster</w:t>
      </w:r>
      <w:r>
        <w:t>,</w:t>
      </w:r>
      <w:r w:rsidRPr="00BC2289">
        <w:t xml:space="preserve"> </w:t>
      </w:r>
      <w:r>
        <w:t xml:space="preserve">la </w:t>
      </w:r>
      <w:hyperlink r:id="rId9" w:history="1">
        <w:r w:rsidRPr="0002696E">
          <w:rPr>
            <w:rStyle w:val="Collegamentoipertestuale"/>
          </w:rPr>
          <w:t>Circolare del Ministero della Salute del 23 settembre</w:t>
        </w:r>
      </w:hyperlink>
      <w:r>
        <w:t xml:space="preserve"> ha fornito i chiarimenti attesi. Innanzitutto, in assenza di evidenze per esprimere un utilizzo preferenziale, le indicazioni dell’Original/BA.1 sono state estese all’Original/BA.4-5; in secondo luogo la Circolare raccomanda – previa </w:t>
      </w:r>
      <w:r w:rsidRPr="00B216B1">
        <w:t>valutazione clinic</w:t>
      </w:r>
      <w:r>
        <w:t>a</w:t>
      </w:r>
      <w:r w:rsidRPr="00B216B1">
        <w:t xml:space="preserve"> specialistic</w:t>
      </w:r>
      <w:r>
        <w:t>a</w:t>
      </w:r>
      <w:r w:rsidRPr="00B216B1">
        <w:t xml:space="preserve"> </w:t>
      </w:r>
      <w:r w:rsidR="00CD0474">
        <w:t>–</w:t>
      </w:r>
      <w:r>
        <w:t xml:space="preserve"> la</w:t>
      </w:r>
      <w:r w:rsidR="00CD0474">
        <w:t xml:space="preserve"> </w:t>
      </w:r>
      <w:r>
        <w:t>“quinta dose” per le persone con gravi forme di compromissione del sistema immunitario; ancora, raccomanda il primo richiamo (terza dose) per tutti gli over 12; infine, rende d</w:t>
      </w:r>
      <w:r w:rsidRPr="00B216B1">
        <w:t xml:space="preserve">isponibili su richiesta per tutti gli over 12 </w:t>
      </w:r>
      <w:r>
        <w:t xml:space="preserve">entrambi i vaccini bivalenti </w:t>
      </w:r>
      <w:r w:rsidRPr="00B216B1">
        <w:t>come seconda dose di richiam</w:t>
      </w:r>
      <w:r>
        <w:t xml:space="preserve">o (quarta dose). </w:t>
      </w:r>
      <w:r w:rsidRPr="00BC2289">
        <w:t xml:space="preserve">La tabella sintetizza le attuali raccomandazioni sui richiami con </w:t>
      </w:r>
      <w:r>
        <w:t>i vaccini aggiornati (</w:t>
      </w:r>
      <w:r w:rsidRPr="009B5103">
        <w:rPr>
          <w:highlight w:val="yellow"/>
        </w:rPr>
        <w:t>tabella</w:t>
      </w:r>
      <w:r>
        <w:t>).</w:t>
      </w:r>
      <w:r w:rsidRPr="00B216B1">
        <w:t xml:space="preserve"> </w:t>
      </w:r>
      <w:r w:rsidRPr="009F1E0E">
        <w:rPr>
          <w:color w:val="auto"/>
        </w:rPr>
        <w:t>«Ancora nessun parere dell’AIFA – commenta Cartabellotta – né indicazioni del Ministero della Salute, in merito al</w:t>
      </w:r>
      <w:r>
        <w:rPr>
          <w:color w:val="auto"/>
        </w:rPr>
        <w:t xml:space="preserve"> primo richiamo </w:t>
      </w:r>
      <w:r w:rsidRPr="009F1E0E">
        <w:rPr>
          <w:color w:val="auto"/>
        </w:rPr>
        <w:t>per la fascia 5-11 anni con il vaccino originale Pfizer, autorizzat</w:t>
      </w:r>
      <w:r>
        <w:rPr>
          <w:color w:val="auto"/>
        </w:rPr>
        <w:t xml:space="preserve">o </w:t>
      </w:r>
      <w:r w:rsidRPr="0028306E">
        <w:rPr>
          <w:i/>
          <w:color w:val="auto"/>
        </w:rPr>
        <w:t>dall’</w:t>
      </w:r>
      <w:r w:rsidR="004516C9" w:rsidRPr="0028306E">
        <w:rPr>
          <w:i/>
          <w:color w:val="auto"/>
        </w:rPr>
        <w:t>European Medicines Agency</w:t>
      </w:r>
      <w:r w:rsidR="004516C9" w:rsidRPr="004516C9">
        <w:rPr>
          <w:color w:val="auto"/>
        </w:rPr>
        <w:t xml:space="preserve"> </w:t>
      </w:r>
      <w:r w:rsidR="004516C9">
        <w:rPr>
          <w:color w:val="auto"/>
        </w:rPr>
        <w:t>(EMA)</w:t>
      </w:r>
      <w:r w:rsidRPr="009F1E0E">
        <w:rPr>
          <w:color w:val="auto"/>
        </w:rPr>
        <w:t xml:space="preserve"> lo scorso 16 settembre». </w:t>
      </w:r>
    </w:p>
    <w:p w14:paraId="750B458D" w14:textId="3F46AAD3" w:rsidR="00BD2CFE" w:rsidRPr="00A13DF5" w:rsidRDefault="005D6FAA" w:rsidP="00BD2CFE">
      <w:pPr>
        <w:spacing w:line="276" w:lineRule="auto"/>
        <w:jc w:val="both"/>
        <w:rPr>
          <w:color w:val="FF0000"/>
        </w:rPr>
      </w:pPr>
      <w:r>
        <w:rPr>
          <w:b/>
          <w:bCs/>
          <w:noProof/>
          <w:color w:val="auto"/>
          <w:sz w:val="36"/>
          <w:szCs w:val="33"/>
        </w:rPr>
        <w:lastRenderedPageBreak/>
        <w:drawing>
          <wp:inline distT="0" distB="0" distL="0" distR="0" wp14:anchorId="28692AB5" wp14:editId="6455AEE1">
            <wp:extent cx="6107430" cy="4304665"/>
            <wp:effectExtent l="0" t="0" r="7620" b="635"/>
            <wp:docPr id="17" name="Immagine 17" descr="C:\Users\Roberto Lucieri\AppData\Local\Microsoft\Windows\INetCache\Content.Word\Tabella_richiami_vaccini_aggiornati_202209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o Lucieri\AppData\Local\Microsoft\Windows\INetCache\Content.Word\Tabella_richiami_vaccini_aggiornati_202209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7430" cy="4304665"/>
                    </a:xfrm>
                    <a:prstGeom prst="rect">
                      <a:avLst/>
                    </a:prstGeom>
                    <a:noFill/>
                    <a:ln>
                      <a:noFill/>
                    </a:ln>
                  </pic:spPr>
                </pic:pic>
              </a:graphicData>
            </a:graphic>
          </wp:inline>
        </w:drawing>
      </w:r>
    </w:p>
    <w:p w14:paraId="568FEC9B" w14:textId="77777777" w:rsidR="00BD2CFE" w:rsidRDefault="00BD2CFE" w:rsidP="00CD0474">
      <w:pPr>
        <w:spacing w:after="0" w:line="276" w:lineRule="auto"/>
        <w:jc w:val="both"/>
        <w:rPr>
          <w:color w:val="auto"/>
        </w:rPr>
      </w:pPr>
      <w:r w:rsidRPr="002330F2">
        <w:rPr>
          <w:b/>
          <w:color w:val="auto"/>
        </w:rPr>
        <w:t>Vaccini: terza dose.</w:t>
      </w:r>
      <w:r w:rsidRPr="002330F2">
        <w:rPr>
          <w:color w:val="auto"/>
        </w:rPr>
        <w:t xml:space="preserve"> Al 28 settembre (aggiornamento ore 06.16) sono state somministrate 40.149.297 terze dosi con una media mobile a 7 giorni di 1.855 somministrazioni al giorno. In base alla </w:t>
      </w:r>
      <w:hyperlink r:id="rId11" w:history="1">
        <w:r w:rsidRPr="002330F2">
          <w:rPr>
            <w:rStyle w:val="Collegamentoipertestuale"/>
            <w:color w:val="auto"/>
          </w:rPr>
          <w:t>platea ufficiale</w:t>
        </w:r>
      </w:hyperlink>
      <w:r w:rsidRPr="002330F2">
        <w:rPr>
          <w:color w:val="auto"/>
        </w:rPr>
        <w:t xml:space="preserve"> (n. 47.703.593), aggiornata al 20 maggio il tasso di copertura na</w:t>
      </w:r>
      <w:r>
        <w:rPr>
          <w:color w:val="auto"/>
        </w:rPr>
        <w:t>zionale per le terze dosi è dell’</w:t>
      </w:r>
      <w:r w:rsidRPr="002330F2">
        <w:rPr>
          <w:color w:val="auto"/>
        </w:rPr>
        <w:t xml:space="preserve">84,2%: dal 78,3% della Sicilia </w:t>
      </w:r>
      <w:r w:rsidR="00E455E0" w:rsidRPr="002330F2">
        <w:rPr>
          <w:color w:val="auto"/>
        </w:rPr>
        <w:t>al</w:t>
      </w:r>
      <w:r w:rsidR="00E455E0">
        <w:rPr>
          <w:color w:val="auto"/>
        </w:rPr>
        <w:t>l’</w:t>
      </w:r>
      <w:r w:rsidRPr="002330F2">
        <w:rPr>
          <w:color w:val="auto"/>
        </w:rPr>
        <w:t xml:space="preserve">88,1% della Lombardia. Sono 7,55 milioni le persone che non hanno ancora ricevuto la dose </w:t>
      </w:r>
      <w:r w:rsidRPr="0028306E">
        <w:rPr>
          <w:i/>
          <w:color w:val="auto"/>
        </w:rPr>
        <w:t>booster</w:t>
      </w:r>
      <w:r w:rsidRPr="002330F2">
        <w:rPr>
          <w:color w:val="auto"/>
        </w:rPr>
        <w:t xml:space="preserve"> (</w:t>
      </w:r>
      <w:r w:rsidR="004D25FE">
        <w:rPr>
          <w:color w:val="auto"/>
          <w:highlight w:val="yellow"/>
        </w:rPr>
        <w:t>figura</w:t>
      </w:r>
      <w:r w:rsidRPr="002330F2">
        <w:rPr>
          <w:color w:val="auto"/>
          <w:highlight w:val="yellow"/>
        </w:rPr>
        <w:t xml:space="preserve"> </w:t>
      </w:r>
      <w:r w:rsidR="004D25FE">
        <w:rPr>
          <w:color w:val="auto"/>
          <w:highlight w:val="yellow"/>
        </w:rPr>
        <w:t>13</w:t>
      </w:r>
      <w:r w:rsidRPr="002330F2">
        <w:rPr>
          <w:color w:val="auto"/>
        </w:rPr>
        <w:t xml:space="preserve">), di cui: </w:t>
      </w:r>
    </w:p>
    <w:p w14:paraId="6A74E593" w14:textId="77777777" w:rsidR="00BD2CFE" w:rsidRDefault="00BD2CFE" w:rsidP="00BD2CFE">
      <w:pPr>
        <w:pStyle w:val="Paragrafoelenco"/>
        <w:numPr>
          <w:ilvl w:val="0"/>
          <w:numId w:val="39"/>
        </w:numPr>
        <w:spacing w:after="0" w:line="276" w:lineRule="auto"/>
        <w:jc w:val="both"/>
        <w:rPr>
          <w:color w:val="auto"/>
        </w:rPr>
      </w:pPr>
      <w:r w:rsidRPr="002330F2">
        <w:rPr>
          <w:color w:val="auto"/>
        </w:rPr>
        <w:t xml:space="preserve">5,33 milioni possono riceverla subito, </w:t>
      </w:r>
      <w:r>
        <w:rPr>
          <w:color w:val="auto"/>
        </w:rPr>
        <w:t xml:space="preserve">pari </w:t>
      </w:r>
      <w:r w:rsidR="00E455E0">
        <w:rPr>
          <w:color w:val="auto"/>
        </w:rPr>
        <w:t>all’</w:t>
      </w:r>
      <w:r>
        <w:rPr>
          <w:color w:val="auto"/>
        </w:rPr>
        <w:t>11,2% della platea (dall’</w:t>
      </w:r>
      <w:r w:rsidRPr="002330F2">
        <w:rPr>
          <w:color w:val="auto"/>
        </w:rPr>
        <w:t>8,1% della Lombardia al 17,7% della Sicilia)</w:t>
      </w:r>
      <w:r>
        <w:rPr>
          <w:color w:val="auto"/>
        </w:rPr>
        <w:t>;</w:t>
      </w:r>
    </w:p>
    <w:p w14:paraId="21982E7E" w14:textId="77777777" w:rsidR="00BD2CFE" w:rsidRPr="002330F2" w:rsidRDefault="00BD2CFE" w:rsidP="00BD2CFE">
      <w:pPr>
        <w:pStyle w:val="Paragrafoelenco"/>
        <w:numPr>
          <w:ilvl w:val="0"/>
          <w:numId w:val="39"/>
        </w:numPr>
        <w:spacing w:line="276" w:lineRule="auto"/>
        <w:jc w:val="both"/>
        <w:rPr>
          <w:color w:val="auto"/>
        </w:rPr>
      </w:pPr>
      <w:r w:rsidRPr="002330F2">
        <w:rPr>
          <w:color w:val="auto"/>
        </w:rPr>
        <w:t>2,22 milioni non possono riceverla nell’immediato in quanto guarite da meno di 120 giorni, pari al 4,7% della platea (dal 2,2% della Valle D</w:t>
      </w:r>
      <w:r w:rsidR="00E455E0">
        <w:rPr>
          <w:color w:val="auto"/>
        </w:rPr>
        <w:t>’</w:t>
      </w:r>
      <w:r w:rsidRPr="002330F2">
        <w:rPr>
          <w:color w:val="auto"/>
        </w:rPr>
        <w:t>Aosta al 6,5% dell</w:t>
      </w:r>
      <w:r w:rsidR="001E4088">
        <w:rPr>
          <w:color w:val="auto"/>
        </w:rPr>
        <w:t>’</w:t>
      </w:r>
      <w:r w:rsidRPr="002330F2">
        <w:rPr>
          <w:color w:val="auto"/>
        </w:rPr>
        <w:t>Abruzzo).</w:t>
      </w:r>
    </w:p>
    <w:p w14:paraId="663C5570" w14:textId="77777777" w:rsidR="00BD2CFE" w:rsidRPr="00DC2084" w:rsidRDefault="00BD2CFE" w:rsidP="00BD2CFE">
      <w:pPr>
        <w:spacing w:line="276" w:lineRule="auto"/>
        <w:jc w:val="both"/>
        <w:rPr>
          <w:color w:val="FF0000"/>
        </w:rPr>
      </w:pPr>
      <w:r w:rsidRPr="00257704">
        <w:rPr>
          <w:b/>
          <w:color w:val="auto"/>
        </w:rPr>
        <w:t>Vaccini: quarta dose</w:t>
      </w:r>
      <w:r w:rsidRPr="00257704">
        <w:rPr>
          <w:bCs/>
          <w:color w:val="auto"/>
        </w:rPr>
        <w:t xml:space="preserve">. Secondo quanto disposto </w:t>
      </w:r>
      <w:r w:rsidRPr="00257704">
        <w:rPr>
          <w:color w:val="auto"/>
        </w:rPr>
        <w:t xml:space="preserve">dalla </w:t>
      </w:r>
      <w:hyperlink r:id="rId12" w:history="1">
        <w:r w:rsidRPr="00257704">
          <w:rPr>
            <w:rStyle w:val="Collegamentoipertestuale"/>
            <w:color w:val="auto"/>
          </w:rPr>
          <w:t>Circolare del Ministero della Salute del 7 settembre 2022</w:t>
        </w:r>
      </w:hyperlink>
      <w:r w:rsidRPr="00257704">
        <w:rPr>
          <w:color w:val="auto"/>
        </w:rPr>
        <w:t>, la platea di persone candidate a ricevere il secondo richiamo (quarta dose) è di oltre 19,1 milioni di persone</w:t>
      </w:r>
      <w:bookmarkStart w:id="2" w:name="_Hlk109223496"/>
      <w:r w:rsidRPr="00257704">
        <w:rPr>
          <w:color w:val="auto"/>
        </w:rPr>
        <w:t>: di queste,</w:t>
      </w:r>
      <w:r w:rsidRPr="00257704">
        <w:rPr>
          <w:rFonts w:eastAsia="Times New Roman"/>
          <w:color w:val="auto"/>
        </w:rPr>
        <w:t xml:space="preserve"> 14 milioni possono riceverlo subito</w:t>
      </w:r>
      <w:r w:rsidRPr="00257704">
        <w:rPr>
          <w:color w:val="auto"/>
        </w:rPr>
        <w:t xml:space="preserve">, quasi 1,9 milioni </w:t>
      </w:r>
      <w:r w:rsidRPr="00257704">
        <w:rPr>
          <w:rFonts w:eastAsia="Times New Roman"/>
          <w:color w:val="auto"/>
        </w:rPr>
        <w:t>non sono eleggibili nell’immediato in quanto guarite da meno di 120 giorni e quasi 3,2 milioni l’hanno già ricevuto</w:t>
      </w:r>
      <w:bookmarkEnd w:id="2"/>
      <w:r w:rsidRPr="00257704">
        <w:rPr>
          <w:rFonts w:eastAsia="Times New Roman"/>
          <w:color w:val="auto"/>
        </w:rPr>
        <w:t>.</w:t>
      </w:r>
      <w:r>
        <w:rPr>
          <w:rFonts w:eastAsia="Times New Roman"/>
          <w:color w:val="auto"/>
        </w:rPr>
        <w:t xml:space="preserve"> </w:t>
      </w:r>
      <w:r w:rsidRPr="00DC2084">
        <w:rPr>
          <w:color w:val="auto"/>
        </w:rPr>
        <w:t>Al 28 settembre (aggiornamento ore 06.16) sono state somministrate 3.257.289 quarte dosi, con una media mobile di 12.096 somministrazioni al giorno, in aumento rispetto alle 10.284 della scorsa settimana (</w:t>
      </w:r>
      <w:r w:rsidR="00E455E0">
        <w:rPr>
          <w:color w:val="auto"/>
        </w:rPr>
        <w:t>+</w:t>
      </w:r>
      <w:r w:rsidRPr="00DC2084">
        <w:rPr>
          <w:color w:val="auto"/>
        </w:rPr>
        <w:t>17,6%) (</w:t>
      </w:r>
      <w:r w:rsidRPr="00DC2084">
        <w:rPr>
          <w:color w:val="auto"/>
          <w:highlight w:val="yellow"/>
        </w:rPr>
        <w:t>figura 1</w:t>
      </w:r>
      <w:r w:rsidR="004D25FE">
        <w:rPr>
          <w:color w:val="auto"/>
          <w:highlight w:val="yellow"/>
        </w:rPr>
        <w:t>4</w:t>
      </w:r>
      <w:r w:rsidRPr="00DC2084">
        <w:rPr>
          <w:color w:val="auto"/>
        </w:rPr>
        <w:t xml:space="preserve">). </w:t>
      </w:r>
      <w:r w:rsidRPr="00DC2084">
        <w:rPr>
          <w:noProof/>
          <w:color w:val="auto"/>
        </w:rPr>
        <w:t xml:space="preserve">In base alla </w:t>
      </w:r>
      <w:hyperlink r:id="rId13" w:history="1">
        <w:r w:rsidRPr="00DC2084">
          <w:rPr>
            <w:rStyle w:val="Collegamentoipertestuale"/>
            <w:color w:val="auto"/>
          </w:rPr>
          <w:t>platea ufficiale</w:t>
        </w:r>
      </w:hyperlink>
      <w:r w:rsidRPr="00DC2084">
        <w:rPr>
          <w:noProof/>
          <w:color w:val="auto"/>
        </w:rPr>
        <w:t xml:space="preserve"> (n. 19.119.772 di cui 13.060.462 over 60, 3.990.080 fragili e immunocompromessi, 1.748.256 personale sanitario e 320.974 ospiti delle RSA che non ricadono nelle categorie </w:t>
      </w:r>
      <w:r w:rsidRPr="004D25FE">
        <w:rPr>
          <w:noProof/>
          <w:color w:val="auto"/>
        </w:rPr>
        <w:t>precedenti),</w:t>
      </w:r>
      <w:r w:rsidRPr="00DC2084">
        <w:rPr>
          <w:noProof/>
          <w:color w:val="auto"/>
        </w:rPr>
        <w:t xml:space="preserve"> aggiornata al 17 settembre, il tasso di copertura nazionale per le quarte dosi </w:t>
      </w:r>
      <w:r w:rsidR="00E96D96">
        <w:rPr>
          <w:color w:val="auto"/>
        </w:rPr>
        <w:t>non decolla, attestandosi al</w:t>
      </w:r>
      <w:r w:rsidRPr="00DC2084">
        <w:rPr>
          <w:color w:val="auto"/>
        </w:rPr>
        <w:t xml:space="preserve"> 17% </w:t>
      </w:r>
      <w:r w:rsidR="00E96D96">
        <w:rPr>
          <w:color w:val="auto"/>
        </w:rPr>
        <w:t xml:space="preserve">rispetto al 16,6% della settimana precedente, </w:t>
      </w:r>
      <w:r w:rsidRPr="00DC2084">
        <w:rPr>
          <w:color w:val="auto"/>
        </w:rPr>
        <w:t xml:space="preserve">con nette differenze regionali: dal 7,7% della Sicilia al 28,3% </w:t>
      </w:r>
      <w:r w:rsidR="00E455E0" w:rsidRPr="00DC2084">
        <w:rPr>
          <w:color w:val="auto"/>
        </w:rPr>
        <w:t>dell</w:t>
      </w:r>
      <w:r w:rsidR="00E455E0">
        <w:rPr>
          <w:color w:val="auto"/>
        </w:rPr>
        <w:t>’</w:t>
      </w:r>
      <w:r w:rsidR="00E455E0" w:rsidRPr="00DC2084">
        <w:rPr>
          <w:color w:val="auto"/>
        </w:rPr>
        <w:t xml:space="preserve">Emilia </w:t>
      </w:r>
      <w:r w:rsidRPr="00DC2084">
        <w:rPr>
          <w:color w:val="auto"/>
        </w:rPr>
        <w:t>Romagna (</w:t>
      </w:r>
      <w:r w:rsidRPr="00DC2084">
        <w:rPr>
          <w:color w:val="auto"/>
          <w:highlight w:val="yellow"/>
        </w:rPr>
        <w:t>figura 1</w:t>
      </w:r>
      <w:r w:rsidR="004D25FE">
        <w:rPr>
          <w:color w:val="auto"/>
          <w:highlight w:val="yellow"/>
        </w:rPr>
        <w:t>5</w:t>
      </w:r>
      <w:r w:rsidRPr="00DC2084">
        <w:rPr>
          <w:color w:val="auto"/>
        </w:rPr>
        <w:t>).</w:t>
      </w:r>
    </w:p>
    <w:p w14:paraId="33A69656" w14:textId="155248DD" w:rsidR="00DC5AAB" w:rsidRPr="00B34E2B" w:rsidRDefault="00DC5AAB" w:rsidP="00B34E2B">
      <w:pPr>
        <w:spacing w:after="120" w:line="276" w:lineRule="auto"/>
        <w:jc w:val="both"/>
        <w:rPr>
          <w:rFonts w:eastAsia="Calibri" w:cs="Calibri"/>
          <w:i/>
          <w:iCs/>
          <w:color w:val="0563C1"/>
          <w:u w:val="single" w:color="0563C1"/>
        </w:rPr>
      </w:pPr>
      <w:r w:rsidRPr="00636A1A">
        <w:rPr>
          <w:color w:val="auto"/>
        </w:rPr>
        <w:t>«</w:t>
      </w:r>
      <w:r>
        <w:rPr>
          <w:color w:val="auto"/>
        </w:rPr>
        <w:t>La ripresa della circolazione virale</w:t>
      </w:r>
      <w:r w:rsidRPr="00636A1A">
        <w:rPr>
          <w:color w:val="auto"/>
        </w:rPr>
        <w:t xml:space="preserve"> – conclude Cartabellotta –</w:t>
      </w:r>
      <w:r>
        <w:rPr>
          <w:color w:val="auto"/>
        </w:rPr>
        <w:t xml:space="preserve"> è ben documentata </w:t>
      </w:r>
      <w:r w:rsidR="00646262">
        <w:rPr>
          <w:color w:val="auto"/>
        </w:rPr>
        <w:t xml:space="preserve">sia </w:t>
      </w:r>
      <w:r>
        <w:rPr>
          <w:color w:val="auto"/>
        </w:rPr>
        <w:t xml:space="preserve">dall’incremento del tasso di positività dei tamponi, </w:t>
      </w:r>
      <w:r w:rsidR="001146BA">
        <w:rPr>
          <w:color w:val="auto"/>
        </w:rPr>
        <w:t xml:space="preserve">sia </w:t>
      </w:r>
      <w:r>
        <w:rPr>
          <w:color w:val="auto"/>
        </w:rPr>
        <w:t>d</w:t>
      </w:r>
      <w:r w:rsidR="00646262">
        <w:rPr>
          <w:color w:val="auto"/>
        </w:rPr>
        <w:t>alla netta risalita dei</w:t>
      </w:r>
      <w:r>
        <w:rPr>
          <w:color w:val="auto"/>
        </w:rPr>
        <w:t xml:space="preserve"> nuovi casi che </w:t>
      </w:r>
      <w:r w:rsidR="00646262">
        <w:rPr>
          <w:color w:val="auto"/>
        </w:rPr>
        <w:t>fa già</w:t>
      </w:r>
      <w:r>
        <w:rPr>
          <w:color w:val="auto"/>
        </w:rPr>
        <w:t xml:space="preserve"> sentire i primi effetti sui ricoveri in area medica</w:t>
      </w:r>
      <w:r w:rsidR="0028306E">
        <w:rPr>
          <w:color w:val="auto"/>
        </w:rPr>
        <w:t>.</w:t>
      </w:r>
      <w:r w:rsidR="00E455E0">
        <w:rPr>
          <w:color w:val="auto"/>
        </w:rPr>
        <w:t xml:space="preserve"> Peraltro, </w:t>
      </w:r>
      <w:r>
        <w:rPr>
          <w:color w:val="auto"/>
        </w:rPr>
        <w:t xml:space="preserve">accanto alla </w:t>
      </w:r>
      <w:r w:rsidR="00E455E0">
        <w:rPr>
          <w:color w:val="auto"/>
        </w:rPr>
        <w:t>ripresa delle lezioni scolastiche</w:t>
      </w:r>
      <w:r w:rsidR="00B34E2B">
        <w:rPr>
          <w:color w:val="auto"/>
        </w:rPr>
        <w:t xml:space="preserve">, </w:t>
      </w:r>
      <w:r>
        <w:rPr>
          <w:color w:val="auto"/>
        </w:rPr>
        <w:t xml:space="preserve">alla </w:t>
      </w:r>
      <w:r w:rsidRPr="00A606A9">
        <w:rPr>
          <w:color w:val="auto"/>
        </w:rPr>
        <w:t>maggiore frequentazione dei luoghi chiusi</w:t>
      </w:r>
      <w:r w:rsidR="00B34E2B">
        <w:rPr>
          <w:color w:val="auto"/>
        </w:rPr>
        <w:t xml:space="preserve"> e all’elevata percentuale di reinfezioni, </w:t>
      </w:r>
      <w:r>
        <w:rPr>
          <w:color w:val="auto"/>
        </w:rPr>
        <w:t xml:space="preserve">l’imminente </w:t>
      </w:r>
      <w:r w:rsidRPr="00A606A9">
        <w:rPr>
          <w:color w:val="auto"/>
        </w:rPr>
        <w:t xml:space="preserve">decadenza dell’obbligo di mascherina </w:t>
      </w:r>
      <w:r w:rsidRPr="00BD48D6">
        <w:t xml:space="preserve">sui mezzi </w:t>
      </w:r>
      <w:r>
        <w:lastRenderedPageBreak/>
        <w:t xml:space="preserve">pubblici </w:t>
      </w:r>
      <w:r w:rsidR="00646262">
        <w:t xml:space="preserve">contribuirà ad un </w:t>
      </w:r>
      <w:r>
        <w:t xml:space="preserve">ulteriore </w:t>
      </w:r>
      <w:r w:rsidR="00646262">
        <w:t xml:space="preserve">aumento </w:t>
      </w:r>
      <w:r>
        <w:t xml:space="preserve">della circolazione virale. </w:t>
      </w:r>
      <w:r w:rsidR="00E455E0">
        <w:t>In quest</w:t>
      </w:r>
      <w:r w:rsidR="00B023BD">
        <w:t xml:space="preserve">a fase </w:t>
      </w:r>
      <w:r>
        <w:t>di</w:t>
      </w:r>
      <w:r w:rsidR="00E455E0">
        <w:t xml:space="preserve"> transizione</w:t>
      </w:r>
      <w:r>
        <w:t xml:space="preserve"> istituzionale, la Fondazione GIMBE </w:t>
      </w:r>
      <w:r w:rsidR="0028306E">
        <w:t xml:space="preserve">da un lato </w:t>
      </w:r>
      <w:r w:rsidR="00E455E0">
        <w:t xml:space="preserve">condivide </w:t>
      </w:r>
      <w:r w:rsidR="0028306E">
        <w:t xml:space="preserve">i princìpi </w:t>
      </w:r>
      <w:r w:rsidR="00CD0474">
        <w:t xml:space="preserve">per contrastare la </w:t>
      </w:r>
      <w:r w:rsidR="00CD0474" w:rsidRPr="00F518DB">
        <w:t>pandemia d</w:t>
      </w:r>
      <w:r w:rsidR="00CD0474">
        <w:t>i</w:t>
      </w:r>
      <w:r w:rsidR="00CD0474" w:rsidRPr="00F518DB">
        <w:t xml:space="preserve"> C</w:t>
      </w:r>
      <w:r w:rsidR="00CD0474">
        <w:t>OVID</w:t>
      </w:r>
      <w:r w:rsidR="00CD0474" w:rsidRPr="00F518DB">
        <w:t xml:space="preserve">-19 </w:t>
      </w:r>
      <w:r w:rsidR="00CD0474">
        <w:t xml:space="preserve">espressi dalla </w:t>
      </w:r>
      <w:r w:rsidR="008D3BD7">
        <w:t xml:space="preserve">coalizione di centro-destra </w:t>
      </w:r>
      <w:r w:rsidR="001146BA">
        <w:t xml:space="preserve">uscita </w:t>
      </w:r>
      <w:r w:rsidR="008D3BD7">
        <w:t xml:space="preserve">vincitrice dalle urne </w:t>
      </w:r>
      <w:r>
        <w:t>“</w:t>
      </w:r>
      <w:r w:rsidRPr="00F518DB">
        <w:rPr>
          <w:i/>
          <w:iCs/>
        </w:rPr>
        <w:t xml:space="preserve">attraverso la promozione di comportamenti virtuosi e adeguamenti strutturali </w:t>
      </w:r>
      <w:r w:rsidR="00CD0474">
        <w:rPr>
          <w:i/>
          <w:iCs/>
        </w:rPr>
        <w:t>–</w:t>
      </w:r>
      <w:r w:rsidRPr="00F518DB">
        <w:rPr>
          <w:i/>
          <w:iCs/>
        </w:rPr>
        <w:t xml:space="preserve"> come</w:t>
      </w:r>
      <w:r w:rsidR="00CD0474">
        <w:rPr>
          <w:i/>
          <w:iCs/>
        </w:rPr>
        <w:t xml:space="preserve"> </w:t>
      </w:r>
      <w:r w:rsidRPr="00F518DB">
        <w:rPr>
          <w:i/>
          <w:iCs/>
        </w:rPr>
        <w:t xml:space="preserve">la ventilazione meccanica controllata e il potenziamento dei trasporti </w:t>
      </w:r>
      <w:r w:rsidR="00CD0474">
        <w:rPr>
          <w:i/>
          <w:iCs/>
        </w:rPr>
        <w:t>–</w:t>
      </w:r>
      <w:r w:rsidRPr="00F518DB">
        <w:rPr>
          <w:i/>
          <w:iCs/>
        </w:rPr>
        <w:t xml:space="preserve"> senza</w:t>
      </w:r>
      <w:r w:rsidR="00CD0474">
        <w:rPr>
          <w:i/>
          <w:iCs/>
        </w:rPr>
        <w:t xml:space="preserve"> </w:t>
      </w:r>
      <w:r w:rsidRPr="00F518DB">
        <w:rPr>
          <w:i/>
          <w:iCs/>
        </w:rPr>
        <w:t>compressione delle libertà individuali</w:t>
      </w:r>
      <w:r>
        <w:rPr>
          <w:i/>
          <w:iCs/>
        </w:rPr>
        <w:t>”</w:t>
      </w:r>
      <w:r w:rsidR="0028306E">
        <w:t xml:space="preserve">. Dall’altro, </w:t>
      </w:r>
      <w:r w:rsidR="00B34E2B">
        <w:t xml:space="preserve">con l’aumento della circolazione virale, </w:t>
      </w:r>
      <w:r w:rsidR="00B023BD">
        <w:t xml:space="preserve">GIMBE </w:t>
      </w:r>
      <w:r w:rsidR="00E455E0">
        <w:t xml:space="preserve">ritiene </w:t>
      </w:r>
      <w:r w:rsidR="00B34E2B">
        <w:t xml:space="preserve">indispensabile </w:t>
      </w:r>
      <w:r w:rsidR="00741649">
        <w:t xml:space="preserve">che il nuovo Esecutivo </w:t>
      </w:r>
      <w:r w:rsidR="00B023BD">
        <w:t xml:space="preserve">ribadisca in maniera netta le </w:t>
      </w:r>
      <w:r w:rsidR="00646262">
        <w:t xml:space="preserve">raccomandazioni </w:t>
      </w:r>
      <w:r w:rsidR="006878E8">
        <w:t xml:space="preserve">fondamentali, già fornite da </w:t>
      </w:r>
      <w:hyperlink r:id="rId14" w:history="1">
        <w:r w:rsidR="006878E8" w:rsidRPr="005D6FAA">
          <w:rPr>
            <w:rStyle w:val="Collegamentoipertestuale"/>
          </w:rPr>
          <w:t>OMS Europa</w:t>
        </w:r>
      </w:hyperlink>
      <w:r w:rsidR="006878E8">
        <w:t>.</w:t>
      </w:r>
      <w:r w:rsidR="00B023BD">
        <w:t xml:space="preserve"> I</w:t>
      </w:r>
      <w:r>
        <w:t xml:space="preserve">nnanzitutto, effettuare </w:t>
      </w:r>
      <w:r w:rsidR="0028306E">
        <w:t xml:space="preserve">con priorità massima </w:t>
      </w:r>
      <w:r>
        <w:t>il secondo richiamo</w:t>
      </w:r>
      <w:r w:rsidR="0028306E">
        <w:t xml:space="preserve"> ad anziani e fragili</w:t>
      </w:r>
      <w:r>
        <w:t xml:space="preserve">, visto </w:t>
      </w:r>
      <w:r w:rsidR="0028306E">
        <w:t xml:space="preserve">che </w:t>
      </w:r>
      <w:r>
        <w:t xml:space="preserve">l’efficacia vaccinale nei confronti della malattia grave </w:t>
      </w:r>
      <w:r w:rsidR="00CD0474">
        <w:t xml:space="preserve">inizia a declinare </w:t>
      </w:r>
      <w:r>
        <w:t>dopo 120 giorni; in secondo luogo</w:t>
      </w:r>
      <w:r w:rsidR="00646262">
        <w:t>,</w:t>
      </w:r>
      <w:r>
        <w:t xml:space="preserve"> </w:t>
      </w:r>
      <w:r w:rsidR="001146BA">
        <w:t xml:space="preserve">completare il ciclo vaccinale con la terza dose alla popolazione generale; infine, </w:t>
      </w:r>
      <w:r w:rsidR="00646262">
        <w:t>utilizzare responsabilmente l</w:t>
      </w:r>
      <w:r w:rsidR="00741649">
        <w:t>a</w:t>
      </w:r>
      <w:r>
        <w:t xml:space="preserve"> mascherina nei luoghi al chiuso affollati e/o poco aerati. Gli adeguamenti strutturali, </w:t>
      </w:r>
      <w:r w:rsidR="00B023BD">
        <w:t xml:space="preserve">oltre a cospicui </w:t>
      </w:r>
      <w:r>
        <w:t>investimenti</w:t>
      </w:r>
      <w:r w:rsidR="00B023BD">
        <w:t>,</w:t>
      </w:r>
      <w:r>
        <w:t xml:space="preserve"> </w:t>
      </w:r>
      <w:r w:rsidR="00B023BD">
        <w:t xml:space="preserve">richiedono </w:t>
      </w:r>
      <w:r>
        <w:t>temp</w:t>
      </w:r>
      <w:r w:rsidR="00B023BD">
        <w:t xml:space="preserve">i </w:t>
      </w:r>
      <w:r>
        <w:t xml:space="preserve">non compatibili con </w:t>
      </w:r>
      <w:r w:rsidRPr="00B023BD">
        <w:rPr>
          <w:color w:val="auto"/>
        </w:rPr>
        <w:t>una</w:t>
      </w:r>
      <w:r w:rsidR="00646262" w:rsidRPr="00B023BD">
        <w:rPr>
          <w:color w:val="auto"/>
        </w:rPr>
        <w:t xml:space="preserve"> eventuale</w:t>
      </w:r>
      <w:r w:rsidRPr="00B023BD">
        <w:rPr>
          <w:color w:val="auto"/>
        </w:rPr>
        <w:t xml:space="preserve"> nuova ondata</w:t>
      </w:r>
      <w:r w:rsidRPr="00636A1A">
        <w:rPr>
          <w:color w:val="auto"/>
        </w:rPr>
        <w:t>».</w:t>
      </w:r>
    </w:p>
    <w:p w14:paraId="18E22342" w14:textId="77777777" w:rsidR="008030A9" w:rsidRPr="004A7793" w:rsidRDefault="008030A9" w:rsidP="008030A9">
      <w:pPr>
        <w:spacing w:after="120" w:line="276" w:lineRule="auto"/>
        <w:rPr>
          <w:rStyle w:val="Hyperlink0"/>
          <w:color w:val="auto"/>
        </w:rPr>
      </w:pPr>
      <w:r w:rsidRPr="004A7793">
        <w:rPr>
          <w:i/>
          <w:iCs/>
          <w:color w:val="auto"/>
        </w:rPr>
        <w:t>Il monitoraggio GIMBE dell'epidemia COVID-19 è disponibile</w:t>
      </w:r>
      <w:r w:rsidRPr="004A7793">
        <w:rPr>
          <w:i/>
          <w:iCs/>
          <w:color w:val="000000" w:themeColor="text1"/>
        </w:rPr>
        <w:t xml:space="preserve"> a:</w:t>
      </w:r>
      <w:r w:rsidRPr="004A7793">
        <w:t xml:space="preserve"> </w:t>
      </w:r>
      <w:hyperlink r:id="rId15" w:history="1">
        <w:r w:rsidRPr="00946483">
          <w:rPr>
            <w:rStyle w:val="Collegamentoipertestuale"/>
            <w:i/>
            <w:iCs/>
          </w:rPr>
          <w:t>https://coronavirus.gimbe.org</w:t>
        </w:r>
      </w:hyperlink>
      <w:r>
        <w:rPr>
          <w:i/>
          <w:iCs/>
          <w:color w:val="000000" w:themeColor="text1"/>
        </w:rPr>
        <w:t xml:space="preserve"> </w:t>
      </w:r>
    </w:p>
    <w:p w14:paraId="366F4F6D" w14:textId="77777777" w:rsidR="00923333" w:rsidRDefault="00CE577D" w:rsidP="00C46A82">
      <w:pPr>
        <w:spacing w:after="120"/>
        <w:rPr>
          <w:rStyle w:val="Hyperlink1"/>
        </w:rPr>
      </w:pPr>
      <w:r w:rsidRPr="00D44AA7">
        <w:rPr>
          <w:b/>
          <w:bCs/>
        </w:rPr>
        <w:t>CONTATTI</w:t>
      </w:r>
      <w:r w:rsidRPr="00D44AA7">
        <w:rPr>
          <w:i/>
          <w:iCs/>
        </w:rPr>
        <w:br/>
      </w:r>
      <w:r w:rsidRPr="00D44AA7">
        <w:rPr>
          <w:b/>
          <w:bCs/>
        </w:rPr>
        <w:t>Fondazione GIMBE</w:t>
      </w:r>
      <w:r w:rsidRPr="00D44AA7">
        <w:rPr>
          <w:i/>
          <w:iCs/>
          <w:color w:val="0563C1"/>
          <w:u w:val="single" w:color="0563C1"/>
        </w:rPr>
        <w:br/>
      </w:r>
      <w:r w:rsidRPr="00D44AA7">
        <w:rPr>
          <w:sz w:val="20"/>
          <w:szCs w:val="20"/>
        </w:rPr>
        <w:t>Via Amendola 2 - 40121 Bologn</w:t>
      </w:r>
      <w:r w:rsidR="00B443E3">
        <w:rPr>
          <w:sz w:val="20"/>
          <w:szCs w:val="20"/>
        </w:rPr>
        <w:t>a</w:t>
      </w:r>
      <w:r w:rsidRPr="00D44AA7">
        <w:rPr>
          <w:sz w:val="20"/>
          <w:szCs w:val="20"/>
        </w:rPr>
        <w:br/>
        <w:t>Tel. 051 5883920 - Fax 051 4075774</w:t>
      </w:r>
      <w:r w:rsidRPr="00D44AA7">
        <w:rPr>
          <w:sz w:val="20"/>
          <w:szCs w:val="20"/>
        </w:rPr>
        <w:br/>
        <w:t xml:space="preserve">E-mail: </w:t>
      </w:r>
      <w:hyperlink r:id="rId16" w:history="1">
        <w:r w:rsidRPr="00D44AA7">
          <w:rPr>
            <w:rStyle w:val="Hyperlink1"/>
          </w:rPr>
          <w:t>ufficio.stampa@gimbe.org</w:t>
        </w:r>
      </w:hyperlink>
    </w:p>
    <w:p w14:paraId="6746E821" w14:textId="77777777" w:rsidR="00923333" w:rsidRPr="00D44AA7" w:rsidRDefault="00923333" w:rsidP="00C46A82">
      <w:pPr>
        <w:spacing w:after="120"/>
        <w:rPr>
          <w:rFonts w:eastAsia="Calibri" w:cs="Calibri"/>
          <w:color w:val="0563C1"/>
          <w:sz w:val="20"/>
          <w:szCs w:val="20"/>
          <w:u w:val="single" w:color="0563C1"/>
        </w:rPr>
      </w:pPr>
    </w:p>
    <w:p w14:paraId="26442A88" w14:textId="77777777" w:rsidR="00F43DFC" w:rsidRPr="00D44AA7" w:rsidRDefault="001203E4" w:rsidP="00D304E2">
      <w:pPr>
        <w:spacing w:after="0" w:line="240" w:lineRule="auto"/>
        <w:jc w:val="center"/>
        <w:rPr>
          <w:b/>
          <w:bCs/>
          <w:color w:val="00457D"/>
          <w:sz w:val="24"/>
          <w:szCs w:val="24"/>
          <w:u w:color="00457D"/>
        </w:rPr>
      </w:pPr>
      <w:r w:rsidRPr="00D44AA7">
        <w:rPr>
          <w:b/>
          <w:bCs/>
          <w:color w:val="00457D"/>
          <w:sz w:val="24"/>
          <w:szCs w:val="24"/>
          <w:u w:color="00457D"/>
        </w:rPr>
        <w:br w:type="page"/>
      </w:r>
      <w:r w:rsidR="00CE577D" w:rsidRPr="00D44AA7">
        <w:rPr>
          <w:b/>
          <w:bCs/>
          <w:color w:val="00457D"/>
          <w:sz w:val="24"/>
          <w:szCs w:val="24"/>
          <w:u w:color="00457D"/>
        </w:rPr>
        <w:lastRenderedPageBreak/>
        <w:t>Figura 1</w:t>
      </w:r>
    </w:p>
    <w:p w14:paraId="20207681" w14:textId="46ECDE51" w:rsidR="00873628" w:rsidRPr="00D44AA7" w:rsidRDefault="000F0375" w:rsidP="00EA300B">
      <w:pPr>
        <w:jc w:val="center"/>
        <w:rPr>
          <w:b/>
          <w:bCs/>
          <w:color w:val="00457D"/>
          <w:sz w:val="24"/>
          <w:szCs w:val="24"/>
          <w:u w:color="00457D"/>
        </w:rPr>
      </w:pPr>
      <w:r>
        <w:rPr>
          <w:b/>
          <w:bCs/>
          <w:noProof/>
          <w:color w:val="00457D"/>
          <w:sz w:val="24"/>
          <w:szCs w:val="24"/>
          <w:u w:color="00457D"/>
        </w:rPr>
        <w:pict w14:anchorId="3AEF7F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266.4pt">
            <v:imagedata r:id="rId17" o:title="Figura_01_20220929"/>
          </v:shape>
        </w:pict>
      </w:r>
    </w:p>
    <w:p w14:paraId="186EF733" w14:textId="77777777" w:rsidR="00266D51" w:rsidRPr="00D44AA7" w:rsidRDefault="00266D51">
      <w:pPr>
        <w:jc w:val="center"/>
        <w:rPr>
          <w:b/>
          <w:bCs/>
          <w:color w:val="00457D"/>
          <w:sz w:val="24"/>
          <w:szCs w:val="24"/>
          <w:u w:color="00457D"/>
        </w:rPr>
      </w:pPr>
    </w:p>
    <w:p w14:paraId="740E2C2D" w14:textId="77777777" w:rsidR="00EA300B" w:rsidRDefault="00CE577D" w:rsidP="006B059A">
      <w:pPr>
        <w:spacing w:after="0"/>
        <w:jc w:val="center"/>
        <w:rPr>
          <w:b/>
          <w:bCs/>
          <w:noProof/>
          <w:color w:val="00457D"/>
          <w:sz w:val="24"/>
          <w:szCs w:val="24"/>
          <w:u w:color="00457D"/>
        </w:rPr>
      </w:pPr>
      <w:r w:rsidRPr="00D44AA7">
        <w:rPr>
          <w:b/>
          <w:bCs/>
          <w:color w:val="00457D"/>
          <w:sz w:val="24"/>
          <w:szCs w:val="24"/>
          <w:u w:color="00457D"/>
        </w:rPr>
        <w:t>Figura 2</w:t>
      </w:r>
    </w:p>
    <w:p w14:paraId="5EC1B395" w14:textId="178607A3" w:rsidR="00873628" w:rsidRPr="00D44AA7" w:rsidRDefault="000F0375" w:rsidP="00EA300B">
      <w:pPr>
        <w:jc w:val="center"/>
        <w:rPr>
          <w:b/>
          <w:bCs/>
          <w:color w:val="00457D"/>
          <w:sz w:val="24"/>
          <w:szCs w:val="24"/>
          <w:u w:color="00457D"/>
        </w:rPr>
      </w:pPr>
      <w:r>
        <w:rPr>
          <w:b/>
          <w:bCs/>
          <w:noProof/>
          <w:color w:val="00457D"/>
          <w:sz w:val="24"/>
          <w:szCs w:val="24"/>
          <w:u w:color="00457D"/>
        </w:rPr>
        <w:pict w14:anchorId="465DD50E">
          <v:shape id="_x0000_i1026" type="#_x0000_t75" style="width:482.4pt;height:266.4pt">
            <v:imagedata r:id="rId18" o:title="Figura_02_20220929"/>
          </v:shape>
        </w:pict>
      </w:r>
    </w:p>
    <w:p w14:paraId="48133112" w14:textId="77777777" w:rsidR="007B682B" w:rsidRPr="00D44AA7" w:rsidRDefault="00CE577D">
      <w:pPr>
        <w:jc w:val="center"/>
        <w:sectPr w:rsidR="007B682B" w:rsidRPr="00D44AA7" w:rsidSect="00AC5C5B">
          <w:pgSz w:w="11900" w:h="16840"/>
          <w:pgMar w:top="993" w:right="1134" w:bottom="993" w:left="1134" w:header="709" w:footer="709" w:gutter="0"/>
          <w:cols w:space="720"/>
        </w:sectPr>
      </w:pPr>
      <w:r w:rsidRPr="00D44AA7">
        <w:rPr>
          <w:b/>
          <w:bCs/>
          <w:color w:val="00457D"/>
          <w:sz w:val="24"/>
          <w:szCs w:val="24"/>
          <w:u w:color="00457D"/>
        </w:rPr>
        <w:br/>
      </w:r>
    </w:p>
    <w:p w14:paraId="234E667E" w14:textId="77777777" w:rsidR="007B682B" w:rsidRDefault="00CE577D" w:rsidP="00466C2D">
      <w:pPr>
        <w:spacing w:after="0" w:line="360" w:lineRule="auto"/>
        <w:jc w:val="center"/>
        <w:rPr>
          <w:b/>
          <w:bCs/>
          <w:color w:val="00457D"/>
          <w:sz w:val="24"/>
          <w:szCs w:val="24"/>
          <w:u w:color="00457D"/>
        </w:rPr>
      </w:pPr>
      <w:r w:rsidRPr="00D44AA7">
        <w:rPr>
          <w:b/>
          <w:bCs/>
          <w:color w:val="00457D"/>
          <w:sz w:val="24"/>
          <w:szCs w:val="24"/>
          <w:u w:color="00457D"/>
        </w:rPr>
        <w:lastRenderedPageBreak/>
        <w:t>Figura 3</w:t>
      </w:r>
    </w:p>
    <w:p w14:paraId="11BEB948" w14:textId="0E28F13E" w:rsidR="00C74120" w:rsidRDefault="000F0375" w:rsidP="00C74120">
      <w:pPr>
        <w:spacing w:after="0" w:line="360" w:lineRule="auto"/>
        <w:jc w:val="center"/>
        <w:rPr>
          <w:noProof/>
        </w:rPr>
      </w:pPr>
      <w:r>
        <w:rPr>
          <w:noProof/>
        </w:rPr>
        <w:pict w14:anchorId="5E68BD90">
          <v:shape id="_x0000_i1027" type="#_x0000_t75" style="width:727.2pt;height:374.4pt">
            <v:imagedata r:id="rId19" o:title="Figura_03_20220929"/>
          </v:shape>
        </w:pict>
      </w:r>
    </w:p>
    <w:p w14:paraId="5CD6B9E6" w14:textId="77777777" w:rsidR="00873628" w:rsidRPr="00D44AA7" w:rsidRDefault="00873628" w:rsidP="00C74120">
      <w:pPr>
        <w:spacing w:after="0" w:line="360" w:lineRule="auto"/>
        <w:sectPr w:rsidR="00873628" w:rsidRPr="00D44AA7" w:rsidSect="005B4AE1">
          <w:pgSz w:w="16840" w:h="11900" w:orient="landscape"/>
          <w:pgMar w:top="992" w:right="1134" w:bottom="709" w:left="1134" w:header="709" w:footer="709" w:gutter="0"/>
          <w:cols w:space="720"/>
          <w:docGrid w:linePitch="299"/>
        </w:sectPr>
      </w:pPr>
    </w:p>
    <w:p w14:paraId="34A695FB" w14:textId="77777777" w:rsidR="00184E2C" w:rsidRPr="00D44AA7" w:rsidRDefault="00E10DC3" w:rsidP="00E10DC3">
      <w:pPr>
        <w:spacing w:after="0"/>
        <w:jc w:val="center"/>
        <w:rPr>
          <w:b/>
          <w:bCs/>
          <w:color w:val="00457D"/>
          <w:sz w:val="24"/>
          <w:szCs w:val="24"/>
          <w:u w:color="00457D"/>
        </w:rPr>
      </w:pPr>
      <w:r w:rsidRPr="00D44AA7">
        <w:rPr>
          <w:b/>
          <w:bCs/>
          <w:color w:val="00457D"/>
          <w:sz w:val="24"/>
          <w:szCs w:val="24"/>
          <w:u w:color="00457D"/>
        </w:rPr>
        <w:lastRenderedPageBreak/>
        <w:t>Figura 4</w:t>
      </w:r>
    </w:p>
    <w:p w14:paraId="75D48776" w14:textId="2C6D2571" w:rsidR="00344D84" w:rsidRPr="00D44AA7" w:rsidRDefault="000F0375" w:rsidP="00E10DC3">
      <w:pPr>
        <w:spacing w:after="0"/>
        <w:jc w:val="center"/>
        <w:rPr>
          <w:color w:val="auto"/>
        </w:rPr>
      </w:pPr>
      <w:r>
        <w:rPr>
          <w:noProof/>
          <w:color w:val="auto"/>
        </w:rPr>
        <w:pict w14:anchorId="06D5500E">
          <v:shape id="_x0000_i1028" type="#_x0000_t75" style="width:482.4pt;height:237.6pt">
            <v:imagedata r:id="rId20" o:title="Figura_04_20220929"/>
          </v:shape>
        </w:pict>
      </w:r>
    </w:p>
    <w:p w14:paraId="755DAC6E" w14:textId="77777777" w:rsidR="00FB6128" w:rsidRPr="00D44AA7" w:rsidRDefault="00FB6128" w:rsidP="00E10DC3">
      <w:pPr>
        <w:spacing w:after="0"/>
        <w:jc w:val="center"/>
        <w:rPr>
          <w:color w:val="auto"/>
        </w:rPr>
      </w:pPr>
    </w:p>
    <w:p w14:paraId="25ACEDD3" w14:textId="77777777" w:rsidR="00FB6128" w:rsidRPr="00333C20" w:rsidRDefault="00FB6128" w:rsidP="00FB6128">
      <w:pPr>
        <w:spacing w:after="0"/>
        <w:jc w:val="center"/>
        <w:rPr>
          <w:b/>
          <w:bCs/>
          <w:color w:val="00457D"/>
          <w:sz w:val="24"/>
          <w:szCs w:val="24"/>
          <w:u w:color="00457D"/>
        </w:rPr>
      </w:pPr>
      <w:r w:rsidRPr="00333C20">
        <w:rPr>
          <w:b/>
          <w:bCs/>
          <w:color w:val="00457D"/>
          <w:sz w:val="24"/>
          <w:szCs w:val="24"/>
          <w:u w:color="00457D"/>
        </w:rPr>
        <w:t>Figura 5</w:t>
      </w:r>
    </w:p>
    <w:p w14:paraId="762C86D9" w14:textId="2FCB34F3" w:rsidR="00C74120" w:rsidRDefault="000F0375" w:rsidP="000E770E">
      <w:pPr>
        <w:spacing w:after="0" w:line="276" w:lineRule="auto"/>
        <w:jc w:val="center"/>
        <w:rPr>
          <w:noProof/>
          <w:color w:val="auto"/>
        </w:rPr>
      </w:pPr>
      <w:r>
        <w:rPr>
          <w:noProof/>
          <w:color w:val="auto"/>
        </w:rPr>
        <w:pict w14:anchorId="519FAB0D">
          <v:shape id="_x0000_i1029" type="#_x0000_t75" style="width:482.4pt;height:259.2pt">
            <v:imagedata r:id="rId21" o:title="Figura_05_20220929"/>
          </v:shape>
        </w:pict>
      </w:r>
    </w:p>
    <w:p w14:paraId="253E32D0" w14:textId="77777777" w:rsidR="00344D84" w:rsidRPr="00D44AA7" w:rsidRDefault="00344D84" w:rsidP="000E770E">
      <w:pPr>
        <w:spacing w:after="0" w:line="276" w:lineRule="auto"/>
        <w:jc w:val="center"/>
        <w:rPr>
          <w:color w:val="auto"/>
        </w:rPr>
      </w:pPr>
    </w:p>
    <w:p w14:paraId="5E301254" w14:textId="77777777" w:rsidR="000E770E" w:rsidRPr="00D44AA7" w:rsidRDefault="000E770E" w:rsidP="00626103">
      <w:pPr>
        <w:spacing w:after="0"/>
        <w:jc w:val="center"/>
        <w:rPr>
          <w:b/>
          <w:bCs/>
          <w:color w:val="00457D"/>
          <w:sz w:val="24"/>
          <w:szCs w:val="24"/>
          <w:u w:color="00457D"/>
        </w:rPr>
      </w:pPr>
    </w:p>
    <w:p w14:paraId="753C0644" w14:textId="77777777" w:rsidR="00FB6128" w:rsidRPr="00D44AA7" w:rsidRDefault="00FB6128">
      <w:pPr>
        <w:spacing w:after="0" w:line="240" w:lineRule="auto"/>
        <w:rPr>
          <w:b/>
          <w:bCs/>
          <w:color w:val="00457D"/>
          <w:sz w:val="24"/>
          <w:szCs w:val="24"/>
          <w:u w:color="00457D"/>
        </w:rPr>
      </w:pPr>
      <w:r w:rsidRPr="00D44AA7">
        <w:rPr>
          <w:b/>
          <w:bCs/>
          <w:color w:val="00457D"/>
          <w:sz w:val="24"/>
          <w:szCs w:val="24"/>
          <w:u w:color="00457D"/>
        </w:rPr>
        <w:br w:type="page"/>
      </w:r>
    </w:p>
    <w:p w14:paraId="1AC9522C" w14:textId="77777777" w:rsidR="00D93FAE" w:rsidRPr="002A22FA" w:rsidRDefault="00D93FAE" w:rsidP="00D93FAE">
      <w:pPr>
        <w:spacing w:after="0"/>
        <w:jc w:val="center"/>
        <w:rPr>
          <w:b/>
          <w:bCs/>
          <w:color w:val="00457D"/>
          <w:sz w:val="24"/>
          <w:szCs w:val="24"/>
          <w:u w:color="00457D"/>
        </w:rPr>
      </w:pPr>
      <w:r w:rsidRPr="002A22FA">
        <w:rPr>
          <w:b/>
          <w:bCs/>
          <w:color w:val="00457D"/>
          <w:sz w:val="24"/>
          <w:szCs w:val="24"/>
          <w:u w:color="00457D"/>
        </w:rPr>
        <w:lastRenderedPageBreak/>
        <w:t>Figura 6</w:t>
      </w:r>
    </w:p>
    <w:p w14:paraId="38621204" w14:textId="01AA393B" w:rsidR="00F72C6B" w:rsidRPr="00D44AA7" w:rsidRDefault="000F0375" w:rsidP="00F9470A">
      <w:pPr>
        <w:spacing w:after="0"/>
        <w:jc w:val="center"/>
        <w:rPr>
          <w:b/>
          <w:bCs/>
          <w:color w:val="00457D"/>
          <w:sz w:val="24"/>
          <w:szCs w:val="24"/>
          <w:u w:color="00457D"/>
        </w:rPr>
      </w:pPr>
      <w:r>
        <w:rPr>
          <w:b/>
          <w:bCs/>
          <w:noProof/>
          <w:color w:val="00457D"/>
          <w:sz w:val="24"/>
          <w:szCs w:val="24"/>
          <w:u w:color="00457D"/>
        </w:rPr>
        <w:pict w14:anchorId="0076CB34">
          <v:shape id="_x0000_i1030" type="#_x0000_t75" style="width:482.4pt;height:259.2pt">
            <v:imagedata r:id="rId22" o:title="Figura_06_20220929"/>
          </v:shape>
        </w:pict>
      </w:r>
    </w:p>
    <w:p w14:paraId="2559E77D" w14:textId="77777777" w:rsidR="00D93FAE" w:rsidRPr="00D44AA7" w:rsidRDefault="00D93FAE" w:rsidP="00D93FAE">
      <w:pPr>
        <w:spacing w:after="0" w:line="240" w:lineRule="auto"/>
        <w:jc w:val="center"/>
        <w:rPr>
          <w:b/>
          <w:bCs/>
          <w:color w:val="00457D"/>
          <w:sz w:val="8"/>
          <w:szCs w:val="14"/>
          <w:u w:color="00457D"/>
        </w:rPr>
      </w:pPr>
    </w:p>
    <w:p w14:paraId="05127D8E" w14:textId="77777777" w:rsidR="00061647" w:rsidRPr="00D44AA7" w:rsidRDefault="00061647">
      <w:pPr>
        <w:spacing w:after="0" w:line="240" w:lineRule="auto"/>
        <w:rPr>
          <w:b/>
          <w:bCs/>
          <w:color w:val="00457D"/>
          <w:sz w:val="24"/>
          <w:szCs w:val="24"/>
          <w:u w:color="00457D"/>
        </w:rPr>
      </w:pPr>
    </w:p>
    <w:p w14:paraId="31676D94" w14:textId="77777777" w:rsidR="00A03AAC" w:rsidRPr="00D44AA7" w:rsidRDefault="00D93FAE" w:rsidP="00D93FAE">
      <w:pPr>
        <w:spacing w:after="0"/>
        <w:jc w:val="center"/>
        <w:rPr>
          <w:b/>
          <w:bCs/>
          <w:color w:val="00457D"/>
          <w:sz w:val="24"/>
          <w:szCs w:val="24"/>
          <w:u w:color="00457D"/>
        </w:rPr>
      </w:pPr>
      <w:r w:rsidRPr="00D44AA7">
        <w:rPr>
          <w:b/>
          <w:bCs/>
          <w:color w:val="00457D"/>
          <w:sz w:val="24"/>
          <w:szCs w:val="24"/>
          <w:u w:color="00457D"/>
        </w:rPr>
        <w:t xml:space="preserve">Figura </w:t>
      </w:r>
      <w:r w:rsidR="001E3B61" w:rsidRPr="00D44AA7">
        <w:rPr>
          <w:b/>
          <w:bCs/>
          <w:color w:val="00457D"/>
          <w:sz w:val="24"/>
          <w:szCs w:val="24"/>
          <w:u w:color="00457D"/>
        </w:rPr>
        <w:t>7</w:t>
      </w:r>
    </w:p>
    <w:p w14:paraId="67E39B0F" w14:textId="2956BA24" w:rsidR="00F72C6B" w:rsidRPr="00D44AA7" w:rsidRDefault="000F0375" w:rsidP="00D93FAE">
      <w:pPr>
        <w:spacing w:after="0"/>
        <w:jc w:val="center"/>
        <w:rPr>
          <w:b/>
          <w:bCs/>
          <w:color w:val="00457D"/>
          <w:sz w:val="24"/>
          <w:szCs w:val="24"/>
          <w:u w:color="00457D"/>
        </w:rPr>
      </w:pPr>
      <w:r>
        <w:rPr>
          <w:b/>
          <w:bCs/>
          <w:noProof/>
          <w:color w:val="00457D"/>
          <w:sz w:val="24"/>
          <w:szCs w:val="24"/>
          <w:u w:color="00457D"/>
        </w:rPr>
        <w:pict w14:anchorId="44F10701">
          <v:shape id="_x0000_i1031" type="#_x0000_t75" style="width:482.4pt;height:237.6pt">
            <v:imagedata r:id="rId23" o:title="Figura_07_20220929"/>
          </v:shape>
        </w:pict>
      </w:r>
    </w:p>
    <w:p w14:paraId="21C0758D" w14:textId="77777777" w:rsidR="008751B7" w:rsidRPr="00D44AA7" w:rsidRDefault="008751B7" w:rsidP="008751B7">
      <w:pPr>
        <w:spacing w:after="0"/>
        <w:jc w:val="center"/>
        <w:rPr>
          <w:b/>
          <w:bCs/>
          <w:color w:val="00457D"/>
          <w:sz w:val="24"/>
          <w:szCs w:val="24"/>
          <w:u w:color="00457D"/>
        </w:rPr>
      </w:pPr>
    </w:p>
    <w:p w14:paraId="6F6A79A9" w14:textId="77777777" w:rsidR="008751B7" w:rsidRPr="00D44AA7" w:rsidRDefault="008751B7">
      <w:pPr>
        <w:spacing w:after="0" w:line="240" w:lineRule="auto"/>
        <w:rPr>
          <w:b/>
          <w:bCs/>
          <w:color w:val="00457D"/>
          <w:sz w:val="24"/>
          <w:szCs w:val="24"/>
          <w:u w:color="00457D"/>
        </w:rPr>
      </w:pPr>
      <w:r w:rsidRPr="00D44AA7">
        <w:rPr>
          <w:b/>
          <w:bCs/>
          <w:color w:val="00457D"/>
          <w:sz w:val="24"/>
          <w:szCs w:val="24"/>
          <w:u w:color="00457D"/>
        </w:rPr>
        <w:br w:type="page"/>
      </w:r>
    </w:p>
    <w:p w14:paraId="62CA479F" w14:textId="77777777" w:rsidR="006B2A7B" w:rsidRPr="00FB2578" w:rsidRDefault="00C531A3" w:rsidP="00C531A3">
      <w:pPr>
        <w:spacing w:after="0"/>
        <w:jc w:val="center"/>
        <w:rPr>
          <w:b/>
          <w:bCs/>
          <w:color w:val="00457D"/>
          <w:sz w:val="24"/>
          <w:szCs w:val="24"/>
          <w:u w:color="00457D"/>
        </w:rPr>
      </w:pPr>
      <w:r w:rsidRPr="00FB2578">
        <w:rPr>
          <w:b/>
          <w:bCs/>
          <w:color w:val="00457D"/>
          <w:sz w:val="24"/>
          <w:szCs w:val="24"/>
          <w:u w:color="00457D"/>
        </w:rPr>
        <w:lastRenderedPageBreak/>
        <w:t>Figura 8</w:t>
      </w:r>
    </w:p>
    <w:p w14:paraId="052A8917" w14:textId="73F0FAB2" w:rsidR="00CC253D" w:rsidRPr="00D44AA7" w:rsidRDefault="000F0375" w:rsidP="00D93FAE">
      <w:pPr>
        <w:spacing w:after="0"/>
        <w:jc w:val="center"/>
        <w:rPr>
          <w:b/>
          <w:bCs/>
          <w:color w:val="00457D"/>
          <w:sz w:val="24"/>
          <w:szCs w:val="24"/>
          <w:u w:color="00457D"/>
        </w:rPr>
      </w:pPr>
      <w:r>
        <w:rPr>
          <w:b/>
          <w:bCs/>
          <w:noProof/>
          <w:color w:val="00457D"/>
          <w:sz w:val="24"/>
          <w:szCs w:val="24"/>
          <w:u w:color="00457D"/>
        </w:rPr>
        <w:pict w14:anchorId="44B9F964">
          <v:shape id="_x0000_i1032" type="#_x0000_t75" style="width:453.6pt;height:424.8pt">
            <v:imagedata r:id="rId24" o:title="Figura_08_20220929"/>
          </v:shape>
        </w:pict>
      </w:r>
    </w:p>
    <w:p w14:paraId="4BD9E12A" w14:textId="77777777" w:rsidR="002879EE" w:rsidRPr="00D44AA7" w:rsidRDefault="002879EE">
      <w:pPr>
        <w:spacing w:after="0"/>
        <w:jc w:val="center"/>
        <w:rPr>
          <w:b/>
          <w:bCs/>
          <w:color w:val="00457D"/>
          <w:sz w:val="10"/>
          <w:szCs w:val="12"/>
          <w:u w:color="00457D"/>
        </w:rPr>
      </w:pPr>
    </w:p>
    <w:p w14:paraId="009FEFBD" w14:textId="77777777" w:rsidR="00184E2C" w:rsidRPr="00D44AA7" w:rsidRDefault="00CE577D">
      <w:pPr>
        <w:spacing w:after="0"/>
        <w:jc w:val="center"/>
        <w:rPr>
          <w:b/>
          <w:bCs/>
          <w:color w:val="00457D"/>
          <w:sz w:val="24"/>
          <w:szCs w:val="24"/>
          <w:u w:color="00457D"/>
        </w:rPr>
      </w:pPr>
      <w:r w:rsidRPr="00D44AA7">
        <w:rPr>
          <w:b/>
          <w:bCs/>
          <w:color w:val="00457D"/>
          <w:sz w:val="24"/>
          <w:szCs w:val="24"/>
          <w:u w:color="00457D"/>
        </w:rPr>
        <w:t>Figura</w:t>
      </w:r>
      <w:r w:rsidR="00E10DC3" w:rsidRPr="00D44AA7">
        <w:rPr>
          <w:b/>
          <w:bCs/>
          <w:color w:val="00457D"/>
          <w:sz w:val="24"/>
          <w:szCs w:val="24"/>
          <w:u w:color="00457D"/>
        </w:rPr>
        <w:t xml:space="preserve"> </w:t>
      </w:r>
      <w:r w:rsidR="008751B7" w:rsidRPr="00D44AA7">
        <w:rPr>
          <w:b/>
          <w:bCs/>
          <w:color w:val="00457D"/>
          <w:sz w:val="24"/>
          <w:szCs w:val="24"/>
          <w:u w:color="00457D"/>
        </w:rPr>
        <w:t>9</w:t>
      </w:r>
    </w:p>
    <w:p w14:paraId="12BCD338" w14:textId="654774EB" w:rsidR="00F72C6B" w:rsidRPr="00D44AA7" w:rsidRDefault="000F0375" w:rsidP="003274E5">
      <w:pPr>
        <w:spacing w:after="0"/>
        <w:jc w:val="center"/>
        <w:rPr>
          <w:b/>
          <w:bCs/>
          <w:color w:val="00457D"/>
          <w:sz w:val="24"/>
          <w:szCs w:val="24"/>
          <w:u w:color="00457D"/>
        </w:rPr>
      </w:pPr>
      <w:r>
        <w:rPr>
          <w:b/>
          <w:bCs/>
          <w:noProof/>
          <w:color w:val="00457D"/>
          <w:sz w:val="24"/>
          <w:szCs w:val="24"/>
          <w:u w:color="00457D"/>
        </w:rPr>
        <w:pict w14:anchorId="684E2DB8">
          <v:shape id="_x0000_i1033" type="#_x0000_t75" style="width:468pt;height:223.2pt">
            <v:imagedata r:id="rId25" o:title="Figura_09_20220929"/>
          </v:shape>
        </w:pict>
      </w:r>
    </w:p>
    <w:p w14:paraId="70FFCF9A" w14:textId="77777777" w:rsidR="00DF4F27" w:rsidRDefault="00DF4F27" w:rsidP="00DB1360">
      <w:pPr>
        <w:spacing w:after="0" w:line="240" w:lineRule="auto"/>
        <w:jc w:val="center"/>
        <w:rPr>
          <w:b/>
          <w:bCs/>
          <w:color w:val="00457D"/>
          <w:sz w:val="24"/>
          <w:szCs w:val="24"/>
          <w:u w:color="00457D"/>
        </w:rPr>
      </w:pPr>
    </w:p>
    <w:p w14:paraId="20CC3E7F" w14:textId="77777777" w:rsidR="00DF4F27" w:rsidRDefault="00DF4F27">
      <w:pPr>
        <w:spacing w:after="0" w:line="240" w:lineRule="auto"/>
        <w:rPr>
          <w:b/>
          <w:bCs/>
          <w:color w:val="00457D"/>
          <w:sz w:val="24"/>
          <w:szCs w:val="24"/>
          <w:u w:color="00457D"/>
        </w:rPr>
      </w:pPr>
      <w:r>
        <w:rPr>
          <w:b/>
          <w:bCs/>
          <w:color w:val="00457D"/>
          <w:sz w:val="24"/>
          <w:szCs w:val="24"/>
          <w:u w:color="00457D"/>
        </w:rPr>
        <w:br w:type="page"/>
      </w:r>
    </w:p>
    <w:p w14:paraId="56864D73" w14:textId="77777777" w:rsidR="001B3764" w:rsidRPr="00D33A53" w:rsidRDefault="00736C14" w:rsidP="00DB1360">
      <w:pPr>
        <w:spacing w:after="0" w:line="240" w:lineRule="auto"/>
        <w:jc w:val="center"/>
        <w:rPr>
          <w:b/>
          <w:bCs/>
          <w:color w:val="00457D"/>
          <w:sz w:val="24"/>
          <w:szCs w:val="24"/>
          <w:u w:color="00457D"/>
        </w:rPr>
      </w:pPr>
      <w:r w:rsidRPr="00D33A53">
        <w:rPr>
          <w:b/>
          <w:bCs/>
          <w:color w:val="00457D"/>
          <w:sz w:val="24"/>
          <w:szCs w:val="24"/>
          <w:u w:color="00457D"/>
        </w:rPr>
        <w:lastRenderedPageBreak/>
        <w:t>Figura 1</w:t>
      </w:r>
      <w:r w:rsidR="00030535" w:rsidRPr="00D33A53">
        <w:rPr>
          <w:b/>
          <w:bCs/>
          <w:color w:val="00457D"/>
          <w:sz w:val="24"/>
          <w:szCs w:val="24"/>
          <w:u w:color="00457D"/>
        </w:rPr>
        <w:t>0</w:t>
      </w:r>
    </w:p>
    <w:p w14:paraId="79562145" w14:textId="2A16AE65" w:rsidR="00F72C6B" w:rsidRPr="00CF6F3B" w:rsidRDefault="000F0375" w:rsidP="005C1E56">
      <w:pPr>
        <w:spacing w:after="0" w:line="240" w:lineRule="auto"/>
        <w:jc w:val="center"/>
        <w:rPr>
          <w:b/>
          <w:bCs/>
          <w:color w:val="FF0000"/>
          <w:sz w:val="24"/>
          <w:szCs w:val="24"/>
          <w:u w:color="00457D"/>
        </w:rPr>
      </w:pPr>
      <w:r>
        <w:rPr>
          <w:b/>
          <w:bCs/>
          <w:noProof/>
          <w:color w:val="FF0000"/>
          <w:sz w:val="24"/>
          <w:szCs w:val="24"/>
          <w:u w:color="00457D"/>
        </w:rPr>
        <w:pict w14:anchorId="11864CAF">
          <v:shape id="_x0000_i1034" type="#_x0000_t75" style="width:468pt;height:295.2pt">
            <v:imagedata r:id="rId26" o:title="Figura_10_20220929"/>
          </v:shape>
        </w:pict>
      </w:r>
    </w:p>
    <w:p w14:paraId="784754DD" w14:textId="77777777" w:rsidR="004D25FE" w:rsidRDefault="004D25FE" w:rsidP="00DB2332">
      <w:pPr>
        <w:spacing w:after="0" w:line="240" w:lineRule="auto"/>
        <w:jc w:val="center"/>
        <w:rPr>
          <w:b/>
          <w:bCs/>
          <w:color w:val="00457D"/>
          <w:sz w:val="24"/>
          <w:szCs w:val="24"/>
          <w:u w:color="00457D"/>
        </w:rPr>
      </w:pPr>
    </w:p>
    <w:p w14:paraId="638FABC7" w14:textId="77777777" w:rsidR="00D54DDF" w:rsidRPr="00D33A53" w:rsidRDefault="004D25FE" w:rsidP="00DB2332">
      <w:pPr>
        <w:spacing w:after="0" w:line="240" w:lineRule="auto"/>
        <w:jc w:val="center"/>
        <w:rPr>
          <w:b/>
          <w:bCs/>
          <w:color w:val="00457D"/>
          <w:sz w:val="24"/>
          <w:szCs w:val="24"/>
          <w:u w:color="00457D"/>
        </w:rPr>
      </w:pPr>
      <w:r>
        <w:rPr>
          <w:b/>
          <w:bCs/>
          <w:color w:val="00457D"/>
          <w:sz w:val="24"/>
          <w:szCs w:val="24"/>
          <w:u w:color="00457D"/>
        </w:rPr>
        <w:t>Figura 11</w:t>
      </w:r>
    </w:p>
    <w:p w14:paraId="19BDD720" w14:textId="2754FA09" w:rsidR="00F72C6B" w:rsidRPr="00CF6F3B" w:rsidRDefault="000F0375" w:rsidP="004B6DC2">
      <w:pPr>
        <w:spacing w:after="0" w:line="240" w:lineRule="auto"/>
        <w:jc w:val="center"/>
        <w:rPr>
          <w:b/>
          <w:bCs/>
          <w:color w:val="FF0000"/>
          <w:sz w:val="12"/>
          <w:szCs w:val="12"/>
          <w:u w:color="00457D"/>
        </w:rPr>
      </w:pPr>
      <w:r>
        <w:rPr>
          <w:b/>
          <w:bCs/>
          <w:noProof/>
          <w:color w:val="FF0000"/>
          <w:sz w:val="12"/>
          <w:szCs w:val="12"/>
          <w:u w:color="00457D"/>
        </w:rPr>
        <w:pict w14:anchorId="7082A5A9">
          <v:shape id="_x0000_i1035" type="#_x0000_t75" style="width:468pt;height:352.8pt">
            <v:imagedata r:id="rId27" o:title="Figura_11_20220929"/>
          </v:shape>
        </w:pict>
      </w:r>
    </w:p>
    <w:p w14:paraId="22F29455" w14:textId="77777777" w:rsidR="004D2B35" w:rsidRPr="00CF6F3B" w:rsidRDefault="004D2B35" w:rsidP="00E03BC7">
      <w:pPr>
        <w:spacing w:after="0" w:line="240" w:lineRule="auto"/>
        <w:jc w:val="center"/>
        <w:rPr>
          <w:b/>
          <w:bCs/>
          <w:color w:val="FF0000"/>
          <w:sz w:val="12"/>
          <w:szCs w:val="12"/>
          <w:u w:color="00457D"/>
        </w:rPr>
      </w:pPr>
    </w:p>
    <w:p w14:paraId="4F315313" w14:textId="77777777" w:rsidR="004D25FE" w:rsidRDefault="004D25FE">
      <w:pPr>
        <w:spacing w:after="0" w:line="240" w:lineRule="auto"/>
        <w:rPr>
          <w:b/>
          <w:bCs/>
          <w:color w:val="00457D"/>
          <w:sz w:val="24"/>
          <w:szCs w:val="24"/>
          <w:u w:color="00457D"/>
        </w:rPr>
      </w:pPr>
      <w:r>
        <w:rPr>
          <w:b/>
          <w:bCs/>
          <w:color w:val="00457D"/>
          <w:sz w:val="24"/>
          <w:szCs w:val="24"/>
          <w:u w:color="00457D"/>
        </w:rPr>
        <w:br w:type="page"/>
      </w:r>
    </w:p>
    <w:p w14:paraId="324CE3B5" w14:textId="77777777" w:rsidR="002A22FA" w:rsidRDefault="004B6DC2" w:rsidP="00E03BC7">
      <w:pPr>
        <w:spacing w:after="0" w:line="240" w:lineRule="auto"/>
        <w:jc w:val="center"/>
        <w:rPr>
          <w:b/>
          <w:bCs/>
          <w:color w:val="FF0000"/>
          <w:sz w:val="24"/>
          <w:szCs w:val="24"/>
          <w:u w:color="00457D"/>
        </w:rPr>
      </w:pPr>
      <w:r w:rsidRPr="00D33A53">
        <w:rPr>
          <w:b/>
          <w:bCs/>
          <w:color w:val="00457D"/>
          <w:sz w:val="24"/>
          <w:szCs w:val="24"/>
          <w:u w:color="00457D"/>
        </w:rPr>
        <w:lastRenderedPageBreak/>
        <w:t xml:space="preserve">Figura </w:t>
      </w:r>
      <w:r w:rsidR="001E3B61" w:rsidRPr="00D33A53">
        <w:rPr>
          <w:b/>
          <w:bCs/>
          <w:color w:val="00457D"/>
          <w:sz w:val="24"/>
          <w:szCs w:val="24"/>
          <w:u w:color="00457D"/>
        </w:rPr>
        <w:t>1</w:t>
      </w:r>
      <w:r w:rsidR="004D25FE">
        <w:rPr>
          <w:b/>
          <w:bCs/>
          <w:color w:val="00457D"/>
          <w:sz w:val="24"/>
          <w:szCs w:val="24"/>
          <w:u w:color="00457D"/>
        </w:rPr>
        <w:t>2</w:t>
      </w:r>
    </w:p>
    <w:p w14:paraId="4AC86E7F" w14:textId="01C7E74F" w:rsidR="00F72C6B" w:rsidRDefault="000F0375" w:rsidP="00E03BC7">
      <w:pPr>
        <w:spacing w:after="0" w:line="240" w:lineRule="auto"/>
        <w:jc w:val="center"/>
        <w:rPr>
          <w:b/>
          <w:bCs/>
          <w:noProof/>
          <w:color w:val="FF0000"/>
          <w:sz w:val="24"/>
          <w:szCs w:val="24"/>
          <w:u w:color="00457D"/>
        </w:rPr>
      </w:pPr>
      <w:r>
        <w:rPr>
          <w:b/>
          <w:bCs/>
          <w:noProof/>
          <w:color w:val="FF0000"/>
          <w:sz w:val="24"/>
          <w:szCs w:val="24"/>
          <w:u w:color="00457D"/>
        </w:rPr>
        <w:pict w14:anchorId="2BD9717F">
          <v:shape id="_x0000_i1036" type="#_x0000_t75" style="width:446.4pt;height:338.4pt">
            <v:imagedata r:id="rId28" o:title="Figura_12_20220929"/>
          </v:shape>
        </w:pict>
      </w:r>
    </w:p>
    <w:p w14:paraId="0643CC84" w14:textId="77777777" w:rsidR="004D25FE" w:rsidRDefault="004D25FE" w:rsidP="00040108">
      <w:pPr>
        <w:spacing w:after="0" w:line="240" w:lineRule="auto"/>
        <w:jc w:val="center"/>
        <w:rPr>
          <w:b/>
          <w:bCs/>
          <w:color w:val="00457D"/>
          <w:sz w:val="24"/>
          <w:szCs w:val="24"/>
          <w:u w:color="00457D"/>
        </w:rPr>
      </w:pPr>
    </w:p>
    <w:p w14:paraId="72099747" w14:textId="77777777" w:rsidR="00E24DCD" w:rsidRDefault="004D25FE" w:rsidP="00040108">
      <w:pPr>
        <w:spacing w:after="0" w:line="240" w:lineRule="auto"/>
        <w:jc w:val="center"/>
        <w:rPr>
          <w:b/>
          <w:bCs/>
          <w:color w:val="00457D"/>
          <w:sz w:val="24"/>
          <w:szCs w:val="24"/>
          <w:u w:color="00457D"/>
        </w:rPr>
      </w:pPr>
      <w:r>
        <w:rPr>
          <w:b/>
          <w:bCs/>
          <w:color w:val="00457D"/>
          <w:sz w:val="24"/>
          <w:szCs w:val="24"/>
          <w:u w:color="00457D"/>
        </w:rPr>
        <w:t>Figura 13</w:t>
      </w:r>
    </w:p>
    <w:p w14:paraId="74FD68E3" w14:textId="64A57D36" w:rsidR="00060277" w:rsidRDefault="000F0375" w:rsidP="00040108">
      <w:pPr>
        <w:spacing w:after="0" w:line="240" w:lineRule="auto"/>
        <w:jc w:val="center"/>
        <w:rPr>
          <w:b/>
          <w:bCs/>
          <w:color w:val="00457D"/>
          <w:sz w:val="24"/>
          <w:szCs w:val="24"/>
          <w:u w:color="00457D"/>
        </w:rPr>
      </w:pPr>
      <w:r>
        <w:rPr>
          <w:b/>
          <w:bCs/>
          <w:noProof/>
          <w:color w:val="00457D"/>
          <w:sz w:val="24"/>
          <w:szCs w:val="24"/>
          <w:u w:color="00457D"/>
        </w:rPr>
        <w:pict w14:anchorId="1B163D82">
          <v:shape id="_x0000_i1037" type="#_x0000_t75" style="width:446.4pt;height:338.4pt">
            <v:imagedata r:id="rId29" o:title="Figura_13_20220929"/>
          </v:shape>
        </w:pict>
      </w:r>
    </w:p>
    <w:p w14:paraId="38ADD476" w14:textId="77777777" w:rsidR="00F72C6B" w:rsidRPr="00CF6F3B" w:rsidRDefault="00F72C6B" w:rsidP="00040108">
      <w:pPr>
        <w:spacing w:after="0" w:line="240" w:lineRule="auto"/>
        <w:jc w:val="center"/>
        <w:rPr>
          <w:b/>
          <w:bCs/>
          <w:color w:val="FF0000"/>
          <w:sz w:val="24"/>
          <w:szCs w:val="24"/>
          <w:u w:color="00457D"/>
        </w:rPr>
        <w:sectPr w:rsidR="00F72C6B" w:rsidRPr="00CF6F3B" w:rsidSect="00DF4F27">
          <w:pgSz w:w="11900" w:h="16840"/>
          <w:pgMar w:top="1171" w:right="1134" w:bottom="1134" w:left="1134" w:header="709" w:footer="709" w:gutter="0"/>
          <w:cols w:space="720"/>
          <w:docGrid w:linePitch="299"/>
        </w:sectPr>
      </w:pPr>
    </w:p>
    <w:p w14:paraId="7FBC806A" w14:textId="77777777" w:rsidR="00FF3D45" w:rsidRPr="00CF6F3B" w:rsidRDefault="00FF3D45" w:rsidP="00FF3D45">
      <w:pPr>
        <w:spacing w:after="0" w:line="240" w:lineRule="auto"/>
        <w:jc w:val="center"/>
        <w:rPr>
          <w:b/>
          <w:bCs/>
          <w:color w:val="FF0000"/>
          <w:sz w:val="24"/>
          <w:szCs w:val="24"/>
          <w:u w:color="00457D"/>
        </w:rPr>
      </w:pPr>
      <w:r w:rsidRPr="008717BA">
        <w:rPr>
          <w:b/>
          <w:bCs/>
          <w:color w:val="00457D"/>
          <w:sz w:val="24"/>
          <w:szCs w:val="24"/>
          <w:u w:color="00457D"/>
        </w:rPr>
        <w:lastRenderedPageBreak/>
        <w:t>Figura 1</w:t>
      </w:r>
      <w:r w:rsidR="004D25FE">
        <w:rPr>
          <w:b/>
          <w:bCs/>
          <w:color w:val="00457D"/>
          <w:sz w:val="24"/>
          <w:szCs w:val="24"/>
          <w:u w:color="00457D"/>
        </w:rPr>
        <w:t>4</w:t>
      </w:r>
    </w:p>
    <w:p w14:paraId="7D9762A2" w14:textId="7A3F70EF" w:rsidR="00F72C6B" w:rsidRPr="00CF6F3B" w:rsidRDefault="000F0375" w:rsidP="006E14AA">
      <w:pPr>
        <w:spacing w:after="0" w:line="240" w:lineRule="auto"/>
        <w:jc w:val="center"/>
        <w:rPr>
          <w:b/>
          <w:bCs/>
          <w:color w:val="FF0000"/>
          <w:sz w:val="24"/>
          <w:szCs w:val="24"/>
          <w:u w:color="00457D"/>
        </w:rPr>
      </w:pPr>
      <w:r>
        <w:rPr>
          <w:b/>
          <w:bCs/>
          <w:noProof/>
          <w:color w:val="FF0000"/>
          <w:sz w:val="24"/>
          <w:szCs w:val="24"/>
          <w:u w:color="00457D"/>
        </w:rPr>
        <w:pict w14:anchorId="790230BA">
          <v:shape id="_x0000_i1038" type="#_x0000_t75" style="width:482.4pt;height:280.8pt">
            <v:imagedata r:id="rId30" o:title="Figura_14_20220929"/>
          </v:shape>
        </w:pict>
      </w:r>
    </w:p>
    <w:p w14:paraId="33AFD212" w14:textId="77777777" w:rsidR="009D0980" w:rsidRPr="00CF6F3B" w:rsidRDefault="009D0980" w:rsidP="006E14AA">
      <w:pPr>
        <w:spacing w:after="0" w:line="240" w:lineRule="auto"/>
        <w:jc w:val="center"/>
        <w:rPr>
          <w:b/>
          <w:bCs/>
          <w:color w:val="FF0000"/>
          <w:sz w:val="24"/>
          <w:szCs w:val="24"/>
          <w:u w:color="00457D"/>
        </w:rPr>
      </w:pPr>
    </w:p>
    <w:p w14:paraId="7B1AC1B2" w14:textId="77777777" w:rsidR="009D0980" w:rsidRPr="00CF6F3B" w:rsidRDefault="009D0980" w:rsidP="006E14AA">
      <w:pPr>
        <w:spacing w:after="0" w:line="240" w:lineRule="auto"/>
        <w:jc w:val="center"/>
        <w:rPr>
          <w:b/>
          <w:bCs/>
          <w:color w:val="FF0000"/>
          <w:sz w:val="24"/>
          <w:szCs w:val="24"/>
          <w:u w:color="00457D"/>
        </w:rPr>
      </w:pPr>
      <w:r w:rsidRPr="008717BA">
        <w:rPr>
          <w:b/>
          <w:bCs/>
          <w:color w:val="00457D"/>
          <w:sz w:val="24"/>
          <w:szCs w:val="24"/>
          <w:u w:color="00457D"/>
        </w:rPr>
        <w:t>Figura 1</w:t>
      </w:r>
      <w:r w:rsidR="004D25FE">
        <w:rPr>
          <w:b/>
          <w:bCs/>
          <w:color w:val="00457D"/>
          <w:sz w:val="24"/>
          <w:szCs w:val="24"/>
          <w:u w:color="00457D"/>
        </w:rPr>
        <w:t>5</w:t>
      </w:r>
    </w:p>
    <w:p w14:paraId="4C85BC9B" w14:textId="58ECB8A5" w:rsidR="00F72C6B" w:rsidRDefault="000F0375" w:rsidP="009F62FA">
      <w:pPr>
        <w:spacing w:after="0" w:line="240" w:lineRule="auto"/>
        <w:jc w:val="center"/>
        <w:rPr>
          <w:b/>
          <w:bCs/>
          <w:noProof/>
          <w:color w:val="FF0000"/>
          <w:sz w:val="24"/>
          <w:szCs w:val="24"/>
          <w:u w:color="00457D"/>
        </w:rPr>
      </w:pPr>
      <w:r>
        <w:rPr>
          <w:b/>
          <w:bCs/>
          <w:noProof/>
          <w:color w:val="FF0000"/>
          <w:sz w:val="24"/>
          <w:szCs w:val="24"/>
          <w:u w:color="00457D"/>
        </w:rPr>
        <w:pict w14:anchorId="6D00DF11">
          <v:shape id="_x0000_i1039" type="#_x0000_t75" style="width:482.4pt;height:5in">
            <v:imagedata r:id="rId31" o:title="Figura_15_20220929"/>
          </v:shape>
        </w:pict>
      </w:r>
    </w:p>
    <w:p w14:paraId="41A1525C" w14:textId="77777777" w:rsidR="00A133AA" w:rsidRPr="00CF6F3B" w:rsidRDefault="009D0980" w:rsidP="00D46A80">
      <w:pPr>
        <w:spacing w:after="0" w:line="240" w:lineRule="auto"/>
        <w:jc w:val="center"/>
        <w:rPr>
          <w:b/>
          <w:bCs/>
          <w:color w:val="FF0000"/>
          <w:sz w:val="24"/>
          <w:szCs w:val="24"/>
          <w:u w:color="00457D"/>
        </w:rPr>
      </w:pPr>
      <w:r w:rsidRPr="00CF6F3B">
        <w:rPr>
          <w:b/>
          <w:bCs/>
          <w:color w:val="FF0000"/>
          <w:sz w:val="24"/>
          <w:szCs w:val="24"/>
          <w:u w:color="00457D"/>
        </w:rPr>
        <w:br w:type="page"/>
      </w:r>
    </w:p>
    <w:p w14:paraId="64E17B45" w14:textId="77777777" w:rsidR="00410DFB" w:rsidRPr="00CF6F3B" w:rsidRDefault="00410DFB" w:rsidP="00E03BC7">
      <w:pPr>
        <w:spacing w:after="0" w:line="240" w:lineRule="auto"/>
        <w:jc w:val="center"/>
        <w:rPr>
          <w:b/>
          <w:bCs/>
          <w:color w:val="FF0000"/>
          <w:sz w:val="24"/>
          <w:szCs w:val="24"/>
          <w:u w:color="00457D"/>
        </w:rPr>
        <w:sectPr w:rsidR="00410DFB" w:rsidRPr="00CF6F3B" w:rsidSect="005B4AE1">
          <w:pgSz w:w="11900" w:h="16840"/>
          <w:pgMar w:top="1134" w:right="1134" w:bottom="1418" w:left="1134" w:header="709" w:footer="709" w:gutter="0"/>
          <w:cols w:space="720"/>
        </w:sectPr>
      </w:pPr>
    </w:p>
    <w:p w14:paraId="3942FCD4" w14:textId="77777777" w:rsidR="00FB2578" w:rsidRDefault="004D16FF" w:rsidP="00FB2578">
      <w:pPr>
        <w:spacing w:after="60" w:line="276" w:lineRule="auto"/>
        <w:jc w:val="center"/>
        <w:rPr>
          <w:b/>
          <w:bCs/>
          <w:color w:val="00457D"/>
          <w:sz w:val="24"/>
          <w:szCs w:val="24"/>
          <w:u w:color="00457D"/>
        </w:rPr>
      </w:pPr>
      <w:r w:rsidRPr="002739EC">
        <w:rPr>
          <w:b/>
          <w:bCs/>
          <w:color w:val="00457D"/>
          <w:sz w:val="24"/>
          <w:szCs w:val="24"/>
          <w:u w:color="00457D"/>
        </w:rPr>
        <w:lastRenderedPageBreak/>
        <w:t xml:space="preserve">Tabella 1. Indicatori regionali: </w:t>
      </w:r>
      <w:r w:rsidRPr="00FB2578">
        <w:rPr>
          <w:b/>
          <w:bCs/>
          <w:color w:val="00457D"/>
          <w:sz w:val="24"/>
          <w:szCs w:val="24"/>
          <w:u w:color="00457D"/>
        </w:rPr>
        <w:t xml:space="preserve">settimana </w:t>
      </w:r>
      <w:r w:rsidR="00FB2578">
        <w:rPr>
          <w:b/>
          <w:bCs/>
          <w:color w:val="00457D"/>
          <w:sz w:val="24"/>
          <w:szCs w:val="24"/>
          <w:u w:color="00457D"/>
        </w:rPr>
        <w:t>21</w:t>
      </w:r>
      <w:r w:rsidR="00F75FDB" w:rsidRPr="00FB2578">
        <w:rPr>
          <w:b/>
          <w:bCs/>
          <w:color w:val="00457D"/>
          <w:sz w:val="24"/>
          <w:szCs w:val="24"/>
          <w:u w:color="00457D"/>
        </w:rPr>
        <w:t>-</w:t>
      </w:r>
      <w:r w:rsidR="00FB2578">
        <w:rPr>
          <w:b/>
          <w:bCs/>
          <w:color w:val="00457D"/>
          <w:sz w:val="24"/>
          <w:szCs w:val="24"/>
          <w:u w:color="00457D"/>
        </w:rPr>
        <w:t>27</w:t>
      </w:r>
      <w:r w:rsidR="00C7209E" w:rsidRPr="00FB2578">
        <w:rPr>
          <w:b/>
          <w:bCs/>
          <w:color w:val="00457D"/>
          <w:sz w:val="24"/>
          <w:szCs w:val="24"/>
          <w:u w:color="00457D"/>
        </w:rPr>
        <w:t xml:space="preserve"> settembre</w:t>
      </w:r>
      <w:r w:rsidRPr="00FB2578">
        <w:rPr>
          <w:b/>
          <w:bCs/>
          <w:color w:val="00457D"/>
          <w:sz w:val="24"/>
          <w:szCs w:val="24"/>
          <w:u w:color="00457D"/>
        </w:rPr>
        <w:t xml:space="preserve"> 2022</w:t>
      </w:r>
    </w:p>
    <w:tbl>
      <w:tblPr>
        <w:tblW w:w="9918" w:type="dxa"/>
        <w:tblCellMar>
          <w:left w:w="70" w:type="dxa"/>
          <w:right w:w="70" w:type="dxa"/>
        </w:tblCellMar>
        <w:tblLook w:val="04A0" w:firstRow="1" w:lastRow="0" w:firstColumn="1" w:lastColumn="0" w:noHBand="0" w:noVBand="1"/>
      </w:tblPr>
      <w:tblGrid>
        <w:gridCol w:w="1980"/>
        <w:gridCol w:w="1660"/>
        <w:gridCol w:w="1458"/>
        <w:gridCol w:w="2552"/>
        <w:gridCol w:w="2268"/>
      </w:tblGrid>
      <w:tr w:rsidR="00FB2578" w:rsidRPr="00FB2578" w14:paraId="62192185" w14:textId="77777777" w:rsidTr="00FB2578">
        <w:trPr>
          <w:trHeight w:val="907"/>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59EA270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FB2578">
              <w:rPr>
                <w:rFonts w:eastAsia="Times New Roman" w:cs="Calibri"/>
                <w:b/>
                <w:bCs/>
                <w:color w:val="FFFFFF"/>
                <w:bdr w:val="none" w:sz="0" w:space="0" w:color="auto"/>
              </w:rPr>
              <w:t>Regione</w:t>
            </w:r>
          </w:p>
        </w:tc>
        <w:tc>
          <w:tcPr>
            <w:tcW w:w="1660" w:type="dxa"/>
            <w:tcBorders>
              <w:top w:val="single" w:sz="4" w:space="0" w:color="00457D"/>
              <w:left w:val="nil"/>
              <w:bottom w:val="single" w:sz="4" w:space="0" w:color="00457D"/>
              <w:right w:val="single" w:sz="4" w:space="0" w:color="FFFFFF"/>
            </w:tcBorders>
            <w:shd w:val="clear" w:color="000000" w:fill="00457D"/>
            <w:vAlign w:val="center"/>
            <w:hideMark/>
          </w:tcPr>
          <w:p w14:paraId="06E84BD4"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FB2578">
              <w:rPr>
                <w:rFonts w:eastAsia="Times New Roman" w:cs="Calibri"/>
                <w:b/>
                <w:bCs/>
                <w:color w:val="FFFFFF"/>
                <w:sz w:val="21"/>
                <w:szCs w:val="21"/>
                <w:bdr w:val="none" w:sz="0" w:space="0" w:color="auto"/>
              </w:rPr>
              <w:t>Casi attualmente positivi per 100.000 abitanti</w:t>
            </w:r>
          </w:p>
        </w:tc>
        <w:tc>
          <w:tcPr>
            <w:tcW w:w="1458" w:type="dxa"/>
            <w:tcBorders>
              <w:top w:val="single" w:sz="4" w:space="0" w:color="00457D"/>
              <w:left w:val="nil"/>
              <w:bottom w:val="single" w:sz="4" w:space="0" w:color="00457D"/>
              <w:right w:val="single" w:sz="4" w:space="0" w:color="FFFFFF"/>
            </w:tcBorders>
            <w:shd w:val="clear" w:color="000000" w:fill="00457D"/>
            <w:vAlign w:val="center"/>
            <w:hideMark/>
          </w:tcPr>
          <w:p w14:paraId="18B1C96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B2578">
              <w:rPr>
                <w:rFonts w:eastAsia="Times New Roman" w:cs="Calibri"/>
                <w:b/>
                <w:bCs/>
                <w:color w:val="FFFFFF"/>
                <w:bdr w:val="none" w:sz="0" w:space="0" w:color="auto"/>
              </w:rPr>
              <w:t xml:space="preserve">Variazione </w:t>
            </w:r>
            <w:r w:rsidRPr="00FB2578">
              <w:rPr>
                <w:rFonts w:eastAsia="Times New Roman" w:cs="Calibri"/>
                <w:b/>
                <w:bCs/>
                <w:color w:val="FFFFFF"/>
                <w:bdr w:val="none" w:sz="0" w:space="0" w:color="auto"/>
              </w:rPr>
              <w:br/>
              <w:t>% nuovi casi</w:t>
            </w:r>
          </w:p>
        </w:tc>
        <w:tc>
          <w:tcPr>
            <w:tcW w:w="2552" w:type="dxa"/>
            <w:tcBorders>
              <w:top w:val="single" w:sz="4" w:space="0" w:color="00457D"/>
              <w:left w:val="nil"/>
              <w:bottom w:val="single" w:sz="4" w:space="0" w:color="00457D"/>
              <w:right w:val="single" w:sz="4" w:space="0" w:color="FFFFFF"/>
            </w:tcBorders>
            <w:shd w:val="clear" w:color="000000" w:fill="00457D"/>
            <w:vAlign w:val="center"/>
            <w:hideMark/>
          </w:tcPr>
          <w:p w14:paraId="77882F8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B2578">
              <w:rPr>
                <w:rFonts w:eastAsia="Times New Roman" w:cs="Calibri"/>
                <w:b/>
                <w:bCs/>
                <w:color w:val="FFFFFF"/>
                <w:bdr w:val="none" w:sz="0" w:space="0" w:color="auto"/>
              </w:rPr>
              <w:t>Posti letto in area medica occupati da pazienti COVID−19</w:t>
            </w:r>
          </w:p>
        </w:tc>
        <w:tc>
          <w:tcPr>
            <w:tcW w:w="2268" w:type="dxa"/>
            <w:tcBorders>
              <w:top w:val="single" w:sz="4" w:space="0" w:color="00457D"/>
              <w:left w:val="nil"/>
              <w:bottom w:val="single" w:sz="4" w:space="0" w:color="00457D"/>
              <w:right w:val="single" w:sz="4" w:space="0" w:color="00457D"/>
            </w:tcBorders>
            <w:shd w:val="clear" w:color="000000" w:fill="00457D"/>
            <w:vAlign w:val="center"/>
            <w:hideMark/>
          </w:tcPr>
          <w:p w14:paraId="3E9480A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FB2578">
              <w:rPr>
                <w:rFonts w:eastAsia="Times New Roman" w:cs="Calibri"/>
                <w:b/>
                <w:bCs/>
                <w:color w:val="FFFFFF"/>
                <w:bdr w:val="none" w:sz="0" w:space="0" w:color="auto"/>
              </w:rPr>
              <w:t xml:space="preserve">Posti letto in terapia intensiva occupati da </w:t>
            </w:r>
            <w:r w:rsidRPr="00FB2578">
              <w:rPr>
                <w:rFonts w:eastAsia="Times New Roman" w:cs="Calibri"/>
                <w:b/>
                <w:bCs/>
                <w:color w:val="FFFFFF"/>
                <w:bdr w:val="none" w:sz="0" w:space="0" w:color="auto"/>
              </w:rPr>
              <w:br/>
              <w:t>pazienti COVID−19</w:t>
            </w:r>
          </w:p>
        </w:tc>
      </w:tr>
      <w:tr w:rsidR="00FB2578" w:rsidRPr="00FB2578" w14:paraId="4E41F306"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927DFC0"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Abruzzo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9BFD34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2.224</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F19B88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28,0%</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C96D3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9,7%</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2706E3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2,8%</w:t>
            </w:r>
          </w:p>
        </w:tc>
      </w:tr>
      <w:tr w:rsidR="00FB2578" w:rsidRPr="00FB2578" w14:paraId="58BC8421"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315175A"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Basilicata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B2DC04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879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536ECF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9,4%</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72D92FA"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5,3%</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6A6C531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0,0%</w:t>
            </w:r>
          </w:p>
        </w:tc>
      </w:tr>
      <w:tr w:rsidR="00FB2578" w:rsidRPr="00FB2578" w14:paraId="4D216AFB"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325B99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Calabria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694E646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2.066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F6F596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18,1%</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DC599E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12,3%</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0AE633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2,8%</w:t>
            </w:r>
          </w:p>
        </w:tc>
      </w:tr>
      <w:tr w:rsidR="00FB2578" w:rsidRPr="00FB2578" w14:paraId="78E558BC"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61200E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Campania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BB8FF4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716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325EF1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12,7%</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152AE0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5,9%</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BEA5C5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1,2%</w:t>
            </w:r>
          </w:p>
        </w:tc>
      </w:tr>
      <w:tr w:rsidR="00FB2578" w:rsidRPr="00FB2578" w14:paraId="70DA000D"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18A0A0D"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Emilia Romagna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7B061F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398</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4AB71B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20,8%</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0362E7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6,7%</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9A1021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1,9%</w:t>
            </w:r>
          </w:p>
        </w:tc>
      </w:tr>
      <w:tr w:rsidR="00FB2578" w:rsidRPr="00FB2578" w14:paraId="497EF472"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640D6D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Friuli Venezia Giulia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07E504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572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8DA250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39,9%</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3CB860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9,5%</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E2EBD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2,9%</w:t>
            </w:r>
          </w:p>
        </w:tc>
      </w:tr>
      <w:tr w:rsidR="00FB2578" w:rsidRPr="00FB2578" w14:paraId="61EBFEF3"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674829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Lazio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EC3D2F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723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982542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34,3%</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7E456D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DE4E9D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2,7%</w:t>
            </w:r>
          </w:p>
        </w:tc>
      </w:tr>
      <w:tr w:rsidR="00FB2578" w:rsidRPr="00FB2578" w14:paraId="1B624434"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35A0974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Liguria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CD95BC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356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9A3F12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29,7%</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16881F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7,9%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14E140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1,8%</w:t>
            </w:r>
          </w:p>
        </w:tc>
      </w:tr>
      <w:tr w:rsidR="00FB2578" w:rsidRPr="00FB2578" w14:paraId="0ED9F154"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3DF509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Lombardia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9227DB4"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430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B3D309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43,6%</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57EE92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4,8%</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C3492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0,4%</w:t>
            </w:r>
          </w:p>
        </w:tc>
      </w:tr>
      <w:tr w:rsidR="00FB2578" w:rsidRPr="00FB2578" w14:paraId="3EE7FA72"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A0BD1B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Marche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27A6900"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279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D1AEBF4"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46,6%</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CDAF05F"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5,2%</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644226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1,7%</w:t>
            </w:r>
          </w:p>
        </w:tc>
      </w:tr>
      <w:tr w:rsidR="00FB2578" w:rsidRPr="00FB2578" w14:paraId="08E13D85"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647FB00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Molise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1908A0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1.239</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10C230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15,7%</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9A9BB3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5,7%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F80BD0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0,0%</w:t>
            </w:r>
          </w:p>
        </w:tc>
      </w:tr>
      <w:tr w:rsidR="00FB2578" w:rsidRPr="00FB2578" w14:paraId="34F152AE"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401C7C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Piemonte</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35AA49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846</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6919A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45,4%</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3609417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4,3%</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C20E4A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1,0%</w:t>
            </w:r>
          </w:p>
        </w:tc>
      </w:tr>
      <w:tr w:rsidR="00FB2578" w:rsidRPr="00FB2578" w14:paraId="39AA8EBE"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8FDBFE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Prov. Aut. Bolzano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9B7702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603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D55AE2D"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31,4%</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B07EEC7"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15,8%</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A604100"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4,0%</w:t>
            </w:r>
          </w:p>
        </w:tc>
      </w:tr>
      <w:tr w:rsidR="00FB2578" w:rsidRPr="00FB2578" w14:paraId="3E95C497"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5F32DE8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Prov. Aut. Trento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D8F89C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563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6A6767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44,1%</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B1C33E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11,6%</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4013D3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2,2%</w:t>
            </w:r>
          </w:p>
        </w:tc>
      </w:tr>
      <w:tr w:rsidR="00FB2578" w:rsidRPr="00FB2578" w14:paraId="3DDF7CAA"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12A3A06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Puglia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2A4CAD0A"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252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A971F84"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22,6%</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2A0DE5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3,9%</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07EDC8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1,5%</w:t>
            </w:r>
          </w:p>
        </w:tc>
      </w:tr>
      <w:tr w:rsidR="00FB2578" w:rsidRPr="00FB2578" w14:paraId="36A3BD7B"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1BE5A2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Sardegna</w:t>
            </w:r>
          </w:p>
        </w:tc>
        <w:tc>
          <w:tcPr>
            <w:tcW w:w="1660" w:type="dxa"/>
            <w:tcBorders>
              <w:top w:val="single" w:sz="4" w:space="0" w:color="00457D"/>
              <w:left w:val="single" w:sz="4" w:space="0" w:color="00457D"/>
              <w:bottom w:val="single" w:sz="4" w:space="0" w:color="00457D"/>
              <w:right w:val="single" w:sz="4" w:space="0" w:color="00457D"/>
            </w:tcBorders>
            <w:shd w:val="clear" w:color="C6EFCE" w:fill="C6EFCE"/>
            <w:noWrap/>
            <w:vAlign w:val="center"/>
            <w:hideMark/>
          </w:tcPr>
          <w:p w14:paraId="3E946BB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264</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EF45EFC"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22,7%</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5FECC2C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3,5%</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8F97FAD"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2,5%</w:t>
            </w:r>
          </w:p>
        </w:tc>
      </w:tr>
      <w:tr w:rsidR="00FB2578" w:rsidRPr="00FB2578" w14:paraId="2E50FF4E"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2A8E2E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Sicilia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415EC9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484</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3821746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5,9%</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67B8BAD"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5,2%</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CAA5A24"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1,8%</w:t>
            </w:r>
          </w:p>
        </w:tc>
      </w:tr>
      <w:tr w:rsidR="00FB2578" w:rsidRPr="00FB2578" w14:paraId="04476756"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745F204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Toscana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0667F4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2.262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772D192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44,4%</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82B225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3,7%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9D17A2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0,7%</w:t>
            </w:r>
          </w:p>
        </w:tc>
      </w:tr>
      <w:tr w:rsidR="00FB2578" w:rsidRPr="00FB2578" w14:paraId="74A98978"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425400D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Umbria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BB0431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493</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409C7A8"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41,8%</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263D41C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17,8%</w:t>
            </w:r>
          </w:p>
        </w:tc>
        <w:tc>
          <w:tcPr>
            <w:tcW w:w="226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1710A57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2,3%</w:t>
            </w:r>
          </w:p>
        </w:tc>
      </w:tr>
      <w:tr w:rsidR="00FB2578" w:rsidRPr="00FB2578" w14:paraId="3FD24282"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270BB15D"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Valle D'Aosta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69FFE80"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481</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42F3337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32,4%</w:t>
            </w:r>
          </w:p>
        </w:tc>
        <w:tc>
          <w:tcPr>
            <w:tcW w:w="2552"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07093FB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10,4%</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08DDCB70"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0,0%</w:t>
            </w:r>
          </w:p>
        </w:tc>
      </w:tr>
      <w:tr w:rsidR="00FB2578" w:rsidRPr="00FB2578" w14:paraId="3EFFE97E"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auto" w:fill="auto"/>
            <w:noWrap/>
            <w:vAlign w:val="center"/>
            <w:hideMark/>
          </w:tcPr>
          <w:p w14:paraId="004E3F4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FB2578">
              <w:rPr>
                <w:rFonts w:eastAsia="Times New Roman" w:cs="Calibri"/>
                <w:bdr w:val="none" w:sz="0" w:space="0" w:color="auto"/>
              </w:rPr>
              <w:t>Veneto</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4DD8C22"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862</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5255E74B"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FB2578">
              <w:rPr>
                <w:rFonts w:eastAsia="Times New Roman" w:cs="Calibri"/>
                <w:color w:val="9C0006"/>
                <w:bdr w:val="none" w:sz="0" w:space="0" w:color="auto"/>
              </w:rPr>
              <w:t>50,9%</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497028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4,8%</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704916E3"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FB2578">
              <w:rPr>
                <w:rFonts w:eastAsia="Times New Roman" w:cs="Calibri"/>
                <w:color w:val="006100"/>
                <w:bdr w:val="none" w:sz="0" w:space="0" w:color="auto"/>
              </w:rPr>
              <w:t>0,6%</w:t>
            </w:r>
          </w:p>
        </w:tc>
      </w:tr>
      <w:tr w:rsidR="00FB2578" w:rsidRPr="00FB2578" w14:paraId="3F97EA5C" w14:textId="77777777" w:rsidTr="00FB2578">
        <w:trPr>
          <w:trHeight w:val="340"/>
        </w:trPr>
        <w:tc>
          <w:tcPr>
            <w:tcW w:w="1980" w:type="dxa"/>
            <w:tcBorders>
              <w:top w:val="nil"/>
              <w:left w:val="single" w:sz="4" w:space="0" w:color="00457D"/>
              <w:bottom w:val="single" w:sz="4" w:space="0" w:color="00457D"/>
              <w:right w:val="single" w:sz="4" w:space="0" w:color="00457D"/>
            </w:tcBorders>
            <w:shd w:val="clear" w:color="000000" w:fill="00457D"/>
            <w:noWrap/>
            <w:vAlign w:val="center"/>
            <w:hideMark/>
          </w:tcPr>
          <w:p w14:paraId="7AAD5751"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FB2578">
              <w:rPr>
                <w:rFonts w:eastAsia="Times New Roman" w:cs="Calibri"/>
                <w:b/>
                <w:bCs/>
                <w:color w:val="FFFFFF"/>
                <w:bdr w:val="none" w:sz="0" w:space="0" w:color="auto"/>
              </w:rPr>
              <w:t>ITALIA</w:t>
            </w:r>
          </w:p>
        </w:tc>
        <w:tc>
          <w:tcPr>
            <w:tcW w:w="1660"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6FBC8BE"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FB2578">
              <w:rPr>
                <w:rFonts w:eastAsia="Times New Roman" w:cs="Calibri"/>
                <w:b/>
                <w:bCs/>
                <w:color w:val="9C0006"/>
                <w:bdr w:val="none" w:sz="0" w:space="0" w:color="auto"/>
              </w:rPr>
              <w:t>750</w:t>
            </w:r>
          </w:p>
        </w:tc>
        <w:tc>
          <w:tcPr>
            <w:tcW w:w="1458" w:type="dxa"/>
            <w:tcBorders>
              <w:top w:val="single" w:sz="4" w:space="0" w:color="00457D"/>
              <w:left w:val="single" w:sz="4" w:space="0" w:color="00457D"/>
              <w:bottom w:val="single" w:sz="4" w:space="0" w:color="00457D"/>
              <w:right w:val="single" w:sz="4" w:space="0" w:color="00457D"/>
            </w:tcBorders>
            <w:shd w:val="clear" w:color="000000" w:fill="FFC7CE"/>
            <w:noWrap/>
            <w:vAlign w:val="center"/>
            <w:hideMark/>
          </w:tcPr>
          <w:p w14:paraId="645106D9"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9C0006"/>
                <w:bdr w:val="none" w:sz="0" w:space="0" w:color="auto"/>
              </w:rPr>
            </w:pPr>
            <w:r w:rsidRPr="00FB2578">
              <w:rPr>
                <w:rFonts w:eastAsia="Times New Roman" w:cs="Calibri"/>
                <w:b/>
                <w:bCs/>
                <w:color w:val="9C0006"/>
                <w:bdr w:val="none" w:sz="0" w:space="0" w:color="auto"/>
              </w:rPr>
              <w:t>34,0%</w:t>
            </w:r>
          </w:p>
        </w:tc>
        <w:tc>
          <w:tcPr>
            <w:tcW w:w="2552"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1380AD45"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B2578">
              <w:rPr>
                <w:rFonts w:eastAsia="Times New Roman" w:cs="Calibri"/>
                <w:b/>
                <w:bCs/>
                <w:color w:val="006100"/>
                <w:bdr w:val="none" w:sz="0" w:space="0" w:color="auto"/>
              </w:rPr>
              <w:t>5,7%</w:t>
            </w:r>
          </w:p>
        </w:tc>
        <w:tc>
          <w:tcPr>
            <w:tcW w:w="2268" w:type="dxa"/>
            <w:tcBorders>
              <w:top w:val="single" w:sz="4" w:space="0" w:color="00457D"/>
              <w:left w:val="single" w:sz="4" w:space="0" w:color="00457D"/>
              <w:bottom w:val="single" w:sz="4" w:space="0" w:color="00457D"/>
              <w:right w:val="single" w:sz="4" w:space="0" w:color="00457D"/>
            </w:tcBorders>
            <w:shd w:val="clear" w:color="000000" w:fill="C6EFCE"/>
            <w:noWrap/>
            <w:vAlign w:val="center"/>
            <w:hideMark/>
          </w:tcPr>
          <w:p w14:paraId="4A83DBE6"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FB2578">
              <w:rPr>
                <w:rFonts w:eastAsia="Times New Roman" w:cs="Calibri"/>
                <w:b/>
                <w:bCs/>
                <w:color w:val="006100"/>
                <w:bdr w:val="none" w:sz="0" w:space="0" w:color="auto"/>
              </w:rPr>
              <w:t>1,4%</w:t>
            </w:r>
          </w:p>
        </w:tc>
      </w:tr>
      <w:tr w:rsidR="00FB2578" w:rsidRPr="00FB2578" w14:paraId="13AE50A3" w14:textId="77777777" w:rsidTr="00FB2578">
        <w:trPr>
          <w:trHeight w:val="1710"/>
        </w:trPr>
        <w:tc>
          <w:tcPr>
            <w:tcW w:w="9918"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4206A32A" w14:textId="77777777" w:rsidR="00FB2578" w:rsidRPr="00FB2578" w:rsidRDefault="00FB2578" w:rsidP="00FB25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2739EC">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2739EC">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2739EC">
              <w:rPr>
                <w:rFonts w:eastAsia="Times New Roman" w:cs="Calibri"/>
                <w:color w:val="auto"/>
                <w:sz w:val="20"/>
                <w:szCs w:val="20"/>
                <w:bdr w:val="none" w:sz="0" w:space="0" w:color="auto"/>
              </w:rPr>
              <w:br/>
              <w:t>Nelle ultime 2 colonne i colori rosso e verde indicano rispettivamente un valore superiore o inferiore rispetto alla media nazionale (dati Agenas).</w:t>
            </w:r>
          </w:p>
        </w:tc>
      </w:tr>
    </w:tbl>
    <w:p w14:paraId="2158308B" w14:textId="77777777" w:rsidR="00A133AA" w:rsidRDefault="00A133AA">
      <w:pPr>
        <w:spacing w:after="0" w:line="240" w:lineRule="auto"/>
        <w:rPr>
          <w:b/>
          <w:bCs/>
          <w:color w:val="00457D"/>
          <w:sz w:val="24"/>
          <w:szCs w:val="24"/>
          <w:u w:color="00457D"/>
        </w:rPr>
      </w:pPr>
      <w:r>
        <w:rPr>
          <w:b/>
          <w:bCs/>
          <w:color w:val="00457D"/>
          <w:sz w:val="24"/>
          <w:szCs w:val="24"/>
          <w:u w:color="00457D"/>
        </w:rPr>
        <w:br w:type="page"/>
      </w:r>
    </w:p>
    <w:p w14:paraId="4F4B083B" w14:textId="77777777" w:rsidR="004D16FF" w:rsidRPr="00D44AA7" w:rsidRDefault="004D16FF" w:rsidP="008955B7">
      <w:pPr>
        <w:spacing w:after="80" w:line="240" w:lineRule="auto"/>
        <w:jc w:val="center"/>
        <w:rPr>
          <w:b/>
          <w:bCs/>
          <w:color w:val="00457D"/>
          <w:sz w:val="24"/>
          <w:szCs w:val="24"/>
          <w:u w:color="00457D"/>
        </w:rPr>
      </w:pPr>
      <w:r w:rsidRPr="00D44AA7">
        <w:rPr>
          <w:b/>
          <w:bCs/>
          <w:color w:val="00457D"/>
          <w:sz w:val="24"/>
          <w:szCs w:val="24"/>
          <w:u w:color="00457D"/>
        </w:rPr>
        <w:lastRenderedPageBreak/>
        <w:t>Tabella 2. Nuovi casi nell’ultima se</w:t>
      </w:r>
      <w:r w:rsidR="008955B7" w:rsidRPr="00D44AA7">
        <w:rPr>
          <w:b/>
          <w:bCs/>
          <w:color w:val="00457D"/>
          <w:sz w:val="24"/>
          <w:szCs w:val="24"/>
          <w:u w:color="00457D"/>
        </w:rPr>
        <w:t>ttimana suddivisi per provincia</w:t>
      </w:r>
    </w:p>
    <w:tbl>
      <w:tblPr>
        <w:tblStyle w:val="TableNormal"/>
        <w:tblW w:w="821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1"/>
      </w:tblGrid>
      <w:tr w:rsidR="006A3502" w:rsidRPr="0008778C" w14:paraId="76CB1938" w14:textId="77777777" w:rsidTr="00636A1A">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0C87A112"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4A3AD6A7" w14:textId="77777777" w:rsidR="006A3502" w:rsidRPr="0008778C" w:rsidRDefault="006A3502" w:rsidP="00636A1A">
            <w:pPr>
              <w:spacing w:after="0" w:line="240" w:lineRule="auto"/>
              <w:rPr>
                <w:rFonts w:cs="Calibri"/>
                <w:szCs w:val="21"/>
              </w:rPr>
            </w:pPr>
            <w:r w:rsidRPr="0008778C">
              <w:rPr>
                <w:rFonts w:cs="Calibri"/>
                <w:b/>
                <w:bCs/>
                <w:color w:val="FFFFFF"/>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4E499777" w14:textId="77777777" w:rsidR="006A3502" w:rsidRPr="0008778C" w:rsidRDefault="006A3502" w:rsidP="00B27D7D">
            <w:pPr>
              <w:spacing w:after="0" w:line="240" w:lineRule="auto"/>
              <w:jc w:val="center"/>
              <w:rPr>
                <w:rFonts w:cs="Calibri"/>
                <w:szCs w:val="21"/>
              </w:rPr>
            </w:pPr>
            <w:r w:rsidRPr="0008778C">
              <w:rPr>
                <w:rFonts w:cs="Calibri"/>
                <w:b/>
                <w:bCs/>
                <w:color w:val="FFFFFF"/>
                <w:szCs w:val="21"/>
                <w:u w:color="FFFFFF"/>
              </w:rPr>
              <w:t xml:space="preserve">Nuovi casi per </w:t>
            </w:r>
            <w:r w:rsidRPr="0008778C">
              <w:rPr>
                <w:rFonts w:cs="Calibri"/>
                <w:b/>
                <w:bCs/>
                <w:color w:val="FFFFFF"/>
                <w:szCs w:val="21"/>
                <w:u w:color="FFFFFF"/>
              </w:rPr>
              <w:br/>
              <w:t xml:space="preserve">100.000 abitanti </w:t>
            </w:r>
            <w:r w:rsidRPr="0008778C">
              <w:rPr>
                <w:rFonts w:cs="Calibri"/>
                <w:b/>
                <w:bCs/>
                <w:color w:val="FFFFFF"/>
                <w:szCs w:val="21"/>
                <w:u w:color="FFFFFF"/>
              </w:rPr>
              <w:br/>
            </w:r>
            <w:r w:rsidR="00B27D7D">
              <w:rPr>
                <w:rFonts w:cs="Calibri"/>
                <w:b/>
                <w:bCs/>
                <w:color w:val="FFFFFF"/>
                <w:szCs w:val="21"/>
                <w:u w:color="FFFFFF"/>
              </w:rPr>
              <w:t>21-27</w:t>
            </w:r>
            <w:r>
              <w:rPr>
                <w:rFonts w:cs="Calibri"/>
                <w:b/>
                <w:bCs/>
                <w:color w:val="FFFFFF"/>
                <w:szCs w:val="21"/>
                <w:u w:color="FFFFFF"/>
              </w:rPr>
              <w:t xml:space="preserve"> settembre 2</w:t>
            </w:r>
            <w:r w:rsidRPr="0008778C">
              <w:rPr>
                <w:rFonts w:cs="Calibri"/>
                <w:b/>
                <w:bCs/>
                <w:color w:val="FFFFFF"/>
                <w:szCs w:val="21"/>
                <w:u w:color="FFFFFF"/>
              </w:rPr>
              <w:t>022</w:t>
            </w:r>
          </w:p>
        </w:tc>
        <w:tc>
          <w:tcPr>
            <w:tcW w:w="1701"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78447F0D" w14:textId="77777777" w:rsidR="006A3502" w:rsidRPr="0008778C" w:rsidRDefault="006A3502" w:rsidP="00B27D7D">
            <w:pPr>
              <w:spacing w:after="0" w:line="240" w:lineRule="auto"/>
              <w:jc w:val="center"/>
              <w:rPr>
                <w:rFonts w:cs="Calibri"/>
                <w:b/>
                <w:bCs/>
                <w:color w:val="FFFFFF"/>
                <w:szCs w:val="21"/>
                <w:u w:color="FFFFFF"/>
              </w:rPr>
            </w:pPr>
            <w:r w:rsidRPr="0008778C">
              <w:rPr>
                <w:rFonts w:cs="Calibri"/>
                <w:b/>
                <w:bCs/>
                <w:color w:val="FFFFFF"/>
                <w:szCs w:val="21"/>
                <w:u w:color="FFFFFF"/>
              </w:rPr>
              <w:t>Variazione % nuovi casi</w:t>
            </w:r>
          </w:p>
        </w:tc>
      </w:tr>
      <w:tr w:rsidR="00B27D7D" w:rsidRPr="0008778C" w14:paraId="0B15B4B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93712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68D01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03E3E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574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34B4EA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82,6%</w:t>
            </w:r>
          </w:p>
        </w:tc>
      </w:tr>
      <w:tr w:rsidR="00B27D7D" w:rsidRPr="0008778C" w14:paraId="031301C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C1911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E8E2D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52719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428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0DCD63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39,9%</w:t>
            </w:r>
          </w:p>
        </w:tc>
      </w:tr>
      <w:tr w:rsidR="00B27D7D" w:rsidRPr="0008778C" w14:paraId="64B215A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38FF0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9D4695"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976B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358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3C4F11"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4,0%</w:t>
            </w:r>
          </w:p>
        </w:tc>
      </w:tr>
      <w:tr w:rsidR="00B27D7D" w:rsidRPr="0008778C" w14:paraId="2B5A4AE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F525F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BD87E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14BF8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337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6057B5C"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29,2%</w:t>
            </w:r>
          </w:p>
        </w:tc>
      </w:tr>
      <w:tr w:rsidR="00B27D7D" w:rsidRPr="0008778C" w14:paraId="09C7B44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F8F2B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83113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D377B0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215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77FA3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7,1%</w:t>
            </w:r>
          </w:p>
        </w:tc>
      </w:tr>
      <w:tr w:rsidR="00B27D7D" w:rsidRPr="0008778C" w14:paraId="644AD19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5BD18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81D15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486093"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ADD82B"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14,1%</w:t>
            </w:r>
          </w:p>
        </w:tc>
      </w:tr>
      <w:tr w:rsidR="00B27D7D" w:rsidRPr="0008778C" w14:paraId="61D0F69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589F1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DC4FD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F0733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273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815CC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50,6%</w:t>
            </w:r>
          </w:p>
        </w:tc>
      </w:tr>
      <w:tr w:rsidR="00B27D7D" w:rsidRPr="0008778C" w14:paraId="4FCF2E6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8FDBF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F64A8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96E96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885CB25"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6,8%</w:t>
            </w:r>
          </w:p>
        </w:tc>
      </w:tr>
      <w:tr w:rsidR="00B27D7D" w:rsidRPr="0008778C" w14:paraId="7DA2B40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33BE5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1B08A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277C6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202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DB784C"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14,5%</w:t>
            </w:r>
          </w:p>
        </w:tc>
      </w:tr>
      <w:tr w:rsidR="00B27D7D" w:rsidRPr="0008778C" w14:paraId="66DD743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E1682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648FE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F2846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9CEA00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3,3%</w:t>
            </w:r>
          </w:p>
        </w:tc>
      </w:tr>
      <w:tr w:rsidR="00B27D7D" w:rsidRPr="0008778C" w14:paraId="1ADBEF4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BF8B9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5AE92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AEAFE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153</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99F99CC"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-16,8%</w:t>
            </w:r>
          </w:p>
        </w:tc>
      </w:tr>
      <w:tr w:rsidR="00B27D7D" w:rsidRPr="0008778C" w14:paraId="6912145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76DA7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A8147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26287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302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EC6601"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18,0%</w:t>
            </w:r>
          </w:p>
        </w:tc>
      </w:tr>
      <w:tr w:rsidR="00B27D7D" w:rsidRPr="0008778C" w14:paraId="5FE1235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A367F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D802B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EDD352"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291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BD0AF48"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17,0%</w:t>
            </w:r>
          </w:p>
        </w:tc>
      </w:tr>
      <w:tr w:rsidR="00B27D7D" w:rsidRPr="0008778C" w14:paraId="0CE8A99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16883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739EB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9D717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3166335"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9,4%</w:t>
            </w:r>
          </w:p>
        </w:tc>
      </w:tr>
      <w:tr w:rsidR="00B27D7D" w:rsidRPr="0008778C" w14:paraId="43D20B5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BEEEA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D77E7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1B700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184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8A66DE1"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6,0%</w:t>
            </w:r>
          </w:p>
        </w:tc>
      </w:tr>
      <w:tr w:rsidR="00B27D7D" w:rsidRPr="0008778C" w14:paraId="1437140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09975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00C2A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390BF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163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8BCCA8"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15,4%</w:t>
            </w:r>
          </w:p>
        </w:tc>
      </w:tr>
      <w:tr w:rsidR="00B27D7D" w:rsidRPr="0008778C" w14:paraId="585F9F4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8874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3B22E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B7163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329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DD1AF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35,9%</w:t>
            </w:r>
          </w:p>
        </w:tc>
      </w:tr>
      <w:tr w:rsidR="00B27D7D" w:rsidRPr="0008778C" w14:paraId="1C46C04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6DB60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EC87C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21AC5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296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5DD77B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23,8%</w:t>
            </w:r>
          </w:p>
        </w:tc>
      </w:tr>
      <w:tr w:rsidR="00B27D7D" w:rsidRPr="0008778C" w14:paraId="18E16F5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4A8BD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E3146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92FC8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6EE8E9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18,0%</w:t>
            </w:r>
          </w:p>
        </w:tc>
      </w:tr>
      <w:tr w:rsidR="00B27D7D" w:rsidRPr="0008778C" w14:paraId="697B38A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78CB0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107E8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D34F2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091190F"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10,4%</w:t>
            </w:r>
          </w:p>
        </w:tc>
      </w:tr>
      <w:tr w:rsidR="00B27D7D" w:rsidRPr="0008778C" w14:paraId="41D0389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384CB5"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E39BE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02F0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78F80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29,2%</w:t>
            </w:r>
          </w:p>
        </w:tc>
      </w:tr>
      <w:tr w:rsidR="00B27D7D" w:rsidRPr="0008778C" w14:paraId="6D4733A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1842C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C706D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5F313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EFD83B"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29,7%</w:t>
            </w:r>
          </w:p>
        </w:tc>
      </w:tr>
      <w:tr w:rsidR="00B27D7D" w:rsidRPr="0008778C" w14:paraId="70F3370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96C22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A221B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F4260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219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C63850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10,8%</w:t>
            </w:r>
          </w:p>
        </w:tc>
      </w:tr>
      <w:tr w:rsidR="00B27D7D" w:rsidRPr="0008778C" w14:paraId="2B1B346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921CE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6C517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7D2F5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214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C8F28C0"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26,4%</w:t>
            </w:r>
          </w:p>
        </w:tc>
      </w:tr>
      <w:tr w:rsidR="00B27D7D" w:rsidRPr="0008778C" w14:paraId="528330C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B6276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12D8B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118C3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203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23D3E1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21,8%</w:t>
            </w:r>
          </w:p>
        </w:tc>
      </w:tr>
      <w:tr w:rsidR="00B27D7D" w:rsidRPr="0008778C" w14:paraId="734F50D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F3F06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5A87A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1291D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454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70E6B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61,9%</w:t>
            </w:r>
          </w:p>
        </w:tc>
      </w:tr>
      <w:tr w:rsidR="00B27D7D" w:rsidRPr="0008778C" w14:paraId="0E2B605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DC626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B8DD3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0B7D3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369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3CF98F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19,7%</w:t>
            </w:r>
          </w:p>
        </w:tc>
      </w:tr>
      <w:tr w:rsidR="00B27D7D" w:rsidRPr="0008778C" w14:paraId="78F7CE5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1AEC8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F1B0F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FDCF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363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86C975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35,0%</w:t>
            </w:r>
          </w:p>
        </w:tc>
      </w:tr>
      <w:tr w:rsidR="00B27D7D" w:rsidRPr="0008778C" w14:paraId="3F93DDD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B48ED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D8ABD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4539D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245</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BC99632"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-0,9%</w:t>
            </w:r>
          </w:p>
        </w:tc>
      </w:tr>
      <w:tr w:rsidR="00B27D7D" w:rsidRPr="0008778C" w14:paraId="3201411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B38875"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86BF2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116E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371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3B8C24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32,3%</w:t>
            </w:r>
          </w:p>
        </w:tc>
      </w:tr>
      <w:tr w:rsidR="00B27D7D" w:rsidRPr="0008778C" w14:paraId="0E56EFC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2B8E8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08F76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0873E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5328F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23,2%</w:t>
            </w:r>
          </w:p>
        </w:tc>
      </w:tr>
      <w:tr w:rsidR="00B27D7D" w:rsidRPr="0008778C" w14:paraId="5A255C3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39AF0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FBDA6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F5C8B4"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294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72178D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33,8%</w:t>
            </w:r>
          </w:p>
        </w:tc>
      </w:tr>
      <w:tr w:rsidR="00B27D7D" w:rsidRPr="0008778C" w14:paraId="3688AAC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50A0D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37750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908ED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242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C4A20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38,0%</w:t>
            </w:r>
          </w:p>
        </w:tc>
      </w:tr>
      <w:tr w:rsidR="00B27D7D" w:rsidRPr="0008778C" w14:paraId="7F6FA58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0D669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25B32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57BD03"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221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FAD2A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14,8%</w:t>
            </w:r>
          </w:p>
        </w:tc>
      </w:tr>
      <w:tr w:rsidR="00B27D7D" w:rsidRPr="0008778C" w14:paraId="74DC940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2EC46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30E80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41205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82895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42,0%</w:t>
            </w:r>
          </w:p>
        </w:tc>
      </w:tr>
      <w:tr w:rsidR="00B27D7D" w:rsidRPr="0008778C" w14:paraId="7A6AB08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27587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7A70C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455310"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263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9085D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41,4%</w:t>
            </w:r>
          </w:p>
        </w:tc>
      </w:tr>
      <w:tr w:rsidR="00B27D7D" w:rsidRPr="0008778C" w14:paraId="661C4F0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03838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3D9094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46276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257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62C495"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30,8%</w:t>
            </w:r>
          </w:p>
        </w:tc>
      </w:tr>
      <w:tr w:rsidR="00B27D7D" w:rsidRPr="0008778C" w14:paraId="3F17882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FF97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E2EA4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E41A22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246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6F639E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22,8%</w:t>
            </w:r>
          </w:p>
        </w:tc>
      </w:tr>
      <w:tr w:rsidR="00B27D7D" w:rsidRPr="0008778C" w14:paraId="5FDBAB2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CE9C4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E296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975DE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454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FA996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74,0%</w:t>
            </w:r>
          </w:p>
        </w:tc>
      </w:tr>
      <w:tr w:rsidR="00B27D7D" w:rsidRPr="0008778C" w14:paraId="058EF1F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41F3D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34AF4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34789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A038EE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71,6%</w:t>
            </w:r>
          </w:p>
        </w:tc>
      </w:tr>
      <w:tr w:rsidR="00B27D7D" w:rsidRPr="0008778C" w14:paraId="60953E9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E6533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13832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9B5A0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7D9260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50,5%</w:t>
            </w:r>
          </w:p>
        </w:tc>
      </w:tr>
      <w:tr w:rsidR="00B27D7D" w:rsidRPr="0008778C" w14:paraId="411B1E1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9056A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lastRenderedPageBreak/>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59B01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C5579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BF2C8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46,7%</w:t>
            </w:r>
          </w:p>
        </w:tc>
      </w:tr>
      <w:tr w:rsidR="00B27D7D" w:rsidRPr="0008778C" w14:paraId="46B6B46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5F22C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C6860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10DB43"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334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B88AEE"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47,3%</w:t>
            </w:r>
          </w:p>
        </w:tc>
      </w:tr>
      <w:tr w:rsidR="00B27D7D" w:rsidRPr="0008778C" w14:paraId="370398B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33115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2CBBC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2C893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E9937EE"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45,7%</w:t>
            </w:r>
          </w:p>
        </w:tc>
      </w:tr>
      <w:tr w:rsidR="00B27D7D" w:rsidRPr="0008778C" w14:paraId="42B83AD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0609C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B30A9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9114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60897E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45,6%</w:t>
            </w:r>
          </w:p>
        </w:tc>
      </w:tr>
      <w:tr w:rsidR="00B27D7D" w:rsidRPr="0008778C" w14:paraId="49388B5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6B76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CA6CE1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C78B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279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EF8E7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31,8%</w:t>
            </w:r>
          </w:p>
        </w:tc>
      </w:tr>
      <w:tr w:rsidR="00B27D7D" w:rsidRPr="0008778C" w14:paraId="2414399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45B5D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5CAB0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1AFE4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260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E9A64A8"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42,5%</w:t>
            </w:r>
          </w:p>
        </w:tc>
      </w:tr>
      <w:tr w:rsidR="00B27D7D" w:rsidRPr="0008778C" w14:paraId="0825CEF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F2A81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27E18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031FE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251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9ECAFEB"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30,9%</w:t>
            </w:r>
          </w:p>
        </w:tc>
      </w:tr>
      <w:tr w:rsidR="00B27D7D" w:rsidRPr="0008778C" w14:paraId="68D98D4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82D39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FC489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79583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241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D3A18E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14,3%</w:t>
            </w:r>
          </w:p>
        </w:tc>
      </w:tr>
      <w:tr w:rsidR="00B27D7D" w:rsidRPr="0008778C" w14:paraId="236FB19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0F0F9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D6631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A4ECD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241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E1E820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46,1%</w:t>
            </w:r>
          </w:p>
        </w:tc>
      </w:tr>
      <w:tr w:rsidR="00B27D7D" w:rsidRPr="0008778C" w14:paraId="48683FC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FCE6B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2BD3C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69005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358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23FE605"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50,9%</w:t>
            </w:r>
          </w:p>
        </w:tc>
      </w:tr>
      <w:tr w:rsidR="00B27D7D" w:rsidRPr="0008778C" w14:paraId="0FB8336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63C00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CBE89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6232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4A02BA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54,8%</w:t>
            </w:r>
          </w:p>
        </w:tc>
      </w:tr>
      <w:tr w:rsidR="00B27D7D" w:rsidRPr="0008778C" w14:paraId="5F55FAB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99196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6FC76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427FF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534A2C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58,0%</w:t>
            </w:r>
          </w:p>
        </w:tc>
      </w:tr>
      <w:tr w:rsidR="00B27D7D" w:rsidRPr="0008778C" w14:paraId="4A6C911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804EC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5B957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80E5C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CFB941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29,7%</w:t>
            </w:r>
          </w:p>
        </w:tc>
      </w:tr>
      <w:tr w:rsidR="00B27D7D" w:rsidRPr="0008778C" w14:paraId="6AB969F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207FB2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3BA79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9844A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278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A8FD3B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60,0%</w:t>
            </w:r>
          </w:p>
        </w:tc>
      </w:tr>
      <w:tr w:rsidR="00B27D7D" w:rsidRPr="0008778C" w14:paraId="11439AC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23372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0851E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3BBAC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07846DF"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22,0%</w:t>
            </w:r>
          </w:p>
        </w:tc>
      </w:tr>
      <w:tr w:rsidR="00B27D7D" w:rsidRPr="0008778C" w14:paraId="3252BBD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96706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62252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3778C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174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20FB3A"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-1,4%</w:t>
            </w:r>
          </w:p>
        </w:tc>
      </w:tr>
      <w:tr w:rsidR="00B27D7D" w:rsidRPr="0008778C" w14:paraId="1439F95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FDADF5"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074AF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D40A6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482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A0B48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29,8%</w:t>
            </w:r>
          </w:p>
        </w:tc>
      </w:tr>
      <w:tr w:rsidR="00B27D7D" w:rsidRPr="0008778C" w14:paraId="3BFF037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1FE3E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764E6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AAEEE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531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69C0F2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44,1%</w:t>
            </w:r>
          </w:p>
        </w:tc>
      </w:tr>
      <w:tr w:rsidR="00B27D7D" w:rsidRPr="0008778C" w14:paraId="5E2BA51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34EF6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D22AD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C1AEA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446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C5619E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52,2%</w:t>
            </w:r>
          </w:p>
        </w:tc>
      </w:tr>
      <w:tr w:rsidR="00B27D7D" w:rsidRPr="0008778C" w14:paraId="3EB4A1E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68D00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01554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30D870"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440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9EC062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34,0%</w:t>
            </w:r>
          </w:p>
        </w:tc>
      </w:tr>
      <w:tr w:rsidR="00B27D7D" w:rsidRPr="0008778C" w14:paraId="0F86256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B3899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B3011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3D738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355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286916F"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38,6%</w:t>
            </w:r>
          </w:p>
        </w:tc>
      </w:tr>
      <w:tr w:rsidR="00B27D7D" w:rsidRPr="0008778C" w14:paraId="435DD79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56486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24325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AB2F4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343</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41BF8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32,2%</w:t>
            </w:r>
          </w:p>
        </w:tc>
      </w:tr>
      <w:tr w:rsidR="00B27D7D" w:rsidRPr="0008778C" w14:paraId="6618210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23A5A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95BDB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9B35F4"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871856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53,8%</w:t>
            </w:r>
          </w:p>
        </w:tc>
      </w:tr>
      <w:tr w:rsidR="00B27D7D" w:rsidRPr="0008778C" w14:paraId="17FA68C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B8DEF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4F85F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D46BA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321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6334568"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43,2%</w:t>
            </w:r>
          </w:p>
        </w:tc>
      </w:tr>
      <w:tr w:rsidR="00B27D7D" w:rsidRPr="0008778C" w14:paraId="510B19D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30E8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A2637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CF564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316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D2EA20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51,6%</w:t>
            </w:r>
          </w:p>
        </w:tc>
      </w:tr>
      <w:tr w:rsidR="00B27D7D" w:rsidRPr="0008778C" w14:paraId="1B28160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EB66D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D5D54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639F9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292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4EF4B4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22,3%</w:t>
            </w:r>
          </w:p>
        </w:tc>
      </w:tr>
      <w:tr w:rsidR="00B27D7D" w:rsidRPr="0008778C" w14:paraId="48E32E2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E1AA3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4CB9A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7A3CD0"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179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17BE3E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16,8%</w:t>
            </w:r>
          </w:p>
        </w:tc>
      </w:tr>
      <w:tr w:rsidR="00B27D7D" w:rsidRPr="0008778C" w14:paraId="4A9C513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6E2CB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B72CB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53A80E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174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071036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20,5%</w:t>
            </w:r>
          </w:p>
        </w:tc>
      </w:tr>
      <w:tr w:rsidR="00B27D7D" w:rsidRPr="0008778C" w14:paraId="1D6301E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E3CFA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A1B6A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E9B422"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159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9B0596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26,1%</w:t>
            </w:r>
          </w:p>
        </w:tc>
      </w:tr>
      <w:tr w:rsidR="00B27D7D" w:rsidRPr="0008778C" w14:paraId="624DD36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4D2FA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29AB4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9C90A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132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65D94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19,0%</w:t>
            </w:r>
          </w:p>
        </w:tc>
      </w:tr>
      <w:tr w:rsidR="00B27D7D" w:rsidRPr="0008778C" w14:paraId="1A67B12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B5243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3B121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32F553"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125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FA1E4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42,4%</w:t>
            </w:r>
          </w:p>
        </w:tc>
      </w:tr>
      <w:tr w:rsidR="00B27D7D" w:rsidRPr="0008778C" w14:paraId="1EA6E52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041A95"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7C91C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F2773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90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CD41141"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34,9%</w:t>
            </w:r>
          </w:p>
        </w:tc>
      </w:tr>
      <w:tr w:rsidR="00B27D7D" w:rsidRPr="0008778C" w14:paraId="05A7CEF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B0AF8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49A82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C4B42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228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407A7D"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15,2%</w:t>
            </w:r>
          </w:p>
        </w:tc>
      </w:tr>
      <w:tr w:rsidR="00B27D7D" w:rsidRPr="0008778C" w14:paraId="33B35D9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BBFDD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05598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493E28"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211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0E2466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34,1%</w:t>
            </w:r>
          </w:p>
        </w:tc>
      </w:tr>
      <w:tr w:rsidR="00B27D7D" w:rsidRPr="0008778C" w14:paraId="10BA2BAA"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196B9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41CA5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FB30F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196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66922C4B"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35,7%</w:t>
            </w:r>
          </w:p>
        </w:tc>
      </w:tr>
      <w:tr w:rsidR="00B27D7D" w:rsidRPr="0008778C" w14:paraId="519D81A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29DA3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A6734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A18D8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141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BFAEB1"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10,4%</w:t>
            </w:r>
          </w:p>
        </w:tc>
      </w:tr>
      <w:tr w:rsidR="00B27D7D" w:rsidRPr="0008778C" w14:paraId="21ED0B0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84F80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2D16F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D7C2F2"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126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E5EB25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15,4%</w:t>
            </w:r>
          </w:p>
        </w:tc>
      </w:tr>
      <w:tr w:rsidR="00B27D7D" w:rsidRPr="0008778C" w14:paraId="1034A6B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CCC75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08062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E022AA"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207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B9EA53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24,5%</w:t>
            </w:r>
          </w:p>
        </w:tc>
      </w:tr>
      <w:tr w:rsidR="00B27D7D" w:rsidRPr="0008778C" w14:paraId="7C08E99F"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ED7B6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A3D0A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873210"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198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798628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6,0%</w:t>
            </w:r>
          </w:p>
        </w:tc>
      </w:tr>
      <w:tr w:rsidR="00B27D7D" w:rsidRPr="0008778C" w14:paraId="7F7BC52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F7806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0500C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FA94C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146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82B482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9,6%</w:t>
            </w:r>
          </w:p>
        </w:tc>
      </w:tr>
      <w:tr w:rsidR="00B27D7D" w:rsidRPr="0008778C" w14:paraId="676D98D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A48345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0D34D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B0F54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124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7BE37C0"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-4,3%</w:t>
            </w:r>
          </w:p>
        </w:tc>
      </w:tr>
      <w:tr w:rsidR="00B27D7D" w:rsidRPr="0008778C" w14:paraId="6059C7B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8E478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59E4F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1040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115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7F4AB3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16,0%</w:t>
            </w:r>
          </w:p>
        </w:tc>
      </w:tr>
      <w:tr w:rsidR="00B27D7D" w:rsidRPr="0008778C" w14:paraId="0BC8AC3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502DD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lastRenderedPageBreak/>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FB9A4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5B45E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112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49679B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7,9%</w:t>
            </w:r>
          </w:p>
        </w:tc>
      </w:tr>
      <w:tr w:rsidR="00B27D7D" w:rsidRPr="0008778C" w14:paraId="2705D3CC"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84679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86037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4095C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6BE8BCC"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9,7%</w:t>
            </w:r>
          </w:p>
        </w:tc>
      </w:tr>
      <w:tr w:rsidR="00B27D7D" w:rsidRPr="0008778C" w14:paraId="571C29E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9B05E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3E9C7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04DBB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84</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D6CEF10"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-21,3%</w:t>
            </w:r>
          </w:p>
        </w:tc>
      </w:tr>
      <w:tr w:rsidR="00B27D7D" w:rsidRPr="0008778C" w14:paraId="6703B9F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E7F7A5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8496F9"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A0999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80</w:t>
            </w:r>
          </w:p>
        </w:tc>
        <w:tc>
          <w:tcPr>
            <w:tcW w:w="1701"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431D6A1" w14:textId="77777777" w:rsidR="00B27D7D" w:rsidRPr="00B27D7D" w:rsidRDefault="00B27D7D" w:rsidP="00B27D7D">
            <w:pPr>
              <w:spacing w:after="0" w:line="240" w:lineRule="auto"/>
              <w:contextualSpacing/>
              <w:jc w:val="center"/>
              <w:rPr>
                <w:rFonts w:cs="Calibri"/>
                <w:color w:val="006100"/>
                <w:sz w:val="20"/>
                <w:szCs w:val="20"/>
              </w:rPr>
            </w:pPr>
            <w:r w:rsidRPr="00B27D7D">
              <w:rPr>
                <w:rFonts w:cs="Calibri"/>
                <w:color w:val="006100"/>
                <w:sz w:val="20"/>
                <w:szCs w:val="20"/>
              </w:rPr>
              <w:t>-0,6%</w:t>
            </w:r>
          </w:p>
        </w:tc>
      </w:tr>
      <w:tr w:rsidR="00B27D7D" w:rsidRPr="0008778C" w14:paraId="4D0D0AB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027D5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8F646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0C59B3"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312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FDA1964"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36,1%</w:t>
            </w:r>
          </w:p>
        </w:tc>
      </w:tr>
      <w:tr w:rsidR="00B27D7D" w:rsidRPr="0008778C" w14:paraId="016B476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60CBD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79149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1850C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250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E0C82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50,7%</w:t>
            </w:r>
          </w:p>
        </w:tc>
      </w:tr>
      <w:tr w:rsidR="00B27D7D" w:rsidRPr="0008778C" w14:paraId="2F5B6E51"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9FF07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D91D9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4FE6D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237</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15830F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81,1%</w:t>
            </w:r>
          </w:p>
        </w:tc>
      </w:tr>
      <w:tr w:rsidR="00B27D7D" w:rsidRPr="0008778C" w14:paraId="26C5157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A3D33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EA0C3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E3F42D"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236</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11B136E"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34,1%</w:t>
            </w:r>
          </w:p>
        </w:tc>
      </w:tr>
      <w:tr w:rsidR="00B27D7D" w:rsidRPr="0008778C" w14:paraId="6263451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D5510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92F28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6F15A9"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234</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9ECE7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42,7%</w:t>
            </w:r>
          </w:p>
        </w:tc>
      </w:tr>
      <w:tr w:rsidR="00B27D7D" w:rsidRPr="0008778C" w14:paraId="08502C92"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5E03A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BF136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5757C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229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CCFBB45"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44,6%</w:t>
            </w:r>
          </w:p>
        </w:tc>
      </w:tr>
      <w:tr w:rsidR="00B27D7D" w:rsidRPr="0008778C" w14:paraId="4A2A09F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CAA31A"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DFC98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440D6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222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7C2E07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44,0%</w:t>
            </w:r>
          </w:p>
        </w:tc>
      </w:tr>
      <w:tr w:rsidR="00B27D7D" w:rsidRPr="0008778C" w14:paraId="7E6F5B0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D8001"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B48B7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56492B"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209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7141A54C"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5,6%</w:t>
            </w:r>
          </w:p>
        </w:tc>
      </w:tr>
      <w:tr w:rsidR="00B27D7D" w:rsidRPr="0008778C" w14:paraId="2BCBE9BE"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0416A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E5C8E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5A1825"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182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15D1A6F"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45,8%</w:t>
            </w:r>
          </w:p>
        </w:tc>
      </w:tr>
      <w:tr w:rsidR="00B27D7D" w:rsidRPr="0008778C" w14:paraId="0708DE6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D2FA8F"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E3264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413676"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165</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1D30238"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82,2%</w:t>
            </w:r>
          </w:p>
        </w:tc>
      </w:tr>
      <w:tr w:rsidR="00B27D7D" w:rsidRPr="0008778C" w14:paraId="3ABABE98"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49213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8CD26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7006D7"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401</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7C34F02"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42,9%</w:t>
            </w:r>
          </w:p>
        </w:tc>
      </w:tr>
      <w:tr w:rsidR="00B27D7D" w:rsidRPr="0008778C" w14:paraId="55DDC600"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2E8FE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53841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FEFA6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388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00DA683E"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44,5%</w:t>
            </w:r>
          </w:p>
        </w:tc>
      </w:tr>
      <w:tr w:rsidR="00B27D7D" w:rsidRPr="0008778C" w14:paraId="45B03207"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01BFA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6230E57"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E9E5C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189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1D223DF9"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33,7%</w:t>
            </w:r>
          </w:p>
        </w:tc>
      </w:tr>
      <w:tr w:rsidR="00B27D7D" w:rsidRPr="006C644E" w14:paraId="3710D7FB"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7C15B4"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59681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FB220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589</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7565BEA"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53,3%</w:t>
            </w:r>
          </w:p>
        </w:tc>
      </w:tr>
      <w:tr w:rsidR="00B27D7D" w:rsidRPr="006C644E" w14:paraId="657E7D43"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3A85F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31F6A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D1092F"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522</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55A551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49,1%</w:t>
            </w:r>
          </w:p>
        </w:tc>
      </w:tr>
      <w:tr w:rsidR="00B27D7D" w:rsidRPr="006C644E" w14:paraId="1957DBF9"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98587E"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87BBDB"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3E917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478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4C5FFC1E"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46,9%</w:t>
            </w:r>
          </w:p>
        </w:tc>
      </w:tr>
      <w:tr w:rsidR="00B27D7D" w:rsidRPr="006C644E" w14:paraId="3E6EEFED"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9EA77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8B4910"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17EB39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438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4BBA9D3"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44,4%</w:t>
            </w:r>
          </w:p>
        </w:tc>
      </w:tr>
      <w:tr w:rsidR="00B27D7D" w:rsidRPr="006C644E" w14:paraId="308FD5A4"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F71CA2"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123BE8"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9110F1"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410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5143C956"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66,5%</w:t>
            </w:r>
          </w:p>
        </w:tc>
      </w:tr>
      <w:tr w:rsidR="00B27D7D" w:rsidRPr="006C644E" w14:paraId="74824506"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03AF8D"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7265D3"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B932EE"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408</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23E3C827"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71,0%</w:t>
            </w:r>
          </w:p>
        </w:tc>
      </w:tr>
      <w:tr w:rsidR="00B27D7D" w:rsidRPr="006C644E" w14:paraId="7A3E3375" w14:textId="77777777" w:rsidTr="00B27D7D">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9EF49C"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1AE136" w14:textId="77777777" w:rsidR="00B27D7D" w:rsidRPr="00B27D7D" w:rsidRDefault="00B27D7D" w:rsidP="00B27D7D">
            <w:pPr>
              <w:spacing w:after="0" w:line="240" w:lineRule="auto"/>
              <w:contextualSpacing/>
              <w:rPr>
                <w:rFonts w:cs="Calibri"/>
                <w:sz w:val="20"/>
                <w:szCs w:val="20"/>
              </w:rPr>
            </w:pPr>
            <w:r w:rsidRPr="00B27D7D">
              <w:rPr>
                <w:rFonts w:cs="Calibri"/>
                <w:sz w:val="20"/>
                <w:szCs w:val="20"/>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3E949C" w14:textId="77777777" w:rsidR="00B27D7D" w:rsidRPr="00B27D7D" w:rsidRDefault="00B27D7D" w:rsidP="00B27D7D">
            <w:pPr>
              <w:spacing w:after="0" w:line="240" w:lineRule="auto"/>
              <w:contextualSpacing/>
              <w:jc w:val="center"/>
              <w:rPr>
                <w:rFonts w:cs="Calibri"/>
                <w:sz w:val="20"/>
                <w:szCs w:val="20"/>
              </w:rPr>
            </w:pPr>
            <w:r w:rsidRPr="00B27D7D">
              <w:rPr>
                <w:rFonts w:cs="Calibri"/>
                <w:sz w:val="20"/>
                <w:szCs w:val="20"/>
              </w:rPr>
              <w:t>400</w:t>
            </w:r>
          </w:p>
        </w:tc>
        <w:tc>
          <w:tcPr>
            <w:tcW w:w="1701" w:type="dxa"/>
            <w:tcBorders>
              <w:top w:val="single" w:sz="4" w:space="0" w:color="00457D"/>
              <w:left w:val="single" w:sz="4" w:space="0" w:color="00457D"/>
              <w:bottom w:val="single" w:sz="4" w:space="0" w:color="00457D"/>
              <w:right w:val="single" w:sz="4" w:space="0" w:color="00457D"/>
            </w:tcBorders>
            <w:shd w:val="clear" w:color="auto" w:fill="FFC7CE"/>
            <w:vAlign w:val="bottom"/>
          </w:tcPr>
          <w:p w14:paraId="3ED7DCCB" w14:textId="77777777" w:rsidR="00B27D7D" w:rsidRPr="00B27D7D" w:rsidRDefault="00B27D7D" w:rsidP="00B27D7D">
            <w:pPr>
              <w:spacing w:after="0" w:line="240" w:lineRule="auto"/>
              <w:contextualSpacing/>
              <w:jc w:val="center"/>
              <w:rPr>
                <w:rFonts w:cs="Calibri"/>
                <w:color w:val="9C0006"/>
                <w:sz w:val="20"/>
                <w:szCs w:val="20"/>
              </w:rPr>
            </w:pPr>
            <w:r w:rsidRPr="00B27D7D">
              <w:rPr>
                <w:rFonts w:cs="Calibri"/>
                <w:color w:val="9C0006"/>
                <w:sz w:val="20"/>
                <w:szCs w:val="20"/>
              </w:rPr>
              <w:t>40,4%</w:t>
            </w:r>
          </w:p>
        </w:tc>
      </w:tr>
      <w:tr w:rsidR="006A3502" w:rsidRPr="00872D1C" w14:paraId="6D0F90FD" w14:textId="77777777" w:rsidTr="00636A1A">
        <w:tblPrEx>
          <w:shd w:val="clear" w:color="auto" w:fill="CDD4E9"/>
        </w:tblPrEx>
        <w:trPr>
          <w:trHeight w:val="567"/>
          <w:jc w:val="center"/>
        </w:trPr>
        <w:tc>
          <w:tcPr>
            <w:tcW w:w="8217"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3F48F5EE" w14:textId="77777777" w:rsidR="006A3502" w:rsidRPr="00872D1C" w:rsidRDefault="006A3502" w:rsidP="00B27D7D">
            <w:pPr>
              <w:spacing w:after="0" w:line="240" w:lineRule="auto"/>
              <w:contextualSpacing/>
              <w:rPr>
                <w:rFonts w:cs="Calibri"/>
                <w:sz w:val="20"/>
                <w:szCs w:val="21"/>
              </w:rPr>
            </w:pPr>
            <w:r w:rsidRPr="00872D1C">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w:t>
            </w:r>
          </w:p>
        </w:tc>
      </w:tr>
    </w:tbl>
    <w:p w14:paraId="093A1879" w14:textId="77777777" w:rsidR="006A3502" w:rsidRPr="00D44AA7" w:rsidRDefault="006A3502" w:rsidP="0082448E"/>
    <w:sectPr w:rsidR="006A3502" w:rsidRPr="00D44AA7" w:rsidSect="005B4AE1">
      <w:pgSz w:w="11900" w:h="16840"/>
      <w:pgMar w:top="1134" w:right="1134" w:bottom="1418" w:left="1134"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DD46" w16cex:dateUtc="2022-09-28T1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F3AD6" w14:textId="77777777" w:rsidR="006F0FA1" w:rsidRDefault="006F0FA1">
      <w:pPr>
        <w:spacing w:after="0" w:line="240" w:lineRule="auto"/>
      </w:pPr>
      <w:r>
        <w:separator/>
      </w:r>
    </w:p>
  </w:endnote>
  <w:endnote w:type="continuationSeparator" w:id="0">
    <w:p w14:paraId="3320CC79" w14:textId="77777777" w:rsidR="006F0FA1" w:rsidRDefault="006F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1664" w14:textId="77777777" w:rsidR="006F0FA1" w:rsidRDefault="006F0FA1">
      <w:pPr>
        <w:spacing w:after="0" w:line="240" w:lineRule="auto"/>
      </w:pPr>
      <w:r>
        <w:separator/>
      </w:r>
    </w:p>
  </w:footnote>
  <w:footnote w:type="continuationSeparator" w:id="0">
    <w:p w14:paraId="532D9A2C" w14:textId="77777777" w:rsidR="006F0FA1" w:rsidRDefault="006F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4"/>
  </w:num>
  <w:num w:numId="4">
    <w:abstractNumId w:val="30"/>
  </w:num>
  <w:num w:numId="5">
    <w:abstractNumId w:val="12"/>
  </w:num>
  <w:num w:numId="6">
    <w:abstractNumId w:val="18"/>
  </w:num>
  <w:num w:numId="7">
    <w:abstractNumId w:val="10"/>
  </w:num>
  <w:num w:numId="8">
    <w:abstractNumId w:val="26"/>
  </w:num>
  <w:num w:numId="9">
    <w:abstractNumId w:val="27"/>
  </w:num>
  <w:num w:numId="10">
    <w:abstractNumId w:val="22"/>
  </w:num>
  <w:num w:numId="11">
    <w:abstractNumId w:val="15"/>
  </w:num>
  <w:num w:numId="12">
    <w:abstractNumId w:val="35"/>
  </w:num>
  <w:num w:numId="13">
    <w:abstractNumId w:val="39"/>
  </w:num>
  <w:num w:numId="14">
    <w:abstractNumId w:val="8"/>
  </w:num>
  <w:num w:numId="15">
    <w:abstractNumId w:val="33"/>
  </w:num>
  <w:num w:numId="16">
    <w:abstractNumId w:val="28"/>
  </w:num>
  <w:num w:numId="17">
    <w:abstractNumId w:val="34"/>
  </w:num>
  <w:num w:numId="18">
    <w:abstractNumId w:val="19"/>
  </w:num>
  <w:num w:numId="19">
    <w:abstractNumId w:val="23"/>
  </w:num>
  <w:num w:numId="20">
    <w:abstractNumId w:val="4"/>
  </w:num>
  <w:num w:numId="21">
    <w:abstractNumId w:val="7"/>
  </w:num>
  <w:num w:numId="22">
    <w:abstractNumId w:val="37"/>
  </w:num>
  <w:num w:numId="23">
    <w:abstractNumId w:val="16"/>
  </w:num>
  <w:num w:numId="24">
    <w:abstractNumId w:val="21"/>
  </w:num>
  <w:num w:numId="25">
    <w:abstractNumId w:val="0"/>
  </w:num>
  <w:num w:numId="26">
    <w:abstractNumId w:val="24"/>
  </w:num>
  <w:num w:numId="27">
    <w:abstractNumId w:val="5"/>
  </w:num>
  <w:num w:numId="28">
    <w:abstractNumId w:val="25"/>
  </w:num>
  <w:num w:numId="29">
    <w:abstractNumId w:val="31"/>
  </w:num>
  <w:num w:numId="30">
    <w:abstractNumId w:val="38"/>
  </w:num>
  <w:num w:numId="31">
    <w:abstractNumId w:val="2"/>
  </w:num>
  <w:num w:numId="32">
    <w:abstractNumId w:val="3"/>
  </w:num>
  <w:num w:numId="33">
    <w:abstractNumId w:val="29"/>
  </w:num>
  <w:num w:numId="34">
    <w:abstractNumId w:val="11"/>
  </w:num>
  <w:num w:numId="35">
    <w:abstractNumId w:val="13"/>
  </w:num>
  <w:num w:numId="36">
    <w:abstractNumId w:val="32"/>
  </w:num>
  <w:num w:numId="37">
    <w:abstractNumId w:val="9"/>
  </w:num>
  <w:num w:numId="38">
    <w:abstractNumId w:val="20"/>
  </w:num>
  <w:num w:numId="39">
    <w:abstractNumId w:val="17"/>
  </w:num>
  <w:num w:numId="40">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22A7"/>
    <w:rsid w:val="00002300"/>
    <w:rsid w:val="0000244C"/>
    <w:rsid w:val="000027F8"/>
    <w:rsid w:val="000043C6"/>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C7B"/>
    <w:rsid w:val="00015574"/>
    <w:rsid w:val="00015BAE"/>
    <w:rsid w:val="000165C3"/>
    <w:rsid w:val="00016690"/>
    <w:rsid w:val="00017890"/>
    <w:rsid w:val="0002043C"/>
    <w:rsid w:val="000206F4"/>
    <w:rsid w:val="0002125E"/>
    <w:rsid w:val="00021C19"/>
    <w:rsid w:val="000222A5"/>
    <w:rsid w:val="00023784"/>
    <w:rsid w:val="00023CE6"/>
    <w:rsid w:val="00024C2D"/>
    <w:rsid w:val="00024FD2"/>
    <w:rsid w:val="0002522B"/>
    <w:rsid w:val="00026518"/>
    <w:rsid w:val="00026849"/>
    <w:rsid w:val="00027033"/>
    <w:rsid w:val="000276DE"/>
    <w:rsid w:val="000300C2"/>
    <w:rsid w:val="00030535"/>
    <w:rsid w:val="0003144B"/>
    <w:rsid w:val="00031CD6"/>
    <w:rsid w:val="00032112"/>
    <w:rsid w:val="0003262E"/>
    <w:rsid w:val="00032658"/>
    <w:rsid w:val="00033800"/>
    <w:rsid w:val="00033A78"/>
    <w:rsid w:val="00033CE4"/>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A2C"/>
    <w:rsid w:val="00042E7E"/>
    <w:rsid w:val="000430E9"/>
    <w:rsid w:val="00043C39"/>
    <w:rsid w:val="00044665"/>
    <w:rsid w:val="00044ABB"/>
    <w:rsid w:val="00044C9B"/>
    <w:rsid w:val="00044EB9"/>
    <w:rsid w:val="000453E7"/>
    <w:rsid w:val="0004577B"/>
    <w:rsid w:val="00045A6A"/>
    <w:rsid w:val="000460D4"/>
    <w:rsid w:val="00046B65"/>
    <w:rsid w:val="000474FB"/>
    <w:rsid w:val="0004762F"/>
    <w:rsid w:val="00047BCE"/>
    <w:rsid w:val="0005001A"/>
    <w:rsid w:val="00051038"/>
    <w:rsid w:val="00051744"/>
    <w:rsid w:val="0005206B"/>
    <w:rsid w:val="000523C5"/>
    <w:rsid w:val="000523DF"/>
    <w:rsid w:val="00052578"/>
    <w:rsid w:val="000531D1"/>
    <w:rsid w:val="000542D3"/>
    <w:rsid w:val="0005433B"/>
    <w:rsid w:val="00054A26"/>
    <w:rsid w:val="00054D1D"/>
    <w:rsid w:val="000552E2"/>
    <w:rsid w:val="0005613E"/>
    <w:rsid w:val="0005670B"/>
    <w:rsid w:val="00056AE2"/>
    <w:rsid w:val="00056C03"/>
    <w:rsid w:val="000572F4"/>
    <w:rsid w:val="00057324"/>
    <w:rsid w:val="0005772C"/>
    <w:rsid w:val="00057C36"/>
    <w:rsid w:val="00057E5F"/>
    <w:rsid w:val="00057F3D"/>
    <w:rsid w:val="00060277"/>
    <w:rsid w:val="0006040F"/>
    <w:rsid w:val="00060FAC"/>
    <w:rsid w:val="0006164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7039"/>
    <w:rsid w:val="000673B6"/>
    <w:rsid w:val="00067A2E"/>
    <w:rsid w:val="00067B8B"/>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78C"/>
    <w:rsid w:val="00087B77"/>
    <w:rsid w:val="00087ED7"/>
    <w:rsid w:val="00091A87"/>
    <w:rsid w:val="00091D56"/>
    <w:rsid w:val="00092022"/>
    <w:rsid w:val="0009249D"/>
    <w:rsid w:val="00093AE7"/>
    <w:rsid w:val="0009411D"/>
    <w:rsid w:val="00095584"/>
    <w:rsid w:val="00095667"/>
    <w:rsid w:val="00095DC5"/>
    <w:rsid w:val="00096350"/>
    <w:rsid w:val="00096577"/>
    <w:rsid w:val="000A00BA"/>
    <w:rsid w:val="000A0380"/>
    <w:rsid w:val="000A08BA"/>
    <w:rsid w:val="000A0920"/>
    <w:rsid w:val="000A0EDA"/>
    <w:rsid w:val="000A1093"/>
    <w:rsid w:val="000A1424"/>
    <w:rsid w:val="000A3264"/>
    <w:rsid w:val="000A39B8"/>
    <w:rsid w:val="000A3AC9"/>
    <w:rsid w:val="000A403F"/>
    <w:rsid w:val="000A422E"/>
    <w:rsid w:val="000A471A"/>
    <w:rsid w:val="000A4BEE"/>
    <w:rsid w:val="000A53F4"/>
    <w:rsid w:val="000A57A1"/>
    <w:rsid w:val="000A63DD"/>
    <w:rsid w:val="000A6581"/>
    <w:rsid w:val="000A6DB2"/>
    <w:rsid w:val="000A72BA"/>
    <w:rsid w:val="000A7D97"/>
    <w:rsid w:val="000A7DDA"/>
    <w:rsid w:val="000A7E95"/>
    <w:rsid w:val="000A7EA7"/>
    <w:rsid w:val="000B0339"/>
    <w:rsid w:val="000B0548"/>
    <w:rsid w:val="000B0AC0"/>
    <w:rsid w:val="000B119C"/>
    <w:rsid w:val="000B1B66"/>
    <w:rsid w:val="000B1D1D"/>
    <w:rsid w:val="000B211A"/>
    <w:rsid w:val="000B21CF"/>
    <w:rsid w:val="000B242E"/>
    <w:rsid w:val="000B2449"/>
    <w:rsid w:val="000B25F9"/>
    <w:rsid w:val="000B3CDF"/>
    <w:rsid w:val="000B4554"/>
    <w:rsid w:val="000B47B9"/>
    <w:rsid w:val="000B4A82"/>
    <w:rsid w:val="000B53A4"/>
    <w:rsid w:val="000B5AC9"/>
    <w:rsid w:val="000B6238"/>
    <w:rsid w:val="000B68AC"/>
    <w:rsid w:val="000B6BAC"/>
    <w:rsid w:val="000C07AC"/>
    <w:rsid w:val="000C0A45"/>
    <w:rsid w:val="000C0B9A"/>
    <w:rsid w:val="000C1CFE"/>
    <w:rsid w:val="000C1E98"/>
    <w:rsid w:val="000C22FE"/>
    <w:rsid w:val="000C2BD2"/>
    <w:rsid w:val="000C2E80"/>
    <w:rsid w:val="000C3C3C"/>
    <w:rsid w:val="000C3DE4"/>
    <w:rsid w:val="000C4285"/>
    <w:rsid w:val="000C46E0"/>
    <w:rsid w:val="000C5DA1"/>
    <w:rsid w:val="000C63F8"/>
    <w:rsid w:val="000C645E"/>
    <w:rsid w:val="000C6B69"/>
    <w:rsid w:val="000C7105"/>
    <w:rsid w:val="000C789B"/>
    <w:rsid w:val="000C7A89"/>
    <w:rsid w:val="000C7C8F"/>
    <w:rsid w:val="000D0625"/>
    <w:rsid w:val="000D08C8"/>
    <w:rsid w:val="000D0980"/>
    <w:rsid w:val="000D1250"/>
    <w:rsid w:val="000D1503"/>
    <w:rsid w:val="000D1799"/>
    <w:rsid w:val="000D1F5C"/>
    <w:rsid w:val="000D24D7"/>
    <w:rsid w:val="000D2A90"/>
    <w:rsid w:val="000D2CAA"/>
    <w:rsid w:val="000D3B36"/>
    <w:rsid w:val="000D40CB"/>
    <w:rsid w:val="000D4255"/>
    <w:rsid w:val="000D4370"/>
    <w:rsid w:val="000D57B4"/>
    <w:rsid w:val="000D5878"/>
    <w:rsid w:val="000D5B61"/>
    <w:rsid w:val="000D5C61"/>
    <w:rsid w:val="000D64E2"/>
    <w:rsid w:val="000D67CD"/>
    <w:rsid w:val="000D7077"/>
    <w:rsid w:val="000D75CD"/>
    <w:rsid w:val="000D7645"/>
    <w:rsid w:val="000D7A69"/>
    <w:rsid w:val="000D7DCE"/>
    <w:rsid w:val="000D7E45"/>
    <w:rsid w:val="000D7EE3"/>
    <w:rsid w:val="000E07A2"/>
    <w:rsid w:val="000E0BCB"/>
    <w:rsid w:val="000E0C48"/>
    <w:rsid w:val="000E1A5A"/>
    <w:rsid w:val="000E1ABF"/>
    <w:rsid w:val="000E1B09"/>
    <w:rsid w:val="000E1C12"/>
    <w:rsid w:val="000E238A"/>
    <w:rsid w:val="000E2D17"/>
    <w:rsid w:val="000E3472"/>
    <w:rsid w:val="000E476D"/>
    <w:rsid w:val="000E4901"/>
    <w:rsid w:val="000E4A1A"/>
    <w:rsid w:val="000E506B"/>
    <w:rsid w:val="000E5ABA"/>
    <w:rsid w:val="000E60E1"/>
    <w:rsid w:val="000E60EB"/>
    <w:rsid w:val="000E64DA"/>
    <w:rsid w:val="000E6F3B"/>
    <w:rsid w:val="000E770E"/>
    <w:rsid w:val="000E781A"/>
    <w:rsid w:val="000E7A53"/>
    <w:rsid w:val="000F0375"/>
    <w:rsid w:val="000F0385"/>
    <w:rsid w:val="000F09AA"/>
    <w:rsid w:val="000F159D"/>
    <w:rsid w:val="000F1839"/>
    <w:rsid w:val="000F1EC4"/>
    <w:rsid w:val="000F2082"/>
    <w:rsid w:val="000F2389"/>
    <w:rsid w:val="000F387B"/>
    <w:rsid w:val="000F3AC7"/>
    <w:rsid w:val="000F4209"/>
    <w:rsid w:val="000F4917"/>
    <w:rsid w:val="000F5019"/>
    <w:rsid w:val="000F50A4"/>
    <w:rsid w:val="000F63CB"/>
    <w:rsid w:val="000F6D38"/>
    <w:rsid w:val="000F6EBD"/>
    <w:rsid w:val="000F6FE7"/>
    <w:rsid w:val="000F704A"/>
    <w:rsid w:val="000F73C6"/>
    <w:rsid w:val="000F7752"/>
    <w:rsid w:val="00100D0A"/>
    <w:rsid w:val="001014E8"/>
    <w:rsid w:val="00101803"/>
    <w:rsid w:val="00101EE1"/>
    <w:rsid w:val="00102089"/>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10316"/>
    <w:rsid w:val="001104E4"/>
    <w:rsid w:val="00111ED5"/>
    <w:rsid w:val="00111EF8"/>
    <w:rsid w:val="00111F9A"/>
    <w:rsid w:val="00112328"/>
    <w:rsid w:val="00112E06"/>
    <w:rsid w:val="001130FB"/>
    <w:rsid w:val="00113933"/>
    <w:rsid w:val="00113F04"/>
    <w:rsid w:val="00113F85"/>
    <w:rsid w:val="00114088"/>
    <w:rsid w:val="00114459"/>
    <w:rsid w:val="001146BA"/>
    <w:rsid w:val="00114A78"/>
    <w:rsid w:val="00115B80"/>
    <w:rsid w:val="00115C48"/>
    <w:rsid w:val="00116006"/>
    <w:rsid w:val="00116B12"/>
    <w:rsid w:val="00116C56"/>
    <w:rsid w:val="00116C93"/>
    <w:rsid w:val="00117C6A"/>
    <w:rsid w:val="00117E10"/>
    <w:rsid w:val="0012022B"/>
    <w:rsid w:val="001203E4"/>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581"/>
    <w:rsid w:val="001367B8"/>
    <w:rsid w:val="00136FF5"/>
    <w:rsid w:val="001378AD"/>
    <w:rsid w:val="0014031D"/>
    <w:rsid w:val="001410D3"/>
    <w:rsid w:val="0014184C"/>
    <w:rsid w:val="001418E1"/>
    <w:rsid w:val="00141D1E"/>
    <w:rsid w:val="00141E72"/>
    <w:rsid w:val="00141F0A"/>
    <w:rsid w:val="00141F2B"/>
    <w:rsid w:val="00141F2F"/>
    <w:rsid w:val="00142677"/>
    <w:rsid w:val="001429C0"/>
    <w:rsid w:val="001434A9"/>
    <w:rsid w:val="00143D58"/>
    <w:rsid w:val="001440A0"/>
    <w:rsid w:val="00144669"/>
    <w:rsid w:val="00144E5A"/>
    <w:rsid w:val="00144EC3"/>
    <w:rsid w:val="0014500F"/>
    <w:rsid w:val="00145D4E"/>
    <w:rsid w:val="00146286"/>
    <w:rsid w:val="00146CE5"/>
    <w:rsid w:val="00147243"/>
    <w:rsid w:val="001473B8"/>
    <w:rsid w:val="0014788C"/>
    <w:rsid w:val="00147D1B"/>
    <w:rsid w:val="00150022"/>
    <w:rsid w:val="00150920"/>
    <w:rsid w:val="00150E81"/>
    <w:rsid w:val="00150F3B"/>
    <w:rsid w:val="001513A9"/>
    <w:rsid w:val="001518FD"/>
    <w:rsid w:val="001520F7"/>
    <w:rsid w:val="00152127"/>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5554"/>
    <w:rsid w:val="00165CBC"/>
    <w:rsid w:val="00165DE9"/>
    <w:rsid w:val="0016606E"/>
    <w:rsid w:val="001667ED"/>
    <w:rsid w:val="00166F65"/>
    <w:rsid w:val="0016753E"/>
    <w:rsid w:val="0016781B"/>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874"/>
    <w:rsid w:val="00180318"/>
    <w:rsid w:val="001803BE"/>
    <w:rsid w:val="0018079D"/>
    <w:rsid w:val="00181755"/>
    <w:rsid w:val="00181994"/>
    <w:rsid w:val="00181F5C"/>
    <w:rsid w:val="00182713"/>
    <w:rsid w:val="0018288F"/>
    <w:rsid w:val="00183B21"/>
    <w:rsid w:val="00183FA3"/>
    <w:rsid w:val="00184068"/>
    <w:rsid w:val="00184E2C"/>
    <w:rsid w:val="001857E7"/>
    <w:rsid w:val="00185D5F"/>
    <w:rsid w:val="00186142"/>
    <w:rsid w:val="00186853"/>
    <w:rsid w:val="00186E2D"/>
    <w:rsid w:val="00186FBE"/>
    <w:rsid w:val="001876F5"/>
    <w:rsid w:val="00187DC9"/>
    <w:rsid w:val="00187E43"/>
    <w:rsid w:val="00187EBF"/>
    <w:rsid w:val="0019090A"/>
    <w:rsid w:val="00190ADC"/>
    <w:rsid w:val="00190DB2"/>
    <w:rsid w:val="00191EB1"/>
    <w:rsid w:val="00192428"/>
    <w:rsid w:val="00192A72"/>
    <w:rsid w:val="0019345D"/>
    <w:rsid w:val="00194070"/>
    <w:rsid w:val="001940FA"/>
    <w:rsid w:val="00194F60"/>
    <w:rsid w:val="001956DC"/>
    <w:rsid w:val="001956DE"/>
    <w:rsid w:val="0019613B"/>
    <w:rsid w:val="00196E72"/>
    <w:rsid w:val="00197134"/>
    <w:rsid w:val="00197435"/>
    <w:rsid w:val="001A09E4"/>
    <w:rsid w:val="001A1015"/>
    <w:rsid w:val="001A156C"/>
    <w:rsid w:val="001A1A34"/>
    <w:rsid w:val="001A1D07"/>
    <w:rsid w:val="001A1D6C"/>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713"/>
    <w:rsid w:val="001A5A00"/>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28CF"/>
    <w:rsid w:val="001B2CE3"/>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C0240"/>
    <w:rsid w:val="001C0EBF"/>
    <w:rsid w:val="001C167C"/>
    <w:rsid w:val="001C20F5"/>
    <w:rsid w:val="001C2EFF"/>
    <w:rsid w:val="001C3537"/>
    <w:rsid w:val="001C3B3C"/>
    <w:rsid w:val="001C3D01"/>
    <w:rsid w:val="001C3E66"/>
    <w:rsid w:val="001C5612"/>
    <w:rsid w:val="001C5B0D"/>
    <w:rsid w:val="001C5BD4"/>
    <w:rsid w:val="001C5BEA"/>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F74"/>
    <w:rsid w:val="001E1FB2"/>
    <w:rsid w:val="001E2196"/>
    <w:rsid w:val="001E2453"/>
    <w:rsid w:val="001E297F"/>
    <w:rsid w:val="001E3B61"/>
    <w:rsid w:val="001E4088"/>
    <w:rsid w:val="001E4641"/>
    <w:rsid w:val="001E4724"/>
    <w:rsid w:val="001E481E"/>
    <w:rsid w:val="001E49E6"/>
    <w:rsid w:val="001E4ABD"/>
    <w:rsid w:val="001E509A"/>
    <w:rsid w:val="001E5259"/>
    <w:rsid w:val="001E5653"/>
    <w:rsid w:val="001E5951"/>
    <w:rsid w:val="001E5977"/>
    <w:rsid w:val="001E6262"/>
    <w:rsid w:val="001E7AB9"/>
    <w:rsid w:val="001E7D8F"/>
    <w:rsid w:val="001F00E4"/>
    <w:rsid w:val="001F0400"/>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DB8"/>
    <w:rsid w:val="00201768"/>
    <w:rsid w:val="00201A2D"/>
    <w:rsid w:val="00201D62"/>
    <w:rsid w:val="0020223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4B7C"/>
    <w:rsid w:val="0021525D"/>
    <w:rsid w:val="002158E7"/>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CF0"/>
    <w:rsid w:val="00226698"/>
    <w:rsid w:val="00226C11"/>
    <w:rsid w:val="00227577"/>
    <w:rsid w:val="002317EA"/>
    <w:rsid w:val="00231A20"/>
    <w:rsid w:val="002330ED"/>
    <w:rsid w:val="002330F2"/>
    <w:rsid w:val="00234360"/>
    <w:rsid w:val="002344C4"/>
    <w:rsid w:val="002348FC"/>
    <w:rsid w:val="002349E6"/>
    <w:rsid w:val="00234AD6"/>
    <w:rsid w:val="00234B97"/>
    <w:rsid w:val="00234E8A"/>
    <w:rsid w:val="002351A0"/>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40D8"/>
    <w:rsid w:val="00254613"/>
    <w:rsid w:val="00254744"/>
    <w:rsid w:val="002549B0"/>
    <w:rsid w:val="00254CC7"/>
    <w:rsid w:val="00254DBE"/>
    <w:rsid w:val="00255240"/>
    <w:rsid w:val="002557F4"/>
    <w:rsid w:val="002560A9"/>
    <w:rsid w:val="002569A9"/>
    <w:rsid w:val="00257103"/>
    <w:rsid w:val="002572A2"/>
    <w:rsid w:val="002573BE"/>
    <w:rsid w:val="00257704"/>
    <w:rsid w:val="002611A3"/>
    <w:rsid w:val="00261A98"/>
    <w:rsid w:val="0026223C"/>
    <w:rsid w:val="00262272"/>
    <w:rsid w:val="00262672"/>
    <w:rsid w:val="00262F80"/>
    <w:rsid w:val="002634F1"/>
    <w:rsid w:val="00263869"/>
    <w:rsid w:val="00263A36"/>
    <w:rsid w:val="00263BCF"/>
    <w:rsid w:val="00263DA4"/>
    <w:rsid w:val="00263E9F"/>
    <w:rsid w:val="002642CF"/>
    <w:rsid w:val="0026464D"/>
    <w:rsid w:val="00264850"/>
    <w:rsid w:val="0026526E"/>
    <w:rsid w:val="00265C72"/>
    <w:rsid w:val="00265ECF"/>
    <w:rsid w:val="00266358"/>
    <w:rsid w:val="00266588"/>
    <w:rsid w:val="002667D7"/>
    <w:rsid w:val="002669FF"/>
    <w:rsid w:val="00266ABF"/>
    <w:rsid w:val="00266BBA"/>
    <w:rsid w:val="00266BEA"/>
    <w:rsid w:val="00266D51"/>
    <w:rsid w:val="00266FB9"/>
    <w:rsid w:val="0026717A"/>
    <w:rsid w:val="0026724E"/>
    <w:rsid w:val="0026757D"/>
    <w:rsid w:val="002676BD"/>
    <w:rsid w:val="0026792F"/>
    <w:rsid w:val="00267F98"/>
    <w:rsid w:val="00267FC6"/>
    <w:rsid w:val="00272094"/>
    <w:rsid w:val="002721B7"/>
    <w:rsid w:val="002723FF"/>
    <w:rsid w:val="002739E8"/>
    <w:rsid w:val="002739EC"/>
    <w:rsid w:val="00273C22"/>
    <w:rsid w:val="00275060"/>
    <w:rsid w:val="00275641"/>
    <w:rsid w:val="00275B6C"/>
    <w:rsid w:val="00275C72"/>
    <w:rsid w:val="00275FFE"/>
    <w:rsid w:val="002763EA"/>
    <w:rsid w:val="00276F49"/>
    <w:rsid w:val="00276FFD"/>
    <w:rsid w:val="00277B40"/>
    <w:rsid w:val="00281537"/>
    <w:rsid w:val="00282D8E"/>
    <w:rsid w:val="0028306E"/>
    <w:rsid w:val="0028387B"/>
    <w:rsid w:val="00283CCD"/>
    <w:rsid w:val="002846B6"/>
    <w:rsid w:val="00284E3A"/>
    <w:rsid w:val="002851AE"/>
    <w:rsid w:val="00285319"/>
    <w:rsid w:val="00286961"/>
    <w:rsid w:val="00286F0E"/>
    <w:rsid w:val="002870DE"/>
    <w:rsid w:val="002879EE"/>
    <w:rsid w:val="0029023D"/>
    <w:rsid w:val="00290AD4"/>
    <w:rsid w:val="00290C3B"/>
    <w:rsid w:val="00290DF8"/>
    <w:rsid w:val="00290E33"/>
    <w:rsid w:val="00290E59"/>
    <w:rsid w:val="00291E7C"/>
    <w:rsid w:val="00291ECD"/>
    <w:rsid w:val="0029275F"/>
    <w:rsid w:val="0029423D"/>
    <w:rsid w:val="00294E1A"/>
    <w:rsid w:val="0029562D"/>
    <w:rsid w:val="00295927"/>
    <w:rsid w:val="00296666"/>
    <w:rsid w:val="00296AF1"/>
    <w:rsid w:val="00296E5F"/>
    <w:rsid w:val="002970AF"/>
    <w:rsid w:val="00297573"/>
    <w:rsid w:val="00297667"/>
    <w:rsid w:val="00297DEB"/>
    <w:rsid w:val="002A0FB9"/>
    <w:rsid w:val="002A1AA7"/>
    <w:rsid w:val="002A1EB7"/>
    <w:rsid w:val="002A225E"/>
    <w:rsid w:val="002A22E3"/>
    <w:rsid w:val="002A22FA"/>
    <w:rsid w:val="002A2549"/>
    <w:rsid w:val="002A264E"/>
    <w:rsid w:val="002A275D"/>
    <w:rsid w:val="002A2883"/>
    <w:rsid w:val="002A2CA7"/>
    <w:rsid w:val="002A300B"/>
    <w:rsid w:val="002A35BD"/>
    <w:rsid w:val="002A3E82"/>
    <w:rsid w:val="002A3EF6"/>
    <w:rsid w:val="002A407A"/>
    <w:rsid w:val="002A4098"/>
    <w:rsid w:val="002A4509"/>
    <w:rsid w:val="002A4857"/>
    <w:rsid w:val="002A50E7"/>
    <w:rsid w:val="002A53C2"/>
    <w:rsid w:val="002A62EC"/>
    <w:rsid w:val="002A6E01"/>
    <w:rsid w:val="002A6F90"/>
    <w:rsid w:val="002A7BEE"/>
    <w:rsid w:val="002B0423"/>
    <w:rsid w:val="002B0A30"/>
    <w:rsid w:val="002B0ADF"/>
    <w:rsid w:val="002B20E2"/>
    <w:rsid w:val="002B2371"/>
    <w:rsid w:val="002B2992"/>
    <w:rsid w:val="002B2CCB"/>
    <w:rsid w:val="002B3E49"/>
    <w:rsid w:val="002B3EF3"/>
    <w:rsid w:val="002B47C0"/>
    <w:rsid w:val="002B4F83"/>
    <w:rsid w:val="002B50CC"/>
    <w:rsid w:val="002B538C"/>
    <w:rsid w:val="002B53AA"/>
    <w:rsid w:val="002B59E2"/>
    <w:rsid w:val="002B5AE9"/>
    <w:rsid w:val="002B5E81"/>
    <w:rsid w:val="002B66F4"/>
    <w:rsid w:val="002B6B31"/>
    <w:rsid w:val="002B7A43"/>
    <w:rsid w:val="002B7BFA"/>
    <w:rsid w:val="002B7F50"/>
    <w:rsid w:val="002C0EEE"/>
    <w:rsid w:val="002C162D"/>
    <w:rsid w:val="002C16AA"/>
    <w:rsid w:val="002C1743"/>
    <w:rsid w:val="002C181E"/>
    <w:rsid w:val="002C19C1"/>
    <w:rsid w:val="002C1E12"/>
    <w:rsid w:val="002C1EC3"/>
    <w:rsid w:val="002C23F8"/>
    <w:rsid w:val="002C29AD"/>
    <w:rsid w:val="002C2AF9"/>
    <w:rsid w:val="002C2DB1"/>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30A6"/>
    <w:rsid w:val="002D3B15"/>
    <w:rsid w:val="002D3E70"/>
    <w:rsid w:val="002D4262"/>
    <w:rsid w:val="002D4591"/>
    <w:rsid w:val="002D49A9"/>
    <w:rsid w:val="002D4F74"/>
    <w:rsid w:val="002D5592"/>
    <w:rsid w:val="002D61FA"/>
    <w:rsid w:val="002D66EF"/>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51B9"/>
    <w:rsid w:val="002E63F1"/>
    <w:rsid w:val="002E732B"/>
    <w:rsid w:val="002E76BD"/>
    <w:rsid w:val="002E7BAF"/>
    <w:rsid w:val="002E7C81"/>
    <w:rsid w:val="002E7DDE"/>
    <w:rsid w:val="002F0760"/>
    <w:rsid w:val="002F0B13"/>
    <w:rsid w:val="002F1A2D"/>
    <w:rsid w:val="002F1D1A"/>
    <w:rsid w:val="002F1D9A"/>
    <w:rsid w:val="002F262E"/>
    <w:rsid w:val="002F2E6E"/>
    <w:rsid w:val="002F33CD"/>
    <w:rsid w:val="002F3559"/>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555"/>
    <w:rsid w:val="00301A05"/>
    <w:rsid w:val="00301F67"/>
    <w:rsid w:val="00302173"/>
    <w:rsid w:val="00302774"/>
    <w:rsid w:val="00302A3A"/>
    <w:rsid w:val="00302DFF"/>
    <w:rsid w:val="003033A7"/>
    <w:rsid w:val="00303A73"/>
    <w:rsid w:val="00303AA0"/>
    <w:rsid w:val="00304225"/>
    <w:rsid w:val="00304954"/>
    <w:rsid w:val="003049F6"/>
    <w:rsid w:val="00305C43"/>
    <w:rsid w:val="00305D40"/>
    <w:rsid w:val="00305FD6"/>
    <w:rsid w:val="00306191"/>
    <w:rsid w:val="00306478"/>
    <w:rsid w:val="00306641"/>
    <w:rsid w:val="003068D2"/>
    <w:rsid w:val="00306EC3"/>
    <w:rsid w:val="00307483"/>
    <w:rsid w:val="003076C1"/>
    <w:rsid w:val="00310449"/>
    <w:rsid w:val="003106B8"/>
    <w:rsid w:val="00310997"/>
    <w:rsid w:val="003120AF"/>
    <w:rsid w:val="00312170"/>
    <w:rsid w:val="0031239E"/>
    <w:rsid w:val="00312A53"/>
    <w:rsid w:val="00312D49"/>
    <w:rsid w:val="00312E2D"/>
    <w:rsid w:val="00312EB1"/>
    <w:rsid w:val="0031336F"/>
    <w:rsid w:val="003148FC"/>
    <w:rsid w:val="00314B03"/>
    <w:rsid w:val="003159C9"/>
    <w:rsid w:val="00315A37"/>
    <w:rsid w:val="00315CB0"/>
    <w:rsid w:val="003163EB"/>
    <w:rsid w:val="003166AD"/>
    <w:rsid w:val="00317002"/>
    <w:rsid w:val="00317292"/>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5B76"/>
    <w:rsid w:val="00325C89"/>
    <w:rsid w:val="00325D76"/>
    <w:rsid w:val="00326426"/>
    <w:rsid w:val="0032674E"/>
    <w:rsid w:val="003267E9"/>
    <w:rsid w:val="00326AB4"/>
    <w:rsid w:val="003274E5"/>
    <w:rsid w:val="0032773F"/>
    <w:rsid w:val="00330F1C"/>
    <w:rsid w:val="00330F23"/>
    <w:rsid w:val="0033197D"/>
    <w:rsid w:val="00331A02"/>
    <w:rsid w:val="003326E7"/>
    <w:rsid w:val="00332BC9"/>
    <w:rsid w:val="00332E22"/>
    <w:rsid w:val="00332FBA"/>
    <w:rsid w:val="003332F1"/>
    <w:rsid w:val="00333BB6"/>
    <w:rsid w:val="00333C20"/>
    <w:rsid w:val="00333D4F"/>
    <w:rsid w:val="00333EDF"/>
    <w:rsid w:val="0033410A"/>
    <w:rsid w:val="00334710"/>
    <w:rsid w:val="003350E5"/>
    <w:rsid w:val="0033511B"/>
    <w:rsid w:val="00337022"/>
    <w:rsid w:val="00337427"/>
    <w:rsid w:val="003375DC"/>
    <w:rsid w:val="00337B53"/>
    <w:rsid w:val="003400D2"/>
    <w:rsid w:val="00340152"/>
    <w:rsid w:val="0034018D"/>
    <w:rsid w:val="00340216"/>
    <w:rsid w:val="003408FB"/>
    <w:rsid w:val="00340B2D"/>
    <w:rsid w:val="0034119B"/>
    <w:rsid w:val="00341691"/>
    <w:rsid w:val="003416F0"/>
    <w:rsid w:val="00342065"/>
    <w:rsid w:val="0034228C"/>
    <w:rsid w:val="003422C4"/>
    <w:rsid w:val="00342417"/>
    <w:rsid w:val="00342A3A"/>
    <w:rsid w:val="0034324C"/>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34DD"/>
    <w:rsid w:val="00353CBD"/>
    <w:rsid w:val="00354B9D"/>
    <w:rsid w:val="0035543D"/>
    <w:rsid w:val="00356213"/>
    <w:rsid w:val="003562C6"/>
    <w:rsid w:val="003565D0"/>
    <w:rsid w:val="00357327"/>
    <w:rsid w:val="00357363"/>
    <w:rsid w:val="00357B80"/>
    <w:rsid w:val="00360D63"/>
    <w:rsid w:val="00360F67"/>
    <w:rsid w:val="00361268"/>
    <w:rsid w:val="003612F6"/>
    <w:rsid w:val="003614B8"/>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F56"/>
    <w:rsid w:val="003719ED"/>
    <w:rsid w:val="00371C1D"/>
    <w:rsid w:val="003726E1"/>
    <w:rsid w:val="003727A7"/>
    <w:rsid w:val="00372AFA"/>
    <w:rsid w:val="00372B2C"/>
    <w:rsid w:val="0037304B"/>
    <w:rsid w:val="00373C60"/>
    <w:rsid w:val="00373CA2"/>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2074"/>
    <w:rsid w:val="00382557"/>
    <w:rsid w:val="00383728"/>
    <w:rsid w:val="0038374F"/>
    <w:rsid w:val="00383868"/>
    <w:rsid w:val="00383A18"/>
    <w:rsid w:val="00383FBD"/>
    <w:rsid w:val="00384423"/>
    <w:rsid w:val="00385025"/>
    <w:rsid w:val="00385142"/>
    <w:rsid w:val="0038565D"/>
    <w:rsid w:val="00385AE9"/>
    <w:rsid w:val="00385C48"/>
    <w:rsid w:val="0038657C"/>
    <w:rsid w:val="00386D12"/>
    <w:rsid w:val="003874BF"/>
    <w:rsid w:val="003874D0"/>
    <w:rsid w:val="003879A8"/>
    <w:rsid w:val="00387C86"/>
    <w:rsid w:val="00387D4E"/>
    <w:rsid w:val="00387ED6"/>
    <w:rsid w:val="003906D7"/>
    <w:rsid w:val="003908B8"/>
    <w:rsid w:val="003908DD"/>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BE0"/>
    <w:rsid w:val="003A422A"/>
    <w:rsid w:val="003A4755"/>
    <w:rsid w:val="003A5301"/>
    <w:rsid w:val="003A5C42"/>
    <w:rsid w:val="003A5F87"/>
    <w:rsid w:val="003A60C1"/>
    <w:rsid w:val="003A6257"/>
    <w:rsid w:val="003A62BF"/>
    <w:rsid w:val="003A72B8"/>
    <w:rsid w:val="003A742F"/>
    <w:rsid w:val="003A7981"/>
    <w:rsid w:val="003B0176"/>
    <w:rsid w:val="003B0299"/>
    <w:rsid w:val="003B02F3"/>
    <w:rsid w:val="003B0352"/>
    <w:rsid w:val="003B037E"/>
    <w:rsid w:val="003B0622"/>
    <w:rsid w:val="003B0F67"/>
    <w:rsid w:val="003B19AE"/>
    <w:rsid w:val="003B1EF7"/>
    <w:rsid w:val="003B28FB"/>
    <w:rsid w:val="003B3D1D"/>
    <w:rsid w:val="003B3D8B"/>
    <w:rsid w:val="003B4640"/>
    <w:rsid w:val="003B4853"/>
    <w:rsid w:val="003B4A61"/>
    <w:rsid w:val="003B4F88"/>
    <w:rsid w:val="003B53A4"/>
    <w:rsid w:val="003B5F29"/>
    <w:rsid w:val="003B632B"/>
    <w:rsid w:val="003B6513"/>
    <w:rsid w:val="003B6B24"/>
    <w:rsid w:val="003B6F85"/>
    <w:rsid w:val="003B720F"/>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E71"/>
    <w:rsid w:val="003C47EA"/>
    <w:rsid w:val="003C4E72"/>
    <w:rsid w:val="003C5AEF"/>
    <w:rsid w:val="003C5BC9"/>
    <w:rsid w:val="003C620D"/>
    <w:rsid w:val="003C69BE"/>
    <w:rsid w:val="003C6C3F"/>
    <w:rsid w:val="003C724A"/>
    <w:rsid w:val="003C7263"/>
    <w:rsid w:val="003C7892"/>
    <w:rsid w:val="003D049D"/>
    <w:rsid w:val="003D05A8"/>
    <w:rsid w:val="003D1170"/>
    <w:rsid w:val="003D18B2"/>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DE"/>
    <w:rsid w:val="003F1259"/>
    <w:rsid w:val="003F1D57"/>
    <w:rsid w:val="003F1E58"/>
    <w:rsid w:val="003F2282"/>
    <w:rsid w:val="003F23CF"/>
    <w:rsid w:val="003F26A1"/>
    <w:rsid w:val="003F28D2"/>
    <w:rsid w:val="003F2987"/>
    <w:rsid w:val="003F2CF1"/>
    <w:rsid w:val="003F3D44"/>
    <w:rsid w:val="003F434E"/>
    <w:rsid w:val="003F4BBB"/>
    <w:rsid w:val="003F5167"/>
    <w:rsid w:val="003F534E"/>
    <w:rsid w:val="003F5612"/>
    <w:rsid w:val="003F6849"/>
    <w:rsid w:val="003F6A5F"/>
    <w:rsid w:val="003F6A89"/>
    <w:rsid w:val="003F6C05"/>
    <w:rsid w:val="003F7223"/>
    <w:rsid w:val="003F7469"/>
    <w:rsid w:val="003F7493"/>
    <w:rsid w:val="003F7555"/>
    <w:rsid w:val="003F77B9"/>
    <w:rsid w:val="00400FA8"/>
    <w:rsid w:val="0040190A"/>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6CA"/>
    <w:rsid w:val="00415795"/>
    <w:rsid w:val="00415E66"/>
    <w:rsid w:val="004167BB"/>
    <w:rsid w:val="00417326"/>
    <w:rsid w:val="00417C5E"/>
    <w:rsid w:val="00417D75"/>
    <w:rsid w:val="00417F28"/>
    <w:rsid w:val="00420736"/>
    <w:rsid w:val="00421389"/>
    <w:rsid w:val="004222A8"/>
    <w:rsid w:val="0042267C"/>
    <w:rsid w:val="00422E3F"/>
    <w:rsid w:val="004230E7"/>
    <w:rsid w:val="0042340E"/>
    <w:rsid w:val="004235BB"/>
    <w:rsid w:val="00423EC1"/>
    <w:rsid w:val="00424065"/>
    <w:rsid w:val="00424111"/>
    <w:rsid w:val="004243B2"/>
    <w:rsid w:val="0042539D"/>
    <w:rsid w:val="004254C7"/>
    <w:rsid w:val="0042568F"/>
    <w:rsid w:val="00426290"/>
    <w:rsid w:val="004262FC"/>
    <w:rsid w:val="00431177"/>
    <w:rsid w:val="004315A5"/>
    <w:rsid w:val="004317DC"/>
    <w:rsid w:val="00431BFD"/>
    <w:rsid w:val="004320EA"/>
    <w:rsid w:val="0043242C"/>
    <w:rsid w:val="00432503"/>
    <w:rsid w:val="00432864"/>
    <w:rsid w:val="0043299D"/>
    <w:rsid w:val="00432C1D"/>
    <w:rsid w:val="00433412"/>
    <w:rsid w:val="00434350"/>
    <w:rsid w:val="00434FB1"/>
    <w:rsid w:val="00435333"/>
    <w:rsid w:val="004358B8"/>
    <w:rsid w:val="00435DD8"/>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64D"/>
    <w:rsid w:val="004428D2"/>
    <w:rsid w:val="00442D9F"/>
    <w:rsid w:val="00443A0B"/>
    <w:rsid w:val="00443AF2"/>
    <w:rsid w:val="00443EDD"/>
    <w:rsid w:val="00443F5B"/>
    <w:rsid w:val="004445AB"/>
    <w:rsid w:val="00444814"/>
    <w:rsid w:val="00444CD7"/>
    <w:rsid w:val="00444DCE"/>
    <w:rsid w:val="0044576F"/>
    <w:rsid w:val="00445E8D"/>
    <w:rsid w:val="0044610C"/>
    <w:rsid w:val="00446432"/>
    <w:rsid w:val="00446894"/>
    <w:rsid w:val="00446B62"/>
    <w:rsid w:val="00446BB6"/>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56A7"/>
    <w:rsid w:val="00455764"/>
    <w:rsid w:val="0045576F"/>
    <w:rsid w:val="00455AE7"/>
    <w:rsid w:val="00455C5F"/>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3709"/>
    <w:rsid w:val="00463915"/>
    <w:rsid w:val="004642E7"/>
    <w:rsid w:val="004649D9"/>
    <w:rsid w:val="00464CCF"/>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FF"/>
    <w:rsid w:val="00473630"/>
    <w:rsid w:val="004738E2"/>
    <w:rsid w:val="00474D7E"/>
    <w:rsid w:val="00475624"/>
    <w:rsid w:val="004759A5"/>
    <w:rsid w:val="00476376"/>
    <w:rsid w:val="004765D7"/>
    <w:rsid w:val="00476C5F"/>
    <w:rsid w:val="00476F59"/>
    <w:rsid w:val="004770F1"/>
    <w:rsid w:val="0047724F"/>
    <w:rsid w:val="00477725"/>
    <w:rsid w:val="0047778D"/>
    <w:rsid w:val="004777C6"/>
    <w:rsid w:val="00477B91"/>
    <w:rsid w:val="00477E2C"/>
    <w:rsid w:val="00477F83"/>
    <w:rsid w:val="0048071C"/>
    <w:rsid w:val="00480E53"/>
    <w:rsid w:val="004813DC"/>
    <w:rsid w:val="00481B8E"/>
    <w:rsid w:val="00481C78"/>
    <w:rsid w:val="00481FF9"/>
    <w:rsid w:val="004821B7"/>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44D"/>
    <w:rsid w:val="0049549E"/>
    <w:rsid w:val="00495A9F"/>
    <w:rsid w:val="004960A6"/>
    <w:rsid w:val="00496B48"/>
    <w:rsid w:val="00497D65"/>
    <w:rsid w:val="00497E19"/>
    <w:rsid w:val="004A07F8"/>
    <w:rsid w:val="004A0F1A"/>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AA5"/>
    <w:rsid w:val="004B102C"/>
    <w:rsid w:val="004B10E8"/>
    <w:rsid w:val="004B1639"/>
    <w:rsid w:val="004B1E0F"/>
    <w:rsid w:val="004B248A"/>
    <w:rsid w:val="004B316D"/>
    <w:rsid w:val="004B3E0A"/>
    <w:rsid w:val="004B3EBB"/>
    <w:rsid w:val="004B4ECE"/>
    <w:rsid w:val="004B50C4"/>
    <w:rsid w:val="004B512D"/>
    <w:rsid w:val="004B5C6E"/>
    <w:rsid w:val="004B5CB6"/>
    <w:rsid w:val="004B6407"/>
    <w:rsid w:val="004B6438"/>
    <w:rsid w:val="004B6A39"/>
    <w:rsid w:val="004B6B3C"/>
    <w:rsid w:val="004B6CE0"/>
    <w:rsid w:val="004B6DC2"/>
    <w:rsid w:val="004B7A79"/>
    <w:rsid w:val="004C00B7"/>
    <w:rsid w:val="004C0E6D"/>
    <w:rsid w:val="004C1380"/>
    <w:rsid w:val="004C18D7"/>
    <w:rsid w:val="004C3357"/>
    <w:rsid w:val="004C373C"/>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25FE"/>
    <w:rsid w:val="004D26F0"/>
    <w:rsid w:val="004D291A"/>
    <w:rsid w:val="004D2A97"/>
    <w:rsid w:val="004D2B35"/>
    <w:rsid w:val="004D2E6B"/>
    <w:rsid w:val="004D3112"/>
    <w:rsid w:val="004D39E9"/>
    <w:rsid w:val="004D3C41"/>
    <w:rsid w:val="004D3CD7"/>
    <w:rsid w:val="004D3DFD"/>
    <w:rsid w:val="004D415A"/>
    <w:rsid w:val="004D49EC"/>
    <w:rsid w:val="004D4C65"/>
    <w:rsid w:val="004D52D6"/>
    <w:rsid w:val="004D5525"/>
    <w:rsid w:val="004D562D"/>
    <w:rsid w:val="004D5881"/>
    <w:rsid w:val="004D5CB3"/>
    <w:rsid w:val="004D5CBF"/>
    <w:rsid w:val="004D7ABD"/>
    <w:rsid w:val="004D7C29"/>
    <w:rsid w:val="004D7E87"/>
    <w:rsid w:val="004E0063"/>
    <w:rsid w:val="004E0DD7"/>
    <w:rsid w:val="004E102A"/>
    <w:rsid w:val="004E117D"/>
    <w:rsid w:val="004E18F8"/>
    <w:rsid w:val="004E1B35"/>
    <w:rsid w:val="004E220C"/>
    <w:rsid w:val="004E289D"/>
    <w:rsid w:val="004E28C6"/>
    <w:rsid w:val="004E3F56"/>
    <w:rsid w:val="004E3F72"/>
    <w:rsid w:val="004E4163"/>
    <w:rsid w:val="004E439D"/>
    <w:rsid w:val="004E43E7"/>
    <w:rsid w:val="004E506C"/>
    <w:rsid w:val="004E555F"/>
    <w:rsid w:val="004E6084"/>
    <w:rsid w:val="004E61A3"/>
    <w:rsid w:val="004E6816"/>
    <w:rsid w:val="004E6C61"/>
    <w:rsid w:val="004E7F6E"/>
    <w:rsid w:val="004F00F6"/>
    <w:rsid w:val="004F0669"/>
    <w:rsid w:val="004F07A7"/>
    <w:rsid w:val="004F0A96"/>
    <w:rsid w:val="004F0F06"/>
    <w:rsid w:val="004F1605"/>
    <w:rsid w:val="004F17AF"/>
    <w:rsid w:val="004F2030"/>
    <w:rsid w:val="004F2DBC"/>
    <w:rsid w:val="004F2DDA"/>
    <w:rsid w:val="004F2E6B"/>
    <w:rsid w:val="004F368B"/>
    <w:rsid w:val="004F39CD"/>
    <w:rsid w:val="004F4849"/>
    <w:rsid w:val="004F5848"/>
    <w:rsid w:val="004F58B7"/>
    <w:rsid w:val="004F5DA1"/>
    <w:rsid w:val="004F6556"/>
    <w:rsid w:val="004F6E84"/>
    <w:rsid w:val="004F70C6"/>
    <w:rsid w:val="004F798A"/>
    <w:rsid w:val="0050002C"/>
    <w:rsid w:val="00500148"/>
    <w:rsid w:val="00500C6B"/>
    <w:rsid w:val="00500CDB"/>
    <w:rsid w:val="00501B5F"/>
    <w:rsid w:val="00502D2D"/>
    <w:rsid w:val="00502EE7"/>
    <w:rsid w:val="00503C5E"/>
    <w:rsid w:val="00504F29"/>
    <w:rsid w:val="00505750"/>
    <w:rsid w:val="00505A98"/>
    <w:rsid w:val="00505C8D"/>
    <w:rsid w:val="00505EB9"/>
    <w:rsid w:val="00506825"/>
    <w:rsid w:val="0050695E"/>
    <w:rsid w:val="00506BF3"/>
    <w:rsid w:val="00507254"/>
    <w:rsid w:val="00507572"/>
    <w:rsid w:val="00510F4E"/>
    <w:rsid w:val="005110E4"/>
    <w:rsid w:val="00511981"/>
    <w:rsid w:val="00511BFE"/>
    <w:rsid w:val="00512377"/>
    <w:rsid w:val="00513024"/>
    <w:rsid w:val="00513780"/>
    <w:rsid w:val="005143A1"/>
    <w:rsid w:val="00514446"/>
    <w:rsid w:val="005145F6"/>
    <w:rsid w:val="00514887"/>
    <w:rsid w:val="00514EE9"/>
    <w:rsid w:val="00514F57"/>
    <w:rsid w:val="00515051"/>
    <w:rsid w:val="00515A0B"/>
    <w:rsid w:val="00516521"/>
    <w:rsid w:val="00516F1E"/>
    <w:rsid w:val="00517884"/>
    <w:rsid w:val="005200F6"/>
    <w:rsid w:val="005200FB"/>
    <w:rsid w:val="005206D7"/>
    <w:rsid w:val="005207B1"/>
    <w:rsid w:val="00520CC0"/>
    <w:rsid w:val="00521427"/>
    <w:rsid w:val="00521485"/>
    <w:rsid w:val="005216C3"/>
    <w:rsid w:val="005220BB"/>
    <w:rsid w:val="005223FE"/>
    <w:rsid w:val="005236EA"/>
    <w:rsid w:val="005239E5"/>
    <w:rsid w:val="00524CDB"/>
    <w:rsid w:val="00525431"/>
    <w:rsid w:val="005265EC"/>
    <w:rsid w:val="005268E4"/>
    <w:rsid w:val="00526970"/>
    <w:rsid w:val="00526D10"/>
    <w:rsid w:val="00526D94"/>
    <w:rsid w:val="00526DCB"/>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78B"/>
    <w:rsid w:val="00535B9E"/>
    <w:rsid w:val="00536342"/>
    <w:rsid w:val="0053669F"/>
    <w:rsid w:val="0053670D"/>
    <w:rsid w:val="00536726"/>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7203"/>
    <w:rsid w:val="00547B69"/>
    <w:rsid w:val="00547F28"/>
    <w:rsid w:val="00550D02"/>
    <w:rsid w:val="00551035"/>
    <w:rsid w:val="00551283"/>
    <w:rsid w:val="00551C90"/>
    <w:rsid w:val="00551D92"/>
    <w:rsid w:val="005521C0"/>
    <w:rsid w:val="00552753"/>
    <w:rsid w:val="005529BC"/>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DC0"/>
    <w:rsid w:val="00561D9B"/>
    <w:rsid w:val="00562977"/>
    <w:rsid w:val="0056300B"/>
    <w:rsid w:val="00563184"/>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9B3"/>
    <w:rsid w:val="00582A9A"/>
    <w:rsid w:val="00582BAE"/>
    <w:rsid w:val="00583951"/>
    <w:rsid w:val="00584564"/>
    <w:rsid w:val="00584F59"/>
    <w:rsid w:val="0058541C"/>
    <w:rsid w:val="0058585F"/>
    <w:rsid w:val="00585ADD"/>
    <w:rsid w:val="00585B70"/>
    <w:rsid w:val="005862A2"/>
    <w:rsid w:val="0058640B"/>
    <w:rsid w:val="00586B93"/>
    <w:rsid w:val="00586DA6"/>
    <w:rsid w:val="00586E57"/>
    <w:rsid w:val="005870B9"/>
    <w:rsid w:val="0058746E"/>
    <w:rsid w:val="00587698"/>
    <w:rsid w:val="0058785D"/>
    <w:rsid w:val="005879A3"/>
    <w:rsid w:val="00590266"/>
    <w:rsid w:val="005906F8"/>
    <w:rsid w:val="005912B5"/>
    <w:rsid w:val="005913E3"/>
    <w:rsid w:val="00591406"/>
    <w:rsid w:val="00592B6E"/>
    <w:rsid w:val="0059338C"/>
    <w:rsid w:val="00594286"/>
    <w:rsid w:val="005943D6"/>
    <w:rsid w:val="00594D45"/>
    <w:rsid w:val="00594D89"/>
    <w:rsid w:val="00594FA3"/>
    <w:rsid w:val="0059524A"/>
    <w:rsid w:val="005956D4"/>
    <w:rsid w:val="00595E1C"/>
    <w:rsid w:val="00595E53"/>
    <w:rsid w:val="00595F72"/>
    <w:rsid w:val="00596109"/>
    <w:rsid w:val="00596736"/>
    <w:rsid w:val="00596E5A"/>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34C"/>
    <w:rsid w:val="005A4857"/>
    <w:rsid w:val="005A52DD"/>
    <w:rsid w:val="005A5433"/>
    <w:rsid w:val="005A57C5"/>
    <w:rsid w:val="005A6770"/>
    <w:rsid w:val="005A7316"/>
    <w:rsid w:val="005A735E"/>
    <w:rsid w:val="005A755B"/>
    <w:rsid w:val="005A7880"/>
    <w:rsid w:val="005B083D"/>
    <w:rsid w:val="005B103D"/>
    <w:rsid w:val="005B129C"/>
    <w:rsid w:val="005B13D3"/>
    <w:rsid w:val="005B1AF1"/>
    <w:rsid w:val="005B3275"/>
    <w:rsid w:val="005B3D56"/>
    <w:rsid w:val="005B44BB"/>
    <w:rsid w:val="005B44F2"/>
    <w:rsid w:val="005B4786"/>
    <w:rsid w:val="005B48EF"/>
    <w:rsid w:val="005B4AE1"/>
    <w:rsid w:val="005B4F2F"/>
    <w:rsid w:val="005B4F47"/>
    <w:rsid w:val="005B5096"/>
    <w:rsid w:val="005B58F8"/>
    <w:rsid w:val="005B5A1D"/>
    <w:rsid w:val="005B5BD7"/>
    <w:rsid w:val="005B5F58"/>
    <w:rsid w:val="005B6229"/>
    <w:rsid w:val="005B6ACD"/>
    <w:rsid w:val="005B7EE7"/>
    <w:rsid w:val="005C09B4"/>
    <w:rsid w:val="005C1BAF"/>
    <w:rsid w:val="005C1E30"/>
    <w:rsid w:val="005C1E56"/>
    <w:rsid w:val="005C2379"/>
    <w:rsid w:val="005C2C9D"/>
    <w:rsid w:val="005C2D0A"/>
    <w:rsid w:val="005C335F"/>
    <w:rsid w:val="005C385F"/>
    <w:rsid w:val="005C3917"/>
    <w:rsid w:val="005C40D9"/>
    <w:rsid w:val="005C4488"/>
    <w:rsid w:val="005C459F"/>
    <w:rsid w:val="005C52AD"/>
    <w:rsid w:val="005C59B7"/>
    <w:rsid w:val="005C61A2"/>
    <w:rsid w:val="005C6FB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D21"/>
    <w:rsid w:val="005D5E08"/>
    <w:rsid w:val="005D5E18"/>
    <w:rsid w:val="005D63FA"/>
    <w:rsid w:val="005D672E"/>
    <w:rsid w:val="005D6FAA"/>
    <w:rsid w:val="005D750D"/>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5FFA"/>
    <w:rsid w:val="005E7D0A"/>
    <w:rsid w:val="005E7ECA"/>
    <w:rsid w:val="005E7EE5"/>
    <w:rsid w:val="005F08A7"/>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1177"/>
    <w:rsid w:val="006013F1"/>
    <w:rsid w:val="00601546"/>
    <w:rsid w:val="00601ECC"/>
    <w:rsid w:val="006026F8"/>
    <w:rsid w:val="00602E7A"/>
    <w:rsid w:val="006031AD"/>
    <w:rsid w:val="00603956"/>
    <w:rsid w:val="006042E7"/>
    <w:rsid w:val="006049EE"/>
    <w:rsid w:val="00605B30"/>
    <w:rsid w:val="00605F09"/>
    <w:rsid w:val="0060662B"/>
    <w:rsid w:val="0060713D"/>
    <w:rsid w:val="00607BE6"/>
    <w:rsid w:val="00607C48"/>
    <w:rsid w:val="00610E6C"/>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BD2"/>
    <w:rsid w:val="006222EF"/>
    <w:rsid w:val="00622991"/>
    <w:rsid w:val="00623175"/>
    <w:rsid w:val="006236A4"/>
    <w:rsid w:val="006237F8"/>
    <w:rsid w:val="00623C8E"/>
    <w:rsid w:val="00624679"/>
    <w:rsid w:val="00624898"/>
    <w:rsid w:val="006248CB"/>
    <w:rsid w:val="00624DFE"/>
    <w:rsid w:val="00626103"/>
    <w:rsid w:val="0062682F"/>
    <w:rsid w:val="00627F3B"/>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5E"/>
    <w:rsid w:val="00641764"/>
    <w:rsid w:val="00641859"/>
    <w:rsid w:val="00641BE8"/>
    <w:rsid w:val="00641EC1"/>
    <w:rsid w:val="0064366A"/>
    <w:rsid w:val="00643731"/>
    <w:rsid w:val="00643937"/>
    <w:rsid w:val="00643C9B"/>
    <w:rsid w:val="00643DAD"/>
    <w:rsid w:val="0064474F"/>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334C"/>
    <w:rsid w:val="006533D4"/>
    <w:rsid w:val="00653636"/>
    <w:rsid w:val="0065366C"/>
    <w:rsid w:val="006537D6"/>
    <w:rsid w:val="00653A32"/>
    <w:rsid w:val="00654AD4"/>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951"/>
    <w:rsid w:val="006660F1"/>
    <w:rsid w:val="006662C5"/>
    <w:rsid w:val="006666A9"/>
    <w:rsid w:val="00666867"/>
    <w:rsid w:val="00666904"/>
    <w:rsid w:val="00666A47"/>
    <w:rsid w:val="006674DF"/>
    <w:rsid w:val="00670CB5"/>
    <w:rsid w:val="00670CBD"/>
    <w:rsid w:val="00670CE4"/>
    <w:rsid w:val="006728CC"/>
    <w:rsid w:val="00672BE3"/>
    <w:rsid w:val="00672C34"/>
    <w:rsid w:val="00672F5A"/>
    <w:rsid w:val="0067334A"/>
    <w:rsid w:val="0067368F"/>
    <w:rsid w:val="00673E96"/>
    <w:rsid w:val="006743B7"/>
    <w:rsid w:val="0067511C"/>
    <w:rsid w:val="0067561F"/>
    <w:rsid w:val="006761A1"/>
    <w:rsid w:val="00676314"/>
    <w:rsid w:val="00676B7B"/>
    <w:rsid w:val="006771CE"/>
    <w:rsid w:val="00677ADA"/>
    <w:rsid w:val="00677B01"/>
    <w:rsid w:val="00677F3D"/>
    <w:rsid w:val="0068026F"/>
    <w:rsid w:val="0068195B"/>
    <w:rsid w:val="006823AD"/>
    <w:rsid w:val="0068281C"/>
    <w:rsid w:val="00684004"/>
    <w:rsid w:val="0068405E"/>
    <w:rsid w:val="006847E4"/>
    <w:rsid w:val="006850DD"/>
    <w:rsid w:val="0068557B"/>
    <w:rsid w:val="00686C1B"/>
    <w:rsid w:val="006878E8"/>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5005"/>
    <w:rsid w:val="00696029"/>
    <w:rsid w:val="0069612A"/>
    <w:rsid w:val="00696746"/>
    <w:rsid w:val="00696979"/>
    <w:rsid w:val="00697E35"/>
    <w:rsid w:val="006A02B7"/>
    <w:rsid w:val="006A03AB"/>
    <w:rsid w:val="006A145D"/>
    <w:rsid w:val="006A164A"/>
    <w:rsid w:val="006A2040"/>
    <w:rsid w:val="006A204B"/>
    <w:rsid w:val="006A22DD"/>
    <w:rsid w:val="006A2366"/>
    <w:rsid w:val="006A2CD0"/>
    <w:rsid w:val="006A2F4C"/>
    <w:rsid w:val="006A305E"/>
    <w:rsid w:val="006A3236"/>
    <w:rsid w:val="006A3502"/>
    <w:rsid w:val="006A37A7"/>
    <w:rsid w:val="006A3AEF"/>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44A"/>
    <w:rsid w:val="006B3522"/>
    <w:rsid w:val="006B365C"/>
    <w:rsid w:val="006B3B3A"/>
    <w:rsid w:val="006B3B7F"/>
    <w:rsid w:val="006B4376"/>
    <w:rsid w:val="006B5BED"/>
    <w:rsid w:val="006B627D"/>
    <w:rsid w:val="006B6E29"/>
    <w:rsid w:val="006B7129"/>
    <w:rsid w:val="006B75AC"/>
    <w:rsid w:val="006B77FA"/>
    <w:rsid w:val="006C08D3"/>
    <w:rsid w:val="006C142C"/>
    <w:rsid w:val="006C147D"/>
    <w:rsid w:val="006C178A"/>
    <w:rsid w:val="006C1992"/>
    <w:rsid w:val="006C1AB3"/>
    <w:rsid w:val="006C1B58"/>
    <w:rsid w:val="006C20A6"/>
    <w:rsid w:val="006C2126"/>
    <w:rsid w:val="006C2782"/>
    <w:rsid w:val="006C2933"/>
    <w:rsid w:val="006C2BF6"/>
    <w:rsid w:val="006C2C82"/>
    <w:rsid w:val="006C2FDF"/>
    <w:rsid w:val="006C322E"/>
    <w:rsid w:val="006C324F"/>
    <w:rsid w:val="006C32BF"/>
    <w:rsid w:val="006C3678"/>
    <w:rsid w:val="006C3703"/>
    <w:rsid w:val="006C3AEE"/>
    <w:rsid w:val="006C3F83"/>
    <w:rsid w:val="006C45F4"/>
    <w:rsid w:val="006C515D"/>
    <w:rsid w:val="006C6333"/>
    <w:rsid w:val="006C7761"/>
    <w:rsid w:val="006C78E5"/>
    <w:rsid w:val="006C79D4"/>
    <w:rsid w:val="006D0DB7"/>
    <w:rsid w:val="006D1931"/>
    <w:rsid w:val="006D1D6C"/>
    <w:rsid w:val="006D20F2"/>
    <w:rsid w:val="006D26E1"/>
    <w:rsid w:val="006D2706"/>
    <w:rsid w:val="006D2CEA"/>
    <w:rsid w:val="006D2D8B"/>
    <w:rsid w:val="006D2E9D"/>
    <w:rsid w:val="006D32F4"/>
    <w:rsid w:val="006D3C23"/>
    <w:rsid w:val="006D4401"/>
    <w:rsid w:val="006D4E18"/>
    <w:rsid w:val="006D4FE3"/>
    <w:rsid w:val="006D5432"/>
    <w:rsid w:val="006D60A3"/>
    <w:rsid w:val="006D67CC"/>
    <w:rsid w:val="006D6A4B"/>
    <w:rsid w:val="006D749A"/>
    <w:rsid w:val="006D7865"/>
    <w:rsid w:val="006D7CA8"/>
    <w:rsid w:val="006E0007"/>
    <w:rsid w:val="006E14A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EF5"/>
    <w:rsid w:val="006E6F2A"/>
    <w:rsid w:val="006E6F88"/>
    <w:rsid w:val="006E759D"/>
    <w:rsid w:val="006E75AD"/>
    <w:rsid w:val="006F0419"/>
    <w:rsid w:val="006F05AA"/>
    <w:rsid w:val="006F0750"/>
    <w:rsid w:val="006F0FA1"/>
    <w:rsid w:val="006F1B45"/>
    <w:rsid w:val="006F1E1A"/>
    <w:rsid w:val="006F2768"/>
    <w:rsid w:val="006F2F78"/>
    <w:rsid w:val="006F3DD6"/>
    <w:rsid w:val="006F4447"/>
    <w:rsid w:val="006F46F1"/>
    <w:rsid w:val="006F5548"/>
    <w:rsid w:val="006F581B"/>
    <w:rsid w:val="006F58B0"/>
    <w:rsid w:val="006F5A3D"/>
    <w:rsid w:val="006F601F"/>
    <w:rsid w:val="006F626D"/>
    <w:rsid w:val="006F6446"/>
    <w:rsid w:val="006F6B3E"/>
    <w:rsid w:val="006F7494"/>
    <w:rsid w:val="006F7DB6"/>
    <w:rsid w:val="00700DD0"/>
    <w:rsid w:val="00701098"/>
    <w:rsid w:val="007013E8"/>
    <w:rsid w:val="00701FEB"/>
    <w:rsid w:val="007022B0"/>
    <w:rsid w:val="00702A63"/>
    <w:rsid w:val="00702D43"/>
    <w:rsid w:val="007044C6"/>
    <w:rsid w:val="00705146"/>
    <w:rsid w:val="00705A25"/>
    <w:rsid w:val="00705BEA"/>
    <w:rsid w:val="00706165"/>
    <w:rsid w:val="00707485"/>
    <w:rsid w:val="00707895"/>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E5"/>
    <w:rsid w:val="007267B6"/>
    <w:rsid w:val="00726D38"/>
    <w:rsid w:val="00726EE0"/>
    <w:rsid w:val="00727126"/>
    <w:rsid w:val="007273EF"/>
    <w:rsid w:val="007275D3"/>
    <w:rsid w:val="007277B1"/>
    <w:rsid w:val="00727B91"/>
    <w:rsid w:val="00730711"/>
    <w:rsid w:val="007308B2"/>
    <w:rsid w:val="00731284"/>
    <w:rsid w:val="00731555"/>
    <w:rsid w:val="0073276E"/>
    <w:rsid w:val="007328D1"/>
    <w:rsid w:val="00732D46"/>
    <w:rsid w:val="00732E1A"/>
    <w:rsid w:val="0073314B"/>
    <w:rsid w:val="00733177"/>
    <w:rsid w:val="007334AB"/>
    <w:rsid w:val="00733812"/>
    <w:rsid w:val="00733C9C"/>
    <w:rsid w:val="00733D7C"/>
    <w:rsid w:val="00733EC8"/>
    <w:rsid w:val="00733EDF"/>
    <w:rsid w:val="00734C40"/>
    <w:rsid w:val="007355A6"/>
    <w:rsid w:val="0073582A"/>
    <w:rsid w:val="00735B0D"/>
    <w:rsid w:val="00736022"/>
    <w:rsid w:val="00736793"/>
    <w:rsid w:val="00736B4B"/>
    <w:rsid w:val="00736C14"/>
    <w:rsid w:val="00737649"/>
    <w:rsid w:val="00737DCD"/>
    <w:rsid w:val="007403B2"/>
    <w:rsid w:val="00741566"/>
    <w:rsid w:val="00741649"/>
    <w:rsid w:val="00741703"/>
    <w:rsid w:val="00741B18"/>
    <w:rsid w:val="00741B46"/>
    <w:rsid w:val="00742773"/>
    <w:rsid w:val="007433AC"/>
    <w:rsid w:val="00743F51"/>
    <w:rsid w:val="00744BCD"/>
    <w:rsid w:val="00745607"/>
    <w:rsid w:val="007459B0"/>
    <w:rsid w:val="00745BD1"/>
    <w:rsid w:val="00745D53"/>
    <w:rsid w:val="00746998"/>
    <w:rsid w:val="00746D21"/>
    <w:rsid w:val="0074714C"/>
    <w:rsid w:val="00747697"/>
    <w:rsid w:val="00747B61"/>
    <w:rsid w:val="00750B6D"/>
    <w:rsid w:val="0075139D"/>
    <w:rsid w:val="0075163A"/>
    <w:rsid w:val="00751D3E"/>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9FF"/>
    <w:rsid w:val="00787D95"/>
    <w:rsid w:val="00790569"/>
    <w:rsid w:val="00790AC7"/>
    <w:rsid w:val="00790EA2"/>
    <w:rsid w:val="0079118B"/>
    <w:rsid w:val="007915AC"/>
    <w:rsid w:val="007917C5"/>
    <w:rsid w:val="00791E54"/>
    <w:rsid w:val="0079245C"/>
    <w:rsid w:val="00792A25"/>
    <w:rsid w:val="0079301A"/>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D05"/>
    <w:rsid w:val="007A1207"/>
    <w:rsid w:val="007A2B0B"/>
    <w:rsid w:val="007A2D20"/>
    <w:rsid w:val="007A3184"/>
    <w:rsid w:val="007A3A16"/>
    <w:rsid w:val="007A3E8B"/>
    <w:rsid w:val="007A3F1B"/>
    <w:rsid w:val="007A45A3"/>
    <w:rsid w:val="007A4810"/>
    <w:rsid w:val="007A4C12"/>
    <w:rsid w:val="007A5044"/>
    <w:rsid w:val="007A602C"/>
    <w:rsid w:val="007A6242"/>
    <w:rsid w:val="007A69F8"/>
    <w:rsid w:val="007A6C37"/>
    <w:rsid w:val="007A6E24"/>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DAF"/>
    <w:rsid w:val="007C0872"/>
    <w:rsid w:val="007C10A6"/>
    <w:rsid w:val="007C1124"/>
    <w:rsid w:val="007C11CB"/>
    <w:rsid w:val="007C148E"/>
    <w:rsid w:val="007C16E7"/>
    <w:rsid w:val="007C1D27"/>
    <w:rsid w:val="007C22C2"/>
    <w:rsid w:val="007C27F4"/>
    <w:rsid w:val="007C4150"/>
    <w:rsid w:val="007C4320"/>
    <w:rsid w:val="007C4457"/>
    <w:rsid w:val="007C4C94"/>
    <w:rsid w:val="007C4ED4"/>
    <w:rsid w:val="007C52BF"/>
    <w:rsid w:val="007C5375"/>
    <w:rsid w:val="007C5961"/>
    <w:rsid w:val="007C59CB"/>
    <w:rsid w:val="007C6181"/>
    <w:rsid w:val="007C6E4D"/>
    <w:rsid w:val="007C7630"/>
    <w:rsid w:val="007C7C66"/>
    <w:rsid w:val="007C7E75"/>
    <w:rsid w:val="007D03C2"/>
    <w:rsid w:val="007D04B4"/>
    <w:rsid w:val="007D0AAB"/>
    <w:rsid w:val="007D0B01"/>
    <w:rsid w:val="007D101B"/>
    <w:rsid w:val="007D10E0"/>
    <w:rsid w:val="007D1633"/>
    <w:rsid w:val="007D1A69"/>
    <w:rsid w:val="007D2352"/>
    <w:rsid w:val="007D2680"/>
    <w:rsid w:val="007D29FD"/>
    <w:rsid w:val="007D2BB8"/>
    <w:rsid w:val="007D2CB1"/>
    <w:rsid w:val="007D3167"/>
    <w:rsid w:val="007D3363"/>
    <w:rsid w:val="007D3BDB"/>
    <w:rsid w:val="007D47A3"/>
    <w:rsid w:val="007D50FA"/>
    <w:rsid w:val="007D5A05"/>
    <w:rsid w:val="007D5B87"/>
    <w:rsid w:val="007D5F8C"/>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A99"/>
    <w:rsid w:val="007F4BE5"/>
    <w:rsid w:val="007F4CB5"/>
    <w:rsid w:val="007F4E31"/>
    <w:rsid w:val="007F4EC6"/>
    <w:rsid w:val="007F5B75"/>
    <w:rsid w:val="007F5EB4"/>
    <w:rsid w:val="007F6B7E"/>
    <w:rsid w:val="007F6C2C"/>
    <w:rsid w:val="007F6D39"/>
    <w:rsid w:val="007F79CD"/>
    <w:rsid w:val="007F79F1"/>
    <w:rsid w:val="007F7AC7"/>
    <w:rsid w:val="008002F6"/>
    <w:rsid w:val="008005C0"/>
    <w:rsid w:val="00801062"/>
    <w:rsid w:val="00801454"/>
    <w:rsid w:val="00801B23"/>
    <w:rsid w:val="00801F3C"/>
    <w:rsid w:val="008020E7"/>
    <w:rsid w:val="00802898"/>
    <w:rsid w:val="00802B83"/>
    <w:rsid w:val="008030A9"/>
    <w:rsid w:val="00803E96"/>
    <w:rsid w:val="0080409E"/>
    <w:rsid w:val="0080443D"/>
    <w:rsid w:val="008048C9"/>
    <w:rsid w:val="008049CF"/>
    <w:rsid w:val="00804F16"/>
    <w:rsid w:val="0080523E"/>
    <w:rsid w:val="008061EC"/>
    <w:rsid w:val="00806579"/>
    <w:rsid w:val="00806876"/>
    <w:rsid w:val="00810AA6"/>
    <w:rsid w:val="00811174"/>
    <w:rsid w:val="00811762"/>
    <w:rsid w:val="008119C5"/>
    <w:rsid w:val="00811B49"/>
    <w:rsid w:val="00811CBC"/>
    <w:rsid w:val="00811E23"/>
    <w:rsid w:val="00812023"/>
    <w:rsid w:val="0081273D"/>
    <w:rsid w:val="008127B8"/>
    <w:rsid w:val="008134AE"/>
    <w:rsid w:val="00813661"/>
    <w:rsid w:val="00813DD6"/>
    <w:rsid w:val="00813F9F"/>
    <w:rsid w:val="00814786"/>
    <w:rsid w:val="00814DCC"/>
    <w:rsid w:val="0081511D"/>
    <w:rsid w:val="00815D0F"/>
    <w:rsid w:val="00815E48"/>
    <w:rsid w:val="008160C8"/>
    <w:rsid w:val="0081624D"/>
    <w:rsid w:val="008163F2"/>
    <w:rsid w:val="00816802"/>
    <w:rsid w:val="00816811"/>
    <w:rsid w:val="008178D9"/>
    <w:rsid w:val="00820300"/>
    <w:rsid w:val="008204D8"/>
    <w:rsid w:val="00821434"/>
    <w:rsid w:val="00821C5E"/>
    <w:rsid w:val="00822041"/>
    <w:rsid w:val="00822759"/>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F1E"/>
    <w:rsid w:val="00840EBB"/>
    <w:rsid w:val="008416D6"/>
    <w:rsid w:val="0084280A"/>
    <w:rsid w:val="0084299B"/>
    <w:rsid w:val="00842C8F"/>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91E"/>
    <w:rsid w:val="00852C4B"/>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5743"/>
    <w:rsid w:val="008663EB"/>
    <w:rsid w:val="0086656A"/>
    <w:rsid w:val="008665CF"/>
    <w:rsid w:val="00866738"/>
    <w:rsid w:val="00866C02"/>
    <w:rsid w:val="00867307"/>
    <w:rsid w:val="008673F0"/>
    <w:rsid w:val="00867620"/>
    <w:rsid w:val="00867F5D"/>
    <w:rsid w:val="008703FF"/>
    <w:rsid w:val="0087078A"/>
    <w:rsid w:val="00870881"/>
    <w:rsid w:val="0087125A"/>
    <w:rsid w:val="00871650"/>
    <w:rsid w:val="008717BA"/>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142A"/>
    <w:rsid w:val="00881788"/>
    <w:rsid w:val="00881A83"/>
    <w:rsid w:val="008820F4"/>
    <w:rsid w:val="008823A3"/>
    <w:rsid w:val="0088256B"/>
    <w:rsid w:val="008828C6"/>
    <w:rsid w:val="008828FB"/>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1337"/>
    <w:rsid w:val="00891DCD"/>
    <w:rsid w:val="008927DE"/>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771"/>
    <w:rsid w:val="008A19F3"/>
    <w:rsid w:val="008A1ACA"/>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927"/>
    <w:rsid w:val="008A7B7E"/>
    <w:rsid w:val="008B0CE2"/>
    <w:rsid w:val="008B1464"/>
    <w:rsid w:val="008B15D8"/>
    <w:rsid w:val="008B1D8F"/>
    <w:rsid w:val="008B22E8"/>
    <w:rsid w:val="008B2AAF"/>
    <w:rsid w:val="008B33A7"/>
    <w:rsid w:val="008B3468"/>
    <w:rsid w:val="008B3B5E"/>
    <w:rsid w:val="008B3E08"/>
    <w:rsid w:val="008B4CFE"/>
    <w:rsid w:val="008B5868"/>
    <w:rsid w:val="008B58B8"/>
    <w:rsid w:val="008B58F8"/>
    <w:rsid w:val="008B5F68"/>
    <w:rsid w:val="008B625F"/>
    <w:rsid w:val="008B68E4"/>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69D"/>
    <w:rsid w:val="008C4763"/>
    <w:rsid w:val="008C4B91"/>
    <w:rsid w:val="008C5BE0"/>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D59"/>
    <w:rsid w:val="008D5B8B"/>
    <w:rsid w:val="008D5FB8"/>
    <w:rsid w:val="008D6312"/>
    <w:rsid w:val="008D6B31"/>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50A0"/>
    <w:rsid w:val="008E68B1"/>
    <w:rsid w:val="008E7049"/>
    <w:rsid w:val="008E70C3"/>
    <w:rsid w:val="008F01DF"/>
    <w:rsid w:val="008F022F"/>
    <w:rsid w:val="008F039D"/>
    <w:rsid w:val="008F04B0"/>
    <w:rsid w:val="008F0934"/>
    <w:rsid w:val="008F0A73"/>
    <w:rsid w:val="008F11C8"/>
    <w:rsid w:val="008F2195"/>
    <w:rsid w:val="008F284F"/>
    <w:rsid w:val="008F29A1"/>
    <w:rsid w:val="008F2AB2"/>
    <w:rsid w:val="008F30BE"/>
    <w:rsid w:val="008F3730"/>
    <w:rsid w:val="008F3DF3"/>
    <w:rsid w:val="008F4153"/>
    <w:rsid w:val="008F41E1"/>
    <w:rsid w:val="008F4656"/>
    <w:rsid w:val="008F4EDC"/>
    <w:rsid w:val="008F66E7"/>
    <w:rsid w:val="008F68A8"/>
    <w:rsid w:val="008F76A3"/>
    <w:rsid w:val="00900B1E"/>
    <w:rsid w:val="00900C2C"/>
    <w:rsid w:val="00900FCD"/>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EAA"/>
    <w:rsid w:val="00910F5F"/>
    <w:rsid w:val="0091168C"/>
    <w:rsid w:val="00911864"/>
    <w:rsid w:val="00911933"/>
    <w:rsid w:val="00912454"/>
    <w:rsid w:val="00912637"/>
    <w:rsid w:val="009129F1"/>
    <w:rsid w:val="00913182"/>
    <w:rsid w:val="00913ACC"/>
    <w:rsid w:val="00913BEB"/>
    <w:rsid w:val="00913E30"/>
    <w:rsid w:val="00914317"/>
    <w:rsid w:val="00914EEE"/>
    <w:rsid w:val="009152C6"/>
    <w:rsid w:val="00915E90"/>
    <w:rsid w:val="00916DF2"/>
    <w:rsid w:val="00916F3D"/>
    <w:rsid w:val="00917B70"/>
    <w:rsid w:val="00920965"/>
    <w:rsid w:val="00920F25"/>
    <w:rsid w:val="00921171"/>
    <w:rsid w:val="009216B6"/>
    <w:rsid w:val="00922A53"/>
    <w:rsid w:val="00922E39"/>
    <w:rsid w:val="0092307C"/>
    <w:rsid w:val="009231D3"/>
    <w:rsid w:val="00923333"/>
    <w:rsid w:val="0092344C"/>
    <w:rsid w:val="00923E84"/>
    <w:rsid w:val="009240AB"/>
    <w:rsid w:val="00924945"/>
    <w:rsid w:val="00924D28"/>
    <w:rsid w:val="00924D62"/>
    <w:rsid w:val="0092555D"/>
    <w:rsid w:val="00925643"/>
    <w:rsid w:val="0092593F"/>
    <w:rsid w:val="009260B9"/>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2462"/>
    <w:rsid w:val="0095311B"/>
    <w:rsid w:val="00953951"/>
    <w:rsid w:val="00953D24"/>
    <w:rsid w:val="00954497"/>
    <w:rsid w:val="00955021"/>
    <w:rsid w:val="0095508A"/>
    <w:rsid w:val="00955123"/>
    <w:rsid w:val="00955B70"/>
    <w:rsid w:val="00955C34"/>
    <w:rsid w:val="009562A0"/>
    <w:rsid w:val="0095662D"/>
    <w:rsid w:val="00956F70"/>
    <w:rsid w:val="00957769"/>
    <w:rsid w:val="00957E32"/>
    <w:rsid w:val="00957FD4"/>
    <w:rsid w:val="0096086B"/>
    <w:rsid w:val="00960BCD"/>
    <w:rsid w:val="00960D54"/>
    <w:rsid w:val="00960FEE"/>
    <w:rsid w:val="00961084"/>
    <w:rsid w:val="009615E6"/>
    <w:rsid w:val="0096190C"/>
    <w:rsid w:val="009619D7"/>
    <w:rsid w:val="00961C02"/>
    <w:rsid w:val="00961D34"/>
    <w:rsid w:val="00962117"/>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99E"/>
    <w:rsid w:val="0099024A"/>
    <w:rsid w:val="00990312"/>
    <w:rsid w:val="009905F1"/>
    <w:rsid w:val="00990A83"/>
    <w:rsid w:val="00991024"/>
    <w:rsid w:val="009918AA"/>
    <w:rsid w:val="00991CB2"/>
    <w:rsid w:val="00991D73"/>
    <w:rsid w:val="00991EF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3154"/>
    <w:rsid w:val="009A341F"/>
    <w:rsid w:val="009A34E5"/>
    <w:rsid w:val="009A389D"/>
    <w:rsid w:val="009A3BFF"/>
    <w:rsid w:val="009A4229"/>
    <w:rsid w:val="009A4F94"/>
    <w:rsid w:val="009A505C"/>
    <w:rsid w:val="009A5F9F"/>
    <w:rsid w:val="009A647E"/>
    <w:rsid w:val="009A6621"/>
    <w:rsid w:val="009A6947"/>
    <w:rsid w:val="009A72B7"/>
    <w:rsid w:val="009A79D2"/>
    <w:rsid w:val="009A7BFF"/>
    <w:rsid w:val="009B067C"/>
    <w:rsid w:val="009B13A0"/>
    <w:rsid w:val="009B286F"/>
    <w:rsid w:val="009B2C8D"/>
    <w:rsid w:val="009B2F08"/>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CD8"/>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72FB"/>
    <w:rsid w:val="009E7E3F"/>
    <w:rsid w:val="009F0FD6"/>
    <w:rsid w:val="009F12CA"/>
    <w:rsid w:val="009F1734"/>
    <w:rsid w:val="009F18AC"/>
    <w:rsid w:val="009F2420"/>
    <w:rsid w:val="009F3002"/>
    <w:rsid w:val="009F31F4"/>
    <w:rsid w:val="009F33ED"/>
    <w:rsid w:val="009F4D03"/>
    <w:rsid w:val="009F5279"/>
    <w:rsid w:val="009F5E07"/>
    <w:rsid w:val="009F5E5D"/>
    <w:rsid w:val="009F5E8D"/>
    <w:rsid w:val="009F62FA"/>
    <w:rsid w:val="009F6A3E"/>
    <w:rsid w:val="009F73FD"/>
    <w:rsid w:val="009F764A"/>
    <w:rsid w:val="009F7725"/>
    <w:rsid w:val="009F77A2"/>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F2D"/>
    <w:rsid w:val="00A110EF"/>
    <w:rsid w:val="00A119AD"/>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D49"/>
    <w:rsid w:val="00A230BC"/>
    <w:rsid w:val="00A23E61"/>
    <w:rsid w:val="00A24D7C"/>
    <w:rsid w:val="00A25280"/>
    <w:rsid w:val="00A25891"/>
    <w:rsid w:val="00A25D04"/>
    <w:rsid w:val="00A26307"/>
    <w:rsid w:val="00A263C6"/>
    <w:rsid w:val="00A2657B"/>
    <w:rsid w:val="00A269CF"/>
    <w:rsid w:val="00A26D24"/>
    <w:rsid w:val="00A27021"/>
    <w:rsid w:val="00A2742D"/>
    <w:rsid w:val="00A278C0"/>
    <w:rsid w:val="00A27BA7"/>
    <w:rsid w:val="00A30316"/>
    <w:rsid w:val="00A303CB"/>
    <w:rsid w:val="00A303F6"/>
    <w:rsid w:val="00A30596"/>
    <w:rsid w:val="00A3065C"/>
    <w:rsid w:val="00A306BD"/>
    <w:rsid w:val="00A309A5"/>
    <w:rsid w:val="00A314DD"/>
    <w:rsid w:val="00A31B1F"/>
    <w:rsid w:val="00A321C6"/>
    <w:rsid w:val="00A32AD4"/>
    <w:rsid w:val="00A3302D"/>
    <w:rsid w:val="00A33529"/>
    <w:rsid w:val="00A33BE7"/>
    <w:rsid w:val="00A33F59"/>
    <w:rsid w:val="00A3467B"/>
    <w:rsid w:val="00A346DD"/>
    <w:rsid w:val="00A3560E"/>
    <w:rsid w:val="00A359A1"/>
    <w:rsid w:val="00A36909"/>
    <w:rsid w:val="00A3777A"/>
    <w:rsid w:val="00A37905"/>
    <w:rsid w:val="00A37F61"/>
    <w:rsid w:val="00A40F01"/>
    <w:rsid w:val="00A42390"/>
    <w:rsid w:val="00A4253C"/>
    <w:rsid w:val="00A42754"/>
    <w:rsid w:val="00A42F56"/>
    <w:rsid w:val="00A438B3"/>
    <w:rsid w:val="00A43AD7"/>
    <w:rsid w:val="00A43FB6"/>
    <w:rsid w:val="00A44550"/>
    <w:rsid w:val="00A44B67"/>
    <w:rsid w:val="00A44EAA"/>
    <w:rsid w:val="00A44EAC"/>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6A9"/>
    <w:rsid w:val="00A60B78"/>
    <w:rsid w:val="00A60D85"/>
    <w:rsid w:val="00A61C84"/>
    <w:rsid w:val="00A62994"/>
    <w:rsid w:val="00A63DE4"/>
    <w:rsid w:val="00A63F18"/>
    <w:rsid w:val="00A64725"/>
    <w:rsid w:val="00A64FB3"/>
    <w:rsid w:val="00A65035"/>
    <w:rsid w:val="00A65245"/>
    <w:rsid w:val="00A65462"/>
    <w:rsid w:val="00A66BCF"/>
    <w:rsid w:val="00A6754C"/>
    <w:rsid w:val="00A700EF"/>
    <w:rsid w:val="00A701A5"/>
    <w:rsid w:val="00A70227"/>
    <w:rsid w:val="00A702A7"/>
    <w:rsid w:val="00A703E5"/>
    <w:rsid w:val="00A7130A"/>
    <w:rsid w:val="00A72492"/>
    <w:rsid w:val="00A73635"/>
    <w:rsid w:val="00A73C5F"/>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A006A"/>
    <w:rsid w:val="00AA00FA"/>
    <w:rsid w:val="00AA014E"/>
    <w:rsid w:val="00AA044F"/>
    <w:rsid w:val="00AA0600"/>
    <w:rsid w:val="00AA118D"/>
    <w:rsid w:val="00AA149F"/>
    <w:rsid w:val="00AA1561"/>
    <w:rsid w:val="00AA1E07"/>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725"/>
    <w:rsid w:val="00AA7784"/>
    <w:rsid w:val="00AA7D8D"/>
    <w:rsid w:val="00AB009D"/>
    <w:rsid w:val="00AB0C65"/>
    <w:rsid w:val="00AB1094"/>
    <w:rsid w:val="00AB1454"/>
    <w:rsid w:val="00AB1727"/>
    <w:rsid w:val="00AB1BD7"/>
    <w:rsid w:val="00AB2290"/>
    <w:rsid w:val="00AB2BE7"/>
    <w:rsid w:val="00AB3133"/>
    <w:rsid w:val="00AB4E9F"/>
    <w:rsid w:val="00AB6121"/>
    <w:rsid w:val="00AB62F8"/>
    <w:rsid w:val="00AB70E8"/>
    <w:rsid w:val="00AC009C"/>
    <w:rsid w:val="00AC04E9"/>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51C"/>
    <w:rsid w:val="00AC516D"/>
    <w:rsid w:val="00AC5AEE"/>
    <w:rsid w:val="00AC5C5B"/>
    <w:rsid w:val="00AC62A8"/>
    <w:rsid w:val="00AC6CE2"/>
    <w:rsid w:val="00AC7409"/>
    <w:rsid w:val="00AC7AE1"/>
    <w:rsid w:val="00AD04AB"/>
    <w:rsid w:val="00AD0D1E"/>
    <w:rsid w:val="00AD1316"/>
    <w:rsid w:val="00AD1A67"/>
    <w:rsid w:val="00AD1DD0"/>
    <w:rsid w:val="00AD1E09"/>
    <w:rsid w:val="00AD1E10"/>
    <w:rsid w:val="00AD2111"/>
    <w:rsid w:val="00AD2CBB"/>
    <w:rsid w:val="00AD2CE2"/>
    <w:rsid w:val="00AD2EF1"/>
    <w:rsid w:val="00AD3978"/>
    <w:rsid w:val="00AD3E3C"/>
    <w:rsid w:val="00AD46ED"/>
    <w:rsid w:val="00AD4768"/>
    <w:rsid w:val="00AD4BCC"/>
    <w:rsid w:val="00AD4F13"/>
    <w:rsid w:val="00AD55CB"/>
    <w:rsid w:val="00AD55D2"/>
    <w:rsid w:val="00AD5756"/>
    <w:rsid w:val="00AD5A55"/>
    <w:rsid w:val="00AD5A92"/>
    <w:rsid w:val="00AD5B7E"/>
    <w:rsid w:val="00AD5CBB"/>
    <w:rsid w:val="00AD68DD"/>
    <w:rsid w:val="00AD6EBB"/>
    <w:rsid w:val="00AD7144"/>
    <w:rsid w:val="00AD7329"/>
    <w:rsid w:val="00AD7568"/>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F8E"/>
    <w:rsid w:val="00AF1020"/>
    <w:rsid w:val="00AF1238"/>
    <w:rsid w:val="00AF12C3"/>
    <w:rsid w:val="00AF16A2"/>
    <w:rsid w:val="00AF1AC2"/>
    <w:rsid w:val="00AF20A2"/>
    <w:rsid w:val="00AF2607"/>
    <w:rsid w:val="00AF2C65"/>
    <w:rsid w:val="00AF30DA"/>
    <w:rsid w:val="00AF32CC"/>
    <w:rsid w:val="00AF32E5"/>
    <w:rsid w:val="00AF398B"/>
    <w:rsid w:val="00AF3E34"/>
    <w:rsid w:val="00AF3F59"/>
    <w:rsid w:val="00AF40DE"/>
    <w:rsid w:val="00AF47DF"/>
    <w:rsid w:val="00AF5D96"/>
    <w:rsid w:val="00AF5F63"/>
    <w:rsid w:val="00AF6256"/>
    <w:rsid w:val="00AF6AB2"/>
    <w:rsid w:val="00AF6DD7"/>
    <w:rsid w:val="00AF7B6E"/>
    <w:rsid w:val="00B00C4C"/>
    <w:rsid w:val="00B00E7E"/>
    <w:rsid w:val="00B00E96"/>
    <w:rsid w:val="00B00F13"/>
    <w:rsid w:val="00B018B9"/>
    <w:rsid w:val="00B01FE0"/>
    <w:rsid w:val="00B02115"/>
    <w:rsid w:val="00B023BD"/>
    <w:rsid w:val="00B02692"/>
    <w:rsid w:val="00B02719"/>
    <w:rsid w:val="00B02B17"/>
    <w:rsid w:val="00B03E87"/>
    <w:rsid w:val="00B03FFD"/>
    <w:rsid w:val="00B043C1"/>
    <w:rsid w:val="00B0473F"/>
    <w:rsid w:val="00B04959"/>
    <w:rsid w:val="00B05121"/>
    <w:rsid w:val="00B054AB"/>
    <w:rsid w:val="00B05F8A"/>
    <w:rsid w:val="00B0605D"/>
    <w:rsid w:val="00B063E2"/>
    <w:rsid w:val="00B06841"/>
    <w:rsid w:val="00B06EDB"/>
    <w:rsid w:val="00B070C5"/>
    <w:rsid w:val="00B07331"/>
    <w:rsid w:val="00B07EF4"/>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53B3"/>
    <w:rsid w:val="00B1544D"/>
    <w:rsid w:val="00B157BD"/>
    <w:rsid w:val="00B16997"/>
    <w:rsid w:val="00B16FB1"/>
    <w:rsid w:val="00B17440"/>
    <w:rsid w:val="00B17820"/>
    <w:rsid w:val="00B17958"/>
    <w:rsid w:val="00B17F0A"/>
    <w:rsid w:val="00B17FEF"/>
    <w:rsid w:val="00B2019D"/>
    <w:rsid w:val="00B243A0"/>
    <w:rsid w:val="00B24DAE"/>
    <w:rsid w:val="00B25129"/>
    <w:rsid w:val="00B254AD"/>
    <w:rsid w:val="00B25A89"/>
    <w:rsid w:val="00B261CF"/>
    <w:rsid w:val="00B26205"/>
    <w:rsid w:val="00B26784"/>
    <w:rsid w:val="00B278E3"/>
    <w:rsid w:val="00B27D7D"/>
    <w:rsid w:val="00B305F0"/>
    <w:rsid w:val="00B30632"/>
    <w:rsid w:val="00B307DE"/>
    <w:rsid w:val="00B30901"/>
    <w:rsid w:val="00B30C5E"/>
    <w:rsid w:val="00B31940"/>
    <w:rsid w:val="00B31DC3"/>
    <w:rsid w:val="00B32455"/>
    <w:rsid w:val="00B324DC"/>
    <w:rsid w:val="00B32A3E"/>
    <w:rsid w:val="00B339C4"/>
    <w:rsid w:val="00B33C4C"/>
    <w:rsid w:val="00B33EDF"/>
    <w:rsid w:val="00B34124"/>
    <w:rsid w:val="00B34469"/>
    <w:rsid w:val="00B34B5A"/>
    <w:rsid w:val="00B34C35"/>
    <w:rsid w:val="00B34E04"/>
    <w:rsid w:val="00B34E2B"/>
    <w:rsid w:val="00B34EC0"/>
    <w:rsid w:val="00B3571C"/>
    <w:rsid w:val="00B35AE0"/>
    <w:rsid w:val="00B35FD1"/>
    <w:rsid w:val="00B35FF2"/>
    <w:rsid w:val="00B3612D"/>
    <w:rsid w:val="00B36516"/>
    <w:rsid w:val="00B36A58"/>
    <w:rsid w:val="00B37354"/>
    <w:rsid w:val="00B40E79"/>
    <w:rsid w:val="00B4181F"/>
    <w:rsid w:val="00B41A4F"/>
    <w:rsid w:val="00B41C7F"/>
    <w:rsid w:val="00B41F6B"/>
    <w:rsid w:val="00B4215E"/>
    <w:rsid w:val="00B4242D"/>
    <w:rsid w:val="00B428BA"/>
    <w:rsid w:val="00B42CCD"/>
    <w:rsid w:val="00B42E1B"/>
    <w:rsid w:val="00B42E4C"/>
    <w:rsid w:val="00B4367F"/>
    <w:rsid w:val="00B43A83"/>
    <w:rsid w:val="00B443E3"/>
    <w:rsid w:val="00B46108"/>
    <w:rsid w:val="00B4610A"/>
    <w:rsid w:val="00B4655D"/>
    <w:rsid w:val="00B46AEB"/>
    <w:rsid w:val="00B46C56"/>
    <w:rsid w:val="00B46E4C"/>
    <w:rsid w:val="00B46F5D"/>
    <w:rsid w:val="00B47135"/>
    <w:rsid w:val="00B47552"/>
    <w:rsid w:val="00B47865"/>
    <w:rsid w:val="00B5003D"/>
    <w:rsid w:val="00B50183"/>
    <w:rsid w:val="00B51419"/>
    <w:rsid w:val="00B514EF"/>
    <w:rsid w:val="00B51B74"/>
    <w:rsid w:val="00B520C2"/>
    <w:rsid w:val="00B52247"/>
    <w:rsid w:val="00B52AF9"/>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74B"/>
    <w:rsid w:val="00B7198E"/>
    <w:rsid w:val="00B71C79"/>
    <w:rsid w:val="00B7201F"/>
    <w:rsid w:val="00B7225F"/>
    <w:rsid w:val="00B72563"/>
    <w:rsid w:val="00B72828"/>
    <w:rsid w:val="00B728C4"/>
    <w:rsid w:val="00B7322A"/>
    <w:rsid w:val="00B735D1"/>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ED4"/>
    <w:rsid w:val="00BB04A6"/>
    <w:rsid w:val="00BB07D7"/>
    <w:rsid w:val="00BB07E0"/>
    <w:rsid w:val="00BB08B0"/>
    <w:rsid w:val="00BB0B64"/>
    <w:rsid w:val="00BB0DCF"/>
    <w:rsid w:val="00BB0F9F"/>
    <w:rsid w:val="00BB16C6"/>
    <w:rsid w:val="00BB1851"/>
    <w:rsid w:val="00BB2581"/>
    <w:rsid w:val="00BB2AE2"/>
    <w:rsid w:val="00BB2DA8"/>
    <w:rsid w:val="00BB36DE"/>
    <w:rsid w:val="00BB383A"/>
    <w:rsid w:val="00BB49C3"/>
    <w:rsid w:val="00BB4E1A"/>
    <w:rsid w:val="00BB5F01"/>
    <w:rsid w:val="00BB60A5"/>
    <w:rsid w:val="00BB793E"/>
    <w:rsid w:val="00BC02B9"/>
    <w:rsid w:val="00BC0336"/>
    <w:rsid w:val="00BC0433"/>
    <w:rsid w:val="00BC0D4D"/>
    <w:rsid w:val="00BC1FCA"/>
    <w:rsid w:val="00BC2289"/>
    <w:rsid w:val="00BC2423"/>
    <w:rsid w:val="00BC2E90"/>
    <w:rsid w:val="00BC307C"/>
    <w:rsid w:val="00BC338E"/>
    <w:rsid w:val="00BC33D8"/>
    <w:rsid w:val="00BC3557"/>
    <w:rsid w:val="00BC3716"/>
    <w:rsid w:val="00BC432F"/>
    <w:rsid w:val="00BC4CC8"/>
    <w:rsid w:val="00BC4D3E"/>
    <w:rsid w:val="00BC50FD"/>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719"/>
    <w:rsid w:val="00BD4CEC"/>
    <w:rsid w:val="00BD4F61"/>
    <w:rsid w:val="00BD5050"/>
    <w:rsid w:val="00BD50D0"/>
    <w:rsid w:val="00BD58A3"/>
    <w:rsid w:val="00BD5A30"/>
    <w:rsid w:val="00BD6745"/>
    <w:rsid w:val="00BD67DE"/>
    <w:rsid w:val="00BD684B"/>
    <w:rsid w:val="00BD6AC0"/>
    <w:rsid w:val="00BD7112"/>
    <w:rsid w:val="00BD7ADC"/>
    <w:rsid w:val="00BD7DAB"/>
    <w:rsid w:val="00BE0225"/>
    <w:rsid w:val="00BE0E22"/>
    <w:rsid w:val="00BE1761"/>
    <w:rsid w:val="00BE21B7"/>
    <w:rsid w:val="00BE26B2"/>
    <w:rsid w:val="00BE2A2C"/>
    <w:rsid w:val="00BE32A5"/>
    <w:rsid w:val="00BE3414"/>
    <w:rsid w:val="00BE3893"/>
    <w:rsid w:val="00BE3A2F"/>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73DF"/>
    <w:rsid w:val="00BE75C3"/>
    <w:rsid w:val="00BE774D"/>
    <w:rsid w:val="00BF05A8"/>
    <w:rsid w:val="00BF12A8"/>
    <w:rsid w:val="00BF1551"/>
    <w:rsid w:val="00BF186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7B82"/>
    <w:rsid w:val="00C10293"/>
    <w:rsid w:val="00C10469"/>
    <w:rsid w:val="00C10693"/>
    <w:rsid w:val="00C10D93"/>
    <w:rsid w:val="00C11059"/>
    <w:rsid w:val="00C1127F"/>
    <w:rsid w:val="00C1172E"/>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498"/>
    <w:rsid w:val="00C16995"/>
    <w:rsid w:val="00C174AA"/>
    <w:rsid w:val="00C17A73"/>
    <w:rsid w:val="00C20D17"/>
    <w:rsid w:val="00C20D68"/>
    <w:rsid w:val="00C2119E"/>
    <w:rsid w:val="00C2160C"/>
    <w:rsid w:val="00C21A63"/>
    <w:rsid w:val="00C22255"/>
    <w:rsid w:val="00C222DE"/>
    <w:rsid w:val="00C22774"/>
    <w:rsid w:val="00C22D98"/>
    <w:rsid w:val="00C23202"/>
    <w:rsid w:val="00C23477"/>
    <w:rsid w:val="00C235D7"/>
    <w:rsid w:val="00C2456C"/>
    <w:rsid w:val="00C24A58"/>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40581"/>
    <w:rsid w:val="00C40A92"/>
    <w:rsid w:val="00C40B0B"/>
    <w:rsid w:val="00C41089"/>
    <w:rsid w:val="00C4182B"/>
    <w:rsid w:val="00C41B42"/>
    <w:rsid w:val="00C42751"/>
    <w:rsid w:val="00C4313A"/>
    <w:rsid w:val="00C43985"/>
    <w:rsid w:val="00C43BFF"/>
    <w:rsid w:val="00C43E99"/>
    <w:rsid w:val="00C44288"/>
    <w:rsid w:val="00C44312"/>
    <w:rsid w:val="00C4440A"/>
    <w:rsid w:val="00C44F88"/>
    <w:rsid w:val="00C45B48"/>
    <w:rsid w:val="00C45FA1"/>
    <w:rsid w:val="00C464DA"/>
    <w:rsid w:val="00C46585"/>
    <w:rsid w:val="00C465BC"/>
    <w:rsid w:val="00C467E0"/>
    <w:rsid w:val="00C46A82"/>
    <w:rsid w:val="00C46FF1"/>
    <w:rsid w:val="00C47174"/>
    <w:rsid w:val="00C47A07"/>
    <w:rsid w:val="00C50B1C"/>
    <w:rsid w:val="00C50BD9"/>
    <w:rsid w:val="00C510AB"/>
    <w:rsid w:val="00C51990"/>
    <w:rsid w:val="00C52085"/>
    <w:rsid w:val="00C5216E"/>
    <w:rsid w:val="00C523BD"/>
    <w:rsid w:val="00C526A6"/>
    <w:rsid w:val="00C5279E"/>
    <w:rsid w:val="00C531A3"/>
    <w:rsid w:val="00C534E1"/>
    <w:rsid w:val="00C53812"/>
    <w:rsid w:val="00C54017"/>
    <w:rsid w:val="00C5474A"/>
    <w:rsid w:val="00C54E12"/>
    <w:rsid w:val="00C54FAD"/>
    <w:rsid w:val="00C550FD"/>
    <w:rsid w:val="00C55341"/>
    <w:rsid w:val="00C559EC"/>
    <w:rsid w:val="00C55EE6"/>
    <w:rsid w:val="00C5672F"/>
    <w:rsid w:val="00C569D7"/>
    <w:rsid w:val="00C56CEA"/>
    <w:rsid w:val="00C5723E"/>
    <w:rsid w:val="00C57BD2"/>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FE3"/>
    <w:rsid w:val="00C678EB"/>
    <w:rsid w:val="00C67DF9"/>
    <w:rsid w:val="00C70295"/>
    <w:rsid w:val="00C702F9"/>
    <w:rsid w:val="00C706E5"/>
    <w:rsid w:val="00C71231"/>
    <w:rsid w:val="00C717E5"/>
    <w:rsid w:val="00C718CD"/>
    <w:rsid w:val="00C71BE9"/>
    <w:rsid w:val="00C7209E"/>
    <w:rsid w:val="00C721C9"/>
    <w:rsid w:val="00C73150"/>
    <w:rsid w:val="00C74120"/>
    <w:rsid w:val="00C744C9"/>
    <w:rsid w:val="00C74C64"/>
    <w:rsid w:val="00C75102"/>
    <w:rsid w:val="00C754E0"/>
    <w:rsid w:val="00C7585B"/>
    <w:rsid w:val="00C75EC4"/>
    <w:rsid w:val="00C760F3"/>
    <w:rsid w:val="00C761A9"/>
    <w:rsid w:val="00C76A43"/>
    <w:rsid w:val="00C76FBE"/>
    <w:rsid w:val="00C80863"/>
    <w:rsid w:val="00C808C1"/>
    <w:rsid w:val="00C8158C"/>
    <w:rsid w:val="00C817D6"/>
    <w:rsid w:val="00C81A82"/>
    <w:rsid w:val="00C8230F"/>
    <w:rsid w:val="00C82D0C"/>
    <w:rsid w:val="00C82E1B"/>
    <w:rsid w:val="00C83164"/>
    <w:rsid w:val="00C837E1"/>
    <w:rsid w:val="00C83D13"/>
    <w:rsid w:val="00C84407"/>
    <w:rsid w:val="00C847B4"/>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C75"/>
    <w:rsid w:val="00C90441"/>
    <w:rsid w:val="00C90548"/>
    <w:rsid w:val="00C90A20"/>
    <w:rsid w:val="00C90B3B"/>
    <w:rsid w:val="00C90B7F"/>
    <w:rsid w:val="00C90F39"/>
    <w:rsid w:val="00C91686"/>
    <w:rsid w:val="00C91DE7"/>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A0901"/>
    <w:rsid w:val="00CA1A31"/>
    <w:rsid w:val="00CA225A"/>
    <w:rsid w:val="00CA324C"/>
    <w:rsid w:val="00CA3559"/>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C68"/>
    <w:rsid w:val="00CB369B"/>
    <w:rsid w:val="00CB3727"/>
    <w:rsid w:val="00CB3BD4"/>
    <w:rsid w:val="00CB49DD"/>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FB5"/>
    <w:rsid w:val="00CC3450"/>
    <w:rsid w:val="00CC4CA6"/>
    <w:rsid w:val="00CC5144"/>
    <w:rsid w:val="00CC5691"/>
    <w:rsid w:val="00CC5999"/>
    <w:rsid w:val="00CC620E"/>
    <w:rsid w:val="00CC6B80"/>
    <w:rsid w:val="00CC6E57"/>
    <w:rsid w:val="00CC6E95"/>
    <w:rsid w:val="00CC723C"/>
    <w:rsid w:val="00CC75F9"/>
    <w:rsid w:val="00CC7750"/>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4019"/>
    <w:rsid w:val="00CD409D"/>
    <w:rsid w:val="00CD4775"/>
    <w:rsid w:val="00CD4AE6"/>
    <w:rsid w:val="00CD4B38"/>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26B3"/>
    <w:rsid w:val="00CE3EAA"/>
    <w:rsid w:val="00CE4B95"/>
    <w:rsid w:val="00CE4FA2"/>
    <w:rsid w:val="00CE52BD"/>
    <w:rsid w:val="00CE547E"/>
    <w:rsid w:val="00CE577D"/>
    <w:rsid w:val="00CE58E8"/>
    <w:rsid w:val="00CE5B08"/>
    <w:rsid w:val="00CE5F5B"/>
    <w:rsid w:val="00CE642A"/>
    <w:rsid w:val="00CE670D"/>
    <w:rsid w:val="00CE71A8"/>
    <w:rsid w:val="00CE72C7"/>
    <w:rsid w:val="00CE7984"/>
    <w:rsid w:val="00CF02D1"/>
    <w:rsid w:val="00CF062A"/>
    <w:rsid w:val="00CF11B3"/>
    <w:rsid w:val="00CF1579"/>
    <w:rsid w:val="00CF2295"/>
    <w:rsid w:val="00CF2577"/>
    <w:rsid w:val="00CF2721"/>
    <w:rsid w:val="00CF2C69"/>
    <w:rsid w:val="00CF3AB6"/>
    <w:rsid w:val="00CF456C"/>
    <w:rsid w:val="00CF49A5"/>
    <w:rsid w:val="00CF5475"/>
    <w:rsid w:val="00CF55FA"/>
    <w:rsid w:val="00CF5823"/>
    <w:rsid w:val="00CF5DEA"/>
    <w:rsid w:val="00CF5DEB"/>
    <w:rsid w:val="00CF68DE"/>
    <w:rsid w:val="00CF698D"/>
    <w:rsid w:val="00CF6A71"/>
    <w:rsid w:val="00CF6F3B"/>
    <w:rsid w:val="00CF6FB6"/>
    <w:rsid w:val="00CF7129"/>
    <w:rsid w:val="00CF72E9"/>
    <w:rsid w:val="00CF74E2"/>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E11"/>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415"/>
    <w:rsid w:val="00D174F8"/>
    <w:rsid w:val="00D175C4"/>
    <w:rsid w:val="00D200BE"/>
    <w:rsid w:val="00D203E1"/>
    <w:rsid w:val="00D205CA"/>
    <w:rsid w:val="00D20A66"/>
    <w:rsid w:val="00D21777"/>
    <w:rsid w:val="00D21CBA"/>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329"/>
    <w:rsid w:val="00D304E2"/>
    <w:rsid w:val="00D3059A"/>
    <w:rsid w:val="00D30930"/>
    <w:rsid w:val="00D30A5E"/>
    <w:rsid w:val="00D30B78"/>
    <w:rsid w:val="00D3124D"/>
    <w:rsid w:val="00D316FA"/>
    <w:rsid w:val="00D31B2C"/>
    <w:rsid w:val="00D31DA5"/>
    <w:rsid w:val="00D325D0"/>
    <w:rsid w:val="00D329BA"/>
    <w:rsid w:val="00D33606"/>
    <w:rsid w:val="00D33696"/>
    <w:rsid w:val="00D33951"/>
    <w:rsid w:val="00D33A53"/>
    <w:rsid w:val="00D34004"/>
    <w:rsid w:val="00D34302"/>
    <w:rsid w:val="00D3433F"/>
    <w:rsid w:val="00D34C6A"/>
    <w:rsid w:val="00D34DF9"/>
    <w:rsid w:val="00D3512D"/>
    <w:rsid w:val="00D353C6"/>
    <w:rsid w:val="00D35DA8"/>
    <w:rsid w:val="00D36466"/>
    <w:rsid w:val="00D36B44"/>
    <w:rsid w:val="00D379DD"/>
    <w:rsid w:val="00D37DB1"/>
    <w:rsid w:val="00D37FA9"/>
    <w:rsid w:val="00D405F9"/>
    <w:rsid w:val="00D405FC"/>
    <w:rsid w:val="00D4139A"/>
    <w:rsid w:val="00D41BA2"/>
    <w:rsid w:val="00D42384"/>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251A"/>
    <w:rsid w:val="00D52640"/>
    <w:rsid w:val="00D53036"/>
    <w:rsid w:val="00D538B5"/>
    <w:rsid w:val="00D540E6"/>
    <w:rsid w:val="00D5452F"/>
    <w:rsid w:val="00D54B4A"/>
    <w:rsid w:val="00D54DDF"/>
    <w:rsid w:val="00D55046"/>
    <w:rsid w:val="00D553C3"/>
    <w:rsid w:val="00D557BC"/>
    <w:rsid w:val="00D557FA"/>
    <w:rsid w:val="00D55A25"/>
    <w:rsid w:val="00D55C02"/>
    <w:rsid w:val="00D563B4"/>
    <w:rsid w:val="00D56BB9"/>
    <w:rsid w:val="00D5785E"/>
    <w:rsid w:val="00D578CA"/>
    <w:rsid w:val="00D57A60"/>
    <w:rsid w:val="00D57ED4"/>
    <w:rsid w:val="00D6037C"/>
    <w:rsid w:val="00D60F5B"/>
    <w:rsid w:val="00D614C6"/>
    <w:rsid w:val="00D614D3"/>
    <w:rsid w:val="00D61941"/>
    <w:rsid w:val="00D61C25"/>
    <w:rsid w:val="00D62A37"/>
    <w:rsid w:val="00D62CC9"/>
    <w:rsid w:val="00D62D11"/>
    <w:rsid w:val="00D6336F"/>
    <w:rsid w:val="00D63707"/>
    <w:rsid w:val="00D63D7A"/>
    <w:rsid w:val="00D645E9"/>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D69"/>
    <w:rsid w:val="00D73279"/>
    <w:rsid w:val="00D744AC"/>
    <w:rsid w:val="00D74F90"/>
    <w:rsid w:val="00D75179"/>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6017"/>
    <w:rsid w:val="00D87040"/>
    <w:rsid w:val="00D874A4"/>
    <w:rsid w:val="00D8764F"/>
    <w:rsid w:val="00D87BFE"/>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EE7"/>
    <w:rsid w:val="00DA1178"/>
    <w:rsid w:val="00DA133A"/>
    <w:rsid w:val="00DA1853"/>
    <w:rsid w:val="00DA1A9D"/>
    <w:rsid w:val="00DA2B04"/>
    <w:rsid w:val="00DA2B4C"/>
    <w:rsid w:val="00DA2BA0"/>
    <w:rsid w:val="00DA33DB"/>
    <w:rsid w:val="00DA3756"/>
    <w:rsid w:val="00DA39C5"/>
    <w:rsid w:val="00DA3D5D"/>
    <w:rsid w:val="00DA4BC9"/>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9C"/>
    <w:rsid w:val="00DE5F4A"/>
    <w:rsid w:val="00DE6192"/>
    <w:rsid w:val="00DE6727"/>
    <w:rsid w:val="00DE68D8"/>
    <w:rsid w:val="00DE6AA0"/>
    <w:rsid w:val="00DE6EE2"/>
    <w:rsid w:val="00DE7474"/>
    <w:rsid w:val="00DE7E8F"/>
    <w:rsid w:val="00DF0BC0"/>
    <w:rsid w:val="00DF0EB0"/>
    <w:rsid w:val="00DF15F7"/>
    <w:rsid w:val="00DF2577"/>
    <w:rsid w:val="00DF2815"/>
    <w:rsid w:val="00DF2939"/>
    <w:rsid w:val="00DF2A02"/>
    <w:rsid w:val="00DF2E7F"/>
    <w:rsid w:val="00DF2EAF"/>
    <w:rsid w:val="00DF30EE"/>
    <w:rsid w:val="00DF3FAB"/>
    <w:rsid w:val="00DF4F27"/>
    <w:rsid w:val="00DF56AC"/>
    <w:rsid w:val="00DF5ABC"/>
    <w:rsid w:val="00DF629E"/>
    <w:rsid w:val="00DF6520"/>
    <w:rsid w:val="00DF691E"/>
    <w:rsid w:val="00DF6AE7"/>
    <w:rsid w:val="00DF6FFD"/>
    <w:rsid w:val="00DF7F37"/>
    <w:rsid w:val="00E00F2C"/>
    <w:rsid w:val="00E02403"/>
    <w:rsid w:val="00E027E8"/>
    <w:rsid w:val="00E03BC7"/>
    <w:rsid w:val="00E03DD2"/>
    <w:rsid w:val="00E0496B"/>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F5D"/>
    <w:rsid w:val="00E1203B"/>
    <w:rsid w:val="00E129D4"/>
    <w:rsid w:val="00E12A5F"/>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DCE"/>
    <w:rsid w:val="00E46480"/>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730C"/>
    <w:rsid w:val="00E600E6"/>
    <w:rsid w:val="00E605BC"/>
    <w:rsid w:val="00E60808"/>
    <w:rsid w:val="00E6094F"/>
    <w:rsid w:val="00E61326"/>
    <w:rsid w:val="00E61434"/>
    <w:rsid w:val="00E614AA"/>
    <w:rsid w:val="00E61535"/>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AE"/>
    <w:rsid w:val="00E914EB"/>
    <w:rsid w:val="00E9195F"/>
    <w:rsid w:val="00E91DC0"/>
    <w:rsid w:val="00E926BB"/>
    <w:rsid w:val="00E92D25"/>
    <w:rsid w:val="00E9315C"/>
    <w:rsid w:val="00E93873"/>
    <w:rsid w:val="00E93B9A"/>
    <w:rsid w:val="00E93DFD"/>
    <w:rsid w:val="00E94BC6"/>
    <w:rsid w:val="00E953D1"/>
    <w:rsid w:val="00E9541D"/>
    <w:rsid w:val="00E96D96"/>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78AE"/>
    <w:rsid w:val="00EB0206"/>
    <w:rsid w:val="00EB034D"/>
    <w:rsid w:val="00EB040E"/>
    <w:rsid w:val="00EB1389"/>
    <w:rsid w:val="00EB16CF"/>
    <w:rsid w:val="00EB21C9"/>
    <w:rsid w:val="00EB2782"/>
    <w:rsid w:val="00EB2EE9"/>
    <w:rsid w:val="00EB3216"/>
    <w:rsid w:val="00EB3A2B"/>
    <w:rsid w:val="00EB493D"/>
    <w:rsid w:val="00EB4A40"/>
    <w:rsid w:val="00EB50A0"/>
    <w:rsid w:val="00EB5BE2"/>
    <w:rsid w:val="00EB63CA"/>
    <w:rsid w:val="00EB6539"/>
    <w:rsid w:val="00EB6697"/>
    <w:rsid w:val="00EB7C30"/>
    <w:rsid w:val="00EB7E3F"/>
    <w:rsid w:val="00EB7E66"/>
    <w:rsid w:val="00EC02BE"/>
    <w:rsid w:val="00EC0339"/>
    <w:rsid w:val="00EC03A5"/>
    <w:rsid w:val="00EC05B7"/>
    <w:rsid w:val="00EC06E2"/>
    <w:rsid w:val="00EC0703"/>
    <w:rsid w:val="00EC1653"/>
    <w:rsid w:val="00EC1864"/>
    <w:rsid w:val="00EC2B72"/>
    <w:rsid w:val="00EC3BF8"/>
    <w:rsid w:val="00EC401B"/>
    <w:rsid w:val="00EC49A0"/>
    <w:rsid w:val="00EC4CC2"/>
    <w:rsid w:val="00EC4E64"/>
    <w:rsid w:val="00EC56C4"/>
    <w:rsid w:val="00EC5819"/>
    <w:rsid w:val="00EC5B15"/>
    <w:rsid w:val="00EC5F03"/>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86F"/>
    <w:rsid w:val="00ED79EE"/>
    <w:rsid w:val="00ED7B5B"/>
    <w:rsid w:val="00ED7F42"/>
    <w:rsid w:val="00EE02EB"/>
    <w:rsid w:val="00EE0C19"/>
    <w:rsid w:val="00EE1262"/>
    <w:rsid w:val="00EE1385"/>
    <w:rsid w:val="00EE265E"/>
    <w:rsid w:val="00EE280D"/>
    <w:rsid w:val="00EE2EC9"/>
    <w:rsid w:val="00EE3046"/>
    <w:rsid w:val="00EE385A"/>
    <w:rsid w:val="00EE3E16"/>
    <w:rsid w:val="00EE417D"/>
    <w:rsid w:val="00EE460E"/>
    <w:rsid w:val="00EE489D"/>
    <w:rsid w:val="00EE5241"/>
    <w:rsid w:val="00EE53A4"/>
    <w:rsid w:val="00EE55C6"/>
    <w:rsid w:val="00EE5687"/>
    <w:rsid w:val="00EE5E14"/>
    <w:rsid w:val="00EE618B"/>
    <w:rsid w:val="00EE6330"/>
    <w:rsid w:val="00EE651A"/>
    <w:rsid w:val="00EE6829"/>
    <w:rsid w:val="00EE6872"/>
    <w:rsid w:val="00EE6AFC"/>
    <w:rsid w:val="00EE6E27"/>
    <w:rsid w:val="00EE6E7C"/>
    <w:rsid w:val="00EE7578"/>
    <w:rsid w:val="00EE782D"/>
    <w:rsid w:val="00EE7BA6"/>
    <w:rsid w:val="00EF0408"/>
    <w:rsid w:val="00EF05E9"/>
    <w:rsid w:val="00EF0A5F"/>
    <w:rsid w:val="00EF0A73"/>
    <w:rsid w:val="00EF0C71"/>
    <w:rsid w:val="00EF109A"/>
    <w:rsid w:val="00EF166A"/>
    <w:rsid w:val="00EF2175"/>
    <w:rsid w:val="00EF26E2"/>
    <w:rsid w:val="00EF28EE"/>
    <w:rsid w:val="00EF2F72"/>
    <w:rsid w:val="00EF2FDC"/>
    <w:rsid w:val="00EF398A"/>
    <w:rsid w:val="00EF4A8B"/>
    <w:rsid w:val="00EF4EFE"/>
    <w:rsid w:val="00EF5DC1"/>
    <w:rsid w:val="00EF64BE"/>
    <w:rsid w:val="00EF6C6E"/>
    <w:rsid w:val="00EF6CF6"/>
    <w:rsid w:val="00EF6D1F"/>
    <w:rsid w:val="00EF6DC3"/>
    <w:rsid w:val="00EF73AC"/>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C76"/>
    <w:rsid w:val="00F15D70"/>
    <w:rsid w:val="00F16A4B"/>
    <w:rsid w:val="00F16AC3"/>
    <w:rsid w:val="00F16EA6"/>
    <w:rsid w:val="00F1758E"/>
    <w:rsid w:val="00F17918"/>
    <w:rsid w:val="00F17D4C"/>
    <w:rsid w:val="00F20059"/>
    <w:rsid w:val="00F20699"/>
    <w:rsid w:val="00F20F9C"/>
    <w:rsid w:val="00F2127F"/>
    <w:rsid w:val="00F21976"/>
    <w:rsid w:val="00F21D9B"/>
    <w:rsid w:val="00F228E3"/>
    <w:rsid w:val="00F22EF9"/>
    <w:rsid w:val="00F23616"/>
    <w:rsid w:val="00F23D8B"/>
    <w:rsid w:val="00F23E06"/>
    <w:rsid w:val="00F250B2"/>
    <w:rsid w:val="00F26897"/>
    <w:rsid w:val="00F26C68"/>
    <w:rsid w:val="00F26DA1"/>
    <w:rsid w:val="00F2750E"/>
    <w:rsid w:val="00F27836"/>
    <w:rsid w:val="00F27B62"/>
    <w:rsid w:val="00F27F03"/>
    <w:rsid w:val="00F27FC0"/>
    <w:rsid w:val="00F30049"/>
    <w:rsid w:val="00F304F2"/>
    <w:rsid w:val="00F305D9"/>
    <w:rsid w:val="00F312A7"/>
    <w:rsid w:val="00F317C1"/>
    <w:rsid w:val="00F31B40"/>
    <w:rsid w:val="00F3221C"/>
    <w:rsid w:val="00F32FC8"/>
    <w:rsid w:val="00F3347A"/>
    <w:rsid w:val="00F337C1"/>
    <w:rsid w:val="00F33CE4"/>
    <w:rsid w:val="00F34894"/>
    <w:rsid w:val="00F36D90"/>
    <w:rsid w:val="00F375A7"/>
    <w:rsid w:val="00F4004D"/>
    <w:rsid w:val="00F407F6"/>
    <w:rsid w:val="00F40FCE"/>
    <w:rsid w:val="00F416BF"/>
    <w:rsid w:val="00F41D5F"/>
    <w:rsid w:val="00F41F65"/>
    <w:rsid w:val="00F420D4"/>
    <w:rsid w:val="00F43424"/>
    <w:rsid w:val="00F43DFC"/>
    <w:rsid w:val="00F43FE9"/>
    <w:rsid w:val="00F441F1"/>
    <w:rsid w:val="00F44541"/>
    <w:rsid w:val="00F44AE4"/>
    <w:rsid w:val="00F454DA"/>
    <w:rsid w:val="00F45600"/>
    <w:rsid w:val="00F458BE"/>
    <w:rsid w:val="00F459BA"/>
    <w:rsid w:val="00F45A03"/>
    <w:rsid w:val="00F463B8"/>
    <w:rsid w:val="00F46508"/>
    <w:rsid w:val="00F46D77"/>
    <w:rsid w:val="00F470D4"/>
    <w:rsid w:val="00F47218"/>
    <w:rsid w:val="00F4754E"/>
    <w:rsid w:val="00F5064E"/>
    <w:rsid w:val="00F5070F"/>
    <w:rsid w:val="00F510E2"/>
    <w:rsid w:val="00F51467"/>
    <w:rsid w:val="00F519BE"/>
    <w:rsid w:val="00F51F39"/>
    <w:rsid w:val="00F52330"/>
    <w:rsid w:val="00F529F2"/>
    <w:rsid w:val="00F52DDA"/>
    <w:rsid w:val="00F530BF"/>
    <w:rsid w:val="00F532B5"/>
    <w:rsid w:val="00F53962"/>
    <w:rsid w:val="00F54086"/>
    <w:rsid w:val="00F54427"/>
    <w:rsid w:val="00F54572"/>
    <w:rsid w:val="00F546D2"/>
    <w:rsid w:val="00F54D19"/>
    <w:rsid w:val="00F54E5C"/>
    <w:rsid w:val="00F551FA"/>
    <w:rsid w:val="00F55396"/>
    <w:rsid w:val="00F553EF"/>
    <w:rsid w:val="00F555F0"/>
    <w:rsid w:val="00F55CE8"/>
    <w:rsid w:val="00F5674C"/>
    <w:rsid w:val="00F5685E"/>
    <w:rsid w:val="00F56C0A"/>
    <w:rsid w:val="00F5709F"/>
    <w:rsid w:val="00F575A4"/>
    <w:rsid w:val="00F577C1"/>
    <w:rsid w:val="00F604BA"/>
    <w:rsid w:val="00F606BE"/>
    <w:rsid w:val="00F60CFB"/>
    <w:rsid w:val="00F610D9"/>
    <w:rsid w:val="00F6142B"/>
    <w:rsid w:val="00F614A1"/>
    <w:rsid w:val="00F61968"/>
    <w:rsid w:val="00F627CD"/>
    <w:rsid w:val="00F62E1B"/>
    <w:rsid w:val="00F63151"/>
    <w:rsid w:val="00F645D0"/>
    <w:rsid w:val="00F64834"/>
    <w:rsid w:val="00F64A4A"/>
    <w:rsid w:val="00F64E93"/>
    <w:rsid w:val="00F65203"/>
    <w:rsid w:val="00F65592"/>
    <w:rsid w:val="00F663F8"/>
    <w:rsid w:val="00F66775"/>
    <w:rsid w:val="00F66909"/>
    <w:rsid w:val="00F66AF0"/>
    <w:rsid w:val="00F66EB5"/>
    <w:rsid w:val="00F66FC8"/>
    <w:rsid w:val="00F67183"/>
    <w:rsid w:val="00F678B6"/>
    <w:rsid w:val="00F706DD"/>
    <w:rsid w:val="00F7077A"/>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A6A"/>
    <w:rsid w:val="00F7703E"/>
    <w:rsid w:val="00F772F5"/>
    <w:rsid w:val="00F773A6"/>
    <w:rsid w:val="00F778EE"/>
    <w:rsid w:val="00F77D1F"/>
    <w:rsid w:val="00F77DC0"/>
    <w:rsid w:val="00F802E7"/>
    <w:rsid w:val="00F8043C"/>
    <w:rsid w:val="00F809CD"/>
    <w:rsid w:val="00F8233A"/>
    <w:rsid w:val="00F825E1"/>
    <w:rsid w:val="00F8276A"/>
    <w:rsid w:val="00F82848"/>
    <w:rsid w:val="00F8294C"/>
    <w:rsid w:val="00F83402"/>
    <w:rsid w:val="00F8392B"/>
    <w:rsid w:val="00F83B09"/>
    <w:rsid w:val="00F855A5"/>
    <w:rsid w:val="00F86251"/>
    <w:rsid w:val="00F86BDB"/>
    <w:rsid w:val="00F9180B"/>
    <w:rsid w:val="00F91968"/>
    <w:rsid w:val="00F92CFC"/>
    <w:rsid w:val="00F930A7"/>
    <w:rsid w:val="00F93621"/>
    <w:rsid w:val="00F93BCA"/>
    <w:rsid w:val="00F93CAD"/>
    <w:rsid w:val="00F93D56"/>
    <w:rsid w:val="00F93DAF"/>
    <w:rsid w:val="00F93F15"/>
    <w:rsid w:val="00F9470A"/>
    <w:rsid w:val="00F94CF7"/>
    <w:rsid w:val="00F9519D"/>
    <w:rsid w:val="00F95688"/>
    <w:rsid w:val="00F96518"/>
    <w:rsid w:val="00F96AC8"/>
    <w:rsid w:val="00F97056"/>
    <w:rsid w:val="00F97074"/>
    <w:rsid w:val="00F970BE"/>
    <w:rsid w:val="00F97375"/>
    <w:rsid w:val="00FA0A87"/>
    <w:rsid w:val="00FA2822"/>
    <w:rsid w:val="00FA2E1B"/>
    <w:rsid w:val="00FA34F5"/>
    <w:rsid w:val="00FA34FF"/>
    <w:rsid w:val="00FA35A9"/>
    <w:rsid w:val="00FA3628"/>
    <w:rsid w:val="00FA3CF5"/>
    <w:rsid w:val="00FA3F2B"/>
    <w:rsid w:val="00FA3FEB"/>
    <w:rsid w:val="00FA4212"/>
    <w:rsid w:val="00FA4320"/>
    <w:rsid w:val="00FA445A"/>
    <w:rsid w:val="00FA5053"/>
    <w:rsid w:val="00FA59F5"/>
    <w:rsid w:val="00FA60F0"/>
    <w:rsid w:val="00FA6A2C"/>
    <w:rsid w:val="00FA709B"/>
    <w:rsid w:val="00FA791F"/>
    <w:rsid w:val="00FA79F8"/>
    <w:rsid w:val="00FA7A7E"/>
    <w:rsid w:val="00FA7C3C"/>
    <w:rsid w:val="00FB08AE"/>
    <w:rsid w:val="00FB0E8B"/>
    <w:rsid w:val="00FB15D0"/>
    <w:rsid w:val="00FB22A4"/>
    <w:rsid w:val="00FB2578"/>
    <w:rsid w:val="00FB26BC"/>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F9A"/>
    <w:rsid w:val="00FC70D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D45"/>
    <w:rsid w:val="00FF4047"/>
    <w:rsid w:val="00FF42E8"/>
    <w:rsid w:val="00FF44EA"/>
    <w:rsid w:val="00FF4B84"/>
    <w:rsid w:val="00FF504D"/>
    <w:rsid w:val="00FF5664"/>
    <w:rsid w:val="00FF5D9C"/>
    <w:rsid w:val="00FF69C6"/>
    <w:rsid w:val="00FF7D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1E2C3"/>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DC2084"/>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italia/covid19-opendata-vaccini/blob/master/dati/platea-second-booster.csv"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trovanorme.salute.gov.it/norme/renderNormsanPdf?anno=2022&amp;codLeg=88794&amp;parte=1%20&amp;serie=null"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fficio.stampa@gimbe.org"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talia/covid19-opendata-vaccini/blob/master/dati/platea-dose-addizionale-booster.csv"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virus.gimbe.org"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yperlink" Target="https://www.salute.gov.it/portale/nuovocoronavirus/Circolare23settembre2022.pdf" TargetMode="External"/><Relationship Id="rId14" Type="http://schemas.openxmlformats.org/officeDocument/2006/relationships/hyperlink" Target="https://www.who.int/europe/publications/i/item/WHO-EURO-2022-5851-45616-65461"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microsoft.com/office/2018/08/relationships/commentsExtensible" Target="commentsExtensible.xml"/><Relationship Id="rId8" Type="http://schemas.openxmlformats.org/officeDocument/2006/relationships/hyperlink" Target="https://www.epicentro.iss.it/coronavirus/bollettino/Bollettino-sorveglianza-integrata-COVID-19_21-settembre-2022.pdf"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859E-35CA-476F-BBB2-8F2050D6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2541</Words>
  <Characters>14484</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7</cp:revision>
  <cp:lastPrinted>2022-08-24T13:12:00Z</cp:lastPrinted>
  <dcterms:created xsi:type="dcterms:W3CDTF">2022-09-28T12:58:00Z</dcterms:created>
  <dcterms:modified xsi:type="dcterms:W3CDTF">2022-09-29T10:10:00Z</dcterms:modified>
</cp:coreProperties>
</file>