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460DB4" w:rsidRPr="002269AD" w:rsidRDefault="00151D45" w:rsidP="00460DB4">
      <w:pPr>
        <w:spacing w:after="120"/>
        <w:jc w:val="center"/>
        <w:rPr>
          <w:b/>
          <w:sz w:val="36"/>
          <w:szCs w:val="36"/>
          <w:lang w:eastAsia="it-IT"/>
        </w:rPr>
      </w:pPr>
      <w:r w:rsidRPr="002269AD">
        <w:rPr>
          <w:b/>
          <w:sz w:val="36"/>
          <w:szCs w:val="36"/>
          <w:lang w:eastAsia="it-IT"/>
        </w:rPr>
        <w:t xml:space="preserve">CORONAVIRUS: </w:t>
      </w:r>
      <w:r>
        <w:rPr>
          <w:b/>
          <w:sz w:val="36"/>
          <w:szCs w:val="36"/>
          <w:lang w:eastAsia="it-IT"/>
        </w:rPr>
        <w:t>IN 7 GIORNI +23</w:t>
      </w:r>
      <w:r w:rsidRPr="002269AD">
        <w:rPr>
          <w:b/>
          <w:sz w:val="36"/>
          <w:szCs w:val="36"/>
          <w:lang w:eastAsia="it-IT"/>
        </w:rPr>
        <w:t xml:space="preserve">% </w:t>
      </w:r>
      <w:r>
        <w:rPr>
          <w:b/>
          <w:sz w:val="36"/>
          <w:szCs w:val="36"/>
          <w:lang w:eastAsia="it-IT"/>
        </w:rPr>
        <w:t xml:space="preserve">NUOVI CASI </w:t>
      </w:r>
      <w:r>
        <w:rPr>
          <w:b/>
          <w:sz w:val="36"/>
          <w:szCs w:val="36"/>
          <w:lang w:eastAsia="it-IT"/>
        </w:rPr>
        <w:br/>
      </w:r>
      <w:r w:rsidRPr="002269AD">
        <w:rPr>
          <w:b/>
          <w:sz w:val="36"/>
          <w:szCs w:val="36"/>
          <w:lang w:eastAsia="it-IT"/>
        </w:rPr>
        <w:t>RISPETTO ALLA SETTIMANA PRECEDENTE</w:t>
      </w:r>
      <w:r>
        <w:rPr>
          <w:b/>
          <w:sz w:val="36"/>
          <w:szCs w:val="36"/>
          <w:lang w:eastAsia="it-IT"/>
        </w:rPr>
        <w:br/>
        <w:t>STOP A POSIZIONI ESTREME CHE DISORIENTANO CIT</w:t>
      </w:r>
      <w:bookmarkStart w:id="0" w:name="_GoBack"/>
      <w:bookmarkEnd w:id="0"/>
      <w:r>
        <w:rPr>
          <w:b/>
          <w:sz w:val="36"/>
          <w:szCs w:val="36"/>
          <w:lang w:eastAsia="it-IT"/>
        </w:rPr>
        <w:t>TADINI</w:t>
      </w:r>
    </w:p>
    <w:p w:rsidR="0090558C" w:rsidRPr="00F96F71" w:rsidRDefault="005862D2" w:rsidP="00F96F71">
      <w:pPr>
        <w:spacing w:after="120"/>
        <w:jc w:val="both"/>
        <w:rPr>
          <w:b/>
          <w:sz w:val="23"/>
          <w:szCs w:val="23"/>
          <w:lang w:eastAsia="it-IT"/>
        </w:rPr>
      </w:pPr>
      <w:r>
        <w:rPr>
          <w:b/>
          <w:sz w:val="23"/>
          <w:szCs w:val="23"/>
          <w:lang w:eastAsia="it-IT"/>
        </w:rPr>
        <w:t>NEL</w:t>
      </w:r>
      <w:r w:rsidR="00100F54">
        <w:rPr>
          <w:b/>
          <w:sz w:val="23"/>
          <w:szCs w:val="23"/>
          <w:lang w:eastAsia="it-IT"/>
        </w:rPr>
        <w:t>LA SETTIMANA</w:t>
      </w:r>
      <w:r>
        <w:rPr>
          <w:b/>
          <w:sz w:val="23"/>
          <w:szCs w:val="23"/>
          <w:lang w:eastAsia="it-IT"/>
        </w:rPr>
        <w:t xml:space="preserve"> 22-28</w:t>
      </w:r>
      <w:r w:rsidR="008064EA">
        <w:rPr>
          <w:b/>
          <w:sz w:val="23"/>
          <w:szCs w:val="23"/>
          <w:lang w:eastAsia="it-IT"/>
        </w:rPr>
        <w:t xml:space="preserve"> LUGLIO</w:t>
      </w:r>
      <w:r w:rsidR="00100F54">
        <w:rPr>
          <w:b/>
          <w:sz w:val="23"/>
          <w:szCs w:val="23"/>
          <w:lang w:eastAsia="it-IT"/>
        </w:rPr>
        <w:t>, RISPETTO</w:t>
      </w:r>
      <w:r w:rsidR="00001CEF">
        <w:rPr>
          <w:b/>
          <w:sz w:val="23"/>
          <w:szCs w:val="23"/>
          <w:lang w:eastAsia="it-IT"/>
        </w:rPr>
        <w:t xml:space="preserve"> ALLA PRECEDENTE</w:t>
      </w:r>
      <w:r w:rsidR="00C036E5">
        <w:rPr>
          <w:b/>
          <w:sz w:val="23"/>
          <w:szCs w:val="23"/>
          <w:lang w:eastAsia="it-IT"/>
        </w:rPr>
        <w:t>,</w:t>
      </w:r>
      <w:r w:rsidR="00100F54">
        <w:rPr>
          <w:b/>
          <w:sz w:val="23"/>
          <w:szCs w:val="23"/>
          <w:lang w:eastAsia="it-IT"/>
        </w:rPr>
        <w:t xml:space="preserve"> NUMERI IN AUMENTO</w:t>
      </w:r>
      <w:r w:rsidR="00001CEF">
        <w:rPr>
          <w:b/>
          <w:sz w:val="23"/>
          <w:szCs w:val="23"/>
          <w:lang w:eastAsia="it-IT"/>
        </w:rPr>
        <w:t>: +</w:t>
      </w:r>
      <w:r w:rsidR="000A1C07">
        <w:rPr>
          <w:b/>
          <w:sz w:val="23"/>
          <w:szCs w:val="23"/>
          <w:lang w:eastAsia="it-IT"/>
        </w:rPr>
        <w:t xml:space="preserve">328 </w:t>
      </w:r>
      <w:r w:rsidR="00C94612">
        <w:rPr>
          <w:b/>
          <w:sz w:val="23"/>
          <w:szCs w:val="23"/>
          <w:lang w:eastAsia="it-IT"/>
        </w:rPr>
        <w:t>NUOVI CASI</w:t>
      </w:r>
      <w:r w:rsidR="008064EA">
        <w:rPr>
          <w:b/>
          <w:sz w:val="23"/>
          <w:szCs w:val="23"/>
          <w:lang w:eastAsia="it-IT"/>
        </w:rPr>
        <w:t xml:space="preserve">, </w:t>
      </w:r>
      <w:r w:rsidR="00001CEF">
        <w:rPr>
          <w:b/>
          <w:sz w:val="23"/>
          <w:szCs w:val="23"/>
          <w:lang w:eastAsia="it-IT"/>
        </w:rPr>
        <w:t xml:space="preserve">+361 </w:t>
      </w:r>
      <w:r w:rsidR="008064EA">
        <w:rPr>
          <w:b/>
          <w:sz w:val="23"/>
          <w:szCs w:val="23"/>
          <w:lang w:eastAsia="it-IT"/>
        </w:rPr>
        <w:t>“ATTUALMENTE POSITIVI” E</w:t>
      </w:r>
      <w:r w:rsidR="00FE21F9">
        <w:rPr>
          <w:b/>
          <w:sz w:val="23"/>
          <w:szCs w:val="23"/>
          <w:lang w:eastAsia="it-IT"/>
        </w:rPr>
        <w:t>,</w:t>
      </w:r>
      <w:r w:rsidR="008064EA">
        <w:rPr>
          <w:b/>
          <w:sz w:val="23"/>
          <w:szCs w:val="23"/>
          <w:lang w:eastAsia="it-IT"/>
        </w:rPr>
        <w:t xml:space="preserve"> </w:t>
      </w:r>
      <w:r w:rsidR="00C94612">
        <w:rPr>
          <w:b/>
          <w:sz w:val="23"/>
          <w:szCs w:val="23"/>
          <w:lang w:eastAsia="it-IT"/>
        </w:rPr>
        <w:t>PER LA PRIMA VOLTA DOPO MESI DI COSTANTE RIDUZIONE, INCREMENTO DEI PAZIENTI RICOVERATI CON SINTOMI (+17)</w:t>
      </w:r>
      <w:r w:rsidR="00F96F71" w:rsidRPr="00F96F71">
        <w:rPr>
          <w:b/>
          <w:sz w:val="23"/>
          <w:szCs w:val="23"/>
          <w:lang w:eastAsia="it-IT"/>
        </w:rPr>
        <w:t xml:space="preserve">. </w:t>
      </w:r>
      <w:r w:rsidR="00FE21F9">
        <w:rPr>
          <w:b/>
          <w:sz w:val="23"/>
          <w:szCs w:val="23"/>
          <w:lang w:eastAsia="it-IT"/>
        </w:rPr>
        <w:t>CONFERMATA LA</w:t>
      </w:r>
      <w:r w:rsidR="008064EA">
        <w:rPr>
          <w:b/>
          <w:sz w:val="23"/>
          <w:szCs w:val="23"/>
          <w:lang w:eastAsia="it-IT"/>
        </w:rPr>
        <w:t xml:space="preserve"> </w:t>
      </w:r>
      <w:r w:rsidR="008064EA" w:rsidRPr="00F96F71">
        <w:rPr>
          <w:b/>
          <w:sz w:val="23"/>
          <w:szCs w:val="23"/>
          <w:lang w:eastAsia="it-IT"/>
        </w:rPr>
        <w:t>CIRCOLAZIONE ENDEMICA DEL VIRUS</w:t>
      </w:r>
      <w:r w:rsidR="008064EA">
        <w:rPr>
          <w:b/>
          <w:sz w:val="23"/>
          <w:szCs w:val="23"/>
          <w:lang w:eastAsia="it-IT"/>
        </w:rPr>
        <w:t xml:space="preserve"> CON </w:t>
      </w:r>
      <w:r w:rsidR="00A94367">
        <w:rPr>
          <w:b/>
          <w:sz w:val="23"/>
          <w:szCs w:val="23"/>
          <w:lang w:eastAsia="it-IT"/>
        </w:rPr>
        <w:t xml:space="preserve">RILEVANTI </w:t>
      </w:r>
      <w:r w:rsidR="008064EA">
        <w:rPr>
          <w:b/>
          <w:sz w:val="23"/>
          <w:szCs w:val="23"/>
          <w:lang w:eastAsia="it-IT"/>
        </w:rPr>
        <w:t>DIFFERENZE REGIONALI</w:t>
      </w:r>
      <w:r w:rsidR="00E7540C">
        <w:rPr>
          <w:b/>
          <w:sz w:val="23"/>
          <w:szCs w:val="23"/>
          <w:lang w:eastAsia="it-IT"/>
        </w:rPr>
        <w:t xml:space="preserve">: </w:t>
      </w:r>
      <w:r w:rsidR="006576D7" w:rsidRPr="00F96F71">
        <w:rPr>
          <w:b/>
          <w:sz w:val="23"/>
          <w:szCs w:val="23"/>
          <w:lang w:eastAsia="it-IT"/>
        </w:rPr>
        <w:t>DEI 12</w:t>
      </w:r>
      <w:r w:rsidR="00C94612">
        <w:rPr>
          <w:b/>
          <w:sz w:val="23"/>
          <w:szCs w:val="23"/>
          <w:lang w:eastAsia="it-IT"/>
        </w:rPr>
        <w:t>.609</w:t>
      </w:r>
      <w:r w:rsidR="008064EA">
        <w:rPr>
          <w:b/>
          <w:sz w:val="23"/>
          <w:szCs w:val="23"/>
          <w:lang w:eastAsia="it-IT"/>
        </w:rPr>
        <w:t xml:space="preserve"> ATTUALMENTE POSITIVI IL </w:t>
      </w:r>
      <w:r w:rsidR="000A1C07">
        <w:rPr>
          <w:b/>
          <w:sz w:val="23"/>
          <w:szCs w:val="23"/>
          <w:lang w:eastAsia="it-IT"/>
        </w:rPr>
        <w:t>5</w:t>
      </w:r>
      <w:r w:rsidR="00E6747E">
        <w:rPr>
          <w:b/>
          <w:sz w:val="23"/>
          <w:szCs w:val="23"/>
          <w:lang w:eastAsia="it-IT"/>
        </w:rPr>
        <w:t>3</w:t>
      </w:r>
      <w:r w:rsidR="006576D7" w:rsidRPr="00F96F71">
        <w:rPr>
          <w:b/>
          <w:sz w:val="23"/>
          <w:szCs w:val="23"/>
          <w:lang w:eastAsia="it-IT"/>
        </w:rPr>
        <w:t xml:space="preserve">% </w:t>
      </w:r>
      <w:r w:rsidR="00A94367">
        <w:rPr>
          <w:b/>
          <w:sz w:val="23"/>
          <w:szCs w:val="23"/>
          <w:lang w:eastAsia="it-IT"/>
        </w:rPr>
        <w:t>È</w:t>
      </w:r>
      <w:r w:rsidR="006576D7">
        <w:rPr>
          <w:b/>
          <w:sz w:val="23"/>
          <w:szCs w:val="23"/>
          <w:lang w:eastAsia="it-IT"/>
        </w:rPr>
        <w:t xml:space="preserve"> IN</w:t>
      </w:r>
      <w:r w:rsidR="00C9645B">
        <w:rPr>
          <w:b/>
          <w:sz w:val="23"/>
          <w:szCs w:val="23"/>
          <w:lang w:eastAsia="it-IT"/>
        </w:rPr>
        <w:t xml:space="preserve"> </w:t>
      </w:r>
      <w:r w:rsidR="006576D7" w:rsidRPr="00F96F71">
        <w:rPr>
          <w:b/>
          <w:sz w:val="23"/>
          <w:szCs w:val="23"/>
          <w:lang w:eastAsia="it-IT"/>
        </w:rPr>
        <w:t>LOMBARDIA</w:t>
      </w:r>
      <w:r w:rsidR="006576D7">
        <w:rPr>
          <w:b/>
          <w:sz w:val="23"/>
          <w:szCs w:val="23"/>
          <w:lang w:eastAsia="it-IT"/>
        </w:rPr>
        <w:t xml:space="preserve">, IL </w:t>
      </w:r>
      <w:r w:rsidR="008064EA">
        <w:rPr>
          <w:b/>
          <w:sz w:val="23"/>
          <w:szCs w:val="23"/>
          <w:lang w:eastAsia="it-IT"/>
        </w:rPr>
        <w:t xml:space="preserve">37,4% SI </w:t>
      </w:r>
      <w:r w:rsidR="00A94367">
        <w:rPr>
          <w:b/>
          <w:sz w:val="23"/>
          <w:szCs w:val="23"/>
          <w:lang w:eastAsia="it-IT"/>
        </w:rPr>
        <w:t xml:space="preserve">DISTRIBUISCE </w:t>
      </w:r>
      <w:r w:rsidR="006576D7">
        <w:rPr>
          <w:b/>
          <w:sz w:val="23"/>
          <w:szCs w:val="23"/>
          <w:lang w:eastAsia="it-IT"/>
        </w:rPr>
        <w:t>TRA EMILIA ROMAGNA, LAZIO, PIEMONTE, VENETO</w:t>
      </w:r>
      <w:r w:rsidR="008064EA">
        <w:rPr>
          <w:b/>
          <w:sz w:val="23"/>
          <w:szCs w:val="23"/>
          <w:lang w:eastAsia="it-IT"/>
        </w:rPr>
        <w:t>, CAMPANIA E TOSCANA E</w:t>
      </w:r>
      <w:r w:rsidR="006576D7">
        <w:rPr>
          <w:b/>
          <w:sz w:val="23"/>
          <w:szCs w:val="23"/>
          <w:lang w:eastAsia="it-IT"/>
        </w:rPr>
        <w:t xml:space="preserve"> IL </w:t>
      </w:r>
      <w:r w:rsidR="008064EA">
        <w:rPr>
          <w:b/>
          <w:sz w:val="23"/>
          <w:szCs w:val="23"/>
          <w:lang w:eastAsia="it-IT"/>
        </w:rPr>
        <w:t>9,</w:t>
      </w:r>
      <w:r w:rsidR="000A1C07">
        <w:rPr>
          <w:b/>
          <w:sz w:val="23"/>
          <w:szCs w:val="23"/>
          <w:lang w:eastAsia="it-IT"/>
        </w:rPr>
        <w:t>6</w:t>
      </w:r>
      <w:r w:rsidR="006576D7">
        <w:rPr>
          <w:b/>
          <w:sz w:val="23"/>
          <w:szCs w:val="23"/>
          <w:lang w:eastAsia="it-IT"/>
        </w:rPr>
        <w:t xml:space="preserve">% </w:t>
      </w:r>
      <w:r w:rsidR="00C9645B">
        <w:rPr>
          <w:b/>
          <w:sz w:val="23"/>
          <w:szCs w:val="23"/>
          <w:lang w:eastAsia="it-IT"/>
        </w:rPr>
        <w:t xml:space="preserve">NELLE </w:t>
      </w:r>
      <w:r w:rsidR="006576D7">
        <w:rPr>
          <w:b/>
          <w:sz w:val="23"/>
          <w:szCs w:val="23"/>
          <w:lang w:eastAsia="it-IT"/>
        </w:rPr>
        <w:t xml:space="preserve">ALTRE REGIONI. </w:t>
      </w:r>
      <w:r w:rsidR="00E646EE" w:rsidRPr="00901D22">
        <w:rPr>
          <w:b/>
          <w:sz w:val="23"/>
          <w:szCs w:val="23"/>
          <w:lang w:eastAsia="it-IT"/>
        </w:rPr>
        <w:t>DAVANTI A NUMERI IN CRESCITA</w:t>
      </w:r>
      <w:r w:rsidR="0023363F">
        <w:rPr>
          <w:b/>
          <w:sz w:val="23"/>
          <w:szCs w:val="23"/>
          <w:lang w:eastAsia="it-IT"/>
        </w:rPr>
        <w:t>,</w:t>
      </w:r>
      <w:r w:rsidR="001F4A0A">
        <w:rPr>
          <w:b/>
          <w:sz w:val="23"/>
          <w:szCs w:val="23"/>
          <w:lang w:eastAsia="it-IT"/>
        </w:rPr>
        <w:t xml:space="preserve"> </w:t>
      </w:r>
      <w:r w:rsidR="00460DB4">
        <w:rPr>
          <w:b/>
          <w:sz w:val="23"/>
          <w:szCs w:val="23"/>
          <w:lang w:eastAsia="it-IT"/>
        </w:rPr>
        <w:t xml:space="preserve">LA FONDAZIONE GIMBE </w:t>
      </w:r>
      <w:r w:rsidR="001F4A0A">
        <w:rPr>
          <w:b/>
          <w:sz w:val="23"/>
          <w:szCs w:val="23"/>
          <w:lang w:eastAsia="it-IT"/>
        </w:rPr>
        <w:t>ESORTA</w:t>
      </w:r>
      <w:r w:rsidR="00460DB4">
        <w:rPr>
          <w:b/>
          <w:sz w:val="23"/>
          <w:szCs w:val="23"/>
          <w:lang w:eastAsia="it-IT"/>
        </w:rPr>
        <w:t xml:space="preserve"> </w:t>
      </w:r>
      <w:r w:rsidR="00A94367" w:rsidRPr="00901D22">
        <w:rPr>
          <w:b/>
          <w:sz w:val="23"/>
          <w:szCs w:val="23"/>
          <w:lang w:eastAsia="it-IT"/>
        </w:rPr>
        <w:t>POLITICA E ISTITUZIONI</w:t>
      </w:r>
      <w:r w:rsidR="00A94367">
        <w:rPr>
          <w:b/>
          <w:sz w:val="23"/>
          <w:szCs w:val="23"/>
          <w:lang w:eastAsia="it-IT"/>
        </w:rPr>
        <w:t xml:space="preserve"> </w:t>
      </w:r>
      <w:r w:rsidR="00460DB4">
        <w:rPr>
          <w:b/>
          <w:sz w:val="23"/>
          <w:szCs w:val="23"/>
          <w:lang w:eastAsia="it-IT"/>
        </w:rPr>
        <w:t xml:space="preserve">A </w:t>
      </w:r>
      <w:r w:rsidR="00A94367">
        <w:rPr>
          <w:b/>
          <w:sz w:val="23"/>
          <w:szCs w:val="23"/>
          <w:lang w:eastAsia="it-IT"/>
        </w:rPr>
        <w:t xml:space="preserve">GARANTIRE </w:t>
      </w:r>
      <w:r w:rsidR="00E646EE" w:rsidRPr="00901D22">
        <w:rPr>
          <w:b/>
          <w:sz w:val="23"/>
          <w:szCs w:val="23"/>
          <w:lang w:eastAsia="it-IT"/>
        </w:rPr>
        <w:t xml:space="preserve">UNA </w:t>
      </w:r>
      <w:r w:rsidR="00FA45AE">
        <w:rPr>
          <w:b/>
          <w:sz w:val="23"/>
          <w:szCs w:val="23"/>
          <w:lang w:eastAsia="it-IT"/>
        </w:rPr>
        <w:t xml:space="preserve">COMUNICAZIONE </w:t>
      </w:r>
      <w:r w:rsidR="00460DB4">
        <w:rPr>
          <w:b/>
          <w:sz w:val="23"/>
          <w:szCs w:val="23"/>
          <w:lang w:eastAsia="it-IT"/>
        </w:rPr>
        <w:t xml:space="preserve">OGGETTIVA, EQUILIBRATA E </w:t>
      </w:r>
      <w:r w:rsidR="00E646EE" w:rsidRPr="00901D22">
        <w:rPr>
          <w:b/>
          <w:sz w:val="23"/>
          <w:szCs w:val="23"/>
          <w:lang w:eastAsia="it-IT"/>
        </w:rPr>
        <w:t xml:space="preserve">COERENTE </w:t>
      </w:r>
      <w:r w:rsidR="00597447">
        <w:rPr>
          <w:b/>
          <w:sz w:val="23"/>
          <w:szCs w:val="23"/>
          <w:lang w:eastAsia="it-IT"/>
        </w:rPr>
        <w:t>PER NON DISORIENTARE I CITTADINI.</w:t>
      </w:r>
    </w:p>
    <w:p w:rsidR="00B443D8" w:rsidRDefault="00072E7C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30 </w:t>
      </w:r>
      <w:r w:rsidR="0069637C">
        <w:rPr>
          <w:rFonts w:ascii="Calibri" w:eastAsia="Calibri" w:hAnsi="Calibri" w:cs="Times New Roman"/>
          <w:b/>
          <w:bCs/>
          <w:sz w:val="24"/>
          <w:szCs w:val="24"/>
        </w:rPr>
        <w:t>luglio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 xml:space="preserve"> 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E1B70" w:rsidRDefault="00406DC9" w:rsidP="0069637C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Fondazione GIMBE </w:t>
      </w:r>
      <w:r w:rsidR="00C036E5">
        <w:rPr>
          <w:lang w:eastAsia="it-IT"/>
        </w:rPr>
        <w:t xml:space="preserve">rileva </w:t>
      </w:r>
      <w:r>
        <w:t>n</w:t>
      </w:r>
      <w:r w:rsidR="00DD06F4">
        <w:t xml:space="preserve">ella settimana </w:t>
      </w:r>
      <w:r w:rsidR="008064EA">
        <w:t>22-28</w:t>
      </w:r>
      <w:r w:rsidR="00A73F90">
        <w:t xml:space="preserve"> luglio, rispetto alla precedente, </w:t>
      </w:r>
      <w:r w:rsidR="005862D2">
        <w:rPr>
          <w:lang w:eastAsia="it-IT"/>
        </w:rPr>
        <w:t xml:space="preserve">un </w:t>
      </w:r>
      <w:r w:rsidR="00DD06F4">
        <w:rPr>
          <w:lang w:eastAsia="it-IT"/>
        </w:rPr>
        <w:t xml:space="preserve">incremento </w:t>
      </w:r>
      <w:r w:rsidR="00E6747E">
        <w:rPr>
          <w:lang w:eastAsia="it-IT"/>
        </w:rPr>
        <w:t xml:space="preserve">del 23,3% </w:t>
      </w:r>
      <w:r w:rsidR="00DD06F4">
        <w:rPr>
          <w:lang w:eastAsia="it-IT"/>
        </w:rPr>
        <w:t>dei nuovi casi (</w:t>
      </w:r>
      <w:r w:rsidR="005862D2">
        <w:rPr>
          <w:lang w:eastAsia="it-IT"/>
        </w:rPr>
        <w:t xml:space="preserve">1.736 vs </w:t>
      </w:r>
      <w:r w:rsidR="00DD06F4">
        <w:rPr>
          <w:lang w:eastAsia="it-IT"/>
        </w:rPr>
        <w:t>1.408</w:t>
      </w:r>
      <w:r w:rsidR="00796E28">
        <w:rPr>
          <w:lang w:eastAsia="it-IT"/>
        </w:rPr>
        <w:t>)</w:t>
      </w:r>
      <w:r w:rsidR="00E6747E">
        <w:rPr>
          <w:lang w:eastAsia="it-IT"/>
        </w:rPr>
        <w:t xml:space="preserve">, </w:t>
      </w:r>
      <w:r w:rsidR="00796E28">
        <w:rPr>
          <w:lang w:eastAsia="it-IT"/>
        </w:rPr>
        <w:t>a fronte di un</w:t>
      </w:r>
      <w:r w:rsidR="00DD06F4">
        <w:rPr>
          <w:lang w:eastAsia="it-IT"/>
        </w:rPr>
        <w:t xml:space="preserve"> lieve </w:t>
      </w:r>
      <w:r w:rsidR="00796E28">
        <w:rPr>
          <w:lang w:eastAsia="it-IT"/>
        </w:rPr>
        <w:t>aumento</w:t>
      </w:r>
      <w:r w:rsidR="00DD06F4">
        <w:rPr>
          <w:lang w:eastAsia="it-IT"/>
        </w:rPr>
        <w:t xml:space="preserve"> de</w:t>
      </w:r>
      <w:r w:rsidR="00191361">
        <w:rPr>
          <w:lang w:eastAsia="it-IT"/>
        </w:rPr>
        <w:t>l numero di</w:t>
      </w:r>
      <w:r w:rsidR="00DD06F4">
        <w:rPr>
          <w:lang w:eastAsia="it-IT"/>
        </w:rPr>
        <w:t xml:space="preserve"> </w:t>
      </w:r>
      <w:r w:rsidR="00DD06F4" w:rsidRPr="007B76C3">
        <w:rPr>
          <w:lang w:eastAsia="it-IT"/>
        </w:rPr>
        <w:t xml:space="preserve">tamponi diagnostici. </w:t>
      </w:r>
      <w:r w:rsidR="00C036E5">
        <w:rPr>
          <w:lang w:eastAsia="it-IT"/>
        </w:rPr>
        <w:t xml:space="preserve">Relativamente </w:t>
      </w:r>
      <w:r w:rsidR="0051437E">
        <w:rPr>
          <w:lang w:eastAsia="it-IT"/>
        </w:rPr>
        <w:t xml:space="preserve">ai dati ospedalieri, se </w:t>
      </w:r>
      <w:r w:rsidR="005862D2">
        <w:rPr>
          <w:lang w:eastAsia="it-IT"/>
        </w:rPr>
        <w:t xml:space="preserve">i pazienti </w:t>
      </w:r>
      <w:r w:rsidR="00825F7D" w:rsidRPr="007B76C3">
        <w:rPr>
          <w:lang w:eastAsia="it-IT"/>
        </w:rPr>
        <w:t xml:space="preserve">in terapia intensiva </w:t>
      </w:r>
      <w:r w:rsidR="0051437E">
        <w:rPr>
          <w:lang w:eastAsia="it-IT"/>
        </w:rPr>
        <w:t xml:space="preserve">diminuiscono </w:t>
      </w:r>
      <w:r w:rsidR="00825F7D" w:rsidRPr="007B76C3">
        <w:rPr>
          <w:lang w:eastAsia="it-IT"/>
        </w:rPr>
        <w:t>(</w:t>
      </w:r>
      <w:r w:rsidR="005862D2">
        <w:rPr>
          <w:lang w:eastAsia="it-IT"/>
        </w:rPr>
        <w:t>40 vs 49</w:t>
      </w:r>
      <w:r w:rsidR="00825F7D" w:rsidRPr="007B76C3">
        <w:rPr>
          <w:lang w:eastAsia="it-IT"/>
        </w:rPr>
        <w:t>)</w:t>
      </w:r>
      <w:r w:rsidR="005862D2">
        <w:rPr>
          <w:lang w:eastAsia="it-IT"/>
        </w:rPr>
        <w:t xml:space="preserve">, </w:t>
      </w:r>
      <w:r w:rsidR="0051437E">
        <w:rPr>
          <w:lang w:eastAsia="it-IT"/>
        </w:rPr>
        <w:t xml:space="preserve">quelli </w:t>
      </w:r>
      <w:r w:rsidR="005862D2">
        <w:rPr>
          <w:lang w:eastAsia="it-IT"/>
        </w:rPr>
        <w:t xml:space="preserve">ricoverati </w:t>
      </w:r>
      <w:r w:rsidR="0051437E">
        <w:rPr>
          <w:lang w:eastAsia="it-IT"/>
        </w:rPr>
        <w:t xml:space="preserve">con sintomi sono in lieve aumento </w:t>
      </w:r>
      <w:r w:rsidR="005862D2" w:rsidRPr="007B76C3">
        <w:rPr>
          <w:lang w:eastAsia="it-IT"/>
        </w:rPr>
        <w:t>(</w:t>
      </w:r>
      <w:r w:rsidR="005862D2">
        <w:rPr>
          <w:lang w:eastAsia="it-IT"/>
        </w:rPr>
        <w:t xml:space="preserve">749 vs </w:t>
      </w:r>
      <w:r w:rsidR="005862D2" w:rsidRPr="007B76C3">
        <w:rPr>
          <w:lang w:eastAsia="it-IT"/>
        </w:rPr>
        <w:t>732)</w:t>
      </w:r>
      <w:r w:rsidR="0069637C" w:rsidRPr="007B76C3">
        <w:rPr>
          <w:lang w:eastAsia="it-IT"/>
        </w:rPr>
        <w:t xml:space="preserve">. In </w:t>
      </w:r>
      <w:r w:rsidR="00C036E5">
        <w:rPr>
          <w:lang w:eastAsia="it-IT"/>
        </w:rPr>
        <w:t>dettaglio</w:t>
      </w:r>
      <w:r w:rsidR="0069637C" w:rsidRPr="007B76C3">
        <w:rPr>
          <w:lang w:eastAsia="it-IT"/>
        </w:rPr>
        <w:t>:</w:t>
      </w:r>
    </w:p>
    <w:p w:rsidR="005E1B70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 xml:space="preserve">Decessi: </w:t>
      </w:r>
      <w:r w:rsidR="005862D2">
        <w:t>50 (+0,1%)</w:t>
      </w:r>
    </w:p>
    <w:p w:rsidR="005E1B70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 xml:space="preserve">Terapia intensiva: </w:t>
      </w:r>
      <w:r w:rsidR="005862D2">
        <w:t>-9 (-18,4%)</w:t>
      </w:r>
    </w:p>
    <w:p w:rsidR="00DD06F4" w:rsidRDefault="00DD06F4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 xml:space="preserve">Ricoverati con sintomi: </w:t>
      </w:r>
      <w:r w:rsidR="0023363F">
        <w:t>+17</w:t>
      </w:r>
      <w:r w:rsidR="005862D2">
        <w:t xml:space="preserve"> (+2,3%)</w:t>
      </w:r>
    </w:p>
    <w:p w:rsidR="005E1B70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Nuovi casi</w:t>
      </w:r>
      <w:r w:rsidR="00DD06F4">
        <w:t xml:space="preserve"> totali</w:t>
      </w:r>
      <w:r>
        <w:t>:</w:t>
      </w:r>
      <w:r w:rsidR="00DD06F4">
        <w:t xml:space="preserve"> </w:t>
      </w:r>
      <w:r w:rsidR="005862D2">
        <w:t>+1.736 (+0,7%)</w:t>
      </w:r>
    </w:p>
    <w:p w:rsidR="00260775" w:rsidRDefault="00260775" w:rsidP="0092337D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>Tamponi diagnostici</w:t>
      </w:r>
      <w:r w:rsidR="00DD06F4">
        <w:t>:</w:t>
      </w:r>
      <w:r>
        <w:t xml:space="preserve"> </w:t>
      </w:r>
      <w:r w:rsidR="0092337D">
        <w:t>+</w:t>
      </w:r>
      <w:r w:rsidR="0092337D" w:rsidRPr="0092337D">
        <w:t xml:space="preserve">17.859 </w:t>
      </w:r>
      <w:r w:rsidR="0092337D">
        <w:t>(+</w:t>
      </w:r>
      <w:r w:rsidR="00E7540C">
        <w:t>10,4</w:t>
      </w:r>
      <w:r w:rsidR="0092337D" w:rsidRPr="0092337D">
        <w:t>%</w:t>
      </w:r>
      <w:r w:rsidR="0092337D">
        <w:t>)</w:t>
      </w:r>
    </w:p>
    <w:p w:rsidR="00260775" w:rsidRDefault="00260775" w:rsidP="0092337D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Tamponi totali: </w:t>
      </w:r>
      <w:r w:rsidR="009D6AEE">
        <w:t>+</w:t>
      </w:r>
      <w:r w:rsidR="0092337D" w:rsidRPr="0092337D">
        <w:t xml:space="preserve">28.080 </w:t>
      </w:r>
      <w:r w:rsidR="009D6AEE">
        <w:t>(+</w:t>
      </w:r>
      <w:r w:rsidR="00E7540C">
        <w:t>9,3</w:t>
      </w:r>
      <w:r w:rsidR="009D6AEE" w:rsidRPr="009D6AEE">
        <w:t>%</w:t>
      </w:r>
      <w:r w:rsidR="009D6AEE">
        <w:t>)</w:t>
      </w:r>
    </w:p>
    <w:p w:rsidR="00611E90" w:rsidRPr="00825F7D" w:rsidRDefault="00611E90" w:rsidP="00611E90">
      <w:pPr>
        <w:spacing w:after="120"/>
        <w:jc w:val="both"/>
        <w:rPr>
          <w:lang w:eastAsia="it-IT"/>
        </w:rPr>
      </w:pPr>
      <w:r w:rsidRPr="00825F7D">
        <w:t>«</w:t>
      </w:r>
      <w:r w:rsidR="00E0665C">
        <w:t xml:space="preserve">Nell’ultima settimana </w:t>
      </w:r>
      <w:r w:rsidR="00E0665C" w:rsidRPr="00825F7D">
        <w:rPr>
          <w:lang w:eastAsia="it-IT"/>
        </w:rPr>
        <w:t>–</w:t>
      </w:r>
      <w:r w:rsidR="00E0665C" w:rsidRPr="00825F7D">
        <w:t xml:space="preserve"> </w:t>
      </w:r>
      <w:r w:rsidR="00E0665C" w:rsidRPr="00825F7D">
        <w:rPr>
          <w:lang w:eastAsia="it-IT"/>
        </w:rPr>
        <w:t xml:space="preserve">afferma Nino Cartabellotta, </w:t>
      </w:r>
      <w:r w:rsidR="00E0665C">
        <w:rPr>
          <w:lang w:eastAsia="it-IT"/>
        </w:rPr>
        <w:t>P</w:t>
      </w:r>
      <w:r w:rsidR="00E0665C" w:rsidRPr="00825F7D">
        <w:rPr>
          <w:lang w:eastAsia="it-IT"/>
        </w:rPr>
        <w:t>residente della Fondazione GIMBE –</w:t>
      </w:r>
      <w:r w:rsidR="00B9098A">
        <w:rPr>
          <w:lang w:eastAsia="it-IT"/>
        </w:rPr>
        <w:t xml:space="preserve"> </w:t>
      </w:r>
      <w:r w:rsidR="00E0665C">
        <w:rPr>
          <w:lang w:eastAsia="it-IT"/>
        </w:rPr>
        <w:t xml:space="preserve">due spie rosse </w:t>
      </w:r>
      <w:r w:rsidR="00B9098A">
        <w:rPr>
          <w:lang w:eastAsia="it-IT"/>
        </w:rPr>
        <w:t xml:space="preserve">confermano </w:t>
      </w:r>
      <w:r w:rsidR="00C036E5">
        <w:rPr>
          <w:lang w:eastAsia="it-IT"/>
        </w:rPr>
        <w:t xml:space="preserve">la necessità di </w:t>
      </w:r>
      <w:r w:rsidR="00E0665C">
        <w:rPr>
          <w:lang w:eastAsia="it-IT"/>
        </w:rPr>
        <w:t xml:space="preserve">mantenere alta </w:t>
      </w:r>
      <w:r w:rsidR="002F743B">
        <w:rPr>
          <w:lang w:eastAsia="it-IT"/>
        </w:rPr>
        <w:t>la guardia</w:t>
      </w:r>
      <w:r w:rsidR="00B9098A">
        <w:rPr>
          <w:lang w:eastAsia="it-IT"/>
        </w:rPr>
        <w:t xml:space="preserve">, senza </w:t>
      </w:r>
      <w:r w:rsidR="00C036E5">
        <w:rPr>
          <w:lang w:eastAsia="it-IT"/>
        </w:rPr>
        <w:t>allarmism</w:t>
      </w:r>
      <w:r w:rsidR="00FE78EE">
        <w:rPr>
          <w:lang w:eastAsia="it-IT"/>
        </w:rPr>
        <w:t>i</w:t>
      </w:r>
      <w:r w:rsidR="00C036E5">
        <w:rPr>
          <w:lang w:eastAsia="it-IT"/>
        </w:rPr>
        <w:t xml:space="preserve"> </w:t>
      </w:r>
      <w:r w:rsidR="00B9098A">
        <w:rPr>
          <w:lang w:eastAsia="it-IT"/>
        </w:rPr>
        <w:t>ma con senso di grande responsabilità</w:t>
      </w:r>
      <w:r w:rsidR="00C036E5">
        <w:rPr>
          <w:lang w:eastAsia="it-IT"/>
        </w:rPr>
        <w:t xml:space="preserve"> individuale e collettiva</w:t>
      </w:r>
      <w:r w:rsidRPr="00825F7D">
        <w:rPr>
          <w:rFonts w:cstheme="minorHAnsi"/>
        </w:rPr>
        <w:t>»</w:t>
      </w:r>
      <w:r w:rsidR="00153964" w:rsidRPr="00825F7D">
        <w:rPr>
          <w:lang w:eastAsia="it-IT"/>
        </w:rPr>
        <w:t>.</w:t>
      </w:r>
      <w:r w:rsidR="00796E28">
        <w:rPr>
          <w:lang w:eastAsia="it-IT"/>
        </w:rPr>
        <w:t xml:space="preserve"> </w:t>
      </w:r>
      <w:r w:rsidR="00C036E5">
        <w:rPr>
          <w:lang w:eastAsia="it-IT"/>
        </w:rPr>
        <w:t>Infatti, o</w:t>
      </w:r>
      <w:r w:rsidR="00B9098A">
        <w:t xml:space="preserve">ltre al netto aumento dei nuovi casi (+ 23,3% rispetto alla settimana precedente), per la prima volta si registra un’inversione di tendenza nel trend dei pazienti ospedalizzati con sintomi, </w:t>
      </w:r>
      <w:r w:rsidR="00C036E5">
        <w:t xml:space="preserve">che era </w:t>
      </w:r>
      <w:r w:rsidR="00B9098A">
        <w:t xml:space="preserve">in costante discesa da inizio aprile. </w:t>
      </w:r>
      <w:r w:rsidR="00796E28">
        <w:rPr>
          <w:lang w:eastAsia="it-IT"/>
        </w:rPr>
        <w:t xml:space="preserve">Una ragione in più per rendere disponibile il numero dei </w:t>
      </w:r>
      <w:r w:rsidR="00306624">
        <w:rPr>
          <w:lang w:eastAsia="it-IT"/>
        </w:rPr>
        <w:t xml:space="preserve">nuovi </w:t>
      </w:r>
      <w:r w:rsidR="00796E28">
        <w:rPr>
          <w:lang w:eastAsia="it-IT"/>
        </w:rPr>
        <w:t>pazienti ricoverati e dimessi dall’ospedale e dalle terapie intensive</w:t>
      </w:r>
      <w:r w:rsidR="006F4A1D">
        <w:rPr>
          <w:lang w:eastAsia="it-IT"/>
        </w:rPr>
        <w:t xml:space="preserve"> quotidianamente</w:t>
      </w:r>
      <w:r w:rsidR="00796E28">
        <w:rPr>
          <w:lang w:eastAsia="it-IT"/>
        </w:rPr>
        <w:t xml:space="preserve">, visto che i dati </w:t>
      </w:r>
      <w:r w:rsidR="00551B78">
        <w:rPr>
          <w:lang w:eastAsia="it-IT"/>
        </w:rPr>
        <w:t>si riferiscono</w:t>
      </w:r>
      <w:r w:rsidR="00153964" w:rsidRPr="00825F7D">
        <w:rPr>
          <w:lang w:eastAsia="it-IT"/>
        </w:rPr>
        <w:t xml:space="preserve"> </w:t>
      </w:r>
      <w:r w:rsidR="00796E28">
        <w:rPr>
          <w:lang w:eastAsia="it-IT"/>
        </w:rPr>
        <w:t xml:space="preserve">solo </w:t>
      </w:r>
      <w:r w:rsidR="00825F7D" w:rsidRPr="00825F7D">
        <w:rPr>
          <w:lang w:eastAsia="it-IT"/>
        </w:rPr>
        <w:t xml:space="preserve">al </w:t>
      </w:r>
      <w:r w:rsidR="00306624">
        <w:rPr>
          <w:lang w:eastAsia="it-IT"/>
        </w:rPr>
        <w:t xml:space="preserve">“saldo”, ovvero al </w:t>
      </w:r>
      <w:r w:rsidR="00825F7D" w:rsidRPr="00825F7D">
        <w:rPr>
          <w:lang w:eastAsia="it-IT"/>
        </w:rPr>
        <w:t xml:space="preserve">numero dei posti letto occupati, </w:t>
      </w:r>
      <w:r w:rsidR="00796E28">
        <w:rPr>
          <w:lang w:eastAsia="it-IT"/>
        </w:rPr>
        <w:t>quale indice del sovraccarico ospedaliero</w:t>
      </w:r>
      <w:r w:rsidR="00824D1D" w:rsidRPr="005927E5">
        <w:rPr>
          <w:lang w:eastAsia="it-IT"/>
        </w:rPr>
        <w:t>.</w:t>
      </w:r>
    </w:p>
    <w:p w:rsidR="003B46B9" w:rsidRDefault="00A82638" w:rsidP="00E025C7">
      <w:pPr>
        <w:jc w:val="both"/>
      </w:pPr>
      <w:r>
        <w:t>Nel quadro</w:t>
      </w:r>
      <w:r w:rsidR="00796E28">
        <w:t xml:space="preserve"> </w:t>
      </w:r>
      <w:r>
        <w:t xml:space="preserve">di un </w:t>
      </w:r>
      <w:r w:rsidR="00796E28">
        <w:t>netto incremento</w:t>
      </w:r>
      <w:r>
        <w:t xml:space="preserve"> </w:t>
      </w:r>
      <w:r w:rsidR="00627D19">
        <w:t>d</w:t>
      </w:r>
      <w:r w:rsidR="00925C73">
        <w:t>e</w:t>
      </w:r>
      <w:r w:rsidR="00627D19">
        <w:t>i nuovi casi</w:t>
      </w:r>
      <w:r w:rsidR="002F47DF">
        <w:t xml:space="preserve"> </w:t>
      </w:r>
      <w:r w:rsidR="00627D19">
        <w:t>nell</w:t>
      </w:r>
      <w:r w:rsidR="00B9098A">
        <w:t xml:space="preserve">a settimana 22-28 luglio </w:t>
      </w:r>
      <w:r w:rsidR="00796E28">
        <w:t>rispetto alla precedente</w:t>
      </w:r>
      <w:r w:rsidR="009A7852">
        <w:t xml:space="preserve"> (+</w:t>
      </w:r>
      <w:r w:rsidR="007551E8">
        <w:t>328</w:t>
      </w:r>
      <w:r w:rsidR="009A7852">
        <w:t>)</w:t>
      </w:r>
      <w:r w:rsidR="00B9098A">
        <w:t xml:space="preserve"> si rilevano notevoli </w:t>
      </w:r>
      <w:r w:rsidR="00627D19">
        <w:t xml:space="preserve">variazioni regionali: </w:t>
      </w:r>
      <w:r w:rsidR="00C036E5">
        <w:t xml:space="preserve">solo </w:t>
      </w:r>
      <w:r w:rsidR="00470EA2">
        <w:t xml:space="preserve">in </w:t>
      </w:r>
      <w:r w:rsidR="008064EA">
        <w:t>6</w:t>
      </w:r>
      <w:r w:rsidR="00627D19">
        <w:t xml:space="preserve"> </w:t>
      </w:r>
      <w:r w:rsidR="00470EA2">
        <w:t>R</w:t>
      </w:r>
      <w:r w:rsidR="00627D19">
        <w:t xml:space="preserve">egioni </w:t>
      </w:r>
      <w:r w:rsidR="00470EA2">
        <w:t xml:space="preserve">i casi sono </w:t>
      </w:r>
      <w:r w:rsidR="00627D19">
        <w:t xml:space="preserve">in riduzione, </w:t>
      </w:r>
      <w:r w:rsidR="00C036E5">
        <w:t xml:space="preserve">mentre </w:t>
      </w:r>
      <w:r w:rsidR="00470EA2">
        <w:t xml:space="preserve">in </w:t>
      </w:r>
      <w:r w:rsidR="008064EA">
        <w:t>15</w:t>
      </w:r>
      <w:r w:rsidR="00627D19">
        <w:t xml:space="preserve"> </w:t>
      </w:r>
      <w:r w:rsidR="00C036E5">
        <w:t xml:space="preserve">sono </w:t>
      </w:r>
      <w:r w:rsidR="00627D19">
        <w:t xml:space="preserve">in aumento. </w:t>
      </w:r>
      <w:r w:rsidR="008064EA">
        <w:t xml:space="preserve">Incremento moderato in </w:t>
      </w:r>
      <w:r>
        <w:t>Emilia-Romagna</w:t>
      </w:r>
      <w:r w:rsidR="008064EA">
        <w:t xml:space="preserve"> (+70), </w:t>
      </w:r>
      <w:proofErr w:type="spellStart"/>
      <w:r w:rsidR="008064EA">
        <w:t>Prov</w:t>
      </w:r>
      <w:proofErr w:type="spellEnd"/>
      <w:r w:rsidR="008064EA">
        <w:t xml:space="preserve">. Aut. Trento (+65) e Campania (+56), netta riduzione </w:t>
      </w:r>
      <w:r w:rsidR="00E7540C">
        <w:t>in Veneto (-</w:t>
      </w:r>
      <w:r w:rsidR="008064EA">
        <w:t>73)</w:t>
      </w:r>
      <w:r w:rsidR="005049A0">
        <w:t>.</w:t>
      </w:r>
      <w:r w:rsidR="00BC670C">
        <w:t xml:space="preserve"> </w:t>
      </w:r>
      <w:r w:rsidR="008064EA">
        <w:t xml:space="preserve">Parametrando i nuovi casi alla popolazione residente, </w:t>
      </w:r>
      <w:r w:rsidR="003C300D">
        <w:t xml:space="preserve">tra </w:t>
      </w:r>
      <w:r w:rsidR="008064EA">
        <w:t>le Regioni che fanno registrare il maggior incremento per 100.000 abitanti</w:t>
      </w:r>
      <w:r>
        <w:t>,</w:t>
      </w:r>
      <w:r w:rsidR="008064EA">
        <w:t xml:space="preserve"> </w:t>
      </w:r>
      <w:r w:rsidR="00AB4371">
        <w:t xml:space="preserve">svetta la </w:t>
      </w:r>
      <w:r w:rsidR="00344C02">
        <w:t>Prov</w:t>
      </w:r>
      <w:r w:rsidR="00FE78EE">
        <w:t>incia</w:t>
      </w:r>
      <w:r w:rsidR="00344C02">
        <w:t xml:space="preserve"> Aut</w:t>
      </w:r>
      <w:r w:rsidR="00FE78EE">
        <w:t>onoma</w:t>
      </w:r>
      <w:r w:rsidR="00344C02">
        <w:t xml:space="preserve"> </w:t>
      </w:r>
      <w:r w:rsidR="00AB4371">
        <w:t>di Trento (</w:t>
      </w:r>
      <w:r w:rsidR="00AB4371" w:rsidRPr="00AB4371">
        <w:t>13,86</w:t>
      </w:r>
      <w:r w:rsidR="00AB4371">
        <w:t xml:space="preserve">), </w:t>
      </w:r>
      <w:r w:rsidR="003C300D">
        <w:t xml:space="preserve">seguita da </w:t>
      </w:r>
      <w:r w:rsidR="00AB4371">
        <w:t xml:space="preserve">Valle D’Aosta (7,96), </w:t>
      </w:r>
      <w:r w:rsidR="003C300D">
        <w:t>Emilia-</w:t>
      </w:r>
      <w:r w:rsidR="008064EA">
        <w:t>Romagna (</w:t>
      </w:r>
      <w:r w:rsidR="00AB4371">
        <w:t>7,56)</w:t>
      </w:r>
      <w:r w:rsidR="008064EA">
        <w:t>,</w:t>
      </w:r>
      <w:r w:rsidR="00AB4371">
        <w:t xml:space="preserve"> Molise (7,53</w:t>
      </w:r>
      <w:r w:rsidR="003C300D">
        <w:t xml:space="preserve">) e </w:t>
      </w:r>
      <w:r w:rsidR="00AB4371">
        <w:t xml:space="preserve">Basilicata (7,28) </w:t>
      </w:r>
      <w:r w:rsidR="00B9098A">
        <w:t>(</w:t>
      </w:r>
      <w:r w:rsidR="00B9098A" w:rsidRPr="00627D19">
        <w:rPr>
          <w:highlight w:val="yellow"/>
        </w:rPr>
        <w:t>tabella</w:t>
      </w:r>
      <w:r w:rsidR="00B9098A">
        <w:t>)</w:t>
      </w:r>
      <w:r w:rsidR="001F374C">
        <w:t>.</w:t>
      </w:r>
    </w:p>
    <w:p w:rsidR="00D71616" w:rsidRDefault="00FF6B22" w:rsidP="00E025C7">
      <w:pPr>
        <w:jc w:val="both"/>
      </w:pPr>
      <w:r w:rsidRPr="00145AFE">
        <w:lastRenderedPageBreak/>
        <w:t>«</w:t>
      </w:r>
      <w:r w:rsidR="00A82638">
        <w:t>Quale</w:t>
      </w:r>
      <w:r w:rsidR="00BC670C">
        <w:t xml:space="preserve"> indicatore della diffusione del contagio </w:t>
      </w:r>
      <w:r w:rsidRPr="00145AFE">
        <w:t xml:space="preserve">– </w:t>
      </w:r>
      <w:r>
        <w:t>spiega</w:t>
      </w:r>
      <w:r w:rsidRPr="00145AFE">
        <w:t xml:space="preserve"> Cartabellotta –</w:t>
      </w:r>
      <w:r w:rsidR="00470EA2">
        <w:t xml:space="preserve"> abbiamo </w:t>
      </w:r>
      <w:r w:rsidR="00AB4371">
        <w:t>ri</w:t>
      </w:r>
      <w:r w:rsidR="00470EA2">
        <w:t xml:space="preserve">valutato la distribuzione </w:t>
      </w:r>
      <w:r w:rsidR="00F96F71">
        <w:t>geografica</w:t>
      </w:r>
      <w:r w:rsidR="00470EA2">
        <w:t xml:space="preserve"> dei </w:t>
      </w:r>
      <w:r w:rsidR="00D71616">
        <w:t>12.</w:t>
      </w:r>
      <w:r w:rsidR="008064EA">
        <w:t xml:space="preserve">609 </w:t>
      </w:r>
      <w:r w:rsidR="00470EA2">
        <w:t>casi attivi</w:t>
      </w:r>
      <w:r w:rsidR="00AB4371">
        <w:t xml:space="preserve"> al 28</w:t>
      </w:r>
      <w:r w:rsidR="009952B5">
        <w:t xml:space="preserve"> luglio</w:t>
      </w:r>
      <w:r w:rsidR="00470EA2">
        <w:t xml:space="preserve">, </w:t>
      </w:r>
      <w:r w:rsidR="000C271B">
        <w:t>i cosiddetti casi</w:t>
      </w:r>
      <w:r w:rsidR="00470EA2">
        <w:t xml:space="preserve"> “attualmente positivi” secondo</w:t>
      </w:r>
      <w:r w:rsidR="00D71616">
        <w:t xml:space="preserve"> la denominazione della Protezione Civile</w:t>
      </w:r>
      <w:r w:rsidR="00D86C9A">
        <w:t xml:space="preserve">, aumentati </w:t>
      </w:r>
      <w:r w:rsidR="00B9098A">
        <w:t xml:space="preserve">di 361 unità </w:t>
      </w:r>
      <w:r w:rsidR="00D86C9A">
        <w:t>rispetto alla settimana precedente</w:t>
      </w:r>
      <w:r w:rsidRPr="00145AFE">
        <w:t>».</w:t>
      </w:r>
      <w:r w:rsidR="00C9645B">
        <w:t xml:space="preserve"> </w:t>
      </w:r>
      <w:r w:rsidR="006576D7">
        <w:t>Il 5</w:t>
      </w:r>
      <w:r w:rsidR="00AB4371">
        <w:t>3</w:t>
      </w:r>
      <w:r w:rsidR="00BC670C">
        <w:t>%</w:t>
      </w:r>
      <w:r w:rsidR="00D71616">
        <w:t xml:space="preserve"> </w:t>
      </w:r>
      <w:r w:rsidR="00BC670C">
        <w:t>si concentra</w:t>
      </w:r>
      <w:r w:rsidR="00551B78">
        <w:t xml:space="preserve"> </w:t>
      </w:r>
      <w:r w:rsidR="00D71616">
        <w:t>in Lombardia (</w:t>
      </w:r>
      <w:r w:rsidR="00AB4371">
        <w:t>6.678</w:t>
      </w:r>
      <w:r w:rsidR="00D71616">
        <w:t>)</w:t>
      </w:r>
      <w:r w:rsidR="006576D7">
        <w:t>;</w:t>
      </w:r>
      <w:r w:rsidR="00C9645B">
        <w:t xml:space="preserve"> </w:t>
      </w:r>
      <w:r w:rsidR="00BC670C">
        <w:t>u</w:t>
      </w:r>
      <w:r w:rsidR="006576D7">
        <w:t xml:space="preserve">n ulteriore </w:t>
      </w:r>
      <w:r w:rsidR="00AB4371">
        <w:t>37,4</w:t>
      </w:r>
      <w:r w:rsidR="00D71616">
        <w:t xml:space="preserve">% </w:t>
      </w:r>
      <w:r w:rsidR="002E450B">
        <w:t>si distribuisce tra</w:t>
      </w:r>
      <w:r w:rsidR="00D71616">
        <w:t xml:space="preserve"> </w:t>
      </w:r>
      <w:r w:rsidR="000C271B">
        <w:t>Emilia-Romagna</w:t>
      </w:r>
      <w:r w:rsidR="006576D7">
        <w:t xml:space="preserve"> (1.</w:t>
      </w:r>
      <w:r w:rsidR="00AB4371">
        <w:t>459</w:t>
      </w:r>
      <w:r w:rsidR="006576D7">
        <w:t>)</w:t>
      </w:r>
      <w:r w:rsidR="000C271B">
        <w:t>,</w:t>
      </w:r>
      <w:r w:rsidR="006576D7">
        <w:t xml:space="preserve"> </w:t>
      </w:r>
      <w:r w:rsidR="00D71616">
        <w:t>Lazio (</w:t>
      </w:r>
      <w:r w:rsidR="00AB4371">
        <w:t>942), Piemonte (801</w:t>
      </w:r>
      <w:r w:rsidR="009D4C6D">
        <w:t>), Veneto (</w:t>
      </w:r>
      <w:r w:rsidR="00AB4371">
        <w:t>754</w:t>
      </w:r>
      <w:r w:rsidR="009D4C6D">
        <w:t>)</w:t>
      </w:r>
      <w:r w:rsidR="00AB4371">
        <w:t>, Campania (393), Toscana (363)</w:t>
      </w:r>
      <w:r w:rsidR="00BC670C">
        <w:t>; i</w:t>
      </w:r>
      <w:r w:rsidR="00D71616">
        <w:t xml:space="preserve"> rimanenti </w:t>
      </w:r>
      <w:r w:rsidR="006576D7">
        <w:t>1.</w:t>
      </w:r>
      <w:r w:rsidR="00AB4371">
        <w:t>219</w:t>
      </w:r>
      <w:r w:rsidR="00D71616">
        <w:t xml:space="preserve"> casi </w:t>
      </w:r>
      <w:r w:rsidR="009D4C6D">
        <w:t>(</w:t>
      </w:r>
      <w:r w:rsidR="00E6747E">
        <w:t>9,6</w:t>
      </w:r>
      <w:r w:rsidR="00D71616">
        <w:t xml:space="preserve">%) in </w:t>
      </w:r>
      <w:r w:rsidR="00AB4371">
        <w:t>14</w:t>
      </w:r>
      <w:r w:rsidR="00D71616">
        <w:t xml:space="preserve"> Regioni</w:t>
      </w:r>
      <w:r w:rsidR="00C9645B">
        <w:t xml:space="preserve"> e Province autonome</w:t>
      </w:r>
      <w:r w:rsidR="009D4C6D">
        <w:t xml:space="preserve"> (</w:t>
      </w:r>
      <w:r w:rsidR="009D4C6D" w:rsidRPr="009D4C6D">
        <w:rPr>
          <w:highlight w:val="yellow"/>
        </w:rPr>
        <w:t>figura</w:t>
      </w:r>
      <w:r w:rsidR="009D4C6D">
        <w:t>)</w:t>
      </w:r>
      <w:r w:rsidR="0090558C">
        <w:t>.</w:t>
      </w:r>
      <w:r w:rsidR="003B46B9">
        <w:t xml:space="preserve"> </w:t>
      </w:r>
    </w:p>
    <w:p w:rsidR="0090558C" w:rsidRDefault="00E7540C" w:rsidP="00E025C7">
      <w:pPr>
        <w:jc w:val="both"/>
      </w:pPr>
      <w:r>
        <w:t>I</w:t>
      </w:r>
      <w:r w:rsidR="00C036E5">
        <w:t>n generale, i</w:t>
      </w:r>
      <w:r w:rsidR="00AB4371">
        <w:t xml:space="preserve"> </w:t>
      </w:r>
      <w:r w:rsidR="00C6764B">
        <w:t xml:space="preserve">dati </w:t>
      </w:r>
      <w:r w:rsidR="00AB4371">
        <w:t xml:space="preserve">confermano sia il </w:t>
      </w:r>
      <w:r w:rsidR="00BC670C">
        <w:t xml:space="preserve">quadro epidemiologico </w:t>
      </w:r>
      <w:r w:rsidR="00C6764B">
        <w:t xml:space="preserve">di </w:t>
      </w:r>
      <w:r w:rsidR="00AB4371">
        <w:t>circol</w:t>
      </w:r>
      <w:r w:rsidR="00F52062">
        <w:t xml:space="preserve">azione endemica del virus, sia il trend in aumento </w:t>
      </w:r>
      <w:r w:rsidR="0090558C">
        <w:t>dei nuovi casi</w:t>
      </w:r>
      <w:r w:rsidR="00C6764B">
        <w:t xml:space="preserve"> </w:t>
      </w:r>
      <w:r w:rsidR="00FA45AE">
        <w:t>dopo due settimane di relativa stabilità</w:t>
      </w:r>
      <w:r w:rsidR="0090558C">
        <w:t xml:space="preserve">, </w:t>
      </w:r>
      <w:r w:rsidR="00AB4371">
        <w:t xml:space="preserve">siano essi </w:t>
      </w:r>
      <w:r w:rsidR="005E6A32">
        <w:t>legati a</w:t>
      </w:r>
      <w:r w:rsidR="00C6764B">
        <w:t xml:space="preserve"> </w:t>
      </w:r>
      <w:r w:rsidR="00BC670C">
        <w:t xml:space="preserve">nuovi </w:t>
      </w:r>
      <w:r w:rsidR="0090558C">
        <w:t>focolai</w:t>
      </w:r>
      <w:r w:rsidR="00561E94">
        <w:t xml:space="preserve"> </w:t>
      </w:r>
      <w:r w:rsidR="00AB4371">
        <w:t>o a casi di “importazione”</w:t>
      </w:r>
      <w:r w:rsidR="0090558C" w:rsidRPr="009D4C6D">
        <w:t xml:space="preserve"> dall’estero.</w:t>
      </w:r>
    </w:p>
    <w:p w:rsidR="00341741" w:rsidRPr="00901D22" w:rsidRDefault="00BE4CBF" w:rsidP="003925EF">
      <w:pPr>
        <w:jc w:val="both"/>
      </w:pPr>
      <w:r w:rsidRPr="00901D22">
        <w:t>«</w:t>
      </w:r>
      <w:r w:rsidR="000C271B">
        <w:t xml:space="preserve">Davanti a numeri in rialzo rispetto alle settimane precedenti </w:t>
      </w:r>
      <w:r w:rsidR="003D530D" w:rsidRPr="00901D22">
        <w:t xml:space="preserve">– </w:t>
      </w:r>
      <w:r w:rsidR="009D4C6D" w:rsidRPr="00901D22">
        <w:t>conclude il Presidente</w:t>
      </w:r>
      <w:r w:rsidR="003D530D" w:rsidRPr="00901D22">
        <w:t xml:space="preserve"> –</w:t>
      </w:r>
      <w:r w:rsidR="000C271B">
        <w:t xml:space="preserve"> la </w:t>
      </w:r>
      <w:r w:rsidR="00597447">
        <w:t>comunicazione</w:t>
      </w:r>
      <w:r w:rsidR="000C271B">
        <w:t xml:space="preserve"> dell</w:t>
      </w:r>
      <w:r w:rsidR="00FC713E">
        <w:t>a politica e delle</w:t>
      </w:r>
      <w:r w:rsidR="00C036E5">
        <w:t xml:space="preserve"> Istituzioni deve essere</w:t>
      </w:r>
      <w:r w:rsidR="00FC713E">
        <w:t xml:space="preserve"> </w:t>
      </w:r>
      <w:r w:rsidR="00460DB4">
        <w:t xml:space="preserve">oggettiva, equilibrata e </w:t>
      </w:r>
      <w:r w:rsidR="00FC713E">
        <w:t>coerente</w:t>
      </w:r>
      <w:r w:rsidR="00FA45AE">
        <w:t xml:space="preserve">. </w:t>
      </w:r>
      <w:r w:rsidR="00597447">
        <w:t xml:space="preserve">La pandemia è ancora in corso, il virus è vivo e vegeto e vanno mantenuti tutti i comportamenti individuali raccomandati da mesi, oltre che le misure di sorveglianza epidemiologica. </w:t>
      </w:r>
      <w:r w:rsidR="00FA45AE">
        <w:t>N</w:t>
      </w:r>
      <w:r w:rsidR="00FC713E">
        <w:t xml:space="preserve">on è </w:t>
      </w:r>
      <w:r w:rsidR="00C036E5">
        <w:t xml:space="preserve">più </w:t>
      </w:r>
      <w:r w:rsidR="00FC713E">
        <w:t>accettabile</w:t>
      </w:r>
      <w:r w:rsidR="00597447">
        <w:t xml:space="preserve"> </w:t>
      </w:r>
      <w:r w:rsidR="00FA45AE">
        <w:t xml:space="preserve">disorientare i </w:t>
      </w:r>
      <w:r w:rsidR="00FC713E">
        <w:t>cittadini</w:t>
      </w:r>
      <w:r w:rsidR="00BE2B21">
        <w:t xml:space="preserve"> </w:t>
      </w:r>
      <w:r w:rsidR="00C036E5">
        <w:t xml:space="preserve">strumentalizzando la pandemia per </w:t>
      </w:r>
      <w:r w:rsidR="00460DB4">
        <w:t xml:space="preserve">fini esclusivamente politici, contrapponendo </w:t>
      </w:r>
      <w:r w:rsidR="00D86C9A">
        <w:t xml:space="preserve">posizioni estreme: </w:t>
      </w:r>
      <w:r w:rsidR="00597447">
        <w:t>da un lato</w:t>
      </w:r>
      <w:r w:rsidR="00FC713E">
        <w:t xml:space="preserve"> negazionismo</w:t>
      </w:r>
      <w:r w:rsidR="00901D22">
        <w:t xml:space="preserve">, minimizzazioni </w:t>
      </w:r>
      <w:r w:rsidR="00C036E5">
        <w:t xml:space="preserve">del fenomeno </w:t>
      </w:r>
      <w:r w:rsidR="00FC713E">
        <w:t xml:space="preserve">e </w:t>
      </w:r>
      <w:r w:rsidR="00C036E5">
        <w:t xml:space="preserve">deplorevoli </w:t>
      </w:r>
      <w:r w:rsidR="00FC713E">
        <w:t>comportamenti individuali</w:t>
      </w:r>
      <w:r w:rsidR="00D86C9A">
        <w:t xml:space="preserve">, </w:t>
      </w:r>
      <w:r w:rsidR="00597447">
        <w:t xml:space="preserve">dall’altro </w:t>
      </w:r>
      <w:r w:rsidR="00FC713E">
        <w:t xml:space="preserve">la </w:t>
      </w:r>
      <w:r w:rsidR="00460DB4">
        <w:t>proroga</w:t>
      </w:r>
      <w:r w:rsidR="00FC713E">
        <w:t xml:space="preserve"> </w:t>
      </w:r>
      <w:r w:rsidR="00460DB4">
        <w:t>del</w:t>
      </w:r>
      <w:r w:rsidR="00D86C9A">
        <w:t xml:space="preserve">lo </w:t>
      </w:r>
      <w:r w:rsidR="00FC713E">
        <w:t>stato di emergenza nazionale</w:t>
      </w:r>
      <w:r w:rsidRPr="00901D22">
        <w:t>».</w:t>
      </w:r>
    </w:p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 w:rsidRPr="00A24080">
        <w:rPr>
          <w:rFonts w:cstheme="minorHAnsi"/>
          <w:i/>
        </w:rPr>
        <w:t xml:space="preserve"> </w:t>
      </w:r>
      <w:r>
        <w:rPr>
          <w:rFonts w:ascii="Calibri" w:eastAsia="Calibri" w:hAnsi="Calibri" w:cs="Times New Roman"/>
          <w:b/>
          <w:bCs/>
        </w:rPr>
        <w:br/>
      </w: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t xml:space="preserve"> 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t xml:space="preserve"> 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5127EB" w:rsidRDefault="005127EB" w:rsidP="003925EF">
      <w:pPr>
        <w:jc w:val="both"/>
      </w:pPr>
    </w:p>
    <w:p w:rsidR="00A7678D" w:rsidRDefault="00A7678D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90558C" w:rsidRDefault="0090558C" w:rsidP="003925EF">
      <w:pPr>
        <w:jc w:val="both"/>
      </w:pPr>
    </w:p>
    <w:p w:rsidR="00C9645B" w:rsidRDefault="00C9645B" w:rsidP="00627D19">
      <w:pPr>
        <w:spacing w:after="0" w:line="240" w:lineRule="auto"/>
        <w:rPr>
          <w:rFonts w:ascii="Calibri" w:eastAsia="Calibri" w:hAnsi="Calibri" w:cs="Calibri"/>
          <w:color w:val="00457D"/>
        </w:rPr>
      </w:pPr>
    </w:p>
    <w:p w:rsidR="00FA45AE" w:rsidRPr="00796E28" w:rsidRDefault="00FA45AE" w:rsidP="00FA45AE">
      <w:pPr>
        <w:jc w:val="center"/>
        <w:rPr>
          <w:b/>
        </w:rPr>
      </w:pPr>
      <w:r>
        <w:rPr>
          <w:b/>
        </w:rPr>
        <w:t>Tabella: nuovi casi settimana 22-28 luglio</w:t>
      </w:r>
    </w:p>
    <w:tbl>
      <w:tblPr>
        <w:tblW w:w="7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373"/>
        <w:gridCol w:w="1369"/>
        <w:gridCol w:w="1545"/>
      </w:tblGrid>
      <w:tr w:rsidR="00FA45AE" w:rsidTr="00637E95">
        <w:trPr>
          <w:trHeight w:val="156"/>
          <w:jc w:val="center"/>
        </w:trPr>
        <w:tc>
          <w:tcPr>
            <w:tcW w:w="1862" w:type="dxa"/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2373" w:type="dxa"/>
            <w:shd w:val="clear" w:color="auto" w:fill="00457D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Variazione casi rispetto </w:t>
            </w:r>
            <w:r>
              <w:rPr>
                <w:b/>
                <w:bCs/>
                <w:color w:val="FFFFFF"/>
                <w:lang w:eastAsia="it-IT"/>
              </w:rPr>
              <w:br/>
              <w:t xml:space="preserve">alla settimana </w:t>
            </w:r>
            <w:r w:rsidRPr="00796E28">
              <w:rPr>
                <w:b/>
                <w:bCs/>
                <w:color w:val="FFFFFF"/>
                <w:lang w:eastAsia="it-IT"/>
              </w:rPr>
              <w:t>precedente</w:t>
            </w:r>
          </w:p>
        </w:tc>
        <w:tc>
          <w:tcPr>
            <w:tcW w:w="1369" w:type="dxa"/>
            <w:shd w:val="clear" w:color="auto" w:fill="00457D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 xml:space="preserve">Totale </w:t>
            </w:r>
            <w:r>
              <w:rPr>
                <w:b/>
                <w:bCs/>
                <w:color w:val="FFFFFF"/>
                <w:lang w:eastAsia="it-IT"/>
              </w:rPr>
              <w:br/>
              <w:t>nuovi casi</w:t>
            </w:r>
          </w:p>
        </w:tc>
        <w:tc>
          <w:tcPr>
            <w:tcW w:w="1545" w:type="dxa"/>
            <w:shd w:val="clear" w:color="auto" w:fill="00457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eastAsia="it-IT"/>
              </w:rPr>
            </w:pPr>
            <w:r>
              <w:rPr>
                <w:b/>
                <w:bCs/>
                <w:color w:val="FFFFFF"/>
                <w:lang w:eastAsia="it-IT"/>
              </w:rPr>
              <w:t>Nuovi casi per 100.000 abitanti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Emilia Romagna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70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337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7,56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>
              <w:rPr>
                <w:color w:val="000000"/>
                <w:lang w:eastAsia="it-IT"/>
              </w:rPr>
              <w:t>Prov</w:t>
            </w:r>
            <w:proofErr w:type="spellEnd"/>
            <w:r>
              <w:rPr>
                <w:color w:val="000000"/>
                <w:lang w:eastAsia="it-IT"/>
              </w:rPr>
              <w:t>. Aut. Trento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65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75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13,86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Campania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56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116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2,00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Piemonte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39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77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1,77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Basilicata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39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41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7,28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Sicilia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38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69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lang w:eastAsia="it-IT"/>
              </w:rPr>
            </w:pPr>
            <w:r>
              <w:rPr>
                <w:lang w:eastAsia="it-IT"/>
              </w:rPr>
              <w:t>1,38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Puglia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25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40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0,99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Molise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23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23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7,53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Lazio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21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121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2,06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Lombardia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17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426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4,23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Marche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17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25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1,64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Valle D'Aosta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10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7,96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Abruzzo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9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25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1,91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Sardegna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8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0,79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Toscana</w:t>
            </w:r>
          </w:p>
        </w:tc>
        <w:tc>
          <w:tcPr>
            <w:tcW w:w="2373" w:type="dxa"/>
            <w:shd w:val="clear" w:color="auto" w:fill="FFC7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9C0006"/>
                <w:lang w:eastAsia="it-IT"/>
              </w:rPr>
            </w:pPr>
            <w:r w:rsidRPr="00796E28">
              <w:rPr>
                <w:color w:val="9C0006"/>
                <w:lang w:eastAsia="it-IT"/>
              </w:rPr>
              <w:t>3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57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1,53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Friuli Venezia Giulia</w:t>
            </w:r>
          </w:p>
        </w:tc>
        <w:tc>
          <w:tcPr>
            <w:tcW w:w="2373" w:type="dxa"/>
            <w:shd w:val="clear" w:color="auto" w:fill="C6EF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006100"/>
                <w:lang w:eastAsia="it-IT"/>
              </w:rPr>
            </w:pPr>
            <w:r w:rsidRPr="00796E28">
              <w:rPr>
                <w:color w:val="006100"/>
                <w:lang w:eastAsia="it-IT"/>
              </w:rPr>
              <w:t>-3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17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1,40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Umbria</w:t>
            </w:r>
          </w:p>
        </w:tc>
        <w:tc>
          <w:tcPr>
            <w:tcW w:w="2373" w:type="dxa"/>
            <w:shd w:val="clear" w:color="auto" w:fill="C6EF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006100"/>
                <w:lang w:eastAsia="it-IT"/>
              </w:rPr>
            </w:pPr>
            <w:r w:rsidRPr="00796E28">
              <w:rPr>
                <w:color w:val="006100"/>
                <w:lang w:eastAsia="it-IT"/>
              </w:rPr>
              <w:t>-3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0,68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proofErr w:type="spellStart"/>
            <w:r>
              <w:rPr>
                <w:color w:val="000000"/>
                <w:lang w:eastAsia="it-IT"/>
              </w:rPr>
              <w:t>Prov</w:t>
            </w:r>
            <w:proofErr w:type="spellEnd"/>
            <w:r>
              <w:rPr>
                <w:color w:val="000000"/>
                <w:lang w:eastAsia="it-IT"/>
              </w:rPr>
              <w:t>. Aut. Bolzano</w:t>
            </w:r>
          </w:p>
        </w:tc>
        <w:tc>
          <w:tcPr>
            <w:tcW w:w="2373" w:type="dxa"/>
            <w:shd w:val="clear" w:color="auto" w:fill="C6EF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006100"/>
                <w:lang w:eastAsia="it-IT"/>
              </w:rPr>
            </w:pPr>
            <w:r w:rsidRPr="00796E28">
              <w:rPr>
                <w:color w:val="006100"/>
                <w:lang w:eastAsia="it-IT"/>
              </w:rPr>
              <w:t>-4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1,32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Calabria</w:t>
            </w:r>
          </w:p>
        </w:tc>
        <w:tc>
          <w:tcPr>
            <w:tcW w:w="2373" w:type="dxa"/>
            <w:shd w:val="clear" w:color="auto" w:fill="C6EF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006100"/>
                <w:lang w:eastAsia="it-IT"/>
              </w:rPr>
            </w:pPr>
            <w:r w:rsidRPr="00796E28">
              <w:rPr>
                <w:color w:val="006100"/>
                <w:lang w:eastAsia="it-IT"/>
              </w:rPr>
              <w:t>-10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13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0,67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Liguria</w:t>
            </w:r>
          </w:p>
        </w:tc>
        <w:tc>
          <w:tcPr>
            <w:tcW w:w="2373" w:type="dxa"/>
            <w:shd w:val="clear" w:color="auto" w:fill="C6EF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006100"/>
                <w:lang w:eastAsia="it-IT"/>
              </w:rPr>
            </w:pPr>
            <w:r w:rsidRPr="00796E28">
              <w:rPr>
                <w:color w:val="006100"/>
                <w:lang w:eastAsia="it-IT"/>
              </w:rPr>
              <w:t>-19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60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3,87</w:t>
            </w:r>
          </w:p>
        </w:tc>
      </w:tr>
      <w:tr w:rsidR="00FA45AE" w:rsidTr="00637E95">
        <w:trPr>
          <w:trHeight w:val="278"/>
          <w:jc w:val="center"/>
        </w:trPr>
        <w:tc>
          <w:tcPr>
            <w:tcW w:w="18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Veneto</w:t>
            </w:r>
          </w:p>
        </w:tc>
        <w:tc>
          <w:tcPr>
            <w:tcW w:w="2373" w:type="dxa"/>
            <w:shd w:val="clear" w:color="auto" w:fill="C6EFCE"/>
            <w:vAlign w:val="center"/>
          </w:tcPr>
          <w:p w:rsidR="00FA45AE" w:rsidRPr="00796E28" w:rsidRDefault="00FA45AE" w:rsidP="00D12228">
            <w:pPr>
              <w:spacing w:after="0" w:line="240" w:lineRule="auto"/>
              <w:jc w:val="center"/>
              <w:rPr>
                <w:color w:val="006100"/>
                <w:lang w:eastAsia="it-IT"/>
              </w:rPr>
            </w:pPr>
            <w:r w:rsidRPr="00796E28">
              <w:rPr>
                <w:color w:val="006100"/>
                <w:lang w:eastAsia="it-IT"/>
              </w:rPr>
              <w:t>-73</w:t>
            </w:r>
          </w:p>
        </w:tc>
        <w:tc>
          <w:tcPr>
            <w:tcW w:w="1369" w:type="dxa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178</w:t>
            </w:r>
          </w:p>
        </w:tc>
        <w:tc>
          <w:tcPr>
            <w:tcW w:w="154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3,63</w:t>
            </w:r>
          </w:p>
        </w:tc>
      </w:tr>
      <w:tr w:rsidR="00FA45AE" w:rsidTr="00637E95">
        <w:trPr>
          <w:trHeight w:val="70"/>
          <w:jc w:val="center"/>
        </w:trPr>
        <w:tc>
          <w:tcPr>
            <w:tcW w:w="186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ITALIA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328</w:t>
            </w:r>
          </w:p>
        </w:tc>
        <w:tc>
          <w:tcPr>
            <w:tcW w:w="1369" w:type="dxa"/>
            <w:shd w:val="clear" w:color="auto" w:fill="D9D9D9"/>
            <w:vAlign w:val="center"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1.736</w:t>
            </w:r>
          </w:p>
        </w:tc>
        <w:tc>
          <w:tcPr>
            <w:tcW w:w="1545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5AE" w:rsidRDefault="00FA45AE" w:rsidP="00D1222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2,88</w:t>
            </w:r>
          </w:p>
        </w:tc>
      </w:tr>
    </w:tbl>
    <w:p w:rsidR="00637E95" w:rsidRDefault="00637E95" w:rsidP="00612C8A">
      <w:pPr>
        <w:jc w:val="center"/>
        <w:rPr>
          <w:b/>
        </w:rPr>
      </w:pPr>
    </w:p>
    <w:p w:rsidR="00A7678D" w:rsidRDefault="008B13C3" w:rsidP="00612C8A">
      <w:pPr>
        <w:jc w:val="center"/>
      </w:pPr>
      <w:r>
        <w:rPr>
          <w:b/>
        </w:rPr>
        <w:t>Figura: casi attivi al 28</w:t>
      </w:r>
      <w:r w:rsidR="008B5356" w:rsidRPr="00551B78">
        <w:rPr>
          <w:b/>
        </w:rPr>
        <w:t xml:space="preserve"> luglio 2020</w:t>
      </w:r>
      <w:r>
        <w:rPr>
          <w:noProof/>
          <w:color w:val="00457D"/>
          <w:lang w:eastAsia="it-IT"/>
        </w:rPr>
        <w:drawing>
          <wp:inline distT="0" distB="0" distL="0" distR="0" wp14:anchorId="51549BAF" wp14:editId="35E5681C">
            <wp:extent cx="4448175" cy="3239128"/>
            <wp:effectExtent l="0" t="0" r="0" b="0"/>
            <wp:docPr id="1" name="Immagine 1" descr="cid:image003.png@01D665A5.0FCCD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3.png@01D665A5.0FCCD6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3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678D" w:rsidSect="00413E8E"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C3378" w16cex:dateUtc="2020-07-29T15:42:00Z"/>
  <w16cex:commentExtensible w16cex:durableId="22CC2EDD" w16cex:dateUtc="2020-07-29T15:22:00Z"/>
  <w16cex:commentExtensible w16cex:durableId="22CC31C8" w16cex:dateUtc="2020-07-29T1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23" w:rsidRDefault="00A37423">
      <w:pPr>
        <w:spacing w:after="0" w:line="240" w:lineRule="auto"/>
      </w:pPr>
      <w:r>
        <w:separator/>
      </w:r>
    </w:p>
  </w:endnote>
  <w:endnote w:type="continuationSeparator" w:id="0">
    <w:p w:rsidR="00A37423" w:rsidRDefault="00A3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23" w:rsidRDefault="00A37423">
      <w:pPr>
        <w:spacing w:after="0" w:line="240" w:lineRule="auto"/>
      </w:pPr>
      <w:r>
        <w:separator/>
      </w:r>
    </w:p>
  </w:footnote>
  <w:footnote w:type="continuationSeparator" w:id="0">
    <w:p w:rsidR="00A37423" w:rsidRDefault="00A3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8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12"/>
  </w:num>
  <w:num w:numId="5">
    <w:abstractNumId w:val="37"/>
  </w:num>
  <w:num w:numId="6">
    <w:abstractNumId w:val="6"/>
  </w:num>
  <w:num w:numId="7">
    <w:abstractNumId w:val="10"/>
  </w:num>
  <w:num w:numId="8">
    <w:abstractNumId w:val="31"/>
  </w:num>
  <w:num w:numId="9">
    <w:abstractNumId w:val="8"/>
  </w:num>
  <w:num w:numId="10">
    <w:abstractNumId w:val="25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29"/>
  </w:num>
  <w:num w:numId="18">
    <w:abstractNumId w:val="9"/>
  </w:num>
  <w:num w:numId="19">
    <w:abstractNumId w:val="35"/>
  </w:num>
  <w:num w:numId="20">
    <w:abstractNumId w:val="7"/>
  </w:num>
  <w:num w:numId="21">
    <w:abstractNumId w:val="34"/>
  </w:num>
  <w:num w:numId="22">
    <w:abstractNumId w:val="38"/>
  </w:num>
  <w:num w:numId="23">
    <w:abstractNumId w:val="40"/>
  </w:num>
  <w:num w:numId="24">
    <w:abstractNumId w:val="13"/>
  </w:num>
  <w:num w:numId="25">
    <w:abstractNumId w:val="17"/>
  </w:num>
  <w:num w:numId="26">
    <w:abstractNumId w:val="27"/>
  </w:num>
  <w:num w:numId="27">
    <w:abstractNumId w:val="39"/>
  </w:num>
  <w:num w:numId="28">
    <w:abstractNumId w:val="11"/>
  </w:num>
  <w:num w:numId="29">
    <w:abstractNumId w:val="32"/>
  </w:num>
  <w:num w:numId="30">
    <w:abstractNumId w:val="22"/>
  </w:num>
  <w:num w:numId="31">
    <w:abstractNumId w:val="16"/>
  </w:num>
  <w:num w:numId="32">
    <w:abstractNumId w:val="0"/>
  </w:num>
  <w:num w:numId="33">
    <w:abstractNumId w:val="4"/>
  </w:num>
  <w:num w:numId="34">
    <w:abstractNumId w:val="20"/>
  </w:num>
  <w:num w:numId="35">
    <w:abstractNumId w:val="18"/>
  </w:num>
  <w:num w:numId="36">
    <w:abstractNumId w:val="3"/>
  </w:num>
  <w:num w:numId="37">
    <w:abstractNumId w:val="14"/>
  </w:num>
  <w:num w:numId="38">
    <w:abstractNumId w:val="26"/>
  </w:num>
  <w:num w:numId="39">
    <w:abstractNumId w:val="30"/>
  </w:num>
  <w:num w:numId="40">
    <w:abstractNumId w:val="36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D"/>
    <w:rsid w:val="00001504"/>
    <w:rsid w:val="00001CEF"/>
    <w:rsid w:val="00002908"/>
    <w:rsid w:val="00002E3E"/>
    <w:rsid w:val="00007E2D"/>
    <w:rsid w:val="00010AEF"/>
    <w:rsid w:val="00012955"/>
    <w:rsid w:val="000171B3"/>
    <w:rsid w:val="000171CE"/>
    <w:rsid w:val="000177CD"/>
    <w:rsid w:val="000179EC"/>
    <w:rsid w:val="000200E1"/>
    <w:rsid w:val="00023F18"/>
    <w:rsid w:val="00026DC0"/>
    <w:rsid w:val="000328C9"/>
    <w:rsid w:val="00035405"/>
    <w:rsid w:val="0004029D"/>
    <w:rsid w:val="00043A85"/>
    <w:rsid w:val="00047EE0"/>
    <w:rsid w:val="000529FD"/>
    <w:rsid w:val="000534AE"/>
    <w:rsid w:val="000548AC"/>
    <w:rsid w:val="000559EC"/>
    <w:rsid w:val="0005649A"/>
    <w:rsid w:val="00057675"/>
    <w:rsid w:val="00060A3C"/>
    <w:rsid w:val="00062E06"/>
    <w:rsid w:val="000648AF"/>
    <w:rsid w:val="000650A3"/>
    <w:rsid w:val="00066FEB"/>
    <w:rsid w:val="0007007A"/>
    <w:rsid w:val="000713E0"/>
    <w:rsid w:val="00071F3F"/>
    <w:rsid w:val="00072E7C"/>
    <w:rsid w:val="00075811"/>
    <w:rsid w:val="00075B48"/>
    <w:rsid w:val="0007670E"/>
    <w:rsid w:val="00080943"/>
    <w:rsid w:val="00083222"/>
    <w:rsid w:val="00087618"/>
    <w:rsid w:val="00090BE2"/>
    <w:rsid w:val="00091C99"/>
    <w:rsid w:val="00092A9D"/>
    <w:rsid w:val="00093477"/>
    <w:rsid w:val="000943CF"/>
    <w:rsid w:val="00094EF2"/>
    <w:rsid w:val="00095FCA"/>
    <w:rsid w:val="000A1C07"/>
    <w:rsid w:val="000A5D42"/>
    <w:rsid w:val="000A7474"/>
    <w:rsid w:val="000B0330"/>
    <w:rsid w:val="000B1503"/>
    <w:rsid w:val="000B23AC"/>
    <w:rsid w:val="000B2A0D"/>
    <w:rsid w:val="000B2A60"/>
    <w:rsid w:val="000B6E50"/>
    <w:rsid w:val="000B77BB"/>
    <w:rsid w:val="000C1558"/>
    <w:rsid w:val="000C1EDD"/>
    <w:rsid w:val="000C22C6"/>
    <w:rsid w:val="000C271B"/>
    <w:rsid w:val="000D1769"/>
    <w:rsid w:val="000D1D78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63C3"/>
    <w:rsid w:val="000F655E"/>
    <w:rsid w:val="000F6B97"/>
    <w:rsid w:val="000F7D28"/>
    <w:rsid w:val="000F7EE8"/>
    <w:rsid w:val="00100F54"/>
    <w:rsid w:val="00103E7D"/>
    <w:rsid w:val="00104759"/>
    <w:rsid w:val="001047A9"/>
    <w:rsid w:val="0010550E"/>
    <w:rsid w:val="001059AD"/>
    <w:rsid w:val="00113053"/>
    <w:rsid w:val="00113554"/>
    <w:rsid w:val="001218DD"/>
    <w:rsid w:val="00123005"/>
    <w:rsid w:val="0012440D"/>
    <w:rsid w:val="00124E32"/>
    <w:rsid w:val="00126676"/>
    <w:rsid w:val="001305E0"/>
    <w:rsid w:val="00130C34"/>
    <w:rsid w:val="0013167A"/>
    <w:rsid w:val="001320B9"/>
    <w:rsid w:val="00133E24"/>
    <w:rsid w:val="001341D8"/>
    <w:rsid w:val="001345C1"/>
    <w:rsid w:val="001348C4"/>
    <w:rsid w:val="00136710"/>
    <w:rsid w:val="0014018F"/>
    <w:rsid w:val="001408D2"/>
    <w:rsid w:val="00143377"/>
    <w:rsid w:val="001435C6"/>
    <w:rsid w:val="00143BB8"/>
    <w:rsid w:val="00145AFE"/>
    <w:rsid w:val="00146588"/>
    <w:rsid w:val="001509C3"/>
    <w:rsid w:val="00151D45"/>
    <w:rsid w:val="00153115"/>
    <w:rsid w:val="00153964"/>
    <w:rsid w:val="00156186"/>
    <w:rsid w:val="0016624A"/>
    <w:rsid w:val="00166D9E"/>
    <w:rsid w:val="00170961"/>
    <w:rsid w:val="0017590C"/>
    <w:rsid w:val="001767BB"/>
    <w:rsid w:val="00183566"/>
    <w:rsid w:val="00183F81"/>
    <w:rsid w:val="00186CF1"/>
    <w:rsid w:val="00191361"/>
    <w:rsid w:val="00191AFB"/>
    <w:rsid w:val="00196162"/>
    <w:rsid w:val="001A0964"/>
    <w:rsid w:val="001A25A5"/>
    <w:rsid w:val="001A3813"/>
    <w:rsid w:val="001A3BD0"/>
    <w:rsid w:val="001A3EC6"/>
    <w:rsid w:val="001A642A"/>
    <w:rsid w:val="001B0820"/>
    <w:rsid w:val="001B3683"/>
    <w:rsid w:val="001C07D8"/>
    <w:rsid w:val="001C3871"/>
    <w:rsid w:val="001D0755"/>
    <w:rsid w:val="001D1D83"/>
    <w:rsid w:val="001D59FE"/>
    <w:rsid w:val="001D6AC1"/>
    <w:rsid w:val="001D6D39"/>
    <w:rsid w:val="001D7BC3"/>
    <w:rsid w:val="001E06CF"/>
    <w:rsid w:val="001E15A7"/>
    <w:rsid w:val="001E16B1"/>
    <w:rsid w:val="001E235C"/>
    <w:rsid w:val="001E2E2C"/>
    <w:rsid w:val="001E456C"/>
    <w:rsid w:val="001E6000"/>
    <w:rsid w:val="001E66B3"/>
    <w:rsid w:val="001F06CD"/>
    <w:rsid w:val="001F2345"/>
    <w:rsid w:val="001F374C"/>
    <w:rsid w:val="001F4A0A"/>
    <w:rsid w:val="001F69E0"/>
    <w:rsid w:val="00204E2D"/>
    <w:rsid w:val="0020632D"/>
    <w:rsid w:val="00207983"/>
    <w:rsid w:val="00210F6C"/>
    <w:rsid w:val="002115AE"/>
    <w:rsid w:val="00213097"/>
    <w:rsid w:val="002149D9"/>
    <w:rsid w:val="00217534"/>
    <w:rsid w:val="00217C7C"/>
    <w:rsid w:val="002205C9"/>
    <w:rsid w:val="00223CBF"/>
    <w:rsid w:val="00223FDE"/>
    <w:rsid w:val="0022503B"/>
    <w:rsid w:val="002269AD"/>
    <w:rsid w:val="002273E1"/>
    <w:rsid w:val="002306E8"/>
    <w:rsid w:val="0023363F"/>
    <w:rsid w:val="0023472D"/>
    <w:rsid w:val="0023571B"/>
    <w:rsid w:val="002372A1"/>
    <w:rsid w:val="002409AC"/>
    <w:rsid w:val="00240B0E"/>
    <w:rsid w:val="002419BE"/>
    <w:rsid w:val="00241BC8"/>
    <w:rsid w:val="002442BE"/>
    <w:rsid w:val="00244487"/>
    <w:rsid w:val="00246085"/>
    <w:rsid w:val="002509F9"/>
    <w:rsid w:val="00252E88"/>
    <w:rsid w:val="0025387F"/>
    <w:rsid w:val="00255F11"/>
    <w:rsid w:val="0025799B"/>
    <w:rsid w:val="00260775"/>
    <w:rsid w:val="00260A99"/>
    <w:rsid w:val="002666F4"/>
    <w:rsid w:val="002705E8"/>
    <w:rsid w:val="00272F32"/>
    <w:rsid w:val="00275D83"/>
    <w:rsid w:val="00276946"/>
    <w:rsid w:val="00277E90"/>
    <w:rsid w:val="00280213"/>
    <w:rsid w:val="002813A7"/>
    <w:rsid w:val="002815AC"/>
    <w:rsid w:val="0028323F"/>
    <w:rsid w:val="002837E8"/>
    <w:rsid w:val="00284702"/>
    <w:rsid w:val="00287EB2"/>
    <w:rsid w:val="00292F53"/>
    <w:rsid w:val="0029457A"/>
    <w:rsid w:val="00296100"/>
    <w:rsid w:val="00297824"/>
    <w:rsid w:val="002A2099"/>
    <w:rsid w:val="002A4DEE"/>
    <w:rsid w:val="002A4E8D"/>
    <w:rsid w:val="002A55EA"/>
    <w:rsid w:val="002A59D9"/>
    <w:rsid w:val="002A5FA2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63E0"/>
    <w:rsid w:val="002D7694"/>
    <w:rsid w:val="002D76E0"/>
    <w:rsid w:val="002E0DAB"/>
    <w:rsid w:val="002E182B"/>
    <w:rsid w:val="002E450B"/>
    <w:rsid w:val="002F1137"/>
    <w:rsid w:val="002F1666"/>
    <w:rsid w:val="002F47DF"/>
    <w:rsid w:val="002F70DB"/>
    <w:rsid w:val="002F743B"/>
    <w:rsid w:val="00300FDE"/>
    <w:rsid w:val="00303C74"/>
    <w:rsid w:val="00304BC8"/>
    <w:rsid w:val="003055A2"/>
    <w:rsid w:val="00306624"/>
    <w:rsid w:val="00306D88"/>
    <w:rsid w:val="00317538"/>
    <w:rsid w:val="00320449"/>
    <w:rsid w:val="00325971"/>
    <w:rsid w:val="00326A22"/>
    <w:rsid w:val="00327AF6"/>
    <w:rsid w:val="00327D55"/>
    <w:rsid w:val="00327D6B"/>
    <w:rsid w:val="00330B57"/>
    <w:rsid w:val="003319BF"/>
    <w:rsid w:val="0033740A"/>
    <w:rsid w:val="00341741"/>
    <w:rsid w:val="00343D23"/>
    <w:rsid w:val="00344C02"/>
    <w:rsid w:val="00345D05"/>
    <w:rsid w:val="0034652C"/>
    <w:rsid w:val="003515F5"/>
    <w:rsid w:val="003522D4"/>
    <w:rsid w:val="00352733"/>
    <w:rsid w:val="00352A02"/>
    <w:rsid w:val="00355D9B"/>
    <w:rsid w:val="00356D01"/>
    <w:rsid w:val="003573F0"/>
    <w:rsid w:val="003624F9"/>
    <w:rsid w:val="00363CCA"/>
    <w:rsid w:val="003658CE"/>
    <w:rsid w:val="0037366F"/>
    <w:rsid w:val="00375555"/>
    <w:rsid w:val="00376334"/>
    <w:rsid w:val="00376B13"/>
    <w:rsid w:val="00384F8E"/>
    <w:rsid w:val="00387426"/>
    <w:rsid w:val="003925EF"/>
    <w:rsid w:val="003944F4"/>
    <w:rsid w:val="0039540D"/>
    <w:rsid w:val="003A0175"/>
    <w:rsid w:val="003A2071"/>
    <w:rsid w:val="003B3BA8"/>
    <w:rsid w:val="003B46B9"/>
    <w:rsid w:val="003B4B8E"/>
    <w:rsid w:val="003B7ED5"/>
    <w:rsid w:val="003C28C9"/>
    <w:rsid w:val="003C300D"/>
    <w:rsid w:val="003C3A9A"/>
    <w:rsid w:val="003C545F"/>
    <w:rsid w:val="003C6EB4"/>
    <w:rsid w:val="003D1749"/>
    <w:rsid w:val="003D1F04"/>
    <w:rsid w:val="003D2181"/>
    <w:rsid w:val="003D3898"/>
    <w:rsid w:val="003D530D"/>
    <w:rsid w:val="003D5C6D"/>
    <w:rsid w:val="003E228A"/>
    <w:rsid w:val="003E318E"/>
    <w:rsid w:val="003E62A0"/>
    <w:rsid w:val="003E7BE4"/>
    <w:rsid w:val="003F24A4"/>
    <w:rsid w:val="003F4964"/>
    <w:rsid w:val="003F5E91"/>
    <w:rsid w:val="003F66ED"/>
    <w:rsid w:val="003F7AAD"/>
    <w:rsid w:val="00400B49"/>
    <w:rsid w:val="00406927"/>
    <w:rsid w:val="00406DC9"/>
    <w:rsid w:val="00410301"/>
    <w:rsid w:val="00410F0D"/>
    <w:rsid w:val="00411BE2"/>
    <w:rsid w:val="00412031"/>
    <w:rsid w:val="0041302D"/>
    <w:rsid w:val="00413E8E"/>
    <w:rsid w:val="004173E1"/>
    <w:rsid w:val="00417C1C"/>
    <w:rsid w:val="004207EF"/>
    <w:rsid w:val="00420C20"/>
    <w:rsid w:val="00420CC8"/>
    <w:rsid w:val="004214E3"/>
    <w:rsid w:val="00423ED3"/>
    <w:rsid w:val="00425C3A"/>
    <w:rsid w:val="00427B58"/>
    <w:rsid w:val="00435198"/>
    <w:rsid w:val="00435282"/>
    <w:rsid w:val="004374D6"/>
    <w:rsid w:val="00437BB8"/>
    <w:rsid w:val="00441414"/>
    <w:rsid w:val="004421F3"/>
    <w:rsid w:val="00442661"/>
    <w:rsid w:val="0044462E"/>
    <w:rsid w:val="004534C0"/>
    <w:rsid w:val="004549CB"/>
    <w:rsid w:val="00455B93"/>
    <w:rsid w:val="00455F70"/>
    <w:rsid w:val="00456FB9"/>
    <w:rsid w:val="00460478"/>
    <w:rsid w:val="00460DB4"/>
    <w:rsid w:val="0046399E"/>
    <w:rsid w:val="004640C3"/>
    <w:rsid w:val="004642D0"/>
    <w:rsid w:val="004653C6"/>
    <w:rsid w:val="00467C46"/>
    <w:rsid w:val="004703BD"/>
    <w:rsid w:val="00470EA2"/>
    <w:rsid w:val="00470ED4"/>
    <w:rsid w:val="0047278C"/>
    <w:rsid w:val="004751C0"/>
    <w:rsid w:val="00476735"/>
    <w:rsid w:val="00476F10"/>
    <w:rsid w:val="004805BB"/>
    <w:rsid w:val="00480CC3"/>
    <w:rsid w:val="00487CA2"/>
    <w:rsid w:val="00487DFA"/>
    <w:rsid w:val="00490381"/>
    <w:rsid w:val="00493007"/>
    <w:rsid w:val="00494318"/>
    <w:rsid w:val="00494885"/>
    <w:rsid w:val="0049718B"/>
    <w:rsid w:val="004A0133"/>
    <w:rsid w:val="004A46F7"/>
    <w:rsid w:val="004A54BA"/>
    <w:rsid w:val="004A574D"/>
    <w:rsid w:val="004A6E52"/>
    <w:rsid w:val="004A7DB9"/>
    <w:rsid w:val="004B2FB3"/>
    <w:rsid w:val="004B34C0"/>
    <w:rsid w:val="004B3D68"/>
    <w:rsid w:val="004B4E74"/>
    <w:rsid w:val="004B64C5"/>
    <w:rsid w:val="004C12A9"/>
    <w:rsid w:val="004C3A9A"/>
    <w:rsid w:val="004C41A8"/>
    <w:rsid w:val="004C50A7"/>
    <w:rsid w:val="004C60DC"/>
    <w:rsid w:val="004D26DF"/>
    <w:rsid w:val="004D3220"/>
    <w:rsid w:val="004D3455"/>
    <w:rsid w:val="004D381A"/>
    <w:rsid w:val="004D5A05"/>
    <w:rsid w:val="004D6BE7"/>
    <w:rsid w:val="004E1A67"/>
    <w:rsid w:val="004E1AC9"/>
    <w:rsid w:val="004E6DA9"/>
    <w:rsid w:val="004E7D1A"/>
    <w:rsid w:val="004F173B"/>
    <w:rsid w:val="004F2759"/>
    <w:rsid w:val="004F29CC"/>
    <w:rsid w:val="004F61AA"/>
    <w:rsid w:val="00500FEB"/>
    <w:rsid w:val="005015C7"/>
    <w:rsid w:val="0050196C"/>
    <w:rsid w:val="00502A03"/>
    <w:rsid w:val="00503976"/>
    <w:rsid w:val="005049A0"/>
    <w:rsid w:val="005052B2"/>
    <w:rsid w:val="005126FA"/>
    <w:rsid w:val="005127EB"/>
    <w:rsid w:val="0051437E"/>
    <w:rsid w:val="005165ED"/>
    <w:rsid w:val="00521CAE"/>
    <w:rsid w:val="00522819"/>
    <w:rsid w:val="00523087"/>
    <w:rsid w:val="0052545F"/>
    <w:rsid w:val="00526F9F"/>
    <w:rsid w:val="005356F3"/>
    <w:rsid w:val="00535B99"/>
    <w:rsid w:val="005378EA"/>
    <w:rsid w:val="00541FCE"/>
    <w:rsid w:val="0054575E"/>
    <w:rsid w:val="00546091"/>
    <w:rsid w:val="0054649D"/>
    <w:rsid w:val="00547577"/>
    <w:rsid w:val="00551B78"/>
    <w:rsid w:val="005531F6"/>
    <w:rsid w:val="00557FAC"/>
    <w:rsid w:val="00561E94"/>
    <w:rsid w:val="00563171"/>
    <w:rsid w:val="00565896"/>
    <w:rsid w:val="00565B01"/>
    <w:rsid w:val="00570E0C"/>
    <w:rsid w:val="005721B6"/>
    <w:rsid w:val="00572631"/>
    <w:rsid w:val="0057286A"/>
    <w:rsid w:val="00573CE1"/>
    <w:rsid w:val="00575FE4"/>
    <w:rsid w:val="00582B47"/>
    <w:rsid w:val="00584F34"/>
    <w:rsid w:val="005850C4"/>
    <w:rsid w:val="005862D2"/>
    <w:rsid w:val="005879F9"/>
    <w:rsid w:val="005927E5"/>
    <w:rsid w:val="00595C29"/>
    <w:rsid w:val="00596FA8"/>
    <w:rsid w:val="00597447"/>
    <w:rsid w:val="005A3752"/>
    <w:rsid w:val="005A491E"/>
    <w:rsid w:val="005A4C86"/>
    <w:rsid w:val="005A69DC"/>
    <w:rsid w:val="005A7071"/>
    <w:rsid w:val="005B1421"/>
    <w:rsid w:val="005B1EBE"/>
    <w:rsid w:val="005B6533"/>
    <w:rsid w:val="005B67AE"/>
    <w:rsid w:val="005C08B9"/>
    <w:rsid w:val="005C092C"/>
    <w:rsid w:val="005C5D3F"/>
    <w:rsid w:val="005D08B3"/>
    <w:rsid w:val="005D12FA"/>
    <w:rsid w:val="005D2F9E"/>
    <w:rsid w:val="005D38E6"/>
    <w:rsid w:val="005D59BB"/>
    <w:rsid w:val="005E053F"/>
    <w:rsid w:val="005E1B70"/>
    <w:rsid w:val="005E3CCE"/>
    <w:rsid w:val="005E4864"/>
    <w:rsid w:val="005E6366"/>
    <w:rsid w:val="005E6613"/>
    <w:rsid w:val="005E6A32"/>
    <w:rsid w:val="005E6C0B"/>
    <w:rsid w:val="005F0188"/>
    <w:rsid w:val="005F5D57"/>
    <w:rsid w:val="005F6212"/>
    <w:rsid w:val="005F7A93"/>
    <w:rsid w:val="00602DF1"/>
    <w:rsid w:val="0060442D"/>
    <w:rsid w:val="00604A4F"/>
    <w:rsid w:val="00604DAE"/>
    <w:rsid w:val="006074AF"/>
    <w:rsid w:val="00611E90"/>
    <w:rsid w:val="00612C8A"/>
    <w:rsid w:val="00612F59"/>
    <w:rsid w:val="00615B1C"/>
    <w:rsid w:val="006165DD"/>
    <w:rsid w:val="0062113D"/>
    <w:rsid w:val="00622F59"/>
    <w:rsid w:val="00627001"/>
    <w:rsid w:val="00627D19"/>
    <w:rsid w:val="00631EE7"/>
    <w:rsid w:val="00632682"/>
    <w:rsid w:val="006344FF"/>
    <w:rsid w:val="006347C6"/>
    <w:rsid w:val="00637E95"/>
    <w:rsid w:val="00637EFB"/>
    <w:rsid w:val="0064216D"/>
    <w:rsid w:val="0064233C"/>
    <w:rsid w:val="00642A96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6B65"/>
    <w:rsid w:val="006576D7"/>
    <w:rsid w:val="006602C7"/>
    <w:rsid w:val="00661625"/>
    <w:rsid w:val="00664F08"/>
    <w:rsid w:val="00672099"/>
    <w:rsid w:val="00674F78"/>
    <w:rsid w:val="00676036"/>
    <w:rsid w:val="006768D8"/>
    <w:rsid w:val="00683B82"/>
    <w:rsid w:val="00687318"/>
    <w:rsid w:val="006876EB"/>
    <w:rsid w:val="00690ACD"/>
    <w:rsid w:val="006917E1"/>
    <w:rsid w:val="00691E9D"/>
    <w:rsid w:val="0069637C"/>
    <w:rsid w:val="006A3B33"/>
    <w:rsid w:val="006A5AB0"/>
    <w:rsid w:val="006B2769"/>
    <w:rsid w:val="006B6C0F"/>
    <w:rsid w:val="006B6EF7"/>
    <w:rsid w:val="006C0A61"/>
    <w:rsid w:val="006C22E4"/>
    <w:rsid w:val="006C3FBD"/>
    <w:rsid w:val="006C458D"/>
    <w:rsid w:val="006C61CF"/>
    <w:rsid w:val="006C79E9"/>
    <w:rsid w:val="006D0D40"/>
    <w:rsid w:val="006D127C"/>
    <w:rsid w:val="006D28FA"/>
    <w:rsid w:val="006D4E98"/>
    <w:rsid w:val="006D696D"/>
    <w:rsid w:val="006E02A4"/>
    <w:rsid w:val="006E2575"/>
    <w:rsid w:val="006E4166"/>
    <w:rsid w:val="006E488E"/>
    <w:rsid w:val="006E5D20"/>
    <w:rsid w:val="006F20F9"/>
    <w:rsid w:val="006F24CB"/>
    <w:rsid w:val="006F4A1D"/>
    <w:rsid w:val="006F6445"/>
    <w:rsid w:val="007006C3"/>
    <w:rsid w:val="007013BF"/>
    <w:rsid w:val="00702C85"/>
    <w:rsid w:val="00706AE0"/>
    <w:rsid w:val="00710B57"/>
    <w:rsid w:val="00711A1B"/>
    <w:rsid w:val="00712DE3"/>
    <w:rsid w:val="00714DD1"/>
    <w:rsid w:val="00716462"/>
    <w:rsid w:val="00716D6F"/>
    <w:rsid w:val="00716E9B"/>
    <w:rsid w:val="00717187"/>
    <w:rsid w:val="007202C9"/>
    <w:rsid w:val="00722404"/>
    <w:rsid w:val="00723A22"/>
    <w:rsid w:val="0072783E"/>
    <w:rsid w:val="00732E2F"/>
    <w:rsid w:val="0073695C"/>
    <w:rsid w:val="00737FDA"/>
    <w:rsid w:val="007429A2"/>
    <w:rsid w:val="00742B69"/>
    <w:rsid w:val="00743648"/>
    <w:rsid w:val="00743DAB"/>
    <w:rsid w:val="0074492B"/>
    <w:rsid w:val="007456CB"/>
    <w:rsid w:val="00746937"/>
    <w:rsid w:val="007476C5"/>
    <w:rsid w:val="0075277A"/>
    <w:rsid w:val="00753608"/>
    <w:rsid w:val="0075480B"/>
    <w:rsid w:val="00755114"/>
    <w:rsid w:val="007551E8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73CD5"/>
    <w:rsid w:val="007762D0"/>
    <w:rsid w:val="00777568"/>
    <w:rsid w:val="00780B5E"/>
    <w:rsid w:val="00780B6B"/>
    <w:rsid w:val="00780CCA"/>
    <w:rsid w:val="007836E4"/>
    <w:rsid w:val="00787430"/>
    <w:rsid w:val="00787494"/>
    <w:rsid w:val="007934E9"/>
    <w:rsid w:val="00796E28"/>
    <w:rsid w:val="00797683"/>
    <w:rsid w:val="007A2B7E"/>
    <w:rsid w:val="007A3025"/>
    <w:rsid w:val="007A5918"/>
    <w:rsid w:val="007A5CE7"/>
    <w:rsid w:val="007A70DF"/>
    <w:rsid w:val="007B16AC"/>
    <w:rsid w:val="007B2B63"/>
    <w:rsid w:val="007B2D95"/>
    <w:rsid w:val="007B3BB0"/>
    <w:rsid w:val="007B460A"/>
    <w:rsid w:val="007B76C3"/>
    <w:rsid w:val="007C2BCE"/>
    <w:rsid w:val="007C3065"/>
    <w:rsid w:val="007C48EB"/>
    <w:rsid w:val="007C62A1"/>
    <w:rsid w:val="007D0C94"/>
    <w:rsid w:val="007D1284"/>
    <w:rsid w:val="007D21EE"/>
    <w:rsid w:val="007D4C7F"/>
    <w:rsid w:val="007D7805"/>
    <w:rsid w:val="007E1F0A"/>
    <w:rsid w:val="007E2BA6"/>
    <w:rsid w:val="007E2C64"/>
    <w:rsid w:val="007E6483"/>
    <w:rsid w:val="007F276F"/>
    <w:rsid w:val="007F3F63"/>
    <w:rsid w:val="007F6282"/>
    <w:rsid w:val="008006DB"/>
    <w:rsid w:val="00801134"/>
    <w:rsid w:val="00802724"/>
    <w:rsid w:val="00805F05"/>
    <w:rsid w:val="008064EA"/>
    <w:rsid w:val="0080704D"/>
    <w:rsid w:val="00807B71"/>
    <w:rsid w:val="00807E75"/>
    <w:rsid w:val="00811C30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2659"/>
    <w:rsid w:val="00824D1D"/>
    <w:rsid w:val="00825F7D"/>
    <w:rsid w:val="0082682D"/>
    <w:rsid w:val="0083016D"/>
    <w:rsid w:val="00834413"/>
    <w:rsid w:val="00835264"/>
    <w:rsid w:val="008376AC"/>
    <w:rsid w:val="0084002B"/>
    <w:rsid w:val="00840E9B"/>
    <w:rsid w:val="0084133F"/>
    <w:rsid w:val="0084753A"/>
    <w:rsid w:val="008505F6"/>
    <w:rsid w:val="00851073"/>
    <w:rsid w:val="008515EF"/>
    <w:rsid w:val="00852832"/>
    <w:rsid w:val="00852CA1"/>
    <w:rsid w:val="00854A33"/>
    <w:rsid w:val="00854B36"/>
    <w:rsid w:val="00855916"/>
    <w:rsid w:val="00856676"/>
    <w:rsid w:val="008613A9"/>
    <w:rsid w:val="00862990"/>
    <w:rsid w:val="00863411"/>
    <w:rsid w:val="00873715"/>
    <w:rsid w:val="00873E22"/>
    <w:rsid w:val="00873FF0"/>
    <w:rsid w:val="00877452"/>
    <w:rsid w:val="008822E7"/>
    <w:rsid w:val="00882A5C"/>
    <w:rsid w:val="0088398F"/>
    <w:rsid w:val="00885C9E"/>
    <w:rsid w:val="00886215"/>
    <w:rsid w:val="00886B2E"/>
    <w:rsid w:val="00891E62"/>
    <w:rsid w:val="00893D88"/>
    <w:rsid w:val="00893E02"/>
    <w:rsid w:val="008957D2"/>
    <w:rsid w:val="00897558"/>
    <w:rsid w:val="008A55F7"/>
    <w:rsid w:val="008A5BA9"/>
    <w:rsid w:val="008A6587"/>
    <w:rsid w:val="008A7176"/>
    <w:rsid w:val="008A7D9C"/>
    <w:rsid w:val="008B0811"/>
    <w:rsid w:val="008B13C3"/>
    <w:rsid w:val="008B1878"/>
    <w:rsid w:val="008B5356"/>
    <w:rsid w:val="008B791C"/>
    <w:rsid w:val="008D2367"/>
    <w:rsid w:val="008D2AAD"/>
    <w:rsid w:val="008D4DF1"/>
    <w:rsid w:val="008E086F"/>
    <w:rsid w:val="008E5187"/>
    <w:rsid w:val="008E5D9E"/>
    <w:rsid w:val="008E6971"/>
    <w:rsid w:val="008E7910"/>
    <w:rsid w:val="008F0A5C"/>
    <w:rsid w:val="008F1612"/>
    <w:rsid w:val="008F4115"/>
    <w:rsid w:val="008F50B0"/>
    <w:rsid w:val="008F675F"/>
    <w:rsid w:val="00900D84"/>
    <w:rsid w:val="00901A6B"/>
    <w:rsid w:val="00901D22"/>
    <w:rsid w:val="00902148"/>
    <w:rsid w:val="0090383F"/>
    <w:rsid w:val="009049BC"/>
    <w:rsid w:val="0090558C"/>
    <w:rsid w:val="00906C3E"/>
    <w:rsid w:val="00911CAF"/>
    <w:rsid w:val="00911D2E"/>
    <w:rsid w:val="0091396B"/>
    <w:rsid w:val="00913C78"/>
    <w:rsid w:val="00914A26"/>
    <w:rsid w:val="00921D60"/>
    <w:rsid w:val="0092337D"/>
    <w:rsid w:val="00924455"/>
    <w:rsid w:val="009249AB"/>
    <w:rsid w:val="00925C73"/>
    <w:rsid w:val="00925D82"/>
    <w:rsid w:val="00932325"/>
    <w:rsid w:val="00932B6D"/>
    <w:rsid w:val="0093426F"/>
    <w:rsid w:val="00936453"/>
    <w:rsid w:val="009369B6"/>
    <w:rsid w:val="00940309"/>
    <w:rsid w:val="00941121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7957"/>
    <w:rsid w:val="00974C0B"/>
    <w:rsid w:val="00974EC8"/>
    <w:rsid w:val="00975612"/>
    <w:rsid w:val="00984DF6"/>
    <w:rsid w:val="009856B6"/>
    <w:rsid w:val="00990E18"/>
    <w:rsid w:val="00991CD3"/>
    <w:rsid w:val="009952B5"/>
    <w:rsid w:val="009956AF"/>
    <w:rsid w:val="009970D3"/>
    <w:rsid w:val="009A1612"/>
    <w:rsid w:val="009A33DB"/>
    <w:rsid w:val="009A64A5"/>
    <w:rsid w:val="009A7852"/>
    <w:rsid w:val="009B0507"/>
    <w:rsid w:val="009B1C75"/>
    <w:rsid w:val="009B314F"/>
    <w:rsid w:val="009B7B66"/>
    <w:rsid w:val="009C113E"/>
    <w:rsid w:val="009C47F0"/>
    <w:rsid w:val="009C6BF7"/>
    <w:rsid w:val="009D34A4"/>
    <w:rsid w:val="009D4A19"/>
    <w:rsid w:val="009D4C6D"/>
    <w:rsid w:val="009D5834"/>
    <w:rsid w:val="009D6AEE"/>
    <w:rsid w:val="009E0E19"/>
    <w:rsid w:val="009E1E52"/>
    <w:rsid w:val="009E35CB"/>
    <w:rsid w:val="009E51E1"/>
    <w:rsid w:val="009E6748"/>
    <w:rsid w:val="009E7573"/>
    <w:rsid w:val="009F2B01"/>
    <w:rsid w:val="009F4108"/>
    <w:rsid w:val="009F7BF1"/>
    <w:rsid w:val="00A02B9F"/>
    <w:rsid w:val="00A05149"/>
    <w:rsid w:val="00A05DA4"/>
    <w:rsid w:val="00A061E7"/>
    <w:rsid w:val="00A07778"/>
    <w:rsid w:val="00A10324"/>
    <w:rsid w:val="00A125C6"/>
    <w:rsid w:val="00A148E1"/>
    <w:rsid w:val="00A176D4"/>
    <w:rsid w:val="00A208E0"/>
    <w:rsid w:val="00A20C16"/>
    <w:rsid w:val="00A2329E"/>
    <w:rsid w:val="00A24080"/>
    <w:rsid w:val="00A245F6"/>
    <w:rsid w:val="00A26E17"/>
    <w:rsid w:val="00A3202F"/>
    <w:rsid w:val="00A32A97"/>
    <w:rsid w:val="00A33EF5"/>
    <w:rsid w:val="00A37423"/>
    <w:rsid w:val="00A37A23"/>
    <w:rsid w:val="00A4164F"/>
    <w:rsid w:val="00A42648"/>
    <w:rsid w:val="00A42764"/>
    <w:rsid w:val="00A42FDA"/>
    <w:rsid w:val="00A43D16"/>
    <w:rsid w:val="00A44F25"/>
    <w:rsid w:val="00A4525F"/>
    <w:rsid w:val="00A4555F"/>
    <w:rsid w:val="00A45A8E"/>
    <w:rsid w:val="00A46BA1"/>
    <w:rsid w:val="00A5468C"/>
    <w:rsid w:val="00A54F2C"/>
    <w:rsid w:val="00A574E0"/>
    <w:rsid w:val="00A57EE9"/>
    <w:rsid w:val="00A60230"/>
    <w:rsid w:val="00A63180"/>
    <w:rsid w:val="00A651A2"/>
    <w:rsid w:val="00A6607A"/>
    <w:rsid w:val="00A67218"/>
    <w:rsid w:val="00A6798E"/>
    <w:rsid w:val="00A67B4E"/>
    <w:rsid w:val="00A71B18"/>
    <w:rsid w:val="00A73BBD"/>
    <w:rsid w:val="00A73F90"/>
    <w:rsid w:val="00A7678D"/>
    <w:rsid w:val="00A8160A"/>
    <w:rsid w:val="00A8226A"/>
    <w:rsid w:val="00A82638"/>
    <w:rsid w:val="00A833AA"/>
    <w:rsid w:val="00A86612"/>
    <w:rsid w:val="00A8692E"/>
    <w:rsid w:val="00A94367"/>
    <w:rsid w:val="00A94901"/>
    <w:rsid w:val="00A953E6"/>
    <w:rsid w:val="00AA0C59"/>
    <w:rsid w:val="00AA1769"/>
    <w:rsid w:val="00AA1782"/>
    <w:rsid w:val="00AA2BFF"/>
    <w:rsid w:val="00AA2F2F"/>
    <w:rsid w:val="00AA3B9C"/>
    <w:rsid w:val="00AA7482"/>
    <w:rsid w:val="00AB0CE2"/>
    <w:rsid w:val="00AB3446"/>
    <w:rsid w:val="00AB35BB"/>
    <w:rsid w:val="00AB3B81"/>
    <w:rsid w:val="00AB415E"/>
    <w:rsid w:val="00AB4371"/>
    <w:rsid w:val="00AB6F51"/>
    <w:rsid w:val="00AB7A6D"/>
    <w:rsid w:val="00AC1D69"/>
    <w:rsid w:val="00AC2A51"/>
    <w:rsid w:val="00AC4710"/>
    <w:rsid w:val="00AC546F"/>
    <w:rsid w:val="00AC55D6"/>
    <w:rsid w:val="00AD3147"/>
    <w:rsid w:val="00AD4714"/>
    <w:rsid w:val="00AD4E60"/>
    <w:rsid w:val="00AD510C"/>
    <w:rsid w:val="00AD7137"/>
    <w:rsid w:val="00AE0068"/>
    <w:rsid w:val="00AE3EA3"/>
    <w:rsid w:val="00AE7D6B"/>
    <w:rsid w:val="00AF55DD"/>
    <w:rsid w:val="00AF56B2"/>
    <w:rsid w:val="00AF71E2"/>
    <w:rsid w:val="00B01615"/>
    <w:rsid w:val="00B01F54"/>
    <w:rsid w:val="00B021EA"/>
    <w:rsid w:val="00B04792"/>
    <w:rsid w:val="00B050EF"/>
    <w:rsid w:val="00B05439"/>
    <w:rsid w:val="00B10B61"/>
    <w:rsid w:val="00B11737"/>
    <w:rsid w:val="00B17140"/>
    <w:rsid w:val="00B23F66"/>
    <w:rsid w:val="00B241CC"/>
    <w:rsid w:val="00B24821"/>
    <w:rsid w:val="00B25576"/>
    <w:rsid w:val="00B27A9C"/>
    <w:rsid w:val="00B34EB5"/>
    <w:rsid w:val="00B3670B"/>
    <w:rsid w:val="00B41CDA"/>
    <w:rsid w:val="00B41F3E"/>
    <w:rsid w:val="00B443D8"/>
    <w:rsid w:val="00B45494"/>
    <w:rsid w:val="00B47F95"/>
    <w:rsid w:val="00B5483A"/>
    <w:rsid w:val="00B552B6"/>
    <w:rsid w:val="00B57331"/>
    <w:rsid w:val="00B635C6"/>
    <w:rsid w:val="00B639F9"/>
    <w:rsid w:val="00B65D9C"/>
    <w:rsid w:val="00B661A5"/>
    <w:rsid w:val="00B701A5"/>
    <w:rsid w:val="00B73CBB"/>
    <w:rsid w:val="00B74102"/>
    <w:rsid w:val="00B74FD7"/>
    <w:rsid w:val="00B76857"/>
    <w:rsid w:val="00B812D1"/>
    <w:rsid w:val="00B822D5"/>
    <w:rsid w:val="00B82B20"/>
    <w:rsid w:val="00B82FEA"/>
    <w:rsid w:val="00B8711E"/>
    <w:rsid w:val="00B904EF"/>
    <w:rsid w:val="00B9098A"/>
    <w:rsid w:val="00B92D75"/>
    <w:rsid w:val="00B95C5D"/>
    <w:rsid w:val="00B97121"/>
    <w:rsid w:val="00BA08BE"/>
    <w:rsid w:val="00BA095D"/>
    <w:rsid w:val="00BA3DDE"/>
    <w:rsid w:val="00BA5083"/>
    <w:rsid w:val="00BA798E"/>
    <w:rsid w:val="00BA7A01"/>
    <w:rsid w:val="00BA7AE5"/>
    <w:rsid w:val="00BB0200"/>
    <w:rsid w:val="00BB1A7D"/>
    <w:rsid w:val="00BB2E70"/>
    <w:rsid w:val="00BC045A"/>
    <w:rsid w:val="00BC1400"/>
    <w:rsid w:val="00BC29E2"/>
    <w:rsid w:val="00BC46EA"/>
    <w:rsid w:val="00BC670C"/>
    <w:rsid w:val="00BC7AAD"/>
    <w:rsid w:val="00BD12F3"/>
    <w:rsid w:val="00BD2441"/>
    <w:rsid w:val="00BD618E"/>
    <w:rsid w:val="00BD689A"/>
    <w:rsid w:val="00BE2807"/>
    <w:rsid w:val="00BE2B21"/>
    <w:rsid w:val="00BE4CBF"/>
    <w:rsid w:val="00BF0218"/>
    <w:rsid w:val="00BF22E3"/>
    <w:rsid w:val="00BF55EA"/>
    <w:rsid w:val="00BF656A"/>
    <w:rsid w:val="00BF7AD5"/>
    <w:rsid w:val="00C01B35"/>
    <w:rsid w:val="00C024D8"/>
    <w:rsid w:val="00C036C3"/>
    <w:rsid w:val="00C036E5"/>
    <w:rsid w:val="00C075E0"/>
    <w:rsid w:val="00C1065A"/>
    <w:rsid w:val="00C12018"/>
    <w:rsid w:val="00C15FCE"/>
    <w:rsid w:val="00C20D5E"/>
    <w:rsid w:val="00C249E7"/>
    <w:rsid w:val="00C276DD"/>
    <w:rsid w:val="00C34525"/>
    <w:rsid w:val="00C3563E"/>
    <w:rsid w:val="00C40014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6E82"/>
    <w:rsid w:val="00C57B75"/>
    <w:rsid w:val="00C6226B"/>
    <w:rsid w:val="00C63D79"/>
    <w:rsid w:val="00C64990"/>
    <w:rsid w:val="00C6764B"/>
    <w:rsid w:val="00C71643"/>
    <w:rsid w:val="00C7252C"/>
    <w:rsid w:val="00C83CAC"/>
    <w:rsid w:val="00C90BDE"/>
    <w:rsid w:val="00C91496"/>
    <w:rsid w:val="00C9165C"/>
    <w:rsid w:val="00C93E25"/>
    <w:rsid w:val="00C94612"/>
    <w:rsid w:val="00C95A2F"/>
    <w:rsid w:val="00C9645B"/>
    <w:rsid w:val="00C97145"/>
    <w:rsid w:val="00C97510"/>
    <w:rsid w:val="00C977DF"/>
    <w:rsid w:val="00CA3BC7"/>
    <w:rsid w:val="00CA461A"/>
    <w:rsid w:val="00CA71BA"/>
    <w:rsid w:val="00CB5127"/>
    <w:rsid w:val="00CB71D2"/>
    <w:rsid w:val="00CB7EB6"/>
    <w:rsid w:val="00CC25F5"/>
    <w:rsid w:val="00CC3BE0"/>
    <w:rsid w:val="00CC4F6E"/>
    <w:rsid w:val="00CC6930"/>
    <w:rsid w:val="00CC76C8"/>
    <w:rsid w:val="00CD019A"/>
    <w:rsid w:val="00CD173C"/>
    <w:rsid w:val="00CD2388"/>
    <w:rsid w:val="00CE0186"/>
    <w:rsid w:val="00CE02BB"/>
    <w:rsid w:val="00CE10AB"/>
    <w:rsid w:val="00CE1598"/>
    <w:rsid w:val="00CE2DBC"/>
    <w:rsid w:val="00CE6335"/>
    <w:rsid w:val="00CE71FC"/>
    <w:rsid w:val="00CF1F59"/>
    <w:rsid w:val="00CF475E"/>
    <w:rsid w:val="00CF4849"/>
    <w:rsid w:val="00CF77FD"/>
    <w:rsid w:val="00D021F1"/>
    <w:rsid w:val="00D038AD"/>
    <w:rsid w:val="00D06D81"/>
    <w:rsid w:val="00D10DBB"/>
    <w:rsid w:val="00D14A88"/>
    <w:rsid w:val="00D14FA1"/>
    <w:rsid w:val="00D152EE"/>
    <w:rsid w:val="00D17AA3"/>
    <w:rsid w:val="00D2064A"/>
    <w:rsid w:val="00D218D6"/>
    <w:rsid w:val="00D23C21"/>
    <w:rsid w:val="00D24EEE"/>
    <w:rsid w:val="00D31C5A"/>
    <w:rsid w:val="00D332DE"/>
    <w:rsid w:val="00D40BC4"/>
    <w:rsid w:val="00D40DE5"/>
    <w:rsid w:val="00D41B85"/>
    <w:rsid w:val="00D44392"/>
    <w:rsid w:val="00D50BC0"/>
    <w:rsid w:val="00D5109E"/>
    <w:rsid w:val="00D51B40"/>
    <w:rsid w:val="00D53A14"/>
    <w:rsid w:val="00D6016A"/>
    <w:rsid w:val="00D60482"/>
    <w:rsid w:val="00D648FE"/>
    <w:rsid w:val="00D67259"/>
    <w:rsid w:val="00D67E77"/>
    <w:rsid w:val="00D70181"/>
    <w:rsid w:val="00D71616"/>
    <w:rsid w:val="00D7556D"/>
    <w:rsid w:val="00D75B91"/>
    <w:rsid w:val="00D76D04"/>
    <w:rsid w:val="00D77456"/>
    <w:rsid w:val="00D80343"/>
    <w:rsid w:val="00D81C78"/>
    <w:rsid w:val="00D8626A"/>
    <w:rsid w:val="00D86C9A"/>
    <w:rsid w:val="00D8774A"/>
    <w:rsid w:val="00D90AB3"/>
    <w:rsid w:val="00D914F7"/>
    <w:rsid w:val="00D932BA"/>
    <w:rsid w:val="00D93C9B"/>
    <w:rsid w:val="00D94B97"/>
    <w:rsid w:val="00D96620"/>
    <w:rsid w:val="00DA1BAE"/>
    <w:rsid w:val="00DC0CA0"/>
    <w:rsid w:val="00DC3221"/>
    <w:rsid w:val="00DC4DE7"/>
    <w:rsid w:val="00DD0598"/>
    <w:rsid w:val="00DD06F4"/>
    <w:rsid w:val="00DD24D5"/>
    <w:rsid w:val="00DD473C"/>
    <w:rsid w:val="00DD5296"/>
    <w:rsid w:val="00DE42BF"/>
    <w:rsid w:val="00DE4DEC"/>
    <w:rsid w:val="00DE6438"/>
    <w:rsid w:val="00DE7F13"/>
    <w:rsid w:val="00DF0857"/>
    <w:rsid w:val="00DF1142"/>
    <w:rsid w:val="00DF26C3"/>
    <w:rsid w:val="00DF33AF"/>
    <w:rsid w:val="00DF4924"/>
    <w:rsid w:val="00DF792A"/>
    <w:rsid w:val="00DF7EF2"/>
    <w:rsid w:val="00E0214D"/>
    <w:rsid w:val="00E025AE"/>
    <w:rsid w:val="00E025C7"/>
    <w:rsid w:val="00E02ACD"/>
    <w:rsid w:val="00E04696"/>
    <w:rsid w:val="00E0665C"/>
    <w:rsid w:val="00E101A8"/>
    <w:rsid w:val="00E1162E"/>
    <w:rsid w:val="00E11C42"/>
    <w:rsid w:val="00E12171"/>
    <w:rsid w:val="00E15139"/>
    <w:rsid w:val="00E153B6"/>
    <w:rsid w:val="00E2044B"/>
    <w:rsid w:val="00E23B0B"/>
    <w:rsid w:val="00E23DCC"/>
    <w:rsid w:val="00E243CC"/>
    <w:rsid w:val="00E244E2"/>
    <w:rsid w:val="00E256CA"/>
    <w:rsid w:val="00E25F3D"/>
    <w:rsid w:val="00E33E7F"/>
    <w:rsid w:val="00E34B7A"/>
    <w:rsid w:val="00E35646"/>
    <w:rsid w:val="00E36F43"/>
    <w:rsid w:val="00E37F8D"/>
    <w:rsid w:val="00E405FE"/>
    <w:rsid w:val="00E414C1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6017D"/>
    <w:rsid w:val="00E60B1F"/>
    <w:rsid w:val="00E6154F"/>
    <w:rsid w:val="00E61960"/>
    <w:rsid w:val="00E61AF4"/>
    <w:rsid w:val="00E646EE"/>
    <w:rsid w:val="00E66F49"/>
    <w:rsid w:val="00E6747E"/>
    <w:rsid w:val="00E74431"/>
    <w:rsid w:val="00E74C75"/>
    <w:rsid w:val="00E751C2"/>
    <w:rsid w:val="00E7540C"/>
    <w:rsid w:val="00E766DD"/>
    <w:rsid w:val="00E81093"/>
    <w:rsid w:val="00E81B54"/>
    <w:rsid w:val="00E83D64"/>
    <w:rsid w:val="00E861DE"/>
    <w:rsid w:val="00E86D17"/>
    <w:rsid w:val="00E87BB1"/>
    <w:rsid w:val="00E90376"/>
    <w:rsid w:val="00E92498"/>
    <w:rsid w:val="00E92D33"/>
    <w:rsid w:val="00E9517D"/>
    <w:rsid w:val="00E97258"/>
    <w:rsid w:val="00EA118B"/>
    <w:rsid w:val="00EA2F90"/>
    <w:rsid w:val="00EA4E3A"/>
    <w:rsid w:val="00EA5993"/>
    <w:rsid w:val="00EA6343"/>
    <w:rsid w:val="00EB3915"/>
    <w:rsid w:val="00EC3C73"/>
    <w:rsid w:val="00EC7463"/>
    <w:rsid w:val="00EC7EE7"/>
    <w:rsid w:val="00ED248D"/>
    <w:rsid w:val="00ED3D3F"/>
    <w:rsid w:val="00ED47E6"/>
    <w:rsid w:val="00ED6961"/>
    <w:rsid w:val="00ED6D28"/>
    <w:rsid w:val="00ED7975"/>
    <w:rsid w:val="00ED7ACE"/>
    <w:rsid w:val="00EE2B8E"/>
    <w:rsid w:val="00EE2C05"/>
    <w:rsid w:val="00EE3BD8"/>
    <w:rsid w:val="00EE4E87"/>
    <w:rsid w:val="00EF24A6"/>
    <w:rsid w:val="00EF29A0"/>
    <w:rsid w:val="00EF50D7"/>
    <w:rsid w:val="00EF6DF5"/>
    <w:rsid w:val="00F02F06"/>
    <w:rsid w:val="00F072AF"/>
    <w:rsid w:val="00F0750A"/>
    <w:rsid w:val="00F10001"/>
    <w:rsid w:val="00F1238A"/>
    <w:rsid w:val="00F16223"/>
    <w:rsid w:val="00F17C2A"/>
    <w:rsid w:val="00F25F97"/>
    <w:rsid w:val="00F273A2"/>
    <w:rsid w:val="00F302CB"/>
    <w:rsid w:val="00F348D4"/>
    <w:rsid w:val="00F37431"/>
    <w:rsid w:val="00F37E81"/>
    <w:rsid w:val="00F4306A"/>
    <w:rsid w:val="00F432D2"/>
    <w:rsid w:val="00F434A1"/>
    <w:rsid w:val="00F43895"/>
    <w:rsid w:val="00F52062"/>
    <w:rsid w:val="00F544A5"/>
    <w:rsid w:val="00F60151"/>
    <w:rsid w:val="00F6381A"/>
    <w:rsid w:val="00F66FD8"/>
    <w:rsid w:val="00F70C6F"/>
    <w:rsid w:val="00F70D2E"/>
    <w:rsid w:val="00F71726"/>
    <w:rsid w:val="00F72378"/>
    <w:rsid w:val="00F754D3"/>
    <w:rsid w:val="00F768CD"/>
    <w:rsid w:val="00F769EE"/>
    <w:rsid w:val="00F839F8"/>
    <w:rsid w:val="00F8431D"/>
    <w:rsid w:val="00F84B69"/>
    <w:rsid w:val="00F8519A"/>
    <w:rsid w:val="00F8554D"/>
    <w:rsid w:val="00F8568B"/>
    <w:rsid w:val="00F86095"/>
    <w:rsid w:val="00F8697E"/>
    <w:rsid w:val="00F876F6"/>
    <w:rsid w:val="00F90BF9"/>
    <w:rsid w:val="00F94702"/>
    <w:rsid w:val="00F95A9B"/>
    <w:rsid w:val="00F96F71"/>
    <w:rsid w:val="00FA3D96"/>
    <w:rsid w:val="00FA45AE"/>
    <w:rsid w:val="00FA5125"/>
    <w:rsid w:val="00FB1F92"/>
    <w:rsid w:val="00FB3E94"/>
    <w:rsid w:val="00FB5DBA"/>
    <w:rsid w:val="00FC236B"/>
    <w:rsid w:val="00FC4217"/>
    <w:rsid w:val="00FC5223"/>
    <w:rsid w:val="00FC5603"/>
    <w:rsid w:val="00FC7002"/>
    <w:rsid w:val="00FC713E"/>
    <w:rsid w:val="00FC7925"/>
    <w:rsid w:val="00FD18A7"/>
    <w:rsid w:val="00FD2C21"/>
    <w:rsid w:val="00FD4603"/>
    <w:rsid w:val="00FD6645"/>
    <w:rsid w:val="00FE21F9"/>
    <w:rsid w:val="00FE25D1"/>
    <w:rsid w:val="00FE2BE5"/>
    <w:rsid w:val="00FE3A84"/>
    <w:rsid w:val="00FE4674"/>
    <w:rsid w:val="00FE4936"/>
    <w:rsid w:val="00FE6830"/>
    <w:rsid w:val="00FE6E72"/>
    <w:rsid w:val="00FE78EE"/>
    <w:rsid w:val="00FF02D1"/>
    <w:rsid w:val="00FF1316"/>
    <w:rsid w:val="00FF1617"/>
    <w:rsid w:val="00FF53EC"/>
    <w:rsid w:val="00FF6B22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7BCCEA-8A18-48D7-B513-7C5A9154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665A5.0FCCD66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026A-E09F-4C02-9A5D-BD195E34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4</cp:revision>
  <cp:lastPrinted>2020-07-29T14:23:00Z</cp:lastPrinted>
  <dcterms:created xsi:type="dcterms:W3CDTF">2020-07-30T06:50:00Z</dcterms:created>
  <dcterms:modified xsi:type="dcterms:W3CDTF">2020-07-30T07:46:00Z</dcterms:modified>
</cp:coreProperties>
</file>