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82B" w:rsidRPr="00C82D0C" w:rsidRDefault="00CE577D">
      <w:pPr>
        <w:spacing w:after="0"/>
        <w:jc w:val="center"/>
        <w:rPr>
          <w:b/>
          <w:bCs/>
          <w:color w:val="auto"/>
          <w:sz w:val="32"/>
          <w:szCs w:val="32"/>
        </w:rPr>
      </w:pPr>
      <w:r w:rsidRPr="00C82D0C">
        <w:rPr>
          <w:b/>
          <w:bCs/>
          <w:color w:val="auto"/>
          <w:sz w:val="32"/>
          <w:szCs w:val="32"/>
        </w:rPr>
        <w:t>COMUNICATO STAMPA</w:t>
      </w:r>
    </w:p>
    <w:p w:rsidR="00F1592D" w:rsidRPr="00C82D0C" w:rsidRDefault="00CE577D">
      <w:pPr>
        <w:spacing w:after="0"/>
        <w:jc w:val="center"/>
        <w:rPr>
          <w:b/>
          <w:bCs/>
          <w:color w:val="auto"/>
          <w:sz w:val="32"/>
          <w:szCs w:val="32"/>
        </w:rPr>
      </w:pPr>
      <w:r w:rsidRPr="00C82D0C">
        <w:rPr>
          <w:b/>
          <w:bCs/>
          <w:color w:val="auto"/>
          <w:sz w:val="32"/>
          <w:szCs w:val="32"/>
        </w:rPr>
        <w:t>CORONAVIRUS</w:t>
      </w:r>
      <w:r w:rsidR="00485811" w:rsidRPr="00C82D0C">
        <w:rPr>
          <w:b/>
          <w:bCs/>
          <w:color w:val="auto"/>
          <w:sz w:val="32"/>
          <w:szCs w:val="32"/>
        </w:rPr>
        <w:t>:</w:t>
      </w:r>
      <w:r w:rsidR="00420736" w:rsidRPr="00C82D0C">
        <w:rPr>
          <w:b/>
          <w:bCs/>
          <w:color w:val="auto"/>
          <w:sz w:val="32"/>
          <w:szCs w:val="32"/>
        </w:rPr>
        <w:t xml:space="preserve"> </w:t>
      </w:r>
      <w:r w:rsidR="00C82D0C" w:rsidRPr="00C82D0C">
        <w:rPr>
          <w:b/>
          <w:bCs/>
          <w:color w:val="auto"/>
          <w:sz w:val="32"/>
          <w:szCs w:val="32"/>
        </w:rPr>
        <w:t xml:space="preserve">GIÙ </w:t>
      </w:r>
      <w:r w:rsidR="00AE41A0" w:rsidRPr="00C82D0C">
        <w:rPr>
          <w:b/>
          <w:bCs/>
          <w:color w:val="auto"/>
          <w:sz w:val="32"/>
          <w:szCs w:val="32"/>
        </w:rPr>
        <w:t>NUOVI CASI (-</w:t>
      </w:r>
      <w:r w:rsidR="00C82D0C" w:rsidRPr="00C82D0C">
        <w:rPr>
          <w:b/>
          <w:bCs/>
          <w:color w:val="auto"/>
          <w:sz w:val="32"/>
          <w:szCs w:val="32"/>
        </w:rPr>
        <w:t>19,2</w:t>
      </w:r>
      <w:r w:rsidR="00AE41A0" w:rsidRPr="00C82D0C">
        <w:rPr>
          <w:b/>
          <w:bCs/>
          <w:color w:val="auto"/>
          <w:sz w:val="32"/>
          <w:szCs w:val="32"/>
        </w:rPr>
        <w:t xml:space="preserve">%), </w:t>
      </w:r>
      <w:r w:rsidR="001C0EBF">
        <w:rPr>
          <w:b/>
          <w:bCs/>
          <w:color w:val="auto"/>
          <w:sz w:val="32"/>
          <w:szCs w:val="32"/>
        </w:rPr>
        <w:br/>
      </w:r>
      <w:r w:rsidR="00F1592D" w:rsidRPr="00C82D0C">
        <w:rPr>
          <w:b/>
          <w:bCs/>
          <w:color w:val="auto"/>
          <w:sz w:val="32"/>
          <w:szCs w:val="32"/>
        </w:rPr>
        <w:t>RICOVERI ORDINARI (</w:t>
      </w:r>
      <w:r w:rsidR="00C82D0C">
        <w:rPr>
          <w:b/>
          <w:bCs/>
          <w:color w:val="auto"/>
          <w:sz w:val="32"/>
          <w:szCs w:val="32"/>
        </w:rPr>
        <w:t>-13,2</w:t>
      </w:r>
      <w:r w:rsidR="00F1592D" w:rsidRPr="00C82D0C">
        <w:rPr>
          <w:b/>
          <w:bCs/>
          <w:color w:val="auto"/>
          <w:sz w:val="32"/>
          <w:szCs w:val="32"/>
        </w:rPr>
        <w:t>%) E TERAPIE INTENSIVE (-</w:t>
      </w:r>
      <w:r w:rsidR="00C82D0C">
        <w:rPr>
          <w:b/>
          <w:bCs/>
          <w:color w:val="auto"/>
          <w:sz w:val="32"/>
          <w:szCs w:val="32"/>
        </w:rPr>
        <w:t>11</w:t>
      </w:r>
      <w:r w:rsidR="00F1592D" w:rsidRPr="00C82D0C">
        <w:rPr>
          <w:b/>
          <w:bCs/>
          <w:color w:val="auto"/>
          <w:sz w:val="32"/>
          <w:szCs w:val="32"/>
        </w:rPr>
        <w:t>%)</w:t>
      </w:r>
      <w:r w:rsidR="001C0EBF">
        <w:rPr>
          <w:b/>
          <w:bCs/>
          <w:color w:val="auto"/>
          <w:sz w:val="32"/>
          <w:szCs w:val="32"/>
        </w:rPr>
        <w:t>.</w:t>
      </w:r>
    </w:p>
    <w:p w:rsidR="00777916" w:rsidRPr="00C82D0C" w:rsidRDefault="00777916" w:rsidP="003E1DB5">
      <w:pPr>
        <w:spacing w:after="0" w:line="276" w:lineRule="auto"/>
        <w:jc w:val="center"/>
        <w:rPr>
          <w:b/>
          <w:bCs/>
          <w:color w:val="auto"/>
          <w:sz w:val="32"/>
          <w:szCs w:val="32"/>
        </w:rPr>
      </w:pPr>
      <w:r w:rsidRPr="00C82D0C">
        <w:rPr>
          <w:b/>
          <w:bCs/>
          <w:color w:val="auto"/>
          <w:sz w:val="32"/>
          <w:szCs w:val="32"/>
        </w:rPr>
        <w:t>VACCIN</w:t>
      </w:r>
      <w:r w:rsidR="009403CB" w:rsidRPr="00C82D0C">
        <w:rPr>
          <w:b/>
          <w:bCs/>
          <w:color w:val="auto"/>
          <w:sz w:val="32"/>
          <w:szCs w:val="32"/>
        </w:rPr>
        <w:t>I</w:t>
      </w:r>
      <w:r w:rsidRPr="00C82D0C">
        <w:rPr>
          <w:b/>
          <w:bCs/>
          <w:color w:val="auto"/>
          <w:sz w:val="32"/>
          <w:szCs w:val="32"/>
        </w:rPr>
        <w:t xml:space="preserve">: </w:t>
      </w:r>
      <w:r w:rsidR="00A36909">
        <w:rPr>
          <w:b/>
          <w:bCs/>
          <w:color w:val="auto"/>
          <w:sz w:val="32"/>
          <w:szCs w:val="32"/>
        </w:rPr>
        <w:t>8,3 MILIONI DI PERSONE NON ANCORA VACCINATE</w:t>
      </w:r>
      <w:r w:rsidR="00247BA3">
        <w:rPr>
          <w:b/>
          <w:bCs/>
          <w:color w:val="auto"/>
          <w:sz w:val="32"/>
          <w:szCs w:val="32"/>
        </w:rPr>
        <w:t xml:space="preserve">, </w:t>
      </w:r>
      <w:r w:rsidR="001C0EBF">
        <w:rPr>
          <w:b/>
          <w:bCs/>
          <w:color w:val="auto"/>
          <w:sz w:val="32"/>
          <w:szCs w:val="32"/>
        </w:rPr>
        <w:br/>
      </w:r>
      <w:r w:rsidR="00903DE5">
        <w:rPr>
          <w:b/>
          <w:bCs/>
          <w:color w:val="auto"/>
          <w:sz w:val="32"/>
          <w:szCs w:val="32"/>
        </w:rPr>
        <w:t xml:space="preserve">MA IL NUMERO DELLE </w:t>
      </w:r>
      <w:r w:rsidR="00AF16A2">
        <w:rPr>
          <w:b/>
          <w:bCs/>
          <w:color w:val="auto"/>
          <w:sz w:val="32"/>
          <w:szCs w:val="32"/>
        </w:rPr>
        <w:t>ESENZIONI</w:t>
      </w:r>
      <w:r w:rsidR="00903DE5">
        <w:rPr>
          <w:b/>
          <w:bCs/>
          <w:color w:val="auto"/>
          <w:sz w:val="32"/>
          <w:szCs w:val="32"/>
        </w:rPr>
        <w:t xml:space="preserve"> </w:t>
      </w:r>
      <w:r w:rsidR="00B951EB">
        <w:rPr>
          <w:b/>
          <w:bCs/>
          <w:color w:val="auto"/>
          <w:sz w:val="32"/>
          <w:szCs w:val="32"/>
        </w:rPr>
        <w:t>RESTA UN’INCOGNITA</w:t>
      </w:r>
    </w:p>
    <w:p w:rsidR="008A44E1" w:rsidRPr="00C82D0C" w:rsidRDefault="00C82D0C" w:rsidP="003E1DB5">
      <w:pPr>
        <w:spacing w:after="0" w:line="276" w:lineRule="auto"/>
        <w:jc w:val="center"/>
        <w:rPr>
          <w:b/>
          <w:bCs/>
          <w:color w:val="auto"/>
          <w:sz w:val="32"/>
          <w:szCs w:val="32"/>
        </w:rPr>
      </w:pPr>
      <w:r>
        <w:rPr>
          <w:b/>
          <w:bCs/>
          <w:color w:val="auto"/>
          <w:sz w:val="32"/>
          <w:szCs w:val="32"/>
        </w:rPr>
        <w:t>EFFETTO GREEN PASS</w:t>
      </w:r>
      <w:r w:rsidR="006E4E9A" w:rsidRPr="00C82D0C">
        <w:rPr>
          <w:b/>
          <w:bCs/>
          <w:color w:val="auto"/>
          <w:sz w:val="32"/>
          <w:szCs w:val="32"/>
        </w:rPr>
        <w:t xml:space="preserve">: </w:t>
      </w:r>
      <w:r w:rsidR="00A36909">
        <w:rPr>
          <w:b/>
          <w:bCs/>
          <w:color w:val="auto"/>
          <w:sz w:val="32"/>
          <w:szCs w:val="32"/>
        </w:rPr>
        <w:t xml:space="preserve">VOLANO I TAMPONI </w:t>
      </w:r>
      <w:r w:rsidR="00903DE5">
        <w:rPr>
          <w:b/>
          <w:bCs/>
          <w:color w:val="auto"/>
          <w:sz w:val="32"/>
          <w:szCs w:val="32"/>
        </w:rPr>
        <w:t>RAPIDI,</w:t>
      </w:r>
      <w:r w:rsidR="00B951EB">
        <w:rPr>
          <w:b/>
          <w:bCs/>
          <w:color w:val="auto"/>
          <w:sz w:val="32"/>
          <w:szCs w:val="32"/>
        </w:rPr>
        <w:t xml:space="preserve"> </w:t>
      </w:r>
      <w:r w:rsidR="00903DE5">
        <w:rPr>
          <w:b/>
          <w:bCs/>
          <w:color w:val="auto"/>
          <w:sz w:val="32"/>
          <w:szCs w:val="32"/>
        </w:rPr>
        <w:br/>
      </w:r>
      <w:r w:rsidR="00A36909">
        <w:rPr>
          <w:b/>
          <w:bCs/>
          <w:color w:val="auto"/>
          <w:sz w:val="32"/>
          <w:szCs w:val="32"/>
        </w:rPr>
        <w:t xml:space="preserve">MA </w:t>
      </w:r>
      <w:r w:rsidR="00903DE5">
        <w:rPr>
          <w:b/>
          <w:bCs/>
          <w:color w:val="auto"/>
          <w:sz w:val="32"/>
          <w:szCs w:val="32"/>
        </w:rPr>
        <w:t xml:space="preserve">NESSUNA IMPENNATA DEI </w:t>
      </w:r>
      <w:r w:rsidR="00A36909">
        <w:rPr>
          <w:b/>
          <w:bCs/>
          <w:color w:val="auto"/>
          <w:sz w:val="32"/>
          <w:szCs w:val="32"/>
        </w:rPr>
        <w:t>NUOVI VACCINATI</w:t>
      </w:r>
    </w:p>
    <w:p w:rsidR="00A36909" w:rsidRPr="00A36909" w:rsidRDefault="00CE577D" w:rsidP="00777916">
      <w:pPr>
        <w:spacing w:after="0" w:line="276" w:lineRule="auto"/>
        <w:jc w:val="both"/>
        <w:rPr>
          <w:b/>
          <w:bCs/>
          <w:color w:val="auto"/>
          <w:sz w:val="24"/>
          <w:szCs w:val="24"/>
        </w:rPr>
      </w:pPr>
      <w:r w:rsidRPr="00C82D0C">
        <w:rPr>
          <w:b/>
          <w:bCs/>
          <w:color w:val="auto"/>
          <w:sz w:val="24"/>
          <w:szCs w:val="24"/>
        </w:rPr>
        <w:t xml:space="preserve">IL MONITORAGGIO DELLA FONDAZIONE GIMBE, NELLA SETTIMANA </w:t>
      </w:r>
      <w:r w:rsidR="000673B6" w:rsidRPr="00C82D0C">
        <w:rPr>
          <w:b/>
          <w:bCs/>
          <w:color w:val="auto"/>
          <w:sz w:val="24"/>
          <w:szCs w:val="24"/>
        </w:rPr>
        <w:t>22</w:t>
      </w:r>
      <w:r w:rsidR="00115B80" w:rsidRPr="00C82D0C">
        <w:rPr>
          <w:b/>
          <w:bCs/>
          <w:color w:val="auto"/>
          <w:sz w:val="24"/>
          <w:szCs w:val="24"/>
        </w:rPr>
        <w:t>-</w:t>
      </w:r>
      <w:r w:rsidR="000673B6" w:rsidRPr="00C82D0C">
        <w:rPr>
          <w:b/>
          <w:bCs/>
          <w:color w:val="auto"/>
          <w:sz w:val="24"/>
          <w:szCs w:val="24"/>
        </w:rPr>
        <w:t>28</w:t>
      </w:r>
      <w:r w:rsidR="00984C2B" w:rsidRPr="00C82D0C">
        <w:rPr>
          <w:b/>
          <w:bCs/>
          <w:color w:val="auto"/>
          <w:sz w:val="24"/>
          <w:szCs w:val="24"/>
        </w:rPr>
        <w:t xml:space="preserve"> </w:t>
      </w:r>
      <w:r w:rsidR="00115B80" w:rsidRPr="00C82D0C">
        <w:rPr>
          <w:b/>
          <w:bCs/>
          <w:color w:val="auto"/>
          <w:sz w:val="24"/>
          <w:szCs w:val="24"/>
        </w:rPr>
        <w:t>SETTEMBRE</w:t>
      </w:r>
      <w:r w:rsidRPr="00C82D0C">
        <w:rPr>
          <w:b/>
          <w:bCs/>
          <w:color w:val="auto"/>
          <w:sz w:val="24"/>
          <w:szCs w:val="24"/>
        </w:rPr>
        <w:t xml:space="preserve">, </w:t>
      </w:r>
      <w:r w:rsidR="00DC3704" w:rsidRPr="00C82D0C">
        <w:rPr>
          <w:b/>
          <w:bCs/>
          <w:color w:val="auto"/>
          <w:sz w:val="24"/>
          <w:szCs w:val="24"/>
        </w:rPr>
        <w:t>CONFERMA</w:t>
      </w:r>
      <w:r w:rsidRPr="00C82D0C">
        <w:rPr>
          <w:b/>
          <w:bCs/>
          <w:color w:val="auto"/>
          <w:sz w:val="24"/>
          <w:szCs w:val="24"/>
        </w:rPr>
        <w:t xml:space="preserve"> </w:t>
      </w:r>
      <w:r w:rsidR="00C82D0C">
        <w:rPr>
          <w:b/>
          <w:bCs/>
          <w:color w:val="auto"/>
          <w:sz w:val="24"/>
          <w:szCs w:val="24"/>
        </w:rPr>
        <w:t xml:space="preserve">TUTTI I NUMERI IN </w:t>
      </w:r>
      <w:r w:rsidR="00C82D0C" w:rsidRPr="001F3785">
        <w:rPr>
          <w:b/>
          <w:bCs/>
          <w:color w:val="auto"/>
          <w:sz w:val="24"/>
          <w:szCs w:val="24"/>
        </w:rPr>
        <w:t>CALO</w:t>
      </w:r>
      <w:r w:rsidR="00DC3704" w:rsidRPr="001F3785">
        <w:rPr>
          <w:b/>
          <w:bCs/>
          <w:color w:val="auto"/>
          <w:sz w:val="24"/>
          <w:szCs w:val="24"/>
        </w:rPr>
        <w:t>.</w:t>
      </w:r>
      <w:r w:rsidR="00183B21" w:rsidRPr="001F3785">
        <w:rPr>
          <w:b/>
          <w:bCs/>
          <w:color w:val="auto"/>
          <w:sz w:val="24"/>
          <w:szCs w:val="24"/>
        </w:rPr>
        <w:t xml:space="preserve"> </w:t>
      </w:r>
      <w:r w:rsidR="00C92515" w:rsidRPr="001F3785">
        <w:rPr>
          <w:b/>
          <w:bCs/>
          <w:color w:val="auto"/>
          <w:sz w:val="24"/>
          <w:szCs w:val="24"/>
        </w:rPr>
        <w:t xml:space="preserve">SUL FRONTE DELLA </w:t>
      </w:r>
      <w:r w:rsidR="00F14A72" w:rsidRPr="001F3785">
        <w:rPr>
          <w:b/>
          <w:bCs/>
          <w:color w:val="auto"/>
          <w:sz w:val="24"/>
          <w:szCs w:val="24"/>
        </w:rPr>
        <w:t xml:space="preserve">CAMPAGNA </w:t>
      </w:r>
      <w:r w:rsidR="00183B21" w:rsidRPr="001F3785">
        <w:rPr>
          <w:b/>
          <w:bCs/>
          <w:color w:val="auto"/>
          <w:sz w:val="24"/>
          <w:szCs w:val="24"/>
        </w:rPr>
        <w:t>VACCINALE</w:t>
      </w:r>
      <w:r w:rsidR="00C92515" w:rsidRPr="001F3785">
        <w:rPr>
          <w:b/>
          <w:bCs/>
          <w:color w:val="auto"/>
          <w:sz w:val="24"/>
          <w:szCs w:val="24"/>
        </w:rPr>
        <w:t xml:space="preserve"> </w:t>
      </w:r>
      <w:r w:rsidR="001F3785" w:rsidRPr="001F3785">
        <w:rPr>
          <w:b/>
          <w:bCs/>
          <w:color w:val="auto"/>
          <w:sz w:val="24"/>
          <w:szCs w:val="24"/>
        </w:rPr>
        <w:t xml:space="preserve">IN LIEVE AUMENTO </w:t>
      </w:r>
      <w:r w:rsidR="007A01BF" w:rsidRPr="001F3785">
        <w:rPr>
          <w:b/>
          <w:bCs/>
          <w:color w:val="auto"/>
          <w:sz w:val="24"/>
          <w:szCs w:val="24"/>
        </w:rPr>
        <w:t xml:space="preserve">LE </w:t>
      </w:r>
      <w:r w:rsidR="00E404D6" w:rsidRPr="001F3785">
        <w:rPr>
          <w:b/>
          <w:bCs/>
          <w:color w:val="auto"/>
          <w:sz w:val="24"/>
          <w:szCs w:val="24"/>
        </w:rPr>
        <w:t>SOMMINISTRAZIONI</w:t>
      </w:r>
      <w:r w:rsidR="007A01BF" w:rsidRPr="001F3785">
        <w:rPr>
          <w:b/>
          <w:bCs/>
          <w:color w:val="auto"/>
          <w:sz w:val="24"/>
          <w:szCs w:val="24"/>
        </w:rPr>
        <w:t xml:space="preserve"> (</w:t>
      </w:r>
      <w:r w:rsidR="001F3785" w:rsidRPr="001F3785">
        <w:rPr>
          <w:b/>
          <w:bCs/>
          <w:color w:val="auto"/>
          <w:sz w:val="24"/>
          <w:szCs w:val="24"/>
        </w:rPr>
        <w:t>+4,1%</w:t>
      </w:r>
      <w:r w:rsidR="00C92515" w:rsidRPr="001F3785">
        <w:rPr>
          <w:b/>
          <w:bCs/>
          <w:color w:val="auto"/>
          <w:sz w:val="24"/>
          <w:szCs w:val="24"/>
        </w:rPr>
        <w:t>)</w:t>
      </w:r>
      <w:r w:rsidR="001F3785" w:rsidRPr="001F3785">
        <w:rPr>
          <w:b/>
          <w:bCs/>
          <w:color w:val="auto"/>
          <w:sz w:val="24"/>
          <w:szCs w:val="24"/>
        </w:rPr>
        <w:t xml:space="preserve"> E</w:t>
      </w:r>
      <w:r w:rsidR="00A36909" w:rsidRPr="001F3785">
        <w:rPr>
          <w:b/>
          <w:bCs/>
          <w:color w:val="auto"/>
          <w:sz w:val="24"/>
          <w:szCs w:val="24"/>
        </w:rPr>
        <w:t xml:space="preserve"> </w:t>
      </w:r>
      <w:r w:rsidR="001F3785" w:rsidRPr="001F3785">
        <w:rPr>
          <w:b/>
          <w:bCs/>
          <w:color w:val="auto"/>
          <w:sz w:val="24"/>
          <w:szCs w:val="24"/>
        </w:rPr>
        <w:t xml:space="preserve">CRESCONO </w:t>
      </w:r>
      <w:r w:rsidR="00A36909" w:rsidRPr="001F3785">
        <w:rPr>
          <w:b/>
          <w:bCs/>
          <w:color w:val="auto"/>
          <w:sz w:val="24"/>
          <w:szCs w:val="24"/>
        </w:rPr>
        <w:t>I</w:t>
      </w:r>
      <w:r w:rsidR="00F14A72" w:rsidRPr="001F3785">
        <w:rPr>
          <w:b/>
          <w:bCs/>
          <w:color w:val="auto"/>
          <w:sz w:val="24"/>
          <w:szCs w:val="24"/>
        </w:rPr>
        <w:t xml:space="preserve"> NUOVI VACCINATI</w:t>
      </w:r>
      <w:r w:rsidR="00A36909" w:rsidRPr="001F3785">
        <w:rPr>
          <w:b/>
          <w:bCs/>
          <w:color w:val="auto"/>
          <w:sz w:val="24"/>
          <w:szCs w:val="24"/>
        </w:rPr>
        <w:t xml:space="preserve"> (</w:t>
      </w:r>
      <w:r w:rsidR="001F3785" w:rsidRPr="001F3785">
        <w:rPr>
          <w:b/>
          <w:bCs/>
          <w:color w:val="auto"/>
          <w:sz w:val="24"/>
          <w:szCs w:val="24"/>
        </w:rPr>
        <w:t>+19,8%</w:t>
      </w:r>
      <w:r w:rsidR="00A36909" w:rsidRPr="001F3785">
        <w:rPr>
          <w:b/>
          <w:bCs/>
          <w:color w:val="auto"/>
          <w:sz w:val="24"/>
          <w:szCs w:val="24"/>
        </w:rPr>
        <w:t>)</w:t>
      </w:r>
      <w:r w:rsidR="002669FF" w:rsidRPr="001F3785">
        <w:rPr>
          <w:b/>
          <w:bCs/>
          <w:color w:val="auto"/>
          <w:sz w:val="24"/>
          <w:szCs w:val="24"/>
        </w:rPr>
        <w:t>.</w:t>
      </w:r>
      <w:r w:rsidR="007A01BF" w:rsidRPr="001F3785">
        <w:rPr>
          <w:b/>
          <w:bCs/>
          <w:color w:val="auto"/>
          <w:sz w:val="24"/>
          <w:szCs w:val="24"/>
        </w:rPr>
        <w:t xml:space="preserve"> </w:t>
      </w:r>
      <w:r w:rsidR="00A36909" w:rsidRPr="001F3785">
        <w:rPr>
          <w:b/>
          <w:bCs/>
          <w:color w:val="auto"/>
          <w:sz w:val="24"/>
          <w:szCs w:val="24"/>
        </w:rPr>
        <w:t>PARTITA LA SOMMINISTRAZIONE DELLA TERZA DOSE AGLI IMMUNODEPRESSI: COPERTURA NAZIONALE</w:t>
      </w:r>
      <w:r w:rsidR="00A36909" w:rsidRPr="00A36909">
        <w:rPr>
          <w:b/>
          <w:bCs/>
          <w:color w:val="auto"/>
          <w:sz w:val="24"/>
          <w:szCs w:val="24"/>
        </w:rPr>
        <w:t xml:space="preserve"> AL 5,7%</w:t>
      </w:r>
      <w:r w:rsidR="00903DE5">
        <w:rPr>
          <w:b/>
          <w:bCs/>
          <w:color w:val="auto"/>
          <w:sz w:val="24"/>
          <w:szCs w:val="24"/>
        </w:rPr>
        <w:t>,</w:t>
      </w:r>
      <w:r w:rsidR="00A36909">
        <w:rPr>
          <w:b/>
          <w:bCs/>
          <w:color w:val="auto"/>
          <w:sz w:val="24"/>
          <w:szCs w:val="24"/>
        </w:rPr>
        <w:t xml:space="preserve"> MA </w:t>
      </w:r>
      <w:r w:rsidR="00903DE5">
        <w:rPr>
          <w:b/>
          <w:bCs/>
          <w:color w:val="auto"/>
          <w:sz w:val="24"/>
          <w:szCs w:val="24"/>
        </w:rPr>
        <w:t xml:space="preserve">CON NOTEVOLI DIFFERENZE TRA </w:t>
      </w:r>
      <w:r w:rsidR="00A36909">
        <w:rPr>
          <w:b/>
          <w:bCs/>
          <w:color w:val="auto"/>
          <w:sz w:val="24"/>
          <w:szCs w:val="24"/>
        </w:rPr>
        <w:t>REGIONI</w:t>
      </w:r>
      <w:r w:rsidR="00A36909" w:rsidRPr="00A36909">
        <w:rPr>
          <w:b/>
          <w:bCs/>
          <w:color w:val="auto"/>
          <w:sz w:val="24"/>
          <w:szCs w:val="24"/>
        </w:rPr>
        <w:t>.</w:t>
      </w:r>
      <w:r w:rsidR="00F51F39" w:rsidRPr="00A36909">
        <w:rPr>
          <w:b/>
          <w:bCs/>
          <w:color w:val="auto"/>
          <w:sz w:val="24"/>
          <w:szCs w:val="24"/>
        </w:rPr>
        <w:t xml:space="preserve"> SI MANTIENE MOLTO ELEVATA L’EFFICACIA VACCINALE: RIDUZIONE DECESSI E TERAPIE INTENSIVE OLTRE IL 95% E RICOVERI IN AREA MEDICA </w:t>
      </w:r>
      <w:r w:rsidR="0084571A">
        <w:rPr>
          <w:b/>
          <w:bCs/>
          <w:color w:val="auto"/>
          <w:sz w:val="24"/>
          <w:szCs w:val="24"/>
        </w:rPr>
        <w:t>AL</w:t>
      </w:r>
      <w:r w:rsidR="0084571A" w:rsidRPr="00A36909">
        <w:rPr>
          <w:b/>
          <w:bCs/>
          <w:color w:val="auto"/>
          <w:sz w:val="24"/>
          <w:szCs w:val="24"/>
        </w:rPr>
        <w:t xml:space="preserve"> </w:t>
      </w:r>
      <w:r w:rsidR="00F51F39" w:rsidRPr="00A36909">
        <w:rPr>
          <w:b/>
          <w:bCs/>
          <w:color w:val="auto"/>
          <w:sz w:val="24"/>
          <w:szCs w:val="24"/>
        </w:rPr>
        <w:t>9</w:t>
      </w:r>
      <w:r w:rsidR="00A36909" w:rsidRPr="00A36909">
        <w:rPr>
          <w:b/>
          <w:bCs/>
          <w:color w:val="auto"/>
          <w:sz w:val="24"/>
          <w:szCs w:val="24"/>
        </w:rPr>
        <w:t>2,7</w:t>
      </w:r>
      <w:r w:rsidR="00F51F39" w:rsidRPr="00A36909">
        <w:rPr>
          <w:b/>
          <w:bCs/>
          <w:color w:val="auto"/>
          <w:sz w:val="24"/>
          <w:szCs w:val="24"/>
        </w:rPr>
        <w:t>%.</w:t>
      </w:r>
      <w:r w:rsidR="00A36909">
        <w:rPr>
          <w:b/>
          <w:bCs/>
          <w:color w:val="auto"/>
          <w:sz w:val="24"/>
          <w:szCs w:val="24"/>
        </w:rPr>
        <w:t xml:space="preserve"> ESTENSIONE OBBLIGO DI GREEN PASS: </w:t>
      </w:r>
      <w:r w:rsidR="00903DE5">
        <w:rPr>
          <w:b/>
          <w:bCs/>
          <w:color w:val="auto"/>
          <w:sz w:val="24"/>
          <w:szCs w:val="24"/>
        </w:rPr>
        <w:t xml:space="preserve">BOOM DI </w:t>
      </w:r>
      <w:r w:rsidR="00A36909">
        <w:rPr>
          <w:b/>
          <w:bCs/>
          <w:color w:val="auto"/>
          <w:sz w:val="24"/>
          <w:szCs w:val="24"/>
        </w:rPr>
        <w:t xml:space="preserve">TAMPONI ANTIGENICI </w:t>
      </w:r>
      <w:r w:rsidR="00A86CE3" w:rsidRPr="00A86CE3">
        <w:rPr>
          <w:b/>
          <w:bCs/>
          <w:color w:val="auto"/>
          <w:sz w:val="24"/>
          <w:szCs w:val="24"/>
        </w:rPr>
        <w:t>(+57,7%</w:t>
      </w:r>
      <w:r w:rsidR="00A86CE3">
        <w:rPr>
          <w:b/>
          <w:bCs/>
          <w:color w:val="auto"/>
          <w:sz w:val="24"/>
          <w:szCs w:val="24"/>
        </w:rPr>
        <w:t xml:space="preserve"> IN UN MESE), MENTRE SUL FRONTE DEI NUOVI VACCINATI </w:t>
      </w:r>
      <w:r w:rsidR="00B56876">
        <w:rPr>
          <w:b/>
          <w:bCs/>
          <w:color w:val="auto"/>
          <w:sz w:val="24"/>
          <w:szCs w:val="24"/>
        </w:rPr>
        <w:t xml:space="preserve">OCCORRE ATTENDERE IL 15 OTTOBRE </w:t>
      </w:r>
      <w:r w:rsidR="001F3785">
        <w:rPr>
          <w:b/>
          <w:bCs/>
          <w:color w:val="auto"/>
          <w:sz w:val="24"/>
          <w:szCs w:val="24"/>
        </w:rPr>
        <w:t xml:space="preserve">PER </w:t>
      </w:r>
      <w:r w:rsidR="00A86CE3">
        <w:rPr>
          <w:b/>
          <w:bCs/>
          <w:color w:val="auto"/>
          <w:sz w:val="24"/>
          <w:szCs w:val="24"/>
        </w:rPr>
        <w:t>LA PROVA DEL NOVE</w:t>
      </w:r>
      <w:r w:rsidR="00B56876">
        <w:rPr>
          <w:b/>
          <w:bCs/>
          <w:color w:val="auto"/>
          <w:sz w:val="24"/>
          <w:szCs w:val="24"/>
        </w:rPr>
        <w:t xml:space="preserve">. </w:t>
      </w:r>
    </w:p>
    <w:p w:rsidR="00935328" w:rsidRPr="000673B6" w:rsidRDefault="00F51F39" w:rsidP="00777916">
      <w:pPr>
        <w:spacing w:after="0" w:line="276" w:lineRule="auto"/>
        <w:jc w:val="both"/>
        <w:rPr>
          <w:b/>
          <w:bCs/>
          <w:color w:val="FF0000"/>
          <w:sz w:val="24"/>
          <w:szCs w:val="24"/>
        </w:rPr>
      </w:pPr>
      <w:r w:rsidRPr="00A36909">
        <w:rPr>
          <w:b/>
          <w:bCs/>
          <w:color w:val="auto"/>
          <w:sz w:val="24"/>
          <w:szCs w:val="24"/>
        </w:rPr>
        <w:t xml:space="preserve"> </w:t>
      </w:r>
    </w:p>
    <w:p w:rsidR="007B682B" w:rsidRPr="00234B97" w:rsidRDefault="000673B6">
      <w:pPr>
        <w:spacing w:before="120" w:after="120"/>
        <w:jc w:val="center"/>
        <w:rPr>
          <w:b/>
          <w:bCs/>
          <w:sz w:val="24"/>
          <w:szCs w:val="24"/>
        </w:rPr>
      </w:pPr>
      <w:r>
        <w:rPr>
          <w:b/>
          <w:bCs/>
          <w:sz w:val="24"/>
          <w:szCs w:val="24"/>
        </w:rPr>
        <w:t xml:space="preserve">30 </w:t>
      </w:r>
      <w:r w:rsidR="00C2652A" w:rsidRPr="00234B97">
        <w:rPr>
          <w:b/>
          <w:bCs/>
          <w:sz w:val="24"/>
          <w:szCs w:val="24"/>
        </w:rPr>
        <w:t>settembre</w:t>
      </w:r>
      <w:r w:rsidR="00CE577D" w:rsidRPr="00234B97">
        <w:rPr>
          <w:b/>
          <w:bCs/>
          <w:sz w:val="24"/>
          <w:szCs w:val="24"/>
        </w:rPr>
        <w:t xml:space="preserve"> 2021 - Fondazione GIMBE, Bologna</w:t>
      </w:r>
    </w:p>
    <w:p w:rsidR="003E512B" w:rsidRPr="00234B97" w:rsidRDefault="003E512B" w:rsidP="007A602C">
      <w:pPr>
        <w:spacing w:after="120" w:line="276" w:lineRule="auto"/>
        <w:jc w:val="both"/>
        <w:rPr>
          <w:color w:val="auto"/>
        </w:rPr>
      </w:pPr>
      <w:r w:rsidRPr="003E512B">
        <w:rPr>
          <w:color w:val="auto"/>
        </w:rPr>
        <w:t>Il monitoraggio indipendente della Fondazione GIMBE rileva nella settimana 22-28 settembre 2021, rispetto alla precedente, una diminuzione di nuovi casi (23.159 vs 28.676) (</w:t>
      </w:r>
      <w:r w:rsidRPr="006236A4">
        <w:rPr>
          <w:color w:val="auto"/>
          <w:highlight w:val="yellow"/>
        </w:rPr>
        <w:t>figura 1</w:t>
      </w:r>
      <w:r w:rsidRPr="003E512B">
        <w:rPr>
          <w:color w:val="auto"/>
        </w:rPr>
        <w:t>) e dei decessi (386 vs 394) (</w:t>
      </w:r>
      <w:r w:rsidRPr="006236A4">
        <w:rPr>
          <w:color w:val="auto"/>
          <w:highlight w:val="yellow"/>
        </w:rPr>
        <w:t>figura 2</w:t>
      </w:r>
      <w:r w:rsidRPr="003E512B">
        <w:rPr>
          <w:color w:val="auto"/>
        </w:rPr>
        <w:t>). In calo anche i casi attualmente positivi (98.872 vs 109.513), le persone in isolamento domiciliare (94.995 vs 105.060), i ricoveri con sintomi (3.418 vs 3.937) e le terapie intensive (459 vs 516) (</w:t>
      </w:r>
      <w:r w:rsidRPr="006236A4">
        <w:rPr>
          <w:color w:val="auto"/>
          <w:highlight w:val="yellow"/>
        </w:rPr>
        <w:t>figura 3</w:t>
      </w:r>
      <w:r w:rsidRPr="003E512B">
        <w:rPr>
          <w:color w:val="auto"/>
        </w:rPr>
        <w:t>). In dettaglio, rispetto alla settimana precedente, si registrano le seguenti variazioni:</w:t>
      </w:r>
    </w:p>
    <w:p w:rsidR="006236A4" w:rsidRPr="006236A4" w:rsidRDefault="006236A4" w:rsidP="006236A4">
      <w:pPr>
        <w:pStyle w:val="Paragrafoelenco"/>
        <w:numPr>
          <w:ilvl w:val="0"/>
          <w:numId w:val="2"/>
        </w:numPr>
        <w:spacing w:after="0" w:line="276" w:lineRule="auto"/>
        <w:jc w:val="both"/>
        <w:rPr>
          <w:color w:val="auto"/>
        </w:rPr>
      </w:pPr>
      <w:r>
        <w:rPr>
          <w:color w:val="auto"/>
        </w:rPr>
        <w:t>Decessi: 386 (-2</w:t>
      </w:r>
      <w:r w:rsidRPr="006236A4">
        <w:rPr>
          <w:color w:val="auto"/>
        </w:rPr>
        <w:t>%), di cui 46 riferiti a periodi precedenti</w:t>
      </w:r>
    </w:p>
    <w:p w:rsidR="006236A4" w:rsidRPr="006236A4" w:rsidRDefault="006236A4" w:rsidP="006236A4">
      <w:pPr>
        <w:pStyle w:val="Paragrafoelenco"/>
        <w:numPr>
          <w:ilvl w:val="0"/>
          <w:numId w:val="2"/>
        </w:numPr>
        <w:spacing w:after="0" w:line="276" w:lineRule="auto"/>
        <w:jc w:val="both"/>
        <w:rPr>
          <w:color w:val="auto"/>
        </w:rPr>
      </w:pPr>
      <w:r>
        <w:rPr>
          <w:color w:val="auto"/>
        </w:rPr>
        <w:t>Terapia intensiva: -57 (-11</w:t>
      </w:r>
      <w:r w:rsidRPr="006236A4">
        <w:rPr>
          <w:color w:val="auto"/>
        </w:rPr>
        <w:t>%)</w:t>
      </w:r>
    </w:p>
    <w:p w:rsidR="006236A4" w:rsidRPr="006236A4" w:rsidRDefault="006236A4" w:rsidP="006236A4">
      <w:pPr>
        <w:pStyle w:val="Paragrafoelenco"/>
        <w:numPr>
          <w:ilvl w:val="0"/>
          <w:numId w:val="2"/>
        </w:numPr>
        <w:spacing w:after="0" w:line="276" w:lineRule="auto"/>
        <w:jc w:val="both"/>
        <w:rPr>
          <w:color w:val="auto"/>
        </w:rPr>
      </w:pPr>
      <w:r w:rsidRPr="006236A4">
        <w:rPr>
          <w:color w:val="auto"/>
        </w:rPr>
        <w:t>Ricoverati con sintomi: -519 (-13,2%)</w:t>
      </w:r>
    </w:p>
    <w:p w:rsidR="006236A4" w:rsidRPr="006236A4" w:rsidRDefault="006236A4" w:rsidP="006236A4">
      <w:pPr>
        <w:pStyle w:val="Paragrafoelenco"/>
        <w:numPr>
          <w:ilvl w:val="0"/>
          <w:numId w:val="2"/>
        </w:numPr>
        <w:spacing w:after="0" w:line="276" w:lineRule="auto"/>
        <w:jc w:val="both"/>
        <w:rPr>
          <w:color w:val="auto"/>
        </w:rPr>
      </w:pPr>
      <w:r w:rsidRPr="006236A4">
        <w:rPr>
          <w:color w:val="auto"/>
        </w:rPr>
        <w:t>Isolamento domiciliare: -10.065 (-9,6%)</w:t>
      </w:r>
    </w:p>
    <w:p w:rsidR="006236A4" w:rsidRPr="006236A4" w:rsidRDefault="006236A4" w:rsidP="006236A4">
      <w:pPr>
        <w:pStyle w:val="Paragrafoelenco"/>
        <w:numPr>
          <w:ilvl w:val="0"/>
          <w:numId w:val="2"/>
        </w:numPr>
        <w:spacing w:after="0" w:line="276" w:lineRule="auto"/>
        <w:jc w:val="both"/>
        <w:rPr>
          <w:color w:val="auto"/>
        </w:rPr>
      </w:pPr>
      <w:r w:rsidRPr="006236A4">
        <w:rPr>
          <w:color w:val="auto"/>
        </w:rPr>
        <w:t>Nuovi casi: 23.159 (-19,2%)</w:t>
      </w:r>
    </w:p>
    <w:p w:rsidR="006236A4" w:rsidRDefault="006236A4" w:rsidP="006236A4">
      <w:pPr>
        <w:pStyle w:val="Paragrafoelenco"/>
        <w:numPr>
          <w:ilvl w:val="0"/>
          <w:numId w:val="2"/>
        </w:numPr>
        <w:spacing w:line="276" w:lineRule="auto"/>
        <w:ind w:left="357" w:hanging="357"/>
        <w:jc w:val="both"/>
        <w:rPr>
          <w:color w:val="auto"/>
        </w:rPr>
      </w:pPr>
      <w:r w:rsidRPr="006236A4">
        <w:rPr>
          <w:color w:val="auto"/>
        </w:rPr>
        <w:t>Casi attualmente positivi: -10.641 (-9,7%)</w:t>
      </w:r>
    </w:p>
    <w:p w:rsidR="006236A4" w:rsidRPr="006236A4" w:rsidRDefault="00797AB7" w:rsidP="006236A4">
      <w:pPr>
        <w:spacing w:line="276" w:lineRule="auto"/>
        <w:jc w:val="both"/>
        <w:rPr>
          <w:color w:val="auto"/>
        </w:rPr>
      </w:pPr>
      <w:r w:rsidRPr="006236A4">
        <w:rPr>
          <w:color w:val="auto"/>
        </w:rPr>
        <w:t>«</w:t>
      </w:r>
      <w:r w:rsidR="0026464D">
        <w:rPr>
          <w:color w:val="auto"/>
        </w:rPr>
        <w:t xml:space="preserve">Ormai da 4 settimane consecutive </w:t>
      </w:r>
      <w:r w:rsidRPr="006236A4">
        <w:rPr>
          <w:color w:val="auto"/>
        </w:rPr>
        <w:t>– dichiara Nino Cartabellotta, Presidente della Fondazione GIMBE –</w:t>
      </w:r>
      <w:r w:rsidR="0026464D">
        <w:rPr>
          <w:color w:val="auto"/>
        </w:rPr>
        <w:t xml:space="preserve"> c</w:t>
      </w:r>
      <w:r w:rsidR="0026464D" w:rsidRPr="006236A4">
        <w:rPr>
          <w:color w:val="auto"/>
        </w:rPr>
        <w:t xml:space="preserve">ontinuano a </w:t>
      </w:r>
      <w:r w:rsidR="0026464D">
        <w:rPr>
          <w:color w:val="auto"/>
        </w:rPr>
        <w:t xml:space="preserve">scendere </w:t>
      </w:r>
      <w:r w:rsidR="0026464D" w:rsidRPr="006236A4">
        <w:rPr>
          <w:color w:val="auto"/>
        </w:rPr>
        <w:t>i nuovi casi settimanali</w:t>
      </w:r>
      <w:r w:rsidR="00C82D0C">
        <w:rPr>
          <w:color w:val="auto"/>
        </w:rPr>
        <w:t xml:space="preserve">: </w:t>
      </w:r>
      <w:r w:rsidR="00903DE5">
        <w:rPr>
          <w:color w:val="auto"/>
        </w:rPr>
        <w:t>anche sul fronte dei contagi</w:t>
      </w:r>
      <w:r w:rsidR="00C82D0C">
        <w:rPr>
          <w:color w:val="auto"/>
        </w:rPr>
        <w:t xml:space="preserve"> </w:t>
      </w:r>
      <w:r w:rsidR="00903DE5">
        <w:rPr>
          <w:color w:val="auto"/>
        </w:rPr>
        <w:t xml:space="preserve">iniziano a intravedersi i risultati </w:t>
      </w:r>
      <w:r w:rsidR="00C82D0C">
        <w:rPr>
          <w:color w:val="auto"/>
        </w:rPr>
        <w:t>d</w:t>
      </w:r>
      <w:r w:rsidR="00903DE5">
        <w:rPr>
          <w:color w:val="auto"/>
        </w:rPr>
        <w:t xml:space="preserve">ella </w:t>
      </w:r>
      <w:r w:rsidR="00660954">
        <w:rPr>
          <w:color w:val="auto"/>
        </w:rPr>
        <w:t xml:space="preserve">campagna </w:t>
      </w:r>
      <w:r w:rsidR="00C82D0C">
        <w:rPr>
          <w:color w:val="auto"/>
        </w:rPr>
        <w:t>vaccinale</w:t>
      </w:r>
      <w:r w:rsidR="00660954">
        <w:rPr>
          <w:color w:val="auto"/>
        </w:rPr>
        <w:t>,</w:t>
      </w:r>
      <w:r w:rsidR="00C82D0C">
        <w:rPr>
          <w:color w:val="auto"/>
        </w:rPr>
        <w:t xml:space="preserve"> </w:t>
      </w:r>
      <w:r w:rsidR="00247BA3">
        <w:rPr>
          <w:color w:val="auto"/>
        </w:rPr>
        <w:t xml:space="preserve">con </w:t>
      </w:r>
      <w:r w:rsidR="00903DE5">
        <w:rPr>
          <w:color w:val="auto"/>
        </w:rPr>
        <w:t xml:space="preserve">oltre </w:t>
      </w:r>
      <w:r w:rsidR="00247BA3">
        <w:rPr>
          <w:color w:val="auto"/>
        </w:rPr>
        <w:t xml:space="preserve">il </w:t>
      </w:r>
      <w:r w:rsidR="009630F6">
        <w:rPr>
          <w:color w:val="auto"/>
        </w:rPr>
        <w:t>71%</w:t>
      </w:r>
      <w:r w:rsidR="00C82D0C" w:rsidRPr="00903DE5">
        <w:rPr>
          <w:color w:val="FF0000"/>
        </w:rPr>
        <w:t xml:space="preserve"> </w:t>
      </w:r>
      <w:r w:rsidR="00C82D0C">
        <w:rPr>
          <w:color w:val="auto"/>
        </w:rPr>
        <w:t>della popolazione</w:t>
      </w:r>
      <w:r w:rsidR="00247BA3">
        <w:rPr>
          <w:color w:val="auto"/>
        </w:rPr>
        <w:t xml:space="preserve"> che ha </w:t>
      </w:r>
      <w:r w:rsidR="00660954">
        <w:rPr>
          <w:color w:val="auto"/>
        </w:rPr>
        <w:t xml:space="preserve">completato </w:t>
      </w:r>
      <w:r w:rsidR="00247BA3">
        <w:rPr>
          <w:color w:val="auto"/>
        </w:rPr>
        <w:t>il ciclo</w:t>
      </w:r>
      <w:r w:rsidRPr="006236A4">
        <w:rPr>
          <w:color w:val="auto"/>
        </w:rPr>
        <w:t xml:space="preserve">». </w:t>
      </w:r>
      <w:r w:rsidR="006236A4" w:rsidRPr="006236A4">
        <w:rPr>
          <w:color w:val="auto"/>
        </w:rPr>
        <w:t xml:space="preserve">Nella settimana 22-28 settembre 2021, rispetto alla precedente, </w:t>
      </w:r>
      <w:r w:rsidR="00961D34">
        <w:rPr>
          <w:color w:val="auto"/>
        </w:rPr>
        <w:t xml:space="preserve">solo in </w:t>
      </w:r>
      <w:r w:rsidR="00DD78C8">
        <w:rPr>
          <w:color w:val="auto"/>
        </w:rPr>
        <w:t>Emilia-</w:t>
      </w:r>
      <w:r w:rsidR="00961D34">
        <w:rPr>
          <w:color w:val="auto"/>
        </w:rPr>
        <w:t xml:space="preserve">Romagna e Valle d’Aosta </w:t>
      </w:r>
      <w:r w:rsidR="00961D34" w:rsidRPr="006236A4">
        <w:rPr>
          <w:color w:val="auto"/>
        </w:rPr>
        <w:t>crescono i casi attualmente positivi</w:t>
      </w:r>
      <w:r w:rsidR="00961D34">
        <w:rPr>
          <w:color w:val="auto"/>
        </w:rPr>
        <w:t>, e solo in quest’ultima</w:t>
      </w:r>
      <w:r w:rsidR="00961D34" w:rsidRPr="006236A4">
        <w:rPr>
          <w:color w:val="auto"/>
        </w:rPr>
        <w:t xml:space="preserve"> </w:t>
      </w:r>
      <w:r w:rsidR="00961D34">
        <w:rPr>
          <w:color w:val="auto"/>
        </w:rPr>
        <w:t xml:space="preserve">si </w:t>
      </w:r>
      <w:r w:rsidR="006236A4">
        <w:rPr>
          <w:color w:val="auto"/>
        </w:rPr>
        <w:t xml:space="preserve">registra </w:t>
      </w:r>
      <w:r w:rsidR="006236A4" w:rsidRPr="006236A4">
        <w:rPr>
          <w:color w:val="auto"/>
        </w:rPr>
        <w:t>un incremento percentuale dei nuovi casi</w:t>
      </w:r>
      <w:r w:rsidR="00961D34" w:rsidRPr="006236A4" w:rsidDel="00961D34">
        <w:rPr>
          <w:color w:val="auto"/>
        </w:rPr>
        <w:t xml:space="preserve"> </w:t>
      </w:r>
      <w:r w:rsidR="006236A4" w:rsidRPr="006236A4">
        <w:rPr>
          <w:color w:val="auto"/>
        </w:rPr>
        <w:t>(</w:t>
      </w:r>
      <w:r w:rsidR="006236A4" w:rsidRPr="006236A4">
        <w:rPr>
          <w:color w:val="auto"/>
          <w:highlight w:val="yellow"/>
        </w:rPr>
        <w:t>tabella 1</w:t>
      </w:r>
      <w:r w:rsidR="006236A4" w:rsidRPr="006236A4">
        <w:rPr>
          <w:color w:val="auto"/>
        </w:rPr>
        <w:t>).</w:t>
      </w:r>
      <w:r w:rsidR="006236A4">
        <w:rPr>
          <w:color w:val="auto"/>
        </w:rPr>
        <w:t xml:space="preserve"> Scendono a </w:t>
      </w:r>
      <w:r w:rsidR="006236A4" w:rsidRPr="006236A4">
        <w:rPr>
          <w:color w:val="auto"/>
        </w:rPr>
        <w:t xml:space="preserve">22 </w:t>
      </w:r>
      <w:r w:rsidR="006236A4">
        <w:rPr>
          <w:color w:val="auto"/>
        </w:rPr>
        <w:t xml:space="preserve">le </w:t>
      </w:r>
      <w:r w:rsidR="006236A4" w:rsidRPr="006236A4">
        <w:rPr>
          <w:color w:val="auto"/>
        </w:rPr>
        <w:t xml:space="preserve">Province </w:t>
      </w:r>
      <w:r w:rsidR="006236A4">
        <w:rPr>
          <w:color w:val="auto"/>
        </w:rPr>
        <w:t xml:space="preserve">con </w:t>
      </w:r>
      <w:r w:rsidR="006236A4" w:rsidRPr="006236A4">
        <w:rPr>
          <w:color w:val="auto"/>
        </w:rPr>
        <w:t>incidenza pari o superiore a 50 casi per 100.000 abitanti</w:t>
      </w:r>
      <w:r w:rsidR="006236A4">
        <w:rPr>
          <w:color w:val="auto"/>
        </w:rPr>
        <w:t xml:space="preserve"> e nessuna </w:t>
      </w:r>
      <w:r w:rsidR="0026464D">
        <w:rPr>
          <w:color w:val="auto"/>
        </w:rPr>
        <w:t>conta</w:t>
      </w:r>
      <w:r w:rsidR="006236A4" w:rsidRPr="006236A4">
        <w:rPr>
          <w:color w:val="auto"/>
        </w:rPr>
        <w:t xml:space="preserve"> oltre 150 casi per</w:t>
      </w:r>
      <w:r w:rsidR="006236A4">
        <w:rPr>
          <w:color w:val="auto"/>
        </w:rPr>
        <w:t xml:space="preserve"> 100.000 abitanti. </w:t>
      </w:r>
      <w:r w:rsidR="00903DE5">
        <w:rPr>
          <w:color w:val="auto"/>
        </w:rPr>
        <w:t>Lieve calo de</w:t>
      </w:r>
      <w:r w:rsidR="006236A4" w:rsidRPr="006236A4">
        <w:rPr>
          <w:color w:val="auto"/>
        </w:rPr>
        <w:t>i decessi: 386 negli ultimi 7 giorni (di cui 46 riferiti a periodi precedenti), con una media di 55 al giorno rispetto ai 56 della settimana precedente.</w:t>
      </w:r>
    </w:p>
    <w:p w:rsidR="00A5775A" w:rsidRPr="006236A4" w:rsidRDefault="006236A4" w:rsidP="006236A4">
      <w:pPr>
        <w:spacing w:line="276" w:lineRule="auto"/>
        <w:jc w:val="both"/>
        <w:rPr>
          <w:color w:val="auto"/>
        </w:rPr>
      </w:pPr>
      <w:r w:rsidRPr="006236A4">
        <w:rPr>
          <w:color w:val="auto"/>
        </w:rPr>
        <w:t xml:space="preserve">«Sul fronte ospedaliero – afferma Renata Gili, responsabile Ricerca sui Servizi Sanitari della Fondazione GIMBE – </w:t>
      </w:r>
      <w:r>
        <w:rPr>
          <w:rFonts w:eastAsia="Times New Roman" w:cs="Calibri"/>
          <w:bdr w:val="none" w:sz="0" w:space="0" w:color="auto"/>
        </w:rPr>
        <w:t xml:space="preserve">si conferma il calo </w:t>
      </w:r>
      <w:r w:rsidRPr="00A5775A">
        <w:rPr>
          <w:rFonts w:eastAsia="Times New Roman" w:cs="Calibri"/>
          <w:bdr w:val="none" w:sz="0" w:space="0" w:color="auto"/>
        </w:rPr>
        <w:t xml:space="preserve">dei posti letto occupati da pazienti COVID-19: rispetto alla settimana precedente </w:t>
      </w:r>
      <w:r>
        <w:rPr>
          <w:rFonts w:eastAsia="Times New Roman" w:cs="Calibri"/>
          <w:bdr w:val="none" w:sz="0" w:space="0" w:color="auto"/>
        </w:rPr>
        <w:t xml:space="preserve">scendono del </w:t>
      </w:r>
      <w:r>
        <w:rPr>
          <w:color w:val="auto"/>
        </w:rPr>
        <w:t>13,2% in area medica e dell’</w:t>
      </w:r>
      <w:r w:rsidRPr="006236A4">
        <w:rPr>
          <w:color w:val="auto"/>
        </w:rPr>
        <w:t>11% in terapia intensiva».</w:t>
      </w:r>
      <w:r>
        <w:rPr>
          <w:color w:val="auto"/>
        </w:rPr>
        <w:t xml:space="preserve"> </w:t>
      </w:r>
      <w:r w:rsidRPr="006236A4">
        <w:rPr>
          <w:color w:val="auto"/>
        </w:rPr>
        <w:t>A livello nazionale il tasso di occupazione rimane basso (6% in area medica e 5% in area critica), seppur con notevoli differenze regionali (</w:t>
      </w:r>
      <w:r w:rsidRPr="006236A4">
        <w:rPr>
          <w:color w:val="auto"/>
          <w:highlight w:val="yellow"/>
        </w:rPr>
        <w:t>figura 4</w:t>
      </w:r>
      <w:r w:rsidRPr="006236A4">
        <w:rPr>
          <w:color w:val="auto"/>
        </w:rPr>
        <w:t>):</w:t>
      </w:r>
      <w:r>
        <w:rPr>
          <w:color w:val="auto"/>
        </w:rPr>
        <w:t xml:space="preserve"> per l’area medica si colloca </w:t>
      </w:r>
      <w:r w:rsidRPr="006236A4">
        <w:rPr>
          <w:color w:val="auto"/>
        </w:rPr>
        <w:t xml:space="preserve">sopra la soglia del 15% </w:t>
      </w:r>
      <w:r w:rsidR="00496B48">
        <w:rPr>
          <w:color w:val="auto"/>
        </w:rPr>
        <w:t xml:space="preserve">solo </w:t>
      </w:r>
      <w:r>
        <w:rPr>
          <w:color w:val="auto"/>
        </w:rPr>
        <w:t>la Calabria (17%);</w:t>
      </w:r>
      <w:r w:rsidRPr="006236A4">
        <w:rPr>
          <w:color w:val="auto"/>
        </w:rPr>
        <w:t xml:space="preserve"> per l’area </w:t>
      </w:r>
      <w:r w:rsidRPr="006236A4">
        <w:rPr>
          <w:color w:val="auto"/>
        </w:rPr>
        <w:lastRenderedPageBreak/>
        <w:t xml:space="preserve">critica </w:t>
      </w:r>
      <w:r>
        <w:rPr>
          <w:color w:val="auto"/>
        </w:rPr>
        <w:t xml:space="preserve">nessuna Regione supera </w:t>
      </w:r>
      <w:r w:rsidRPr="006236A4">
        <w:rPr>
          <w:color w:val="auto"/>
        </w:rPr>
        <w:t>la soglia del 10%.</w:t>
      </w:r>
      <w:r>
        <w:rPr>
          <w:color w:val="auto"/>
        </w:rPr>
        <w:t xml:space="preserve"> </w:t>
      </w:r>
      <w:r w:rsidR="00A5775A" w:rsidRPr="00A5775A">
        <w:rPr>
          <w:rFonts w:eastAsia="Times New Roman" w:cs="Calibri"/>
          <w:bdr w:val="none" w:sz="0" w:space="0" w:color="auto"/>
        </w:rPr>
        <w:t>«</w:t>
      </w:r>
      <w:r w:rsidR="001F4334">
        <w:rPr>
          <w:rFonts w:eastAsia="Times New Roman" w:cs="Calibri"/>
          <w:bdr w:val="none" w:sz="0" w:space="0" w:color="auto"/>
        </w:rPr>
        <w:t xml:space="preserve">Continuano a </w:t>
      </w:r>
      <w:r w:rsidR="000415C2">
        <w:rPr>
          <w:rFonts w:eastAsia="Times New Roman" w:cs="Calibri"/>
          <w:bdr w:val="none" w:sz="0" w:space="0" w:color="auto"/>
        </w:rPr>
        <w:t>ridursi</w:t>
      </w:r>
      <w:r w:rsidR="001F4334">
        <w:rPr>
          <w:rFonts w:eastAsia="Times New Roman" w:cs="Calibri"/>
          <w:bdr w:val="none" w:sz="0" w:space="0" w:color="auto"/>
        </w:rPr>
        <w:t xml:space="preserve"> anche gli</w:t>
      </w:r>
      <w:r w:rsidR="00A5775A" w:rsidRPr="00A5775A">
        <w:rPr>
          <w:rFonts w:eastAsia="Times New Roman" w:cs="Calibri"/>
          <w:bdr w:val="none" w:sz="0" w:space="0" w:color="auto"/>
        </w:rPr>
        <w:t xml:space="preserve"> ingressi giornalieri in terapia intensiva – spiega Marco Mosti, Direttore Operativo della Fondazione GIMBE – con una media mobile a 7 giorni di </w:t>
      </w:r>
      <w:r>
        <w:rPr>
          <w:rFonts w:eastAsia="Times New Roman" w:cs="Calibri"/>
          <w:bdr w:val="none" w:sz="0" w:space="0" w:color="auto"/>
        </w:rPr>
        <w:t>29</w:t>
      </w:r>
      <w:r w:rsidR="00A5775A" w:rsidRPr="00A5775A">
        <w:rPr>
          <w:rFonts w:eastAsia="Times New Roman" w:cs="Calibri"/>
          <w:bdr w:val="none" w:sz="0" w:space="0" w:color="auto"/>
        </w:rPr>
        <w:t xml:space="preserve"> ingressi/die rispetto ai </w:t>
      </w:r>
      <w:r>
        <w:rPr>
          <w:rFonts w:eastAsia="Times New Roman" w:cs="Calibri"/>
          <w:bdr w:val="none" w:sz="0" w:space="0" w:color="auto"/>
        </w:rPr>
        <w:t>32</w:t>
      </w:r>
      <w:r w:rsidR="00A5775A" w:rsidRPr="00A5775A">
        <w:rPr>
          <w:rFonts w:eastAsia="Times New Roman" w:cs="Calibri"/>
          <w:bdr w:val="none" w:sz="0" w:space="0" w:color="auto"/>
        </w:rPr>
        <w:t xml:space="preserve"> della settimana precedente».</w:t>
      </w:r>
    </w:p>
    <w:p w:rsidR="00D325D0" w:rsidRPr="00234B97" w:rsidRDefault="00D325D0" w:rsidP="00A5775A">
      <w:pPr>
        <w:spacing w:line="276" w:lineRule="auto"/>
        <w:jc w:val="both"/>
        <w:rPr>
          <w:color w:val="auto"/>
        </w:rPr>
      </w:pPr>
      <w:r w:rsidRPr="00234B97">
        <w:rPr>
          <w:b/>
          <w:bCs/>
          <w:color w:val="auto"/>
        </w:rPr>
        <w:t>Vaccini: forniture</w:t>
      </w:r>
      <w:r w:rsidRPr="00234B97">
        <w:rPr>
          <w:color w:val="auto"/>
        </w:rPr>
        <w:t xml:space="preserve">. </w:t>
      </w:r>
      <w:r w:rsidR="006236A4" w:rsidRPr="006236A4">
        <w:rPr>
          <w:color w:val="auto"/>
        </w:rPr>
        <w:t>Al 29 settembre (aggiornamento ore 6</w:t>
      </w:r>
      <w:r w:rsidR="006236A4">
        <w:rPr>
          <w:color w:val="auto"/>
        </w:rPr>
        <w:t>.</w:t>
      </w:r>
      <w:r w:rsidR="006236A4" w:rsidRPr="006236A4">
        <w:rPr>
          <w:color w:val="auto"/>
        </w:rPr>
        <w:t>14) risul</w:t>
      </w:r>
      <w:r w:rsidR="006236A4">
        <w:rPr>
          <w:color w:val="auto"/>
        </w:rPr>
        <w:t>tano consegnate 94.912.798 dosi</w:t>
      </w:r>
      <w:r w:rsidR="00A5775A">
        <w:rPr>
          <w:color w:val="auto"/>
        </w:rPr>
        <w:t xml:space="preserve">: nonostante </w:t>
      </w:r>
      <w:r w:rsidR="00F14A72">
        <w:rPr>
          <w:color w:val="auto"/>
        </w:rPr>
        <w:t>n</w:t>
      </w:r>
      <w:r w:rsidR="00F14A72" w:rsidRPr="00234B97">
        <w:rPr>
          <w:color w:val="auto"/>
        </w:rPr>
        <w:t xml:space="preserve">ell’ultima </w:t>
      </w:r>
      <w:r w:rsidR="009216B6" w:rsidRPr="00234B97">
        <w:rPr>
          <w:color w:val="auto"/>
        </w:rPr>
        <w:t>settimana</w:t>
      </w:r>
      <w:r w:rsidR="00BD0D3E">
        <w:rPr>
          <w:color w:val="auto"/>
        </w:rPr>
        <w:t xml:space="preserve"> </w:t>
      </w:r>
      <w:r w:rsidR="00210040">
        <w:rPr>
          <w:color w:val="auto"/>
        </w:rPr>
        <w:t xml:space="preserve">siano state </w:t>
      </w:r>
      <w:r w:rsidR="00226C11">
        <w:rPr>
          <w:color w:val="auto"/>
        </w:rPr>
        <w:t>ricevute</w:t>
      </w:r>
      <w:r w:rsidR="00226C11" w:rsidRPr="00234B97">
        <w:rPr>
          <w:color w:val="auto"/>
        </w:rPr>
        <w:t xml:space="preserve"> </w:t>
      </w:r>
      <w:r w:rsidR="00BD0D3E">
        <w:rPr>
          <w:color w:val="auto"/>
        </w:rPr>
        <w:t xml:space="preserve">solo </w:t>
      </w:r>
      <w:r w:rsidR="006236A4">
        <w:rPr>
          <w:color w:val="auto"/>
        </w:rPr>
        <w:t>1,65</w:t>
      </w:r>
      <w:r w:rsidR="00BD0D3E" w:rsidRPr="00234B97">
        <w:rPr>
          <w:color w:val="auto"/>
        </w:rPr>
        <w:t xml:space="preserve"> milioni </w:t>
      </w:r>
      <w:r w:rsidR="00F14A72">
        <w:rPr>
          <w:color w:val="auto"/>
        </w:rPr>
        <w:t xml:space="preserve">di dosi </w:t>
      </w:r>
      <w:r w:rsidR="009216B6" w:rsidRPr="00234B97">
        <w:rPr>
          <w:color w:val="auto"/>
        </w:rPr>
        <w:t>(</w:t>
      </w:r>
      <w:r w:rsidR="009216B6" w:rsidRPr="00234B97">
        <w:rPr>
          <w:color w:val="auto"/>
          <w:highlight w:val="yellow"/>
        </w:rPr>
        <w:t xml:space="preserve">figura </w:t>
      </w:r>
      <w:r w:rsidR="00542585">
        <w:rPr>
          <w:color w:val="auto"/>
          <w:highlight w:val="yellow"/>
        </w:rPr>
        <w:t>5</w:t>
      </w:r>
      <w:r w:rsidR="009216B6" w:rsidRPr="00234B97">
        <w:rPr>
          <w:color w:val="auto"/>
        </w:rPr>
        <w:t>)</w:t>
      </w:r>
      <w:r w:rsidR="00F14A72">
        <w:rPr>
          <w:color w:val="auto"/>
        </w:rPr>
        <w:t>,</w:t>
      </w:r>
      <w:r w:rsidR="00741B18" w:rsidRPr="00234B97">
        <w:rPr>
          <w:color w:val="auto"/>
        </w:rPr>
        <w:t xml:space="preserve"> </w:t>
      </w:r>
      <w:r w:rsidR="00AA1561">
        <w:rPr>
          <w:color w:val="auto"/>
        </w:rPr>
        <w:t xml:space="preserve">salgono </w:t>
      </w:r>
      <w:r w:rsidR="00315CB0" w:rsidRPr="00234B97">
        <w:t>le</w:t>
      </w:r>
      <w:r w:rsidR="00315CB0" w:rsidRPr="00234B97">
        <w:rPr>
          <w:color w:val="auto"/>
        </w:rPr>
        <w:t xml:space="preserve"> scorte di vaccini a mRNA</w:t>
      </w:r>
      <w:r w:rsidR="00AA1561">
        <w:rPr>
          <w:color w:val="auto"/>
        </w:rPr>
        <w:t xml:space="preserve">, ora </w:t>
      </w:r>
      <w:r w:rsidR="008A3B8C">
        <w:rPr>
          <w:color w:val="auto"/>
        </w:rPr>
        <w:t xml:space="preserve">a </w:t>
      </w:r>
      <w:r w:rsidR="00FE2F96" w:rsidRPr="00234B97">
        <w:rPr>
          <w:color w:val="auto"/>
        </w:rPr>
        <w:t xml:space="preserve">quota </w:t>
      </w:r>
      <w:r w:rsidR="00184068" w:rsidRPr="00234B97">
        <w:rPr>
          <w:color w:val="auto"/>
        </w:rPr>
        <w:t>10</w:t>
      </w:r>
      <w:r w:rsidR="006236A4">
        <w:rPr>
          <w:color w:val="auto"/>
        </w:rPr>
        <w:t>,5</w:t>
      </w:r>
      <w:r w:rsidR="009332D3" w:rsidRPr="00234B97">
        <w:rPr>
          <w:color w:val="auto"/>
        </w:rPr>
        <w:t xml:space="preserve"> milioni</w:t>
      </w:r>
      <w:r w:rsidRPr="00234B97">
        <w:rPr>
          <w:color w:val="auto"/>
        </w:rPr>
        <w:t>.</w:t>
      </w:r>
    </w:p>
    <w:p w:rsidR="005B129C" w:rsidRDefault="00BB383A" w:rsidP="00BB383A">
      <w:pPr>
        <w:spacing w:line="276" w:lineRule="auto"/>
        <w:jc w:val="both"/>
        <w:rPr>
          <w:color w:val="auto"/>
        </w:rPr>
      </w:pPr>
      <w:r w:rsidRPr="00BB383A">
        <w:rPr>
          <w:b/>
          <w:color w:val="auto"/>
        </w:rPr>
        <w:t>Vaccini: somministrazioni.</w:t>
      </w:r>
      <w:r w:rsidRPr="00BB383A">
        <w:rPr>
          <w:color w:val="auto"/>
        </w:rPr>
        <w:t xml:space="preserve"> Al 2</w:t>
      </w:r>
      <w:r>
        <w:rPr>
          <w:color w:val="auto"/>
        </w:rPr>
        <w:t>9 settembre (</w:t>
      </w:r>
      <w:r w:rsidRPr="001F3785">
        <w:rPr>
          <w:color w:val="auto"/>
        </w:rPr>
        <w:t>aggiornamento ore 6.14) il 76% della popolazione (n. 45.041.109) ha ricevuto almeno una dose di vaccino (+590.166 rispetto alla settimana precedente) e il 71,3% (n. 42.259.253) ha completato il ciclo vaccinale (+913.805) (</w:t>
      </w:r>
      <w:r w:rsidRPr="001F3785">
        <w:rPr>
          <w:color w:val="auto"/>
          <w:highlight w:val="yellow"/>
        </w:rPr>
        <w:t>figura 6</w:t>
      </w:r>
      <w:r w:rsidRPr="001F3785">
        <w:rPr>
          <w:color w:val="auto"/>
        </w:rPr>
        <w:t xml:space="preserve">). In </w:t>
      </w:r>
      <w:r w:rsidR="001F3785" w:rsidRPr="001F3785">
        <w:rPr>
          <w:color w:val="auto"/>
        </w:rPr>
        <w:t xml:space="preserve">aumento </w:t>
      </w:r>
      <w:r w:rsidR="001F3785">
        <w:rPr>
          <w:color w:val="auto"/>
        </w:rPr>
        <w:t xml:space="preserve">del 4,1% </w:t>
      </w:r>
      <w:r w:rsidR="001F3785" w:rsidRPr="001F3785">
        <w:rPr>
          <w:color w:val="auto"/>
        </w:rPr>
        <w:t xml:space="preserve">il numero di somministrazioni </w:t>
      </w:r>
      <w:r w:rsidRPr="001F3785">
        <w:rPr>
          <w:color w:val="auto"/>
        </w:rPr>
        <w:t>nell’ultima settimana (n. 1.546.235) (</w:t>
      </w:r>
      <w:r w:rsidRPr="001F3785">
        <w:rPr>
          <w:color w:val="auto"/>
          <w:highlight w:val="yellow"/>
        </w:rPr>
        <w:t>figura 7</w:t>
      </w:r>
      <w:r w:rsidRPr="001F3785">
        <w:rPr>
          <w:color w:val="auto"/>
        </w:rPr>
        <w:t xml:space="preserve">), con </w:t>
      </w:r>
      <w:r w:rsidRPr="00275B6C">
        <w:rPr>
          <w:color w:val="auto"/>
        </w:rPr>
        <w:t xml:space="preserve">una media mobile a 7 giorni di 204.606 somministrazioni/die. </w:t>
      </w:r>
      <w:r w:rsidR="000415C2">
        <w:rPr>
          <w:color w:val="auto"/>
        </w:rPr>
        <w:t>I</w:t>
      </w:r>
      <w:r w:rsidRPr="00275B6C">
        <w:rPr>
          <w:color w:val="auto"/>
        </w:rPr>
        <w:t xml:space="preserve">l numero di nuovi vaccinati settimanali, dopo </w:t>
      </w:r>
      <w:r w:rsidR="00A15244">
        <w:rPr>
          <w:color w:val="auto"/>
        </w:rPr>
        <w:t>aver raggiunto i</w:t>
      </w:r>
      <w:r w:rsidR="00275B6C" w:rsidRPr="00275B6C">
        <w:rPr>
          <w:color w:val="auto"/>
        </w:rPr>
        <w:t xml:space="preserve">l minimo </w:t>
      </w:r>
      <w:r w:rsidR="00D20A66">
        <w:rPr>
          <w:color w:val="auto"/>
        </w:rPr>
        <w:t xml:space="preserve">di </w:t>
      </w:r>
      <w:r w:rsidR="00A15244" w:rsidRPr="00275B6C">
        <w:rPr>
          <w:color w:val="auto"/>
        </w:rPr>
        <w:t>488mila</w:t>
      </w:r>
      <w:r w:rsidR="00A15244">
        <w:rPr>
          <w:color w:val="auto"/>
        </w:rPr>
        <w:t xml:space="preserve"> due settimane fa</w:t>
      </w:r>
      <w:r w:rsidR="004920AE">
        <w:rPr>
          <w:color w:val="auto"/>
        </w:rPr>
        <w:t>,</w:t>
      </w:r>
      <w:r w:rsidR="00A15244">
        <w:rPr>
          <w:color w:val="auto"/>
        </w:rPr>
        <w:t xml:space="preserve"> è risalito</w:t>
      </w:r>
      <w:r w:rsidR="00275B6C" w:rsidRPr="00275B6C">
        <w:rPr>
          <w:color w:val="auto"/>
        </w:rPr>
        <w:t xml:space="preserve"> </w:t>
      </w:r>
      <w:r w:rsidR="001F3785">
        <w:rPr>
          <w:color w:val="auto"/>
        </w:rPr>
        <w:t xml:space="preserve">del 19,8% </w:t>
      </w:r>
      <w:r w:rsidR="004920AE">
        <w:rPr>
          <w:color w:val="auto"/>
        </w:rPr>
        <w:t>attesta</w:t>
      </w:r>
      <w:r w:rsidR="0026464D">
        <w:rPr>
          <w:color w:val="auto"/>
        </w:rPr>
        <w:t>ndosi</w:t>
      </w:r>
      <w:r w:rsidR="004920AE">
        <w:rPr>
          <w:color w:val="auto"/>
        </w:rPr>
        <w:t xml:space="preserve"> </w:t>
      </w:r>
      <w:r w:rsidR="0026464D">
        <w:rPr>
          <w:color w:val="auto"/>
        </w:rPr>
        <w:t xml:space="preserve">a quota 585mila </w:t>
      </w:r>
      <w:r w:rsidRPr="00275B6C">
        <w:rPr>
          <w:color w:val="auto"/>
        </w:rPr>
        <w:t>nell’ultima settimana (</w:t>
      </w:r>
      <w:r w:rsidRPr="00275B6C">
        <w:rPr>
          <w:color w:val="auto"/>
          <w:highlight w:val="yellow"/>
        </w:rPr>
        <w:t>figura 8</w:t>
      </w:r>
      <w:r w:rsidR="000415C2">
        <w:rPr>
          <w:color w:val="auto"/>
        </w:rPr>
        <w:t xml:space="preserve">). </w:t>
      </w:r>
      <w:r w:rsidR="000415C2" w:rsidRPr="00A5775A">
        <w:rPr>
          <w:rFonts w:eastAsia="Times New Roman" w:cs="Calibri"/>
          <w:bdr w:val="none" w:sz="0" w:space="0" w:color="auto"/>
        </w:rPr>
        <w:t>«</w:t>
      </w:r>
      <w:r w:rsidR="003F0EDE">
        <w:rPr>
          <w:rFonts w:eastAsia="Times New Roman" w:cs="Calibri"/>
          <w:bdr w:val="none" w:sz="0" w:space="0" w:color="auto"/>
        </w:rPr>
        <w:t xml:space="preserve">A fronte di </w:t>
      </w:r>
      <w:r w:rsidR="000415C2">
        <w:rPr>
          <w:rFonts w:eastAsia="Times New Roman" w:cs="Calibri"/>
          <w:bdr w:val="none" w:sz="0" w:space="0" w:color="auto"/>
        </w:rPr>
        <w:t xml:space="preserve">oltre 8,3 milioni di persone non hanno ricevuto nemmeno una dose </w:t>
      </w:r>
      <w:r w:rsidR="000415C2" w:rsidRPr="000415C2">
        <w:rPr>
          <w:color w:val="auto"/>
        </w:rPr>
        <w:t>– commenta Cartabellotta –</w:t>
      </w:r>
      <w:r w:rsidR="000415C2">
        <w:rPr>
          <w:color w:val="auto"/>
        </w:rPr>
        <w:t xml:space="preserve"> in questa fase è molto difficile giudicare l’entità dei progressi </w:t>
      </w:r>
      <w:r w:rsidR="00D20A66">
        <w:rPr>
          <w:color w:val="auto"/>
        </w:rPr>
        <w:t>della campagna vaccinale</w:t>
      </w:r>
      <w:r w:rsidR="000415C2">
        <w:rPr>
          <w:color w:val="auto"/>
        </w:rPr>
        <w:t xml:space="preserve">, per </w:t>
      </w:r>
      <w:r w:rsidR="003F5612">
        <w:rPr>
          <w:color w:val="auto"/>
        </w:rPr>
        <w:t>l’</w:t>
      </w:r>
      <w:r w:rsidRPr="00275B6C">
        <w:rPr>
          <w:color w:val="auto"/>
        </w:rPr>
        <w:t xml:space="preserve">ingiustificata indisponibilità pubblica </w:t>
      </w:r>
      <w:r w:rsidR="00903DE5">
        <w:rPr>
          <w:color w:val="auto"/>
        </w:rPr>
        <w:t xml:space="preserve">sia dei </w:t>
      </w:r>
      <w:r w:rsidRPr="00275B6C">
        <w:rPr>
          <w:color w:val="auto"/>
        </w:rPr>
        <w:t xml:space="preserve">dati </w:t>
      </w:r>
      <w:r w:rsidR="00903DE5">
        <w:rPr>
          <w:color w:val="auto"/>
        </w:rPr>
        <w:t xml:space="preserve">delle </w:t>
      </w:r>
      <w:r w:rsidRPr="00275B6C">
        <w:rPr>
          <w:color w:val="auto"/>
        </w:rPr>
        <w:t>prenotazioni</w:t>
      </w:r>
      <w:r w:rsidR="000415C2">
        <w:rPr>
          <w:color w:val="auto"/>
        </w:rPr>
        <w:t xml:space="preserve">, sia </w:t>
      </w:r>
      <w:r w:rsidR="00903DE5">
        <w:rPr>
          <w:color w:val="auto"/>
        </w:rPr>
        <w:t xml:space="preserve">del </w:t>
      </w:r>
      <w:r w:rsidR="00D20A66">
        <w:rPr>
          <w:color w:val="auto"/>
        </w:rPr>
        <w:t>numero di</w:t>
      </w:r>
      <w:r w:rsidR="000415C2">
        <w:rPr>
          <w:color w:val="auto"/>
        </w:rPr>
        <w:t xml:space="preserve"> persone </w:t>
      </w:r>
      <w:r w:rsidR="001D7E62">
        <w:rPr>
          <w:color w:val="auto"/>
        </w:rPr>
        <w:t>esonerate</w:t>
      </w:r>
      <w:r w:rsidR="000415C2">
        <w:rPr>
          <w:color w:val="auto"/>
        </w:rPr>
        <w:t xml:space="preserve"> dalla vaccinazione</w:t>
      </w:r>
      <w:r w:rsidRPr="001D48DB">
        <w:rPr>
          <w:color w:val="auto"/>
        </w:rPr>
        <w:t>»</w:t>
      </w:r>
      <w:r>
        <w:rPr>
          <w:color w:val="auto"/>
        </w:rPr>
        <w:t xml:space="preserve">. </w:t>
      </w:r>
    </w:p>
    <w:p w:rsidR="00BB383A" w:rsidRDefault="005B129C" w:rsidP="005B129C">
      <w:pPr>
        <w:spacing w:line="276" w:lineRule="auto"/>
        <w:jc w:val="both"/>
        <w:rPr>
          <w:color w:val="auto"/>
        </w:rPr>
      </w:pPr>
      <w:r w:rsidRPr="005B129C">
        <w:rPr>
          <w:b/>
          <w:color w:val="auto"/>
        </w:rPr>
        <w:t xml:space="preserve">Vaccini: terza dose. </w:t>
      </w:r>
      <w:r w:rsidRPr="005B129C">
        <w:rPr>
          <w:color w:val="auto"/>
        </w:rPr>
        <w:t>L</w:t>
      </w:r>
      <w:r w:rsidR="00BB383A" w:rsidRPr="005B129C">
        <w:rPr>
          <w:color w:val="auto"/>
        </w:rPr>
        <w:t xml:space="preserve">e Regioni hanno dato il via alla terza dose nelle persone con immunocompromissione clinicamente rilevante: dal 14 settembre sono state somministrate </w:t>
      </w:r>
      <w:r w:rsidRPr="005B129C">
        <w:rPr>
          <w:color w:val="auto"/>
        </w:rPr>
        <w:t>61.494</w:t>
      </w:r>
      <w:r w:rsidR="00BB383A" w:rsidRPr="005B129C">
        <w:rPr>
          <w:color w:val="auto"/>
        </w:rPr>
        <w:t xml:space="preserve"> dosi</w:t>
      </w:r>
      <w:r w:rsidRPr="005B129C">
        <w:rPr>
          <w:color w:val="auto"/>
        </w:rPr>
        <w:t xml:space="preserve"> su una platea di 931.678 soggetti</w:t>
      </w:r>
      <w:r w:rsidR="00BB383A" w:rsidRPr="005B129C">
        <w:rPr>
          <w:color w:val="auto"/>
        </w:rPr>
        <w:t>.</w:t>
      </w:r>
      <w:r w:rsidRPr="005B129C">
        <w:rPr>
          <w:color w:val="auto"/>
        </w:rPr>
        <w:t xml:space="preserve"> Il tasso di copertura a livello nazionale è del </w:t>
      </w:r>
      <w:r w:rsidR="000F0385">
        <w:rPr>
          <w:color w:val="auto"/>
        </w:rPr>
        <w:t>6</w:t>
      </w:r>
      <w:r w:rsidRPr="005B129C">
        <w:rPr>
          <w:color w:val="auto"/>
        </w:rPr>
        <w:t>,</w:t>
      </w:r>
      <w:r w:rsidR="000F0385">
        <w:rPr>
          <w:color w:val="auto"/>
        </w:rPr>
        <w:t>6</w:t>
      </w:r>
      <w:r w:rsidRPr="005B129C">
        <w:rPr>
          <w:color w:val="auto"/>
        </w:rPr>
        <w:t>%, con rilevanti differenze regionali: dal 2</w:t>
      </w:r>
      <w:r w:rsidR="000F0385">
        <w:rPr>
          <w:color w:val="auto"/>
        </w:rPr>
        <w:t>6</w:t>
      </w:r>
      <w:r w:rsidRPr="005B129C">
        <w:rPr>
          <w:color w:val="auto"/>
        </w:rPr>
        <w:t>,7% del Piemonte allo 0% della Valle D’Aosta</w:t>
      </w:r>
      <w:r w:rsidR="00BB383A" w:rsidRPr="005B129C">
        <w:rPr>
          <w:color w:val="auto"/>
        </w:rPr>
        <w:t xml:space="preserve"> (</w:t>
      </w:r>
      <w:r w:rsidR="00BB383A" w:rsidRPr="005B129C">
        <w:rPr>
          <w:color w:val="auto"/>
          <w:highlight w:val="yellow"/>
        </w:rPr>
        <w:t>figura 9</w:t>
      </w:r>
      <w:r w:rsidR="00BB383A" w:rsidRPr="005B129C">
        <w:rPr>
          <w:color w:val="auto"/>
        </w:rPr>
        <w:t>).</w:t>
      </w:r>
    </w:p>
    <w:p w:rsidR="00BB383A" w:rsidRPr="00234B97" w:rsidRDefault="00BB383A" w:rsidP="00793BD4">
      <w:pPr>
        <w:spacing w:after="0" w:line="276" w:lineRule="auto"/>
        <w:jc w:val="both"/>
        <w:rPr>
          <w:color w:val="auto"/>
          <w:u w:color="FF0000"/>
        </w:rPr>
      </w:pPr>
      <w:r w:rsidRPr="00BB383A">
        <w:rPr>
          <w:b/>
          <w:color w:val="auto"/>
          <w:u w:color="FF0000"/>
        </w:rPr>
        <w:t>Vaccini: copertura degli over 50.</w:t>
      </w:r>
      <w:r w:rsidRPr="00BB383A">
        <w:rPr>
          <w:color w:val="auto"/>
          <w:u w:color="FF0000"/>
        </w:rPr>
        <w:t xml:space="preserve"> </w:t>
      </w:r>
      <w:r w:rsidR="00521485">
        <w:rPr>
          <w:color w:val="auto"/>
          <w:u w:color="FF0000"/>
        </w:rPr>
        <w:t xml:space="preserve">Il </w:t>
      </w:r>
      <w:r w:rsidR="00521485" w:rsidRPr="00BB383A">
        <w:rPr>
          <w:color w:val="auto"/>
          <w:u w:color="FF0000"/>
        </w:rPr>
        <w:t>90</w:t>
      </w:r>
      <w:r w:rsidRPr="00BB383A">
        <w:rPr>
          <w:color w:val="auto"/>
          <w:u w:color="FF0000"/>
        </w:rPr>
        <w:t>,1% della popolazione over 50 ha ricevuto almeno la prima dose di vaccino, con un irrisorio incremento settimanale nazionale (+</w:t>
      </w:r>
      <w:r>
        <w:rPr>
          <w:color w:val="auto"/>
          <w:u w:color="FF0000"/>
        </w:rPr>
        <w:t>0,6</w:t>
      </w:r>
      <w:r w:rsidRPr="00BB383A">
        <w:rPr>
          <w:color w:val="auto"/>
          <w:u w:color="FF0000"/>
        </w:rPr>
        <w:t>%) e nette differenze regionali: dal 94,1% della Puglia al 84,3% della Calabria. In dettaglio:</w:t>
      </w:r>
    </w:p>
    <w:p w:rsidR="00BB383A" w:rsidRPr="00BB383A" w:rsidRDefault="00BB383A" w:rsidP="00BB383A">
      <w:pPr>
        <w:pStyle w:val="Paragrafoelenco"/>
        <w:numPr>
          <w:ilvl w:val="0"/>
          <w:numId w:val="4"/>
        </w:numPr>
        <w:spacing w:after="0" w:line="276" w:lineRule="auto"/>
        <w:jc w:val="both"/>
        <w:rPr>
          <w:color w:val="auto"/>
        </w:rPr>
      </w:pPr>
      <w:r w:rsidRPr="00BB383A">
        <w:rPr>
          <w:b/>
          <w:color w:val="auto"/>
        </w:rPr>
        <w:t xml:space="preserve">Over 80: </w:t>
      </w:r>
      <w:r w:rsidRPr="00BB383A">
        <w:rPr>
          <w:color w:val="auto"/>
        </w:rPr>
        <w:t>degli oltre 4,4 milioni, 4.233.405 (94,5%) hanno completato il ciclo vaccinale e 90.501 (2%) hanno ricevuto solo la prima dose.</w:t>
      </w:r>
    </w:p>
    <w:p w:rsidR="00BB383A" w:rsidRPr="00BB383A" w:rsidRDefault="00BB383A" w:rsidP="00BB383A">
      <w:pPr>
        <w:pStyle w:val="Paragrafoelenco"/>
        <w:numPr>
          <w:ilvl w:val="0"/>
          <w:numId w:val="4"/>
        </w:numPr>
        <w:spacing w:after="0" w:line="276" w:lineRule="auto"/>
        <w:jc w:val="both"/>
        <w:rPr>
          <w:color w:val="auto"/>
        </w:rPr>
      </w:pPr>
      <w:r w:rsidRPr="00BB383A">
        <w:rPr>
          <w:b/>
          <w:color w:val="auto"/>
        </w:rPr>
        <w:t xml:space="preserve">Fascia 70-79 anni: </w:t>
      </w:r>
      <w:r w:rsidRPr="00BB383A">
        <w:rPr>
          <w:color w:val="auto"/>
        </w:rPr>
        <w:t>degli oltre 5,9 milioni, 5.406.700 (90,6%) hanno completato il ciclo vaccinale e 113.705 (1,9%) hanno ricevuto solo la prima dose.</w:t>
      </w:r>
    </w:p>
    <w:p w:rsidR="00BB383A" w:rsidRPr="00BB383A" w:rsidRDefault="00BB383A" w:rsidP="00BB383A">
      <w:pPr>
        <w:pStyle w:val="Paragrafoelenco"/>
        <w:numPr>
          <w:ilvl w:val="0"/>
          <w:numId w:val="4"/>
        </w:numPr>
        <w:spacing w:after="0" w:line="276" w:lineRule="auto"/>
        <w:jc w:val="both"/>
        <w:rPr>
          <w:color w:val="auto"/>
        </w:rPr>
      </w:pPr>
      <w:r w:rsidRPr="00BB383A">
        <w:rPr>
          <w:b/>
          <w:color w:val="auto"/>
        </w:rPr>
        <w:t xml:space="preserve">Fascia 60-69 anni: </w:t>
      </w:r>
      <w:r w:rsidRPr="00BB383A">
        <w:rPr>
          <w:color w:val="auto"/>
        </w:rPr>
        <w:t>degli oltre 7,3 milioni, 6.481.513 (87,1%) hanno completato il ciclo vaccinale e 193.786 (2,6%) hanno ricevuto solo la prima dose.</w:t>
      </w:r>
    </w:p>
    <w:p w:rsidR="00BB383A" w:rsidRPr="00BB383A" w:rsidRDefault="00BB383A" w:rsidP="00B00C4C">
      <w:pPr>
        <w:pStyle w:val="Paragrafoelenco"/>
        <w:numPr>
          <w:ilvl w:val="0"/>
          <w:numId w:val="4"/>
        </w:numPr>
        <w:spacing w:line="276" w:lineRule="auto"/>
        <w:ind w:left="357" w:hanging="357"/>
        <w:jc w:val="both"/>
        <w:rPr>
          <w:color w:val="auto"/>
        </w:rPr>
      </w:pPr>
      <w:r w:rsidRPr="00BB383A">
        <w:rPr>
          <w:b/>
          <w:color w:val="auto"/>
        </w:rPr>
        <w:t xml:space="preserve">Fascia 50-59 anni: </w:t>
      </w:r>
      <w:r w:rsidRPr="00BB383A">
        <w:rPr>
          <w:color w:val="auto"/>
        </w:rPr>
        <w:t>degli oltre 9,4 milioni, 7.723.795 (81,6%) hanno completato il ciclo vaccinale e 395.098 (4,2%) hanno ricevuto solo la prima dose.</w:t>
      </w:r>
    </w:p>
    <w:p w:rsidR="00BB383A" w:rsidRDefault="00BB383A" w:rsidP="00A77BBF">
      <w:pPr>
        <w:spacing w:line="276" w:lineRule="auto"/>
        <w:jc w:val="both"/>
        <w:rPr>
          <w:color w:val="auto"/>
        </w:rPr>
      </w:pPr>
      <w:r w:rsidRPr="00BB383A">
        <w:rPr>
          <w:color w:val="auto"/>
        </w:rPr>
        <w:t>Complessivamente</w:t>
      </w:r>
      <w:r w:rsidR="00824DF6">
        <w:rPr>
          <w:color w:val="auto"/>
        </w:rPr>
        <w:t>,</w:t>
      </w:r>
      <w:r w:rsidRPr="00BB383A">
        <w:rPr>
          <w:color w:val="auto"/>
        </w:rPr>
        <w:t xml:space="preserve"> 3,5 milioni di over 50 (12,8%) non hanno ancora completato il ciclo vaccinale</w:t>
      </w:r>
      <w:r w:rsidR="004920AE">
        <w:rPr>
          <w:color w:val="auto"/>
        </w:rPr>
        <w:t xml:space="preserve"> con la doppia dose</w:t>
      </w:r>
      <w:r w:rsidRPr="00BB383A">
        <w:rPr>
          <w:color w:val="auto"/>
        </w:rPr>
        <w:t xml:space="preserve"> (</w:t>
      </w:r>
      <w:r w:rsidRPr="00BB383A">
        <w:rPr>
          <w:color w:val="auto"/>
          <w:highlight w:val="yellow"/>
        </w:rPr>
        <w:t>figura 1</w:t>
      </w:r>
      <w:r w:rsidR="00EA429E">
        <w:rPr>
          <w:color w:val="auto"/>
          <w:highlight w:val="yellow"/>
        </w:rPr>
        <w:t>0</w:t>
      </w:r>
      <w:r w:rsidRPr="00BB383A">
        <w:rPr>
          <w:color w:val="auto"/>
        </w:rPr>
        <w:t>) con rilevanti differenze regionali (dal 15,7% della Calabria al 5,9% della Puglia) (</w:t>
      </w:r>
      <w:r w:rsidRPr="00EA429E">
        <w:rPr>
          <w:color w:val="auto"/>
          <w:highlight w:val="yellow"/>
        </w:rPr>
        <w:t>figura 1</w:t>
      </w:r>
      <w:r w:rsidR="00EA429E" w:rsidRPr="00EA429E">
        <w:rPr>
          <w:color w:val="auto"/>
          <w:highlight w:val="yellow"/>
        </w:rPr>
        <w:t>1</w:t>
      </w:r>
      <w:r w:rsidRPr="00BB383A">
        <w:rPr>
          <w:color w:val="auto"/>
        </w:rPr>
        <w:t>)</w:t>
      </w:r>
      <w:r w:rsidR="00867620">
        <w:rPr>
          <w:color w:val="auto"/>
        </w:rPr>
        <w:t xml:space="preserve">: </w:t>
      </w:r>
      <w:r w:rsidRPr="00BB383A">
        <w:rPr>
          <w:color w:val="auto"/>
        </w:rPr>
        <w:t>di questi, 2,71 milioni non hanno ancora ricevuto nemmeno una dose.</w:t>
      </w:r>
    </w:p>
    <w:p w:rsidR="00EA429E" w:rsidRDefault="00B00C4C" w:rsidP="00A77BBF">
      <w:pPr>
        <w:spacing w:line="276" w:lineRule="auto"/>
        <w:jc w:val="both"/>
        <w:rPr>
          <w:color w:val="auto"/>
        </w:rPr>
      </w:pPr>
      <w:r>
        <w:rPr>
          <w:color w:val="auto"/>
        </w:rPr>
        <w:t xml:space="preserve">Le </w:t>
      </w:r>
      <w:r w:rsidR="00EA429E" w:rsidRPr="00BB383A">
        <w:rPr>
          <w:color w:val="auto"/>
        </w:rPr>
        <w:t>coperture vaccinali per fascia di età</w:t>
      </w:r>
      <w:r w:rsidR="004920AE">
        <w:rPr>
          <w:color w:val="auto"/>
        </w:rPr>
        <w:t xml:space="preserve"> con almeno una dose di vaccino </w:t>
      </w:r>
      <w:r w:rsidR="00521485">
        <w:rPr>
          <w:color w:val="auto"/>
        </w:rPr>
        <w:t xml:space="preserve">sono molto variabili: </w:t>
      </w:r>
      <w:r w:rsidR="00181F5C">
        <w:rPr>
          <w:color w:val="auto"/>
        </w:rPr>
        <w:t>dal 96,5% degli over</w:t>
      </w:r>
      <w:r w:rsidR="00521485">
        <w:rPr>
          <w:color w:val="auto"/>
        </w:rPr>
        <w:t xml:space="preserve"> </w:t>
      </w:r>
      <w:r w:rsidR="00181F5C">
        <w:rPr>
          <w:color w:val="auto"/>
        </w:rPr>
        <w:t>80 al 69,3% della fascia 12-19 (</w:t>
      </w:r>
      <w:r w:rsidR="00181F5C" w:rsidRPr="00BB383A">
        <w:rPr>
          <w:color w:val="auto"/>
          <w:highlight w:val="yellow"/>
        </w:rPr>
        <w:t xml:space="preserve">figura </w:t>
      </w:r>
      <w:r w:rsidR="00181F5C">
        <w:rPr>
          <w:color w:val="auto"/>
          <w:highlight w:val="yellow"/>
        </w:rPr>
        <w:t>12</w:t>
      </w:r>
      <w:r w:rsidR="00181F5C">
        <w:rPr>
          <w:color w:val="auto"/>
        </w:rPr>
        <w:t>)</w:t>
      </w:r>
      <w:r w:rsidR="004920AE">
        <w:rPr>
          <w:color w:val="auto"/>
        </w:rPr>
        <w:t xml:space="preserve">. </w:t>
      </w:r>
      <w:r w:rsidR="00B740D8">
        <w:rPr>
          <w:color w:val="auto"/>
        </w:rPr>
        <w:t>In generale,</w:t>
      </w:r>
      <w:r w:rsidR="00521485">
        <w:rPr>
          <w:color w:val="auto"/>
        </w:rPr>
        <w:t xml:space="preserve"> rispetto alla settimana precedente, si registrano </w:t>
      </w:r>
      <w:r>
        <w:rPr>
          <w:color w:val="auto"/>
        </w:rPr>
        <w:t>incrementi modesti</w:t>
      </w:r>
      <w:r w:rsidR="006F6446">
        <w:rPr>
          <w:color w:val="auto"/>
        </w:rPr>
        <w:t>: la percentuale di vaccinati con almeno una dose cresce del 2,5%</w:t>
      </w:r>
      <w:r w:rsidR="004920AE" w:rsidRPr="004920AE">
        <w:rPr>
          <w:color w:val="auto"/>
        </w:rPr>
        <w:t xml:space="preserve"> </w:t>
      </w:r>
      <w:r w:rsidR="004920AE">
        <w:rPr>
          <w:color w:val="auto"/>
        </w:rPr>
        <w:t>nella fascia 30-39</w:t>
      </w:r>
      <w:r w:rsidR="00181F5C">
        <w:rPr>
          <w:color w:val="auto"/>
        </w:rPr>
        <w:t xml:space="preserve">, del 2,1% nelle fasce </w:t>
      </w:r>
      <w:r w:rsidR="006F6446">
        <w:rPr>
          <w:color w:val="auto"/>
        </w:rPr>
        <w:t>12-19 e 20-29</w:t>
      </w:r>
      <w:r w:rsidR="00181F5C">
        <w:rPr>
          <w:color w:val="auto"/>
        </w:rPr>
        <w:t xml:space="preserve">, dell’1,8% nella fascia 40-49 e dell’1,3% nella fascia 50-59, mentre </w:t>
      </w:r>
      <w:r w:rsidR="00521485">
        <w:rPr>
          <w:color w:val="auto"/>
        </w:rPr>
        <w:t>negli</w:t>
      </w:r>
      <w:r w:rsidR="00181F5C">
        <w:rPr>
          <w:color w:val="auto"/>
        </w:rPr>
        <w:t xml:space="preserve"> over</w:t>
      </w:r>
      <w:r w:rsidR="00521485">
        <w:rPr>
          <w:color w:val="auto"/>
        </w:rPr>
        <w:t xml:space="preserve"> </w:t>
      </w:r>
      <w:r w:rsidR="00181F5C">
        <w:rPr>
          <w:color w:val="auto"/>
        </w:rPr>
        <w:t xml:space="preserve">60 </w:t>
      </w:r>
      <w:r w:rsidR="00521485">
        <w:rPr>
          <w:color w:val="auto"/>
        </w:rPr>
        <w:t>l’incremento</w:t>
      </w:r>
      <w:r w:rsidR="00B740D8">
        <w:rPr>
          <w:color w:val="auto"/>
        </w:rPr>
        <w:t xml:space="preserve"> </w:t>
      </w:r>
      <w:r w:rsidR="00181F5C">
        <w:rPr>
          <w:color w:val="auto"/>
        </w:rPr>
        <w:t xml:space="preserve">non </w:t>
      </w:r>
      <w:r w:rsidR="00B740D8">
        <w:rPr>
          <w:color w:val="auto"/>
        </w:rPr>
        <w:t xml:space="preserve">raggiunge </w:t>
      </w:r>
      <w:r w:rsidR="00181F5C">
        <w:rPr>
          <w:color w:val="auto"/>
        </w:rPr>
        <w:t>l’1%.</w:t>
      </w:r>
      <w:r w:rsidR="006F6446">
        <w:rPr>
          <w:color w:val="auto"/>
        </w:rPr>
        <w:t xml:space="preserve"> </w:t>
      </w:r>
    </w:p>
    <w:p w:rsidR="00460D0D" w:rsidRDefault="00460D0D" w:rsidP="007A602C">
      <w:pPr>
        <w:spacing w:line="276" w:lineRule="auto"/>
        <w:jc w:val="both"/>
        <w:rPr>
          <w:color w:val="auto"/>
        </w:rPr>
      </w:pPr>
      <w:r w:rsidRPr="00275B6C">
        <w:rPr>
          <w:b/>
          <w:color w:val="auto"/>
        </w:rPr>
        <w:t>Efficacia vaccini</w:t>
      </w:r>
      <w:r w:rsidR="00505C8D" w:rsidRPr="00275B6C">
        <w:rPr>
          <w:color w:val="auto"/>
        </w:rPr>
        <w:t>.</w:t>
      </w:r>
      <w:r w:rsidR="007C5961" w:rsidRPr="00275B6C">
        <w:rPr>
          <w:color w:val="auto"/>
        </w:rPr>
        <w:t xml:space="preserve"> </w:t>
      </w:r>
      <w:r w:rsidRPr="00275B6C">
        <w:rPr>
          <w:color w:val="auto"/>
        </w:rPr>
        <w:t xml:space="preserve">L’efficacia del vaccino </w:t>
      </w:r>
      <w:r w:rsidR="00A94175" w:rsidRPr="00275B6C">
        <w:rPr>
          <w:color w:val="auto"/>
        </w:rPr>
        <w:t>da aprile ad oggi</w:t>
      </w:r>
      <w:r w:rsidRPr="00275B6C">
        <w:rPr>
          <w:color w:val="auto"/>
        </w:rPr>
        <w:t xml:space="preserve"> </w:t>
      </w:r>
      <w:r w:rsidR="005206D7" w:rsidRPr="00275B6C">
        <w:rPr>
          <w:color w:val="auto"/>
        </w:rPr>
        <w:t xml:space="preserve">si conferma </w:t>
      </w:r>
      <w:r w:rsidR="00D37DB1" w:rsidRPr="00275B6C">
        <w:rPr>
          <w:color w:val="auto"/>
        </w:rPr>
        <w:t xml:space="preserve">molto elevata </w:t>
      </w:r>
      <w:r w:rsidRPr="00275B6C">
        <w:rPr>
          <w:color w:val="auto"/>
        </w:rPr>
        <w:t xml:space="preserve">nel ridurre </w:t>
      </w:r>
      <w:r w:rsidR="005206D7" w:rsidRPr="00275B6C">
        <w:rPr>
          <w:color w:val="auto"/>
        </w:rPr>
        <w:t xml:space="preserve">i </w:t>
      </w:r>
      <w:r w:rsidR="00A00F54" w:rsidRPr="00275B6C">
        <w:rPr>
          <w:color w:val="auto"/>
        </w:rPr>
        <w:t>decessi</w:t>
      </w:r>
      <w:r w:rsidR="00A00F54" w:rsidRPr="00234B97">
        <w:rPr>
          <w:color w:val="auto"/>
        </w:rPr>
        <w:t xml:space="preserve"> </w:t>
      </w:r>
      <w:r w:rsidR="006A7099" w:rsidRPr="00234B97">
        <w:rPr>
          <w:color w:val="auto"/>
        </w:rPr>
        <w:t>(</w:t>
      </w:r>
      <w:r w:rsidR="00D37DB1" w:rsidRPr="00234B97">
        <w:rPr>
          <w:color w:val="auto"/>
        </w:rPr>
        <w:t>9</w:t>
      </w:r>
      <w:r w:rsidR="00ED7F42">
        <w:rPr>
          <w:color w:val="auto"/>
        </w:rPr>
        <w:t>5</w:t>
      </w:r>
      <w:r w:rsidR="00D37DB1" w:rsidRPr="00234B97">
        <w:rPr>
          <w:color w:val="auto"/>
        </w:rPr>
        <w:t>,</w:t>
      </w:r>
      <w:r w:rsidR="000673B6">
        <w:rPr>
          <w:color w:val="auto"/>
        </w:rPr>
        <w:t>2</w:t>
      </w:r>
      <w:r w:rsidR="006A7099" w:rsidRPr="00234B97">
        <w:rPr>
          <w:color w:val="auto"/>
        </w:rPr>
        <w:t xml:space="preserve">%) </w:t>
      </w:r>
      <w:r w:rsidR="00A00F54" w:rsidRPr="00234B97">
        <w:rPr>
          <w:color w:val="auto"/>
        </w:rPr>
        <w:t xml:space="preserve">e </w:t>
      </w:r>
      <w:r w:rsidR="005206D7" w:rsidRPr="00234B97">
        <w:rPr>
          <w:color w:val="auto"/>
        </w:rPr>
        <w:t xml:space="preserve">le </w:t>
      </w:r>
      <w:r w:rsidRPr="00234B97">
        <w:rPr>
          <w:color w:val="auto"/>
        </w:rPr>
        <w:t xml:space="preserve">forme severe di malattia che </w:t>
      </w:r>
      <w:r w:rsidR="005206D7" w:rsidRPr="00234B97">
        <w:rPr>
          <w:color w:val="auto"/>
        </w:rPr>
        <w:t xml:space="preserve">necessitano di ricovero in area medica </w:t>
      </w:r>
      <w:r w:rsidR="006A7099" w:rsidRPr="00234B97">
        <w:rPr>
          <w:color w:val="auto"/>
        </w:rPr>
        <w:t>(</w:t>
      </w:r>
      <w:r w:rsidR="00D37DB1" w:rsidRPr="00234B97">
        <w:rPr>
          <w:color w:val="auto"/>
        </w:rPr>
        <w:t>9</w:t>
      </w:r>
      <w:r w:rsidR="000673B6">
        <w:rPr>
          <w:color w:val="auto"/>
        </w:rPr>
        <w:t>2</w:t>
      </w:r>
      <w:r w:rsidR="00D37DB1" w:rsidRPr="00234B97">
        <w:rPr>
          <w:color w:val="auto"/>
        </w:rPr>
        <w:t>,</w:t>
      </w:r>
      <w:r w:rsidR="000673B6">
        <w:rPr>
          <w:color w:val="auto"/>
        </w:rPr>
        <w:t>7</w:t>
      </w:r>
      <w:r w:rsidR="006A7099" w:rsidRPr="00234B97">
        <w:rPr>
          <w:color w:val="auto"/>
        </w:rPr>
        <w:t xml:space="preserve">%) </w:t>
      </w:r>
      <w:r w:rsidR="00BF1551">
        <w:rPr>
          <w:color w:val="auto"/>
        </w:rPr>
        <w:t xml:space="preserve">e in </w:t>
      </w:r>
      <w:r w:rsidRPr="00234B97">
        <w:rPr>
          <w:color w:val="auto"/>
        </w:rPr>
        <w:t>terapia intensiva</w:t>
      </w:r>
      <w:r w:rsidR="006A7099" w:rsidRPr="00234B97">
        <w:rPr>
          <w:color w:val="auto"/>
        </w:rPr>
        <w:t xml:space="preserve"> (</w:t>
      </w:r>
      <w:r w:rsidR="00D37DB1" w:rsidRPr="00234B97">
        <w:rPr>
          <w:color w:val="auto"/>
        </w:rPr>
        <w:t>9</w:t>
      </w:r>
      <w:r w:rsidR="00653A32" w:rsidRPr="00234B97">
        <w:rPr>
          <w:color w:val="auto"/>
        </w:rPr>
        <w:t>5,</w:t>
      </w:r>
      <w:r w:rsidR="000673B6">
        <w:rPr>
          <w:color w:val="auto"/>
        </w:rPr>
        <w:t>1</w:t>
      </w:r>
      <w:r w:rsidR="006A7099" w:rsidRPr="00234B97">
        <w:rPr>
          <w:color w:val="auto"/>
        </w:rPr>
        <w:t>%)</w:t>
      </w:r>
      <w:r w:rsidR="00EA429E">
        <w:rPr>
          <w:color w:val="auto"/>
        </w:rPr>
        <w:t xml:space="preserve"> </w:t>
      </w:r>
      <w:r w:rsidR="00EA429E" w:rsidRPr="00234B97">
        <w:rPr>
          <w:color w:val="auto"/>
        </w:rPr>
        <w:t>(</w:t>
      </w:r>
      <w:r w:rsidR="00EA429E" w:rsidRPr="00234B97">
        <w:rPr>
          <w:color w:val="auto"/>
          <w:highlight w:val="yellow"/>
        </w:rPr>
        <w:t>figur</w:t>
      </w:r>
      <w:r w:rsidR="00EA429E">
        <w:rPr>
          <w:color w:val="auto"/>
          <w:highlight w:val="yellow"/>
        </w:rPr>
        <w:t>a</w:t>
      </w:r>
      <w:r w:rsidR="00EA429E" w:rsidRPr="00234B97">
        <w:rPr>
          <w:color w:val="auto"/>
          <w:highlight w:val="yellow"/>
        </w:rPr>
        <w:t xml:space="preserve"> 1</w:t>
      </w:r>
      <w:r w:rsidR="00EA429E">
        <w:rPr>
          <w:color w:val="auto"/>
          <w:highlight w:val="yellow"/>
        </w:rPr>
        <w:t>3</w:t>
      </w:r>
      <w:r w:rsidR="00EA429E" w:rsidRPr="00234B97">
        <w:rPr>
          <w:color w:val="auto"/>
        </w:rPr>
        <w:t>)</w:t>
      </w:r>
      <w:r w:rsidRPr="00234B97">
        <w:rPr>
          <w:color w:val="auto"/>
        </w:rPr>
        <w:t xml:space="preserve">. </w:t>
      </w:r>
      <w:r w:rsidR="00E82977" w:rsidRPr="0026464D">
        <w:rPr>
          <w:color w:val="auto"/>
        </w:rPr>
        <w:t>Relativamente al</w:t>
      </w:r>
      <w:r w:rsidRPr="0026464D">
        <w:rPr>
          <w:color w:val="auto"/>
        </w:rPr>
        <w:t>le diagnosi di SARS-CoV-2</w:t>
      </w:r>
      <w:r w:rsidR="005549FE" w:rsidRPr="0026464D">
        <w:rPr>
          <w:color w:val="auto"/>
        </w:rPr>
        <w:t>, invece,</w:t>
      </w:r>
      <w:r w:rsidR="00F112A8" w:rsidRPr="0026464D">
        <w:rPr>
          <w:color w:val="auto"/>
        </w:rPr>
        <w:t xml:space="preserve"> </w:t>
      </w:r>
      <w:r w:rsidRPr="0026464D">
        <w:rPr>
          <w:color w:val="auto"/>
        </w:rPr>
        <w:t xml:space="preserve">l’efficacia </w:t>
      </w:r>
      <w:r w:rsidR="00463915">
        <w:rPr>
          <w:color w:val="auto"/>
        </w:rPr>
        <w:t xml:space="preserve">è scesa </w:t>
      </w:r>
      <w:r w:rsidRPr="0026464D">
        <w:rPr>
          <w:color w:val="auto"/>
        </w:rPr>
        <w:t>dall’88</w:t>
      </w:r>
      <w:r w:rsidR="00CC75F9" w:rsidRPr="0026464D">
        <w:rPr>
          <w:color w:val="auto"/>
        </w:rPr>
        <w:t>,5</w:t>
      </w:r>
      <w:r w:rsidRPr="0026464D">
        <w:rPr>
          <w:color w:val="auto"/>
        </w:rPr>
        <w:t xml:space="preserve">% </w:t>
      </w:r>
      <w:r w:rsidR="00986C25" w:rsidRPr="0026464D">
        <w:rPr>
          <w:color w:val="auto"/>
        </w:rPr>
        <w:t>(</w:t>
      </w:r>
      <w:r w:rsidR="00EE1262" w:rsidRPr="0026464D">
        <w:rPr>
          <w:color w:val="auto"/>
        </w:rPr>
        <w:t>periodo 4 aprile-</w:t>
      </w:r>
      <w:r w:rsidRPr="0026464D">
        <w:rPr>
          <w:color w:val="auto"/>
        </w:rPr>
        <w:t>11 luglio</w:t>
      </w:r>
      <w:r w:rsidR="00986C25" w:rsidRPr="0026464D">
        <w:rPr>
          <w:color w:val="auto"/>
        </w:rPr>
        <w:t>)</w:t>
      </w:r>
      <w:r w:rsidRPr="0026464D">
        <w:rPr>
          <w:color w:val="auto"/>
        </w:rPr>
        <w:t xml:space="preserve"> </w:t>
      </w:r>
      <w:r w:rsidR="00A94175" w:rsidRPr="0026464D">
        <w:rPr>
          <w:color w:val="auto"/>
        </w:rPr>
        <w:t>al</w:t>
      </w:r>
      <w:r w:rsidRPr="0026464D">
        <w:rPr>
          <w:color w:val="auto"/>
        </w:rPr>
        <w:t xml:space="preserve"> 7</w:t>
      </w:r>
      <w:r w:rsidR="00197134" w:rsidRPr="0026464D">
        <w:rPr>
          <w:color w:val="auto"/>
        </w:rPr>
        <w:t>6</w:t>
      </w:r>
      <w:r w:rsidR="00CC75F9" w:rsidRPr="0026464D">
        <w:rPr>
          <w:color w:val="auto"/>
        </w:rPr>
        <w:t>,</w:t>
      </w:r>
      <w:r w:rsidR="000673B6" w:rsidRPr="0026464D">
        <w:rPr>
          <w:color w:val="auto"/>
        </w:rPr>
        <w:t>8</w:t>
      </w:r>
      <w:r w:rsidRPr="0026464D">
        <w:rPr>
          <w:color w:val="auto"/>
        </w:rPr>
        <w:t xml:space="preserve">% </w:t>
      </w:r>
      <w:r w:rsidR="00986C25" w:rsidRPr="0026464D">
        <w:rPr>
          <w:color w:val="auto"/>
        </w:rPr>
        <w:t>(</w:t>
      </w:r>
      <w:r w:rsidR="00EE1262" w:rsidRPr="0026464D">
        <w:rPr>
          <w:color w:val="auto"/>
        </w:rPr>
        <w:t>periodo 4 aprile-</w:t>
      </w:r>
      <w:r w:rsidR="00197134" w:rsidRPr="0026464D">
        <w:rPr>
          <w:color w:val="auto"/>
        </w:rPr>
        <w:t>1</w:t>
      </w:r>
      <w:r w:rsidR="000673B6" w:rsidRPr="0026464D">
        <w:rPr>
          <w:color w:val="auto"/>
        </w:rPr>
        <w:t>9</w:t>
      </w:r>
      <w:r w:rsidR="00653A32" w:rsidRPr="0026464D">
        <w:rPr>
          <w:color w:val="auto"/>
        </w:rPr>
        <w:t xml:space="preserve"> settembre</w:t>
      </w:r>
      <w:r w:rsidR="00986C25" w:rsidRPr="0026464D">
        <w:rPr>
          <w:color w:val="auto"/>
        </w:rPr>
        <w:t>)</w:t>
      </w:r>
      <w:r w:rsidR="00EE280D" w:rsidRPr="0026464D">
        <w:rPr>
          <w:color w:val="auto"/>
        </w:rPr>
        <w:t xml:space="preserve">, in </w:t>
      </w:r>
      <w:r w:rsidR="00463915">
        <w:rPr>
          <w:color w:val="auto"/>
        </w:rPr>
        <w:t xml:space="preserve">particolare nella fascia di età </w:t>
      </w:r>
      <w:r w:rsidR="00BF1551" w:rsidRPr="0026464D">
        <w:rPr>
          <w:color w:val="auto"/>
        </w:rPr>
        <w:t>12-39 anni</w:t>
      </w:r>
      <w:r w:rsidR="00463915">
        <w:rPr>
          <w:color w:val="auto"/>
        </w:rPr>
        <w:t xml:space="preserve"> dove si è ridotta </w:t>
      </w:r>
      <w:r w:rsidR="00BF1551" w:rsidRPr="0026464D">
        <w:rPr>
          <w:color w:val="auto"/>
        </w:rPr>
        <w:t xml:space="preserve">sino al 67,2% </w:t>
      </w:r>
      <w:r w:rsidR="00863261" w:rsidRPr="0026464D">
        <w:rPr>
          <w:color w:val="auto"/>
        </w:rPr>
        <w:t xml:space="preserve">(periodo 4 aprile-29 agosto) </w:t>
      </w:r>
      <w:r w:rsidR="00463915">
        <w:rPr>
          <w:color w:val="auto"/>
        </w:rPr>
        <w:t xml:space="preserve">- verosimilmente per l’effetto “estate” - </w:t>
      </w:r>
      <w:r w:rsidR="00A15244" w:rsidRPr="0026464D">
        <w:rPr>
          <w:color w:val="auto"/>
        </w:rPr>
        <w:t>per poi risalire</w:t>
      </w:r>
      <w:r w:rsidR="00BF1551" w:rsidRPr="0026464D">
        <w:rPr>
          <w:color w:val="auto"/>
        </w:rPr>
        <w:t xml:space="preserve"> </w:t>
      </w:r>
      <w:r w:rsidR="000673B6" w:rsidRPr="0026464D">
        <w:rPr>
          <w:color w:val="auto"/>
        </w:rPr>
        <w:t xml:space="preserve">fino </w:t>
      </w:r>
      <w:r w:rsidR="00BF1551" w:rsidRPr="0026464D">
        <w:rPr>
          <w:color w:val="auto"/>
        </w:rPr>
        <w:t xml:space="preserve">al </w:t>
      </w:r>
      <w:r w:rsidR="000673B6" w:rsidRPr="0026464D">
        <w:rPr>
          <w:color w:val="auto"/>
        </w:rPr>
        <w:t>70</w:t>
      </w:r>
      <w:r w:rsidR="00BF1551" w:rsidRPr="0026464D">
        <w:rPr>
          <w:color w:val="auto"/>
        </w:rPr>
        <w:t>,</w:t>
      </w:r>
      <w:r w:rsidR="000673B6" w:rsidRPr="0026464D">
        <w:rPr>
          <w:color w:val="auto"/>
        </w:rPr>
        <w:t>9</w:t>
      </w:r>
      <w:r w:rsidR="00A15244" w:rsidRPr="0026464D">
        <w:rPr>
          <w:color w:val="auto"/>
        </w:rPr>
        <w:t>%</w:t>
      </w:r>
      <w:r w:rsidR="00863261" w:rsidRPr="0026464D">
        <w:rPr>
          <w:color w:val="auto"/>
        </w:rPr>
        <w:t xml:space="preserve"> (periodo 4 aprile-19 settembre)</w:t>
      </w:r>
      <w:r w:rsidR="00BF1551" w:rsidRPr="0026464D">
        <w:rPr>
          <w:color w:val="auto"/>
        </w:rPr>
        <w:t xml:space="preserve">. </w:t>
      </w:r>
      <w:r w:rsidR="006E759D" w:rsidRPr="00234B97">
        <w:rPr>
          <w:color w:val="auto"/>
        </w:rPr>
        <w:t>N</w:t>
      </w:r>
      <w:r w:rsidR="00BF1551">
        <w:rPr>
          <w:color w:val="auto"/>
        </w:rPr>
        <w:t>elle persone vaccinate</w:t>
      </w:r>
      <w:r w:rsidR="00E36ACB" w:rsidRPr="00234B97">
        <w:rPr>
          <w:color w:val="auto"/>
        </w:rPr>
        <w:t xml:space="preserve"> </w:t>
      </w:r>
      <w:r w:rsidR="006E759D" w:rsidRPr="00234B97">
        <w:rPr>
          <w:color w:val="auto"/>
        </w:rPr>
        <w:t xml:space="preserve">con ciclo </w:t>
      </w:r>
      <w:r w:rsidR="006E759D" w:rsidRPr="00234B97">
        <w:rPr>
          <w:color w:val="auto"/>
        </w:rPr>
        <w:lastRenderedPageBreak/>
        <w:t xml:space="preserve">completo, rispetto </w:t>
      </w:r>
      <w:r w:rsidR="00BF1551">
        <w:rPr>
          <w:color w:val="auto"/>
        </w:rPr>
        <w:t>a quelle non vaccinate</w:t>
      </w:r>
      <w:r w:rsidR="00E36ACB" w:rsidRPr="00234B97">
        <w:rPr>
          <w:color w:val="auto"/>
        </w:rPr>
        <w:t xml:space="preserve">, </w:t>
      </w:r>
      <w:r w:rsidR="005265EC" w:rsidRPr="00234B97">
        <w:rPr>
          <w:color w:val="auto"/>
        </w:rPr>
        <w:t>si registra</w:t>
      </w:r>
      <w:r w:rsidR="006E759D" w:rsidRPr="00234B97">
        <w:rPr>
          <w:color w:val="auto"/>
        </w:rPr>
        <w:t xml:space="preserve"> un netto calo dell’incidenza di diagnosi e soprattutto di malattia severa che </w:t>
      </w:r>
      <w:r w:rsidR="00716FA6">
        <w:rPr>
          <w:color w:val="auto"/>
        </w:rPr>
        <w:t>porta ad</w:t>
      </w:r>
      <w:r w:rsidR="00716FA6" w:rsidRPr="00234B97">
        <w:rPr>
          <w:color w:val="auto"/>
        </w:rPr>
        <w:t xml:space="preserve"> </w:t>
      </w:r>
      <w:r w:rsidR="006E759D" w:rsidRPr="00234B97">
        <w:rPr>
          <w:color w:val="auto"/>
        </w:rPr>
        <w:t>ospedalizzazione, ricovero in terapia intensiva o decesso</w:t>
      </w:r>
      <w:r w:rsidR="00677B01">
        <w:rPr>
          <w:color w:val="auto"/>
        </w:rPr>
        <w:t>:</w:t>
      </w:r>
      <w:r w:rsidR="00677B01" w:rsidRPr="00234B97">
        <w:rPr>
          <w:color w:val="auto"/>
        </w:rPr>
        <w:t xml:space="preserve"> </w:t>
      </w:r>
      <w:r w:rsidR="006E759D" w:rsidRPr="00234B97">
        <w:rPr>
          <w:color w:val="auto"/>
        </w:rPr>
        <w:t>nelle varie fasce di età</w:t>
      </w:r>
      <w:r w:rsidR="00E36ACB" w:rsidRPr="00234B97">
        <w:rPr>
          <w:color w:val="auto"/>
        </w:rPr>
        <w:t xml:space="preserve">, le diagnosi di SARS-CoV-2 </w:t>
      </w:r>
      <w:r w:rsidR="00E33CA9" w:rsidRPr="00234B97">
        <w:rPr>
          <w:color w:val="auto"/>
        </w:rPr>
        <w:t>si riducono</w:t>
      </w:r>
      <w:r w:rsidR="00E36ACB" w:rsidRPr="00234B97">
        <w:rPr>
          <w:color w:val="auto"/>
        </w:rPr>
        <w:t xml:space="preserve"> </w:t>
      </w:r>
      <w:r w:rsidR="00677B01">
        <w:rPr>
          <w:color w:val="auto"/>
        </w:rPr>
        <w:t xml:space="preserve">infatti </w:t>
      </w:r>
      <w:r w:rsidR="00E36ACB" w:rsidRPr="00234B97">
        <w:rPr>
          <w:color w:val="auto"/>
        </w:rPr>
        <w:t xml:space="preserve">del </w:t>
      </w:r>
      <w:r w:rsidR="00197134" w:rsidRPr="00197134">
        <w:rPr>
          <w:color w:val="auto"/>
        </w:rPr>
        <w:t>78,</w:t>
      </w:r>
      <w:r w:rsidR="000673B6">
        <w:rPr>
          <w:color w:val="auto"/>
        </w:rPr>
        <w:t>7</w:t>
      </w:r>
      <w:r w:rsidR="00197134" w:rsidRPr="00197134">
        <w:rPr>
          <w:color w:val="auto"/>
        </w:rPr>
        <w:t>-8</w:t>
      </w:r>
      <w:r w:rsidR="000673B6">
        <w:rPr>
          <w:color w:val="auto"/>
        </w:rPr>
        <w:t>3</w:t>
      </w:r>
      <w:r w:rsidR="00197134" w:rsidRPr="00197134">
        <w:rPr>
          <w:color w:val="auto"/>
        </w:rPr>
        <w:t>,</w:t>
      </w:r>
      <w:r w:rsidR="000673B6">
        <w:rPr>
          <w:color w:val="auto"/>
        </w:rPr>
        <w:t>1</w:t>
      </w:r>
      <w:r w:rsidR="00197134" w:rsidRPr="00197134">
        <w:rPr>
          <w:color w:val="auto"/>
        </w:rPr>
        <w:t>%</w:t>
      </w:r>
      <w:r w:rsidR="00E36ACB" w:rsidRPr="00234B97">
        <w:rPr>
          <w:color w:val="auto"/>
        </w:rPr>
        <w:t xml:space="preserve">, </w:t>
      </w:r>
      <w:r w:rsidR="0010442F">
        <w:rPr>
          <w:color w:val="auto"/>
        </w:rPr>
        <w:t>i ricoveri ordinari</w:t>
      </w:r>
      <w:r w:rsidR="00E36ACB" w:rsidRPr="00234B97">
        <w:rPr>
          <w:color w:val="auto"/>
        </w:rPr>
        <w:t xml:space="preserve"> dell’</w:t>
      </w:r>
      <w:r w:rsidR="000673B6">
        <w:rPr>
          <w:color w:val="auto"/>
        </w:rPr>
        <w:t>87,5</w:t>
      </w:r>
      <w:r w:rsidR="00197134" w:rsidRPr="00197134">
        <w:rPr>
          <w:color w:val="auto"/>
        </w:rPr>
        <w:t>-95,8%</w:t>
      </w:r>
      <w:r w:rsidR="00E36ACB" w:rsidRPr="00234B97">
        <w:rPr>
          <w:color w:val="auto"/>
        </w:rPr>
        <w:t xml:space="preserve">, </w:t>
      </w:r>
      <w:r w:rsidR="0010442F">
        <w:rPr>
          <w:color w:val="auto"/>
        </w:rPr>
        <w:t>quelli</w:t>
      </w:r>
      <w:r w:rsidR="00E36ACB" w:rsidRPr="00234B97">
        <w:rPr>
          <w:color w:val="auto"/>
        </w:rPr>
        <w:t xml:space="preserve"> in terapia intensiva del </w:t>
      </w:r>
      <w:r w:rsidR="000673B6">
        <w:rPr>
          <w:color w:val="auto"/>
        </w:rPr>
        <w:t>91</w:t>
      </w:r>
      <w:r w:rsidR="00197134" w:rsidRPr="00197134">
        <w:rPr>
          <w:color w:val="auto"/>
        </w:rPr>
        <w:t>,2-98%</w:t>
      </w:r>
      <w:r w:rsidR="00E36ACB" w:rsidRPr="00234B97">
        <w:rPr>
          <w:color w:val="auto"/>
        </w:rPr>
        <w:t xml:space="preserve"> e i decessi del </w:t>
      </w:r>
      <w:r w:rsidR="000673B6">
        <w:rPr>
          <w:color w:val="auto"/>
        </w:rPr>
        <w:t>79</w:t>
      </w:r>
      <w:r w:rsidR="00197134" w:rsidRPr="00197134">
        <w:rPr>
          <w:color w:val="auto"/>
        </w:rPr>
        <w:t>,</w:t>
      </w:r>
      <w:r w:rsidR="000673B6">
        <w:rPr>
          <w:color w:val="auto"/>
        </w:rPr>
        <w:t>9-95,5</w:t>
      </w:r>
      <w:r w:rsidR="00197134" w:rsidRPr="00197134">
        <w:rPr>
          <w:color w:val="auto"/>
        </w:rPr>
        <w:t>%</w:t>
      </w:r>
      <w:r w:rsidR="00197134">
        <w:rPr>
          <w:color w:val="auto"/>
        </w:rPr>
        <w:t xml:space="preserve"> </w:t>
      </w:r>
      <w:r w:rsidR="00E36ACB" w:rsidRPr="00234B97">
        <w:rPr>
          <w:color w:val="auto"/>
        </w:rPr>
        <w:t>(</w:t>
      </w:r>
      <w:r w:rsidR="00E36ACB" w:rsidRPr="00234B97">
        <w:rPr>
          <w:color w:val="auto"/>
          <w:highlight w:val="yellow"/>
        </w:rPr>
        <w:t xml:space="preserve">figura </w:t>
      </w:r>
      <w:r w:rsidR="002569A9">
        <w:rPr>
          <w:color w:val="auto"/>
          <w:highlight w:val="yellow"/>
        </w:rPr>
        <w:t>1</w:t>
      </w:r>
      <w:r w:rsidR="00EA429E">
        <w:rPr>
          <w:color w:val="auto"/>
          <w:highlight w:val="yellow"/>
        </w:rPr>
        <w:t>4</w:t>
      </w:r>
      <w:r w:rsidR="00E36ACB" w:rsidRPr="00234B97">
        <w:rPr>
          <w:color w:val="auto"/>
        </w:rPr>
        <w:t>).</w:t>
      </w:r>
    </w:p>
    <w:p w:rsidR="000415C2" w:rsidRPr="00E13CE9" w:rsidRDefault="000415C2" w:rsidP="000415C2">
      <w:pPr>
        <w:jc w:val="both"/>
      </w:pPr>
      <w:r w:rsidRPr="002C3976">
        <w:rPr>
          <w:b/>
        </w:rPr>
        <w:t>Eff</w:t>
      </w:r>
      <w:r>
        <w:rPr>
          <w:b/>
        </w:rPr>
        <w:t xml:space="preserve">etti </w:t>
      </w:r>
      <w:r w:rsidRPr="002C3976">
        <w:rPr>
          <w:b/>
        </w:rPr>
        <w:t xml:space="preserve">della progressiva estensione del </w:t>
      </w:r>
      <w:r w:rsidR="00CE119C">
        <w:rPr>
          <w:b/>
        </w:rPr>
        <w:t>g</w:t>
      </w:r>
      <w:r w:rsidR="00CE119C" w:rsidRPr="002C3976">
        <w:rPr>
          <w:b/>
        </w:rPr>
        <w:t xml:space="preserve">reen </w:t>
      </w:r>
      <w:r w:rsidR="00CE119C">
        <w:rPr>
          <w:b/>
        </w:rPr>
        <w:t>pass</w:t>
      </w:r>
      <w:r>
        <w:t xml:space="preserve">. A partire dalla fine di luglio, con una serie di provvedimenti normativi, il Governo ha progressivamente ampliato gli ambiti in cui vige l’obbligo della certificazione verde, al fine di aumentare l’adesione della popolazione alla campagna vaccinale e garantire maggiore sicurezza negli ambienti chiusi. </w:t>
      </w:r>
    </w:p>
    <w:p w:rsidR="000415C2" w:rsidRDefault="000415C2" w:rsidP="000415C2">
      <w:pPr>
        <w:pStyle w:val="Paragrafoelenco"/>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6 agosto 2021: decorrenza dell’obbligo di possedere il green pass per frequentare la maggior parte delle attività ludiche, culturali e sportive oltre che per fruire di servizi di ristorazione al chiuso, eccetto quelli riservati ad ospiti di hotel (DL</w:t>
      </w:r>
      <w:r w:rsidRPr="00206E82">
        <w:t xml:space="preserve"> 105</w:t>
      </w:r>
      <w:r>
        <w:t>/2021).</w:t>
      </w:r>
    </w:p>
    <w:p w:rsidR="000415C2" w:rsidRDefault="000415C2" w:rsidP="000415C2">
      <w:pPr>
        <w:pStyle w:val="Paragrafoelenco"/>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roofErr w:type="gramStart"/>
      <w:r>
        <w:t>1 settembre</w:t>
      </w:r>
      <w:proofErr w:type="gramEnd"/>
      <w:r>
        <w:t xml:space="preserve"> 2021: estensione dell’obbligo al personale scolastico, agli studenti universitari e ai passeggeri di bus interregionali, aerei, treni Intercity, Intercity Notte e Alta Velocità, traghetti e navi interregionali, eccetto lo stretto</w:t>
      </w:r>
      <w:bookmarkStart w:id="0" w:name="_GoBack"/>
      <w:bookmarkEnd w:id="0"/>
      <w:r>
        <w:t xml:space="preserve"> di Messina (DL</w:t>
      </w:r>
      <w:r w:rsidRPr="00206E82">
        <w:t xml:space="preserve"> 111</w:t>
      </w:r>
      <w:r>
        <w:t>/2021).</w:t>
      </w:r>
    </w:p>
    <w:p w:rsidR="000415C2" w:rsidRDefault="000415C2" w:rsidP="000415C2">
      <w:pPr>
        <w:pStyle w:val="Paragrafoelenco"/>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11 settembre 2021: estensione dell’obbligo a chiunque acceda alle strutture delle istituzioni scolastiche, educative e formative con esclusione di </w:t>
      </w:r>
      <w:r w:rsidRPr="00A5556F">
        <w:t>bambini, alunni e studenti</w:t>
      </w:r>
      <w:r>
        <w:t xml:space="preserve"> e </w:t>
      </w:r>
      <w:r w:rsidR="00CE119C">
        <w:t xml:space="preserve">di </w:t>
      </w:r>
      <w:r>
        <w:t>altre eccezioni previste (DL</w:t>
      </w:r>
      <w:r w:rsidRPr="00206E82">
        <w:t xml:space="preserve"> 122</w:t>
      </w:r>
      <w:r>
        <w:t>/2021).</w:t>
      </w:r>
    </w:p>
    <w:p w:rsidR="000415C2" w:rsidRDefault="000415C2" w:rsidP="000415C2">
      <w:pPr>
        <w:pStyle w:val="Paragrafoelenco"/>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15 ottobre 2021: estensione dell’obbligo a tutti i lavoratori pubblici e privati (DL </w:t>
      </w:r>
      <w:r w:rsidRPr="00AB6BA3">
        <w:t>127/2021</w:t>
      </w:r>
      <w:r>
        <w:t>)</w:t>
      </w:r>
      <w:r w:rsidR="00580D28">
        <w:t xml:space="preserve">. </w:t>
      </w:r>
    </w:p>
    <w:p w:rsidR="00EA429E" w:rsidRPr="000415C2" w:rsidRDefault="00463915" w:rsidP="000415C2">
      <w:pPr>
        <w:jc w:val="both"/>
      </w:pPr>
      <w:r>
        <w:t xml:space="preserve">Sin dal </w:t>
      </w:r>
      <w:r w:rsidR="000415C2" w:rsidRPr="00E13CE9">
        <w:t>6 agosto l’impatto dell’estensione del green pass è molto evidente sui tamponi rapidi, la cui media mobile a 7 giorni è aumentata</w:t>
      </w:r>
      <w:r w:rsidR="00A36909">
        <w:t xml:space="preserve"> in un mese</w:t>
      </w:r>
      <w:r w:rsidR="000415C2" w:rsidRPr="00E13CE9">
        <w:t xml:space="preserve"> del 57,7% passando da 113 mila (6 agosto) a 178 mila (7 settembre) per poi stabilizzarsi.</w:t>
      </w:r>
      <w:r w:rsidR="000415C2">
        <w:t xml:space="preserve"> </w:t>
      </w:r>
      <w:r w:rsidR="000415C2" w:rsidRPr="00E42325">
        <w:t xml:space="preserve">Sui nuovi vaccinati l’effetto green pass è ancora modesto: </w:t>
      </w:r>
      <w:r w:rsidR="000415C2">
        <w:t xml:space="preserve">dopo un lieve rialzo dopo il 6 agosto, </w:t>
      </w:r>
      <w:r w:rsidR="000415C2" w:rsidRPr="00E42325">
        <w:t xml:space="preserve">le prime dosi </w:t>
      </w:r>
      <w:r w:rsidR="000415C2">
        <w:t>giornaliere sono crollate sino al minim</w:t>
      </w:r>
      <w:r w:rsidR="000415C2" w:rsidRPr="00E42325">
        <w:t>o de</w:t>
      </w:r>
      <w:r w:rsidR="000415C2">
        <w:t>l 17 settembre (media mobile 66,</w:t>
      </w:r>
      <w:r w:rsidR="000415C2" w:rsidRPr="00E42325">
        <w:t>7</w:t>
      </w:r>
      <w:r w:rsidR="000415C2">
        <w:t xml:space="preserve"> mila</w:t>
      </w:r>
      <w:r w:rsidR="000415C2" w:rsidRPr="00E42325">
        <w:t>)</w:t>
      </w:r>
      <w:r w:rsidR="000415C2">
        <w:t xml:space="preserve">, registrando </w:t>
      </w:r>
      <w:r w:rsidR="00CE119C">
        <w:t xml:space="preserve">poi </w:t>
      </w:r>
      <w:r w:rsidR="000415C2" w:rsidRPr="00E42325">
        <w:t xml:space="preserve">una </w:t>
      </w:r>
      <w:r w:rsidR="000415C2">
        <w:t xml:space="preserve">timida </w:t>
      </w:r>
      <w:r w:rsidR="000415C2" w:rsidRPr="00E42325">
        <w:t>risalita</w:t>
      </w:r>
      <w:r w:rsidR="000415C2">
        <w:t xml:space="preserve"> e </w:t>
      </w:r>
      <w:r w:rsidR="00CE119C">
        <w:t>stabilizzandosi</w:t>
      </w:r>
      <w:r w:rsidR="00CE119C" w:rsidRPr="00E42325">
        <w:t xml:space="preserve"> </w:t>
      </w:r>
      <w:r w:rsidR="00247BA3">
        <w:t>intorno a quota 84mila</w:t>
      </w:r>
    </w:p>
    <w:p w:rsidR="005B129C" w:rsidRDefault="00D03C0F" w:rsidP="00D03C0F">
      <w:pPr>
        <w:spacing w:line="276" w:lineRule="auto"/>
        <w:jc w:val="center"/>
        <w:rPr>
          <w:color w:val="FF0000"/>
        </w:rPr>
      </w:pPr>
      <w:r>
        <w:rPr>
          <w:noProof/>
          <w:color w:val="FF0000"/>
        </w:rPr>
        <w:drawing>
          <wp:inline distT="0" distB="0" distL="0" distR="0" wp14:anchorId="2CDECA68" wp14:editId="7A07BA3D">
            <wp:extent cx="5760000" cy="354523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3545233"/>
                    </a:xfrm>
                    <a:prstGeom prst="rect">
                      <a:avLst/>
                    </a:prstGeom>
                    <a:noFill/>
                  </pic:spPr>
                </pic:pic>
              </a:graphicData>
            </a:graphic>
          </wp:inline>
        </w:drawing>
      </w:r>
    </w:p>
    <w:p w:rsidR="006D0DB7" w:rsidRDefault="006D0DB7" w:rsidP="00247BA3">
      <w:pPr>
        <w:jc w:val="both"/>
      </w:pPr>
    </w:p>
    <w:p w:rsidR="006D0DB7" w:rsidRDefault="006D0DB7" w:rsidP="00247BA3">
      <w:pPr>
        <w:jc w:val="both"/>
      </w:pPr>
    </w:p>
    <w:p w:rsidR="00903DE5" w:rsidRPr="000415C2" w:rsidRDefault="00903DE5" w:rsidP="00247BA3">
      <w:pPr>
        <w:jc w:val="both"/>
      </w:pPr>
      <w:r w:rsidRPr="003D7BF0">
        <w:t>«</w:t>
      </w:r>
      <w:r>
        <w:t xml:space="preserve">La progressiva estensione del green pass </w:t>
      </w:r>
      <w:r w:rsidRPr="003D7BF0">
        <w:t xml:space="preserve">– </w:t>
      </w:r>
      <w:r>
        <w:t>conclude Cartabellotta</w:t>
      </w:r>
      <w:r w:rsidRPr="003D7BF0">
        <w:t xml:space="preserve"> –</w:t>
      </w:r>
      <w:r w:rsidR="00247BA3">
        <w:rPr>
          <w:color w:val="auto"/>
        </w:rPr>
        <w:t xml:space="preserve"> ha ottenuto </w:t>
      </w:r>
      <w:r>
        <w:rPr>
          <w:color w:val="auto"/>
        </w:rPr>
        <w:t xml:space="preserve">un effetto </w:t>
      </w:r>
      <w:r w:rsidR="00247BA3">
        <w:rPr>
          <w:color w:val="auto"/>
        </w:rPr>
        <w:t xml:space="preserve">molto netto </w:t>
      </w:r>
      <w:r>
        <w:rPr>
          <w:color w:val="auto"/>
        </w:rPr>
        <w:t xml:space="preserve">in termini di testing della popolazione, </w:t>
      </w:r>
      <w:r w:rsidR="00247BA3">
        <w:rPr>
          <w:color w:val="auto"/>
        </w:rPr>
        <w:t xml:space="preserve">contribuendo a ridurre la circolazione del virus, ma </w:t>
      </w:r>
      <w:r w:rsidR="00753317">
        <w:t xml:space="preserve">sinora </w:t>
      </w:r>
      <w:r>
        <w:t xml:space="preserve">non ha prodotto nessuna impennata nella curva dei nuovi vaccinati. </w:t>
      </w:r>
      <w:r w:rsidR="00247BA3">
        <w:t xml:space="preserve">Considerato che </w:t>
      </w:r>
      <w:r w:rsidR="00753317">
        <w:t>almeno</w:t>
      </w:r>
      <w:r w:rsidR="00247BA3">
        <w:t xml:space="preserve"> 5 milioni di persone </w:t>
      </w:r>
      <w:r w:rsidR="00247BA3">
        <w:lastRenderedPageBreak/>
        <w:t>non vaccinate sono in età lavorativa, l</w:t>
      </w:r>
      <w:r>
        <w:t>a prova del nove per valutare l’efficacia della “spinta gentile”</w:t>
      </w:r>
      <w:r w:rsidR="006D0DB7">
        <w:t xml:space="preserve"> </w:t>
      </w:r>
      <w:r w:rsidR="00247BA3">
        <w:t xml:space="preserve">arriverà </w:t>
      </w:r>
      <w:r w:rsidR="00F416BF">
        <w:t>intorno al</w:t>
      </w:r>
      <w:r w:rsidR="00247BA3">
        <w:t xml:space="preserve"> 15 ottobre, data di decorrenza dell’obbligo del green pass per</w:t>
      </w:r>
      <w:r w:rsidR="00247BA3" w:rsidRPr="00247BA3">
        <w:t xml:space="preserve"> dipendenti </w:t>
      </w:r>
      <w:r w:rsidR="00247BA3">
        <w:t>pubblici</w:t>
      </w:r>
      <w:r w:rsidR="00247BA3" w:rsidRPr="00247BA3">
        <w:t xml:space="preserve"> e </w:t>
      </w:r>
      <w:r w:rsidR="00247BA3">
        <w:t>privati</w:t>
      </w:r>
      <w:r w:rsidRPr="003D7BF0">
        <w:t>».</w:t>
      </w:r>
      <w:r w:rsidRPr="009D4C96">
        <w:t xml:space="preserve"> </w:t>
      </w:r>
    </w:p>
    <w:p w:rsidR="007B682B" w:rsidRPr="00234B97" w:rsidRDefault="00CE577D" w:rsidP="00247BA3">
      <w:pPr>
        <w:spacing w:after="120" w:line="276" w:lineRule="auto"/>
        <w:rPr>
          <w:rStyle w:val="Hyperlink0"/>
        </w:rPr>
      </w:pPr>
      <w:r w:rsidRPr="00234B97">
        <w:rPr>
          <w:i/>
          <w:iCs/>
        </w:rPr>
        <w:t xml:space="preserve">Il monitoraggio GIMBE dell'epidemia di COVID-19 è disponibile a: </w:t>
      </w:r>
      <w:hyperlink r:id="rId9" w:history="1">
        <w:r w:rsidRPr="00234B97">
          <w:rPr>
            <w:rStyle w:val="Hyperlink0"/>
          </w:rPr>
          <w:t>https://coronavirus.gimbe.org</w:t>
        </w:r>
      </w:hyperlink>
    </w:p>
    <w:p w:rsidR="00C3740F" w:rsidRPr="00613848" w:rsidRDefault="00CE577D" w:rsidP="00247BA3">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0" w:history="1">
        <w:r w:rsidRPr="00234B97">
          <w:rPr>
            <w:rStyle w:val="Hyperlink1"/>
          </w:rPr>
          <w:t>ufficio.stampa@gimbe.org</w:t>
        </w:r>
      </w:hyperlink>
    </w:p>
    <w:p w:rsidR="00F458BE" w:rsidRDefault="00F458BE">
      <w:pPr>
        <w:spacing w:after="0" w:line="240" w:lineRule="auto"/>
        <w:rPr>
          <w:b/>
          <w:bCs/>
          <w:color w:val="00457D"/>
          <w:sz w:val="24"/>
          <w:szCs w:val="24"/>
          <w:u w:color="00457D"/>
        </w:rPr>
      </w:pPr>
      <w:r>
        <w:rPr>
          <w:b/>
          <w:bCs/>
          <w:color w:val="00457D"/>
          <w:sz w:val="24"/>
          <w:szCs w:val="24"/>
          <w:u w:color="00457D"/>
        </w:rPr>
        <w:br w:type="page"/>
      </w:r>
    </w:p>
    <w:p w:rsidR="007B682B" w:rsidRPr="00234B97" w:rsidRDefault="00CE577D">
      <w:pPr>
        <w:jc w:val="center"/>
        <w:rPr>
          <w:b/>
          <w:bCs/>
          <w:color w:val="00457D"/>
          <w:sz w:val="24"/>
          <w:szCs w:val="24"/>
          <w:u w:color="00457D"/>
        </w:rPr>
      </w:pPr>
      <w:r w:rsidRPr="00234B97">
        <w:rPr>
          <w:b/>
          <w:bCs/>
          <w:color w:val="00457D"/>
          <w:sz w:val="24"/>
          <w:szCs w:val="24"/>
          <w:u w:color="00457D"/>
        </w:rPr>
        <w:lastRenderedPageBreak/>
        <w:t>Figura 1</w:t>
      </w:r>
    </w:p>
    <w:p w:rsidR="007B682B" w:rsidRPr="00234B97" w:rsidRDefault="00EA429E">
      <w:pPr>
        <w:jc w:val="center"/>
        <w:rPr>
          <w:b/>
          <w:bCs/>
          <w:color w:val="00457D"/>
          <w:sz w:val="24"/>
          <w:szCs w:val="24"/>
          <w:u w:color="00457D"/>
        </w:rPr>
      </w:pPr>
      <w:r>
        <w:rPr>
          <w:b/>
          <w:bCs/>
          <w:noProof/>
          <w:color w:val="00457D"/>
          <w:sz w:val="24"/>
          <w:szCs w:val="24"/>
          <w:u w:color="00457D"/>
        </w:rPr>
        <w:drawing>
          <wp:inline distT="0" distB="0" distL="0" distR="0" wp14:anchorId="1580BAC9" wp14:editId="068A77FB">
            <wp:extent cx="5760000" cy="3193390"/>
            <wp:effectExtent l="0" t="0" r="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7B682B" w:rsidRPr="00234B97" w:rsidRDefault="007B682B">
      <w:pPr>
        <w:jc w:val="center"/>
        <w:rPr>
          <w:b/>
          <w:bCs/>
          <w:color w:val="00457D"/>
          <w:sz w:val="24"/>
          <w:szCs w:val="24"/>
          <w:u w:color="00457D"/>
        </w:rPr>
      </w:pPr>
    </w:p>
    <w:p w:rsidR="007B682B" w:rsidRPr="00234B97" w:rsidRDefault="00CE577D">
      <w:pPr>
        <w:jc w:val="center"/>
        <w:rPr>
          <w:b/>
          <w:bCs/>
          <w:color w:val="00457D"/>
          <w:sz w:val="24"/>
          <w:szCs w:val="24"/>
          <w:u w:color="00457D"/>
        </w:rPr>
      </w:pPr>
      <w:r w:rsidRPr="00234B97">
        <w:rPr>
          <w:b/>
          <w:bCs/>
          <w:color w:val="00457D"/>
          <w:sz w:val="24"/>
          <w:szCs w:val="24"/>
          <w:u w:color="00457D"/>
        </w:rPr>
        <w:t>Figura 2</w:t>
      </w:r>
      <w:r w:rsidRPr="00234B97">
        <w:rPr>
          <w:b/>
          <w:bCs/>
          <w:color w:val="00457D"/>
          <w:sz w:val="24"/>
          <w:szCs w:val="24"/>
          <w:u w:color="00457D"/>
        </w:rPr>
        <w:br/>
      </w:r>
      <w:r w:rsidR="00EA429E">
        <w:rPr>
          <w:b/>
          <w:bCs/>
          <w:noProof/>
          <w:color w:val="00457D"/>
          <w:sz w:val="24"/>
          <w:szCs w:val="24"/>
          <w:u w:color="00457D"/>
        </w:rPr>
        <w:drawing>
          <wp:inline distT="0" distB="0" distL="0" distR="0" wp14:anchorId="09298C30" wp14:editId="19F3C32A">
            <wp:extent cx="5760000" cy="309465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094654"/>
                    </a:xfrm>
                    <a:prstGeom prst="rect">
                      <a:avLst/>
                    </a:prstGeom>
                    <a:noFill/>
                  </pic:spPr>
                </pic:pic>
              </a:graphicData>
            </a:graphic>
          </wp:inline>
        </w:drawing>
      </w:r>
    </w:p>
    <w:p w:rsidR="007B682B" w:rsidRPr="00234B97" w:rsidRDefault="00CE577D">
      <w:pPr>
        <w:jc w:val="center"/>
        <w:sectPr w:rsidR="007B682B" w:rsidRPr="00234B97">
          <w:pgSz w:w="11900" w:h="16840"/>
          <w:pgMar w:top="993" w:right="1134" w:bottom="709" w:left="1134" w:header="709" w:footer="709" w:gutter="0"/>
          <w:cols w:space="720"/>
        </w:sectPr>
      </w:pPr>
      <w:r w:rsidRPr="00234B97">
        <w:rPr>
          <w:b/>
          <w:bCs/>
          <w:color w:val="00457D"/>
          <w:sz w:val="24"/>
          <w:szCs w:val="24"/>
          <w:u w:color="00457D"/>
        </w:rPr>
        <w:br/>
      </w:r>
    </w:p>
    <w:p w:rsidR="007B682B" w:rsidRPr="00234B97" w:rsidRDefault="00CE577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7B682B" w:rsidRPr="00234B97" w:rsidRDefault="00EA429E">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3792DECD" wp14:editId="187A2F53">
            <wp:extent cx="9360000" cy="4830880"/>
            <wp:effectExtent l="0" t="0" r="0" b="825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0000" cy="4830880"/>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7B682B" w:rsidRPr="00234B97" w:rsidRDefault="00CE577D">
      <w:pPr>
        <w:jc w:val="center"/>
        <w:rPr>
          <w:b/>
          <w:bCs/>
          <w:color w:val="00457D"/>
          <w:sz w:val="24"/>
          <w:szCs w:val="24"/>
          <w:u w:color="00457D"/>
        </w:rPr>
      </w:pPr>
      <w:r w:rsidRPr="00234B97">
        <w:rPr>
          <w:b/>
          <w:bCs/>
          <w:color w:val="00457D"/>
          <w:sz w:val="24"/>
          <w:szCs w:val="24"/>
          <w:u w:color="00457D"/>
        </w:rPr>
        <w:lastRenderedPageBreak/>
        <w:t xml:space="preserve">Figura </w:t>
      </w:r>
      <w:r w:rsidR="00542585">
        <w:rPr>
          <w:b/>
          <w:bCs/>
          <w:color w:val="00457D"/>
          <w:sz w:val="24"/>
          <w:szCs w:val="24"/>
          <w:u w:color="00457D"/>
        </w:rPr>
        <w:t>4</w:t>
      </w:r>
    </w:p>
    <w:p w:rsidR="00B66203" w:rsidRPr="00234B97" w:rsidRDefault="00EA429E" w:rsidP="008E0517">
      <w:pPr>
        <w:spacing w:after="240"/>
        <w:jc w:val="center"/>
        <w:rPr>
          <w:b/>
          <w:bCs/>
          <w:color w:val="00457D"/>
          <w:sz w:val="24"/>
          <w:szCs w:val="24"/>
          <w:u w:color="00457D"/>
        </w:rPr>
      </w:pPr>
      <w:r>
        <w:rPr>
          <w:b/>
          <w:bCs/>
          <w:noProof/>
          <w:color w:val="00457D"/>
          <w:sz w:val="24"/>
          <w:szCs w:val="24"/>
          <w:u w:color="00457D"/>
        </w:rPr>
        <w:drawing>
          <wp:inline distT="0" distB="0" distL="0" distR="0" wp14:anchorId="22763641" wp14:editId="2C0C30CF">
            <wp:extent cx="5760000" cy="517036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5170369"/>
                    </a:xfrm>
                    <a:prstGeom prst="rect">
                      <a:avLst/>
                    </a:prstGeom>
                    <a:noFill/>
                  </pic:spPr>
                </pic:pic>
              </a:graphicData>
            </a:graphic>
          </wp:inline>
        </w:drawing>
      </w:r>
    </w:p>
    <w:p w:rsidR="007B682B" w:rsidRPr="00542585" w:rsidRDefault="00CE577D">
      <w:pPr>
        <w:spacing w:after="0"/>
        <w:jc w:val="center"/>
        <w:rPr>
          <w:b/>
          <w:bCs/>
          <w:color w:val="00457D"/>
          <w:sz w:val="24"/>
          <w:szCs w:val="24"/>
          <w:u w:color="00457D"/>
        </w:rPr>
      </w:pPr>
      <w:r w:rsidRPr="00542585">
        <w:rPr>
          <w:b/>
          <w:bCs/>
          <w:color w:val="00457D"/>
          <w:sz w:val="24"/>
          <w:szCs w:val="24"/>
          <w:u w:color="00457D"/>
        </w:rPr>
        <w:t xml:space="preserve">Figura </w:t>
      </w:r>
      <w:r w:rsidR="00542585" w:rsidRPr="00542585">
        <w:rPr>
          <w:b/>
          <w:bCs/>
          <w:color w:val="00457D"/>
          <w:sz w:val="24"/>
          <w:szCs w:val="24"/>
          <w:u w:color="00457D"/>
        </w:rPr>
        <w:t>5</w:t>
      </w:r>
    </w:p>
    <w:p w:rsidR="00D707B3" w:rsidRPr="00234B97" w:rsidRDefault="00EA429E">
      <w:pPr>
        <w:spacing w:after="0"/>
        <w:jc w:val="center"/>
        <w:rPr>
          <w:b/>
          <w:bCs/>
          <w:color w:val="00457D"/>
          <w:sz w:val="24"/>
          <w:szCs w:val="24"/>
          <w:u w:color="00457D"/>
        </w:rPr>
      </w:pPr>
      <w:r>
        <w:rPr>
          <w:b/>
          <w:bCs/>
          <w:noProof/>
          <w:color w:val="00457D"/>
          <w:sz w:val="24"/>
          <w:szCs w:val="24"/>
          <w:u w:color="00457D"/>
        </w:rPr>
        <w:drawing>
          <wp:inline distT="0" distB="0" distL="0" distR="0" wp14:anchorId="6AB93CD4" wp14:editId="5F5F83BB">
            <wp:extent cx="5760000" cy="308760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087605"/>
                    </a:xfrm>
                    <a:prstGeom prst="rect">
                      <a:avLst/>
                    </a:prstGeom>
                    <a:noFill/>
                  </pic:spPr>
                </pic:pic>
              </a:graphicData>
            </a:graphic>
          </wp:inline>
        </w:drawing>
      </w:r>
    </w:p>
    <w:p w:rsidR="007B682B" w:rsidRPr="00542585" w:rsidRDefault="006176B8" w:rsidP="00AF08E9">
      <w:pPr>
        <w:jc w:val="center"/>
        <w:rPr>
          <w:b/>
          <w:bCs/>
          <w:color w:val="00457D"/>
          <w:sz w:val="24"/>
          <w:szCs w:val="24"/>
          <w:u w:color="00457D"/>
        </w:rPr>
      </w:pPr>
      <w:r w:rsidRPr="00542585">
        <w:rPr>
          <w:b/>
          <w:bCs/>
          <w:color w:val="00457D"/>
          <w:sz w:val="24"/>
          <w:szCs w:val="24"/>
          <w:u w:color="00457D"/>
        </w:rPr>
        <w:lastRenderedPageBreak/>
        <w:t xml:space="preserve">Figura </w:t>
      </w:r>
      <w:r w:rsidR="00542585" w:rsidRPr="00542585">
        <w:rPr>
          <w:b/>
          <w:bCs/>
          <w:color w:val="00457D"/>
          <w:sz w:val="24"/>
          <w:szCs w:val="24"/>
          <w:u w:color="00457D"/>
        </w:rPr>
        <w:t>6</w:t>
      </w:r>
    </w:p>
    <w:p w:rsidR="007B682B" w:rsidRPr="00234B97" w:rsidRDefault="00EA429E">
      <w:pPr>
        <w:jc w:val="center"/>
        <w:rPr>
          <w:b/>
          <w:bCs/>
          <w:color w:val="00457D"/>
          <w:sz w:val="24"/>
          <w:szCs w:val="24"/>
          <w:u w:color="00457D"/>
        </w:rPr>
      </w:pPr>
      <w:r>
        <w:rPr>
          <w:b/>
          <w:bCs/>
          <w:noProof/>
          <w:color w:val="00457D"/>
          <w:sz w:val="24"/>
          <w:szCs w:val="24"/>
          <w:u w:color="00457D"/>
        </w:rPr>
        <w:drawing>
          <wp:inline distT="0" distB="0" distL="0" distR="0" wp14:anchorId="6E4D7A4B" wp14:editId="2D597586">
            <wp:extent cx="5760000" cy="4518923"/>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4518923"/>
                    </a:xfrm>
                    <a:prstGeom prst="rect">
                      <a:avLst/>
                    </a:prstGeom>
                    <a:noFill/>
                  </pic:spPr>
                </pic:pic>
              </a:graphicData>
            </a:graphic>
          </wp:inline>
        </w:drawing>
      </w:r>
    </w:p>
    <w:p w:rsidR="00542585" w:rsidRDefault="00542585">
      <w:pPr>
        <w:spacing w:after="0" w:line="240" w:lineRule="auto"/>
        <w:rPr>
          <w:b/>
          <w:bCs/>
          <w:color w:val="00457D"/>
          <w:sz w:val="24"/>
          <w:szCs w:val="24"/>
          <w:u w:color="00457D"/>
        </w:rPr>
      </w:pPr>
    </w:p>
    <w:p w:rsidR="007B682B" w:rsidRPr="00234B97" w:rsidRDefault="00CE577D" w:rsidP="008E0517">
      <w:pPr>
        <w:spacing w:after="0" w:line="240" w:lineRule="auto"/>
        <w:jc w:val="center"/>
        <w:rPr>
          <w:b/>
          <w:bCs/>
          <w:color w:val="00457D"/>
          <w:sz w:val="24"/>
          <w:szCs w:val="24"/>
          <w:u w:color="00457D"/>
        </w:rPr>
      </w:pPr>
      <w:r w:rsidRPr="00234B97">
        <w:rPr>
          <w:b/>
          <w:bCs/>
          <w:color w:val="00457D"/>
          <w:sz w:val="24"/>
          <w:szCs w:val="24"/>
          <w:u w:color="00457D"/>
        </w:rPr>
        <w:t xml:space="preserve">Figura </w:t>
      </w:r>
      <w:r w:rsidR="00BB383A">
        <w:rPr>
          <w:b/>
          <w:bCs/>
          <w:color w:val="00457D"/>
          <w:sz w:val="24"/>
          <w:szCs w:val="24"/>
          <w:u w:color="00457D"/>
        </w:rPr>
        <w:t>7</w:t>
      </w:r>
    </w:p>
    <w:p w:rsidR="00D707B3" w:rsidRPr="00234B97" w:rsidRDefault="00EA429E" w:rsidP="008E051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BFE6D45" wp14:editId="4AB2D6DE">
            <wp:extent cx="5760000" cy="306927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069270"/>
                    </a:xfrm>
                    <a:prstGeom prst="rect">
                      <a:avLst/>
                    </a:prstGeom>
                    <a:noFill/>
                  </pic:spPr>
                </pic:pic>
              </a:graphicData>
            </a:graphic>
          </wp:inline>
        </w:drawing>
      </w:r>
    </w:p>
    <w:p w:rsidR="007B682B" w:rsidRPr="00542585" w:rsidRDefault="007B682B">
      <w:pPr>
        <w:jc w:val="center"/>
        <w:rPr>
          <w:b/>
          <w:bCs/>
          <w:color w:val="FF0000"/>
          <w:sz w:val="24"/>
          <w:szCs w:val="24"/>
          <w:u w:color="00457D"/>
        </w:rPr>
      </w:pPr>
    </w:p>
    <w:p w:rsidR="00BB383A" w:rsidRDefault="00BB383A">
      <w:pPr>
        <w:spacing w:after="0" w:line="240" w:lineRule="auto"/>
        <w:rPr>
          <w:b/>
          <w:bCs/>
          <w:color w:val="00457D"/>
          <w:sz w:val="24"/>
          <w:szCs w:val="24"/>
          <w:u w:color="00457D"/>
        </w:rPr>
      </w:pPr>
      <w:r>
        <w:rPr>
          <w:b/>
          <w:bCs/>
          <w:color w:val="00457D"/>
          <w:sz w:val="24"/>
          <w:szCs w:val="24"/>
          <w:u w:color="00457D"/>
        </w:rPr>
        <w:br w:type="page"/>
      </w:r>
    </w:p>
    <w:p w:rsidR="007B682B" w:rsidRDefault="00CE577D">
      <w:pPr>
        <w:spacing w:after="0" w:line="240" w:lineRule="auto"/>
        <w:jc w:val="center"/>
        <w:rPr>
          <w:b/>
          <w:bCs/>
          <w:color w:val="00457D"/>
          <w:sz w:val="24"/>
          <w:szCs w:val="24"/>
          <w:u w:color="00457D"/>
        </w:rPr>
      </w:pPr>
      <w:r w:rsidRPr="00234B97">
        <w:rPr>
          <w:b/>
          <w:bCs/>
          <w:color w:val="00457D"/>
          <w:sz w:val="24"/>
          <w:szCs w:val="24"/>
          <w:u w:color="00457D"/>
        </w:rPr>
        <w:lastRenderedPageBreak/>
        <w:t xml:space="preserve">Figura </w:t>
      </w:r>
      <w:r w:rsidR="00BB383A">
        <w:rPr>
          <w:b/>
          <w:bCs/>
          <w:color w:val="00457D"/>
          <w:sz w:val="24"/>
          <w:szCs w:val="24"/>
          <w:u w:color="00457D"/>
        </w:rPr>
        <w:t>8</w:t>
      </w:r>
    </w:p>
    <w:p w:rsidR="0036634C" w:rsidRPr="00234B97" w:rsidRDefault="00EA429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9E9E494" wp14:editId="2CF2EB1E">
            <wp:extent cx="5760000" cy="3064926"/>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064926"/>
                    </a:xfrm>
                    <a:prstGeom prst="rect">
                      <a:avLst/>
                    </a:prstGeom>
                    <a:noFill/>
                  </pic:spPr>
                </pic:pic>
              </a:graphicData>
            </a:graphic>
          </wp:inline>
        </w:drawing>
      </w:r>
    </w:p>
    <w:p w:rsidR="00542585" w:rsidRDefault="00542585" w:rsidP="00542585">
      <w:pPr>
        <w:spacing w:after="0" w:line="240" w:lineRule="auto"/>
        <w:jc w:val="center"/>
        <w:rPr>
          <w:b/>
          <w:bCs/>
          <w:color w:val="00457D"/>
          <w:sz w:val="24"/>
          <w:szCs w:val="24"/>
          <w:u w:color="00457D"/>
        </w:rPr>
      </w:pPr>
    </w:p>
    <w:p w:rsidR="00BB383A" w:rsidRPr="005B129C" w:rsidRDefault="00BB383A" w:rsidP="00BB383A">
      <w:pPr>
        <w:spacing w:after="0" w:line="240" w:lineRule="auto"/>
        <w:jc w:val="center"/>
        <w:rPr>
          <w:b/>
          <w:bCs/>
          <w:color w:val="00457D"/>
          <w:sz w:val="24"/>
          <w:szCs w:val="24"/>
          <w:u w:color="00457D"/>
        </w:rPr>
      </w:pPr>
      <w:r w:rsidRPr="005B129C">
        <w:rPr>
          <w:b/>
          <w:bCs/>
          <w:color w:val="00457D"/>
          <w:sz w:val="24"/>
          <w:szCs w:val="24"/>
          <w:u w:color="00457D"/>
        </w:rPr>
        <w:t>Figura 9</w:t>
      </w:r>
    </w:p>
    <w:p w:rsidR="00BB383A" w:rsidRDefault="00961D34" w:rsidP="00BB383A">
      <w:pPr>
        <w:spacing w:after="0" w:line="240" w:lineRule="auto"/>
        <w:jc w:val="center"/>
        <w:rPr>
          <w:b/>
          <w:bCs/>
          <w:color w:val="FF0000"/>
          <w:sz w:val="24"/>
          <w:szCs w:val="24"/>
          <w:u w:color="00457D"/>
        </w:rPr>
      </w:pPr>
      <w:r>
        <w:rPr>
          <w:noProof/>
        </w:rPr>
        <w:drawing>
          <wp:inline distT="0" distB="0" distL="0" distR="0" wp14:anchorId="7E32A035" wp14:editId="773907F0">
            <wp:extent cx="5760000" cy="4529604"/>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4529604"/>
                    </a:xfrm>
                    <a:prstGeom prst="rect">
                      <a:avLst/>
                    </a:prstGeom>
                    <a:noFill/>
                  </pic:spPr>
                </pic:pic>
              </a:graphicData>
            </a:graphic>
          </wp:inline>
        </w:drawing>
      </w:r>
    </w:p>
    <w:p w:rsidR="003E512B" w:rsidRDefault="003E512B">
      <w:pPr>
        <w:spacing w:after="0" w:line="240" w:lineRule="auto"/>
        <w:rPr>
          <w:b/>
          <w:bCs/>
          <w:color w:val="FF0000"/>
          <w:sz w:val="24"/>
          <w:szCs w:val="24"/>
          <w:u w:color="00457D"/>
        </w:rPr>
      </w:pPr>
      <w:r>
        <w:rPr>
          <w:b/>
          <w:bCs/>
          <w:color w:val="FF0000"/>
          <w:sz w:val="24"/>
          <w:szCs w:val="24"/>
          <w:u w:color="00457D"/>
        </w:rPr>
        <w:br w:type="page"/>
      </w:r>
    </w:p>
    <w:p w:rsidR="0036634C" w:rsidRPr="003E512B" w:rsidRDefault="00EA429E" w:rsidP="00542585">
      <w:pPr>
        <w:spacing w:after="0" w:line="240" w:lineRule="auto"/>
        <w:jc w:val="center"/>
        <w:rPr>
          <w:b/>
          <w:bCs/>
          <w:color w:val="00457D"/>
          <w:sz w:val="24"/>
          <w:szCs w:val="24"/>
          <w:u w:color="00457D"/>
        </w:rPr>
      </w:pPr>
      <w:r>
        <w:rPr>
          <w:b/>
          <w:bCs/>
          <w:color w:val="00457D"/>
          <w:sz w:val="24"/>
          <w:szCs w:val="24"/>
          <w:u w:color="00457D"/>
        </w:rPr>
        <w:lastRenderedPageBreak/>
        <w:t>Figura 10</w:t>
      </w:r>
    </w:p>
    <w:p w:rsidR="006D67CC" w:rsidRPr="00234B97" w:rsidRDefault="00275B6C">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1F27799" wp14:editId="2DE31AB3">
            <wp:extent cx="5760000" cy="3513921"/>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513921"/>
                    </a:xfrm>
                    <a:prstGeom prst="rect">
                      <a:avLst/>
                    </a:prstGeom>
                    <a:noFill/>
                  </pic:spPr>
                </pic:pic>
              </a:graphicData>
            </a:graphic>
          </wp:inline>
        </w:drawing>
      </w:r>
    </w:p>
    <w:p w:rsidR="00705A25" w:rsidRPr="00234B97" w:rsidRDefault="00705A25" w:rsidP="00705A25">
      <w:pPr>
        <w:spacing w:after="0" w:line="240" w:lineRule="auto"/>
        <w:jc w:val="center"/>
        <w:rPr>
          <w:b/>
          <w:bCs/>
          <w:color w:val="00457D"/>
          <w:sz w:val="24"/>
          <w:szCs w:val="24"/>
          <w:u w:color="00457D"/>
        </w:rPr>
      </w:pPr>
    </w:p>
    <w:p w:rsidR="007B682B" w:rsidRPr="00234B97" w:rsidRDefault="00B66203" w:rsidP="003E512B">
      <w:pPr>
        <w:spacing w:after="0" w:line="240" w:lineRule="auto"/>
        <w:jc w:val="center"/>
        <w:rPr>
          <w:b/>
          <w:bCs/>
          <w:color w:val="00457D"/>
          <w:sz w:val="24"/>
          <w:szCs w:val="24"/>
          <w:u w:color="00457D"/>
        </w:rPr>
      </w:pPr>
      <w:r w:rsidRPr="00234B97">
        <w:rPr>
          <w:b/>
          <w:bCs/>
          <w:color w:val="00457D"/>
          <w:sz w:val="24"/>
          <w:szCs w:val="24"/>
          <w:u w:color="00457D"/>
        </w:rPr>
        <w:t>Fi</w:t>
      </w:r>
      <w:r w:rsidR="00CE577D" w:rsidRPr="00234B97">
        <w:rPr>
          <w:b/>
          <w:bCs/>
          <w:color w:val="00457D"/>
          <w:sz w:val="24"/>
          <w:szCs w:val="24"/>
          <w:u w:color="00457D"/>
        </w:rPr>
        <w:t>gura 1</w:t>
      </w:r>
      <w:r w:rsidR="00EA429E">
        <w:rPr>
          <w:b/>
          <w:bCs/>
          <w:color w:val="00457D"/>
          <w:sz w:val="24"/>
          <w:szCs w:val="24"/>
          <w:u w:color="00457D"/>
        </w:rPr>
        <w:t>1</w:t>
      </w:r>
    </w:p>
    <w:p w:rsidR="006D67CC" w:rsidRPr="00234B97" w:rsidRDefault="00275B6C" w:rsidP="00705A25">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C841100" wp14:editId="718D343E">
            <wp:extent cx="5760000" cy="442925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429251"/>
                    </a:xfrm>
                    <a:prstGeom prst="rect">
                      <a:avLst/>
                    </a:prstGeom>
                    <a:noFill/>
                  </pic:spPr>
                </pic:pic>
              </a:graphicData>
            </a:graphic>
          </wp:inline>
        </w:drawing>
      </w:r>
    </w:p>
    <w:p w:rsidR="007B682B" w:rsidRPr="00197134" w:rsidRDefault="007B682B">
      <w:pPr>
        <w:spacing w:after="120"/>
        <w:jc w:val="center"/>
        <w:rPr>
          <w:sz w:val="16"/>
        </w:rPr>
      </w:pPr>
    </w:p>
    <w:p w:rsidR="0036634C" w:rsidRDefault="0036634C">
      <w:pPr>
        <w:spacing w:after="0" w:line="240" w:lineRule="auto"/>
        <w:rPr>
          <w:b/>
          <w:bCs/>
          <w:color w:val="00457D"/>
          <w:sz w:val="24"/>
          <w:szCs w:val="24"/>
          <w:u w:color="00457D"/>
        </w:rPr>
      </w:pPr>
      <w:r>
        <w:rPr>
          <w:b/>
          <w:bCs/>
          <w:color w:val="00457D"/>
          <w:sz w:val="24"/>
          <w:szCs w:val="24"/>
          <w:u w:color="00457D"/>
        </w:rPr>
        <w:br w:type="page"/>
      </w:r>
    </w:p>
    <w:p w:rsidR="0036634C" w:rsidRDefault="00705A25" w:rsidP="00EA429E">
      <w:pPr>
        <w:jc w:val="center"/>
        <w:rPr>
          <w:b/>
          <w:bCs/>
          <w:color w:val="00457D"/>
          <w:sz w:val="24"/>
          <w:szCs w:val="24"/>
          <w:u w:color="00457D"/>
        </w:rPr>
      </w:pPr>
      <w:r w:rsidRPr="00234B97">
        <w:rPr>
          <w:rFonts w:cs="Calibri"/>
          <w:b/>
          <w:color w:val="00457D"/>
          <w:sz w:val="24"/>
          <w:szCs w:val="24"/>
          <w:u w:color="00457D"/>
        </w:rPr>
        <w:lastRenderedPageBreak/>
        <w:t>F</w:t>
      </w:r>
      <w:r w:rsidR="00CE577D" w:rsidRPr="00234B97">
        <w:rPr>
          <w:rFonts w:cs="Calibri"/>
          <w:b/>
          <w:bCs/>
          <w:color w:val="00457D"/>
          <w:sz w:val="24"/>
          <w:szCs w:val="24"/>
          <w:u w:color="00457D"/>
        </w:rPr>
        <w:t xml:space="preserve">igura </w:t>
      </w:r>
      <w:r w:rsidR="00AF08E9" w:rsidRPr="00234B97">
        <w:rPr>
          <w:rFonts w:cs="Calibri"/>
          <w:b/>
          <w:bCs/>
          <w:color w:val="00457D"/>
          <w:sz w:val="24"/>
          <w:szCs w:val="24"/>
          <w:u w:color="00457D"/>
        </w:rPr>
        <w:t>1</w:t>
      </w:r>
      <w:r w:rsidR="00EA429E">
        <w:rPr>
          <w:rFonts w:cs="Calibri"/>
          <w:b/>
          <w:bCs/>
          <w:color w:val="00457D"/>
          <w:sz w:val="24"/>
          <w:szCs w:val="24"/>
          <w:u w:color="00457D"/>
        </w:rPr>
        <w:t>2</w:t>
      </w:r>
    </w:p>
    <w:p w:rsidR="00275B6C" w:rsidRDefault="00275B6C" w:rsidP="000B25F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11A297B" wp14:editId="73B6305E">
            <wp:extent cx="5760000" cy="3438074"/>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438074"/>
                    </a:xfrm>
                    <a:prstGeom prst="rect">
                      <a:avLst/>
                    </a:prstGeom>
                    <a:noFill/>
                  </pic:spPr>
                </pic:pic>
              </a:graphicData>
            </a:graphic>
          </wp:inline>
        </w:drawing>
      </w:r>
    </w:p>
    <w:p w:rsidR="00275B6C" w:rsidRDefault="00275B6C" w:rsidP="000B25F9">
      <w:pPr>
        <w:spacing w:after="0" w:line="240" w:lineRule="auto"/>
        <w:jc w:val="center"/>
        <w:rPr>
          <w:b/>
          <w:bCs/>
          <w:color w:val="00457D"/>
          <w:sz w:val="24"/>
          <w:szCs w:val="24"/>
          <w:u w:color="00457D"/>
        </w:rPr>
      </w:pPr>
    </w:p>
    <w:p w:rsidR="000B25F9" w:rsidRPr="00234B97" w:rsidRDefault="00C3740F" w:rsidP="000B25F9">
      <w:pPr>
        <w:spacing w:after="0" w:line="240" w:lineRule="auto"/>
        <w:jc w:val="center"/>
        <w:rPr>
          <w:b/>
          <w:bCs/>
          <w:color w:val="00457D"/>
          <w:sz w:val="24"/>
          <w:szCs w:val="24"/>
          <w:u w:color="00457D"/>
        </w:rPr>
      </w:pPr>
      <w:r w:rsidRPr="00234B97">
        <w:rPr>
          <w:b/>
          <w:bCs/>
          <w:color w:val="00457D"/>
          <w:sz w:val="24"/>
          <w:szCs w:val="24"/>
          <w:u w:color="00457D"/>
        </w:rPr>
        <w:t>Figura 1</w:t>
      </w:r>
      <w:r w:rsidR="00EA429E">
        <w:rPr>
          <w:b/>
          <w:bCs/>
          <w:color w:val="00457D"/>
          <w:sz w:val="24"/>
          <w:szCs w:val="24"/>
          <w:u w:color="00457D"/>
        </w:rPr>
        <w:t>3</w:t>
      </w:r>
    </w:p>
    <w:p w:rsidR="00B67538" w:rsidRPr="00234B97" w:rsidRDefault="000673B6" w:rsidP="00B67538">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F6A7A70" wp14:editId="22E7F0EF">
            <wp:extent cx="5760000" cy="347062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470628"/>
                    </a:xfrm>
                    <a:prstGeom prst="rect">
                      <a:avLst/>
                    </a:prstGeom>
                    <a:noFill/>
                  </pic:spPr>
                </pic:pic>
              </a:graphicData>
            </a:graphic>
          </wp:inline>
        </w:drawing>
      </w:r>
    </w:p>
    <w:p w:rsidR="004A309A" w:rsidRDefault="004A309A" w:rsidP="004A309A">
      <w:pPr>
        <w:spacing w:after="0" w:line="240" w:lineRule="auto"/>
        <w:jc w:val="center"/>
        <w:rPr>
          <w:b/>
          <w:bCs/>
          <w:color w:val="00457D"/>
          <w:sz w:val="24"/>
          <w:szCs w:val="24"/>
          <w:u w:color="00457D"/>
        </w:rPr>
      </w:pPr>
    </w:p>
    <w:p w:rsidR="00B67538" w:rsidRPr="00234B97" w:rsidRDefault="00B67538">
      <w:pPr>
        <w:spacing w:after="0" w:line="240" w:lineRule="auto"/>
        <w:rPr>
          <w:b/>
          <w:bCs/>
          <w:color w:val="00457D"/>
          <w:sz w:val="24"/>
          <w:szCs w:val="24"/>
          <w:u w:color="00457D"/>
        </w:rPr>
      </w:pPr>
    </w:p>
    <w:p w:rsidR="00CD53ED" w:rsidRPr="00234B97" w:rsidRDefault="00CD53ED" w:rsidP="00B67538">
      <w:pPr>
        <w:spacing w:after="0" w:line="240" w:lineRule="auto"/>
        <w:jc w:val="center"/>
        <w:rPr>
          <w:b/>
          <w:bCs/>
          <w:color w:val="00457D"/>
          <w:sz w:val="24"/>
          <w:szCs w:val="24"/>
          <w:u w:color="00457D"/>
        </w:rPr>
        <w:sectPr w:rsidR="00CD53ED" w:rsidRPr="00234B97">
          <w:pgSz w:w="11900" w:h="16840"/>
          <w:pgMar w:top="1134" w:right="1134" w:bottom="1418" w:left="1134" w:header="709" w:footer="709" w:gutter="0"/>
          <w:cols w:space="720"/>
        </w:sectPr>
      </w:pPr>
    </w:p>
    <w:p w:rsidR="00CD53ED" w:rsidRDefault="00B67538" w:rsidP="000B25F9">
      <w:pPr>
        <w:spacing w:after="0" w:line="240" w:lineRule="auto"/>
        <w:jc w:val="center"/>
        <w:rPr>
          <w:b/>
          <w:bCs/>
          <w:color w:val="00457D"/>
          <w:sz w:val="24"/>
          <w:szCs w:val="24"/>
          <w:u w:color="00457D"/>
        </w:rPr>
      </w:pPr>
      <w:r w:rsidRPr="00234B97">
        <w:rPr>
          <w:b/>
          <w:bCs/>
          <w:color w:val="00457D"/>
          <w:sz w:val="24"/>
          <w:szCs w:val="24"/>
          <w:u w:color="00457D"/>
        </w:rPr>
        <w:lastRenderedPageBreak/>
        <w:t xml:space="preserve">Figura </w:t>
      </w:r>
      <w:r w:rsidR="002569A9">
        <w:rPr>
          <w:b/>
          <w:bCs/>
          <w:color w:val="00457D"/>
          <w:sz w:val="24"/>
          <w:szCs w:val="24"/>
          <w:u w:color="00457D"/>
        </w:rPr>
        <w:t>1</w:t>
      </w:r>
      <w:r w:rsidR="00EA429E">
        <w:rPr>
          <w:b/>
          <w:bCs/>
          <w:color w:val="00457D"/>
          <w:sz w:val="24"/>
          <w:szCs w:val="24"/>
          <w:u w:color="00457D"/>
        </w:rPr>
        <w:t>4</w:t>
      </w:r>
    </w:p>
    <w:p w:rsidR="00CD53ED" w:rsidRPr="00234B97" w:rsidRDefault="000673B6" w:rsidP="001F3785">
      <w:pPr>
        <w:spacing w:after="0" w:line="240" w:lineRule="auto"/>
        <w:jc w:val="center"/>
        <w:rPr>
          <w:b/>
          <w:bCs/>
          <w:color w:val="00457D"/>
          <w:sz w:val="24"/>
          <w:szCs w:val="24"/>
          <w:u w:color="00457D"/>
        </w:rPr>
        <w:sectPr w:rsidR="00CD53ED" w:rsidRPr="00234B97" w:rsidSect="00CD53ED">
          <w:pgSz w:w="16840" w:h="11900" w:orient="landscape"/>
          <w:pgMar w:top="1134" w:right="1134" w:bottom="1134" w:left="1418" w:header="709" w:footer="709" w:gutter="0"/>
          <w:cols w:space="720"/>
          <w:docGrid w:linePitch="299"/>
        </w:sectPr>
      </w:pPr>
      <w:r>
        <w:rPr>
          <w:b/>
          <w:bCs/>
          <w:noProof/>
          <w:color w:val="00457D"/>
          <w:sz w:val="24"/>
          <w:szCs w:val="24"/>
          <w:u w:color="00457D"/>
        </w:rPr>
        <w:drawing>
          <wp:inline distT="0" distB="0" distL="0" distR="0" wp14:anchorId="3712B6EC" wp14:editId="64005B1E">
            <wp:extent cx="9360000" cy="5141121"/>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0000" cy="5141121"/>
                    </a:xfrm>
                    <a:prstGeom prst="rect">
                      <a:avLst/>
                    </a:prstGeom>
                    <a:noFill/>
                  </pic:spPr>
                </pic:pic>
              </a:graphicData>
            </a:graphic>
          </wp:inline>
        </w:drawing>
      </w:r>
    </w:p>
    <w:p w:rsidR="002569A9" w:rsidRDefault="002569A9">
      <w:pPr>
        <w:spacing w:after="0" w:line="240" w:lineRule="auto"/>
        <w:rPr>
          <w:b/>
          <w:bCs/>
          <w:color w:val="00457D"/>
          <w:sz w:val="24"/>
          <w:szCs w:val="24"/>
          <w:u w:color="00457D"/>
        </w:rPr>
      </w:pPr>
    </w:p>
    <w:p w:rsidR="00B90481" w:rsidRPr="00234B97" w:rsidRDefault="00CE577D" w:rsidP="00B90481">
      <w:pPr>
        <w:spacing w:line="276" w:lineRule="auto"/>
        <w:jc w:val="center"/>
        <w:rPr>
          <w:b/>
          <w:bCs/>
          <w:color w:val="00457D"/>
          <w:sz w:val="24"/>
          <w:szCs w:val="24"/>
          <w:u w:color="00457D"/>
        </w:rPr>
      </w:pPr>
      <w:r w:rsidRPr="00234B97">
        <w:rPr>
          <w:b/>
          <w:bCs/>
          <w:color w:val="00457D"/>
          <w:sz w:val="24"/>
          <w:szCs w:val="24"/>
          <w:u w:color="00457D"/>
        </w:rPr>
        <w:t xml:space="preserve">Tabella 1. Indicatori regionali: settimana </w:t>
      </w:r>
      <w:r w:rsidR="00B4215E">
        <w:rPr>
          <w:b/>
          <w:bCs/>
          <w:color w:val="00457D"/>
          <w:sz w:val="24"/>
          <w:szCs w:val="24"/>
          <w:u w:color="00457D"/>
        </w:rPr>
        <w:t>22</w:t>
      </w:r>
      <w:r w:rsidR="000B0548" w:rsidRPr="00234B97">
        <w:rPr>
          <w:b/>
          <w:bCs/>
          <w:color w:val="00457D"/>
          <w:sz w:val="24"/>
          <w:szCs w:val="24"/>
          <w:u w:color="00457D"/>
        </w:rPr>
        <w:t>-</w:t>
      </w:r>
      <w:r w:rsidR="00B4215E">
        <w:rPr>
          <w:b/>
          <w:bCs/>
          <w:color w:val="00457D"/>
          <w:sz w:val="24"/>
          <w:szCs w:val="24"/>
          <w:u w:color="00457D"/>
        </w:rPr>
        <w:t>28</w:t>
      </w:r>
      <w:r w:rsidR="00C73150" w:rsidRPr="00234B97">
        <w:rPr>
          <w:b/>
          <w:bCs/>
          <w:color w:val="00457D"/>
          <w:sz w:val="24"/>
          <w:szCs w:val="24"/>
          <w:u w:color="00457D"/>
        </w:rPr>
        <w:t xml:space="preserve"> settembre</w:t>
      </w:r>
      <w:r w:rsidRPr="00234B97">
        <w:rPr>
          <w:b/>
          <w:bCs/>
          <w:color w:val="00457D"/>
          <w:sz w:val="24"/>
          <w:szCs w:val="24"/>
          <w:u w:color="00457D"/>
        </w:rPr>
        <w:t xml:space="preserve"> 2021</w:t>
      </w:r>
    </w:p>
    <w:tbl>
      <w:tblPr>
        <w:tblW w:w="9692" w:type="dxa"/>
        <w:tblInd w:w="-5" w:type="dxa"/>
        <w:tblCellMar>
          <w:left w:w="70" w:type="dxa"/>
          <w:right w:w="70" w:type="dxa"/>
        </w:tblCellMar>
        <w:tblLook w:val="04A0" w:firstRow="1" w:lastRow="0" w:firstColumn="1" w:lastColumn="0" w:noHBand="0" w:noVBand="1"/>
      </w:tblPr>
      <w:tblGrid>
        <w:gridCol w:w="1985"/>
        <w:gridCol w:w="2126"/>
        <w:gridCol w:w="1134"/>
        <w:gridCol w:w="2268"/>
        <w:gridCol w:w="2126"/>
        <w:gridCol w:w="53"/>
      </w:tblGrid>
      <w:tr w:rsidR="00275B6C" w:rsidRPr="00275B6C" w:rsidTr="00275B6C">
        <w:trPr>
          <w:gridAfter w:val="1"/>
          <w:wAfter w:w="53" w:type="dxa"/>
          <w:trHeight w:val="907"/>
        </w:trPr>
        <w:tc>
          <w:tcPr>
            <w:tcW w:w="1985"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275B6C">
              <w:rPr>
                <w:rFonts w:eastAsia="Times New Roman" w:cs="Calibri"/>
                <w:b/>
                <w:bCs/>
                <w:color w:val="FFFFFF"/>
                <w:bdr w:val="none" w:sz="0" w:space="0" w:color="auto"/>
              </w:rPr>
              <w:t>Regione</w:t>
            </w:r>
          </w:p>
        </w:tc>
        <w:tc>
          <w:tcPr>
            <w:tcW w:w="2126" w:type="dxa"/>
            <w:tcBorders>
              <w:top w:val="single" w:sz="4" w:space="0" w:color="00457D"/>
              <w:left w:val="nil"/>
              <w:bottom w:val="single" w:sz="4" w:space="0" w:color="00457D"/>
              <w:right w:val="single" w:sz="4" w:space="0" w:color="FFFFFF"/>
            </w:tcBorders>
            <w:shd w:val="clear" w:color="000000" w:fill="00457D"/>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275B6C">
              <w:rPr>
                <w:rFonts w:eastAsia="Times New Roman" w:cs="Calibri"/>
                <w:b/>
                <w:bCs/>
                <w:color w:val="FFFFFF"/>
                <w:sz w:val="21"/>
                <w:szCs w:val="21"/>
                <w:bdr w:val="none" w:sz="0" w:space="0" w:color="auto"/>
              </w:rPr>
              <w:t>Casi attualmente positivi per 100.000 abitanti</w:t>
            </w:r>
          </w:p>
        </w:tc>
        <w:tc>
          <w:tcPr>
            <w:tcW w:w="1134" w:type="dxa"/>
            <w:tcBorders>
              <w:top w:val="single" w:sz="4" w:space="0" w:color="00457D"/>
              <w:left w:val="nil"/>
              <w:bottom w:val="single" w:sz="4" w:space="0" w:color="00457D"/>
              <w:right w:val="single" w:sz="4" w:space="0" w:color="FFFFFF"/>
            </w:tcBorders>
            <w:shd w:val="clear" w:color="000000" w:fill="00457D"/>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275B6C">
              <w:rPr>
                <w:rFonts w:eastAsia="Times New Roman" w:cs="Calibri"/>
                <w:b/>
                <w:bCs/>
                <w:color w:val="FFFFFF"/>
                <w:bdr w:val="none" w:sz="0" w:space="0" w:color="auto"/>
              </w:rPr>
              <w:t xml:space="preserve">Variazione </w:t>
            </w:r>
            <w:r w:rsidRPr="00275B6C">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275B6C">
              <w:rPr>
                <w:rFonts w:eastAsia="Times New Roman" w:cs="Calibri"/>
                <w:b/>
                <w:bCs/>
                <w:color w:val="FFFFFF"/>
                <w:bdr w:val="none" w:sz="0" w:space="0" w:color="auto"/>
              </w:rPr>
              <w:t>Posti letto in area medica occupati da pazienti COVID−19</w:t>
            </w:r>
          </w:p>
        </w:tc>
        <w:tc>
          <w:tcPr>
            <w:tcW w:w="2126" w:type="dxa"/>
            <w:tcBorders>
              <w:top w:val="single" w:sz="4" w:space="0" w:color="00457D"/>
              <w:left w:val="nil"/>
              <w:bottom w:val="single" w:sz="4" w:space="0" w:color="00457D"/>
              <w:right w:val="single" w:sz="4" w:space="0" w:color="00457D"/>
            </w:tcBorders>
            <w:shd w:val="clear" w:color="000000" w:fill="00457D"/>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275B6C">
              <w:rPr>
                <w:rFonts w:eastAsia="Times New Roman" w:cs="Calibri"/>
                <w:b/>
                <w:bCs/>
                <w:color w:val="FFFFFF"/>
                <w:bdr w:val="none" w:sz="0" w:space="0" w:color="auto"/>
              </w:rPr>
              <w:t xml:space="preserve">Posti letto in terapia intensiva occupati da </w:t>
            </w:r>
            <w:r w:rsidRPr="00275B6C">
              <w:rPr>
                <w:rFonts w:eastAsia="Times New Roman" w:cs="Calibri"/>
                <w:b/>
                <w:bCs/>
                <w:color w:val="FFFFFF"/>
                <w:bdr w:val="none" w:sz="0" w:space="0" w:color="auto"/>
              </w:rPr>
              <w:br/>
              <w:t>pazienti COVID−19</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Abruzzo</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142</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-27,6%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5%</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Basilicata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212</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-31,8%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Calabria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203</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-26,9%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275B6C">
              <w:rPr>
                <w:rFonts w:eastAsia="Times New Roman" w:cs="Calibri"/>
                <w:color w:val="9C0006"/>
                <w:bdr w:val="none" w:sz="0" w:space="0" w:color="auto"/>
              </w:rPr>
              <w:t>17%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7%</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Campania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124</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-13,1%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7%</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Emilia Romagna</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275B6C">
              <w:rPr>
                <w:rFonts w:eastAsia="Times New Roman" w:cs="Calibri"/>
                <w:color w:val="9C0006"/>
                <w:bdr w:val="none" w:sz="0" w:space="0" w:color="auto"/>
              </w:rPr>
              <w:t>311</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-18,3%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5%</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5%</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Friuli Venezia Giulia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85</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-16,2%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4%</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Lazio</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172</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-8,0%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Liguria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66</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-16,1%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4%</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Lombardia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107</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-19,8%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4%</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Marche</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176</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-34,1%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9%</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Molise</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38</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-34,7%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Piemonte</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85</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-13,1%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4%</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Prov. Aut. Bolzano</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151</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-13,8%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5%</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9%</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Prov. Aut. Trento</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56</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-27,9%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Puglia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71</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-9,4%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Sardegna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146</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-34,7%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9%</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7%</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Sicilia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340</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-23,9%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8%</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Toscana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192</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-25,0%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8%</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Umbria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105</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-24,7%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Valle D'Aosta</w:t>
            </w:r>
          </w:p>
        </w:tc>
        <w:tc>
          <w:tcPr>
            <w:tcW w:w="2126"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275B6C">
              <w:rPr>
                <w:rFonts w:eastAsia="Times New Roman" w:cs="Calibri"/>
                <w:color w:val="9C0006"/>
                <w:bdr w:val="none" w:sz="0" w:space="0" w:color="auto"/>
              </w:rPr>
              <w:t>54</w:t>
            </w:r>
          </w:p>
        </w:tc>
        <w:tc>
          <w:tcPr>
            <w:tcW w:w="1134"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275B6C">
              <w:rPr>
                <w:rFonts w:eastAsia="Times New Roman" w:cs="Calibri"/>
                <w:color w:val="9C0006"/>
                <w:bdr w:val="none" w:sz="0" w:space="0" w:color="auto"/>
              </w:rPr>
              <w:t>24,0%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4%</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0%</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275B6C">
              <w:rPr>
                <w:rFonts w:eastAsia="Times New Roman" w:cs="Calibri"/>
                <w:bdr w:val="none" w:sz="0" w:space="0" w:color="auto"/>
              </w:rPr>
              <w:t>Veneto</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226</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-17,4%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3%</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275B6C">
              <w:rPr>
                <w:rFonts w:eastAsia="Times New Roman" w:cs="Calibri"/>
                <w:color w:val="006100"/>
                <w:bdr w:val="none" w:sz="0" w:space="0" w:color="auto"/>
              </w:rPr>
              <w:t>5%</w:t>
            </w:r>
          </w:p>
        </w:tc>
      </w:tr>
      <w:tr w:rsidR="00275B6C" w:rsidRPr="00275B6C" w:rsidTr="00275B6C">
        <w:trPr>
          <w:gridAfter w:val="1"/>
          <w:wAfter w:w="53" w:type="dxa"/>
          <w:trHeight w:val="340"/>
        </w:trPr>
        <w:tc>
          <w:tcPr>
            <w:tcW w:w="1985" w:type="dxa"/>
            <w:tcBorders>
              <w:top w:val="nil"/>
              <w:left w:val="single" w:sz="4" w:space="0" w:color="00457D"/>
              <w:bottom w:val="single" w:sz="4" w:space="0" w:color="00457D"/>
              <w:right w:val="single" w:sz="4" w:space="0" w:color="00457D"/>
            </w:tcBorders>
            <w:shd w:val="clear" w:color="000000" w:fill="00457D"/>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275B6C">
              <w:rPr>
                <w:rFonts w:eastAsia="Times New Roman" w:cs="Calibri"/>
                <w:b/>
                <w:bCs/>
                <w:color w:val="FFFFFF"/>
                <w:bdr w:val="none" w:sz="0" w:space="0" w:color="auto"/>
              </w:rPr>
              <w:t>ITALIA</w:t>
            </w:r>
          </w:p>
        </w:tc>
        <w:tc>
          <w:tcPr>
            <w:tcW w:w="2126"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275B6C">
              <w:rPr>
                <w:rFonts w:eastAsia="Times New Roman" w:cs="Calibri"/>
                <w:b/>
                <w:bCs/>
                <w:color w:val="006100"/>
                <w:bdr w:val="none" w:sz="0" w:space="0" w:color="auto"/>
              </w:rPr>
              <w:t>166</w:t>
            </w:r>
          </w:p>
        </w:tc>
        <w:tc>
          <w:tcPr>
            <w:tcW w:w="1134"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275B6C">
              <w:rPr>
                <w:rFonts w:eastAsia="Times New Roman" w:cs="Calibri"/>
                <w:b/>
                <w:bCs/>
                <w:color w:val="006100"/>
                <w:bdr w:val="none" w:sz="0" w:space="0" w:color="auto"/>
              </w:rPr>
              <w:t>-19,2%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275B6C">
              <w:rPr>
                <w:rFonts w:eastAsia="Times New Roman" w:cs="Calibri"/>
                <w:b/>
                <w:bCs/>
                <w:color w:val="006100"/>
                <w:bdr w:val="none" w:sz="0" w:space="0" w:color="auto"/>
              </w:rPr>
              <w:t>6%</w:t>
            </w:r>
          </w:p>
        </w:tc>
        <w:tc>
          <w:tcPr>
            <w:tcW w:w="212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275B6C">
              <w:rPr>
                <w:rFonts w:eastAsia="Times New Roman" w:cs="Calibri"/>
                <w:b/>
                <w:bCs/>
                <w:color w:val="006100"/>
                <w:bdr w:val="none" w:sz="0" w:space="0" w:color="auto"/>
              </w:rPr>
              <w:t>5%</w:t>
            </w:r>
          </w:p>
        </w:tc>
      </w:tr>
      <w:tr w:rsidR="00275B6C" w:rsidRPr="00275B6C" w:rsidTr="00275B6C">
        <w:trPr>
          <w:trHeight w:val="1710"/>
        </w:trPr>
        <w:tc>
          <w:tcPr>
            <w:tcW w:w="9692" w:type="dxa"/>
            <w:gridSpan w:val="6"/>
            <w:tcBorders>
              <w:top w:val="single" w:sz="4" w:space="0" w:color="00457D"/>
              <w:left w:val="single" w:sz="4" w:space="0" w:color="00457D"/>
              <w:bottom w:val="single" w:sz="4" w:space="0" w:color="00457D"/>
              <w:right w:val="single" w:sz="4" w:space="0" w:color="00457D"/>
            </w:tcBorders>
            <w:shd w:val="clear" w:color="auto" w:fill="auto"/>
            <w:vAlign w:val="center"/>
            <w:hideMark/>
          </w:tcPr>
          <w:p w:rsidR="00275B6C" w:rsidRPr="00275B6C" w:rsidRDefault="00275B6C" w:rsidP="00275B6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275B6C">
              <w:rPr>
                <w:rFonts w:eastAsia="Times New Roman" w:cs="Calibri"/>
                <w:color w:val="auto"/>
                <w:sz w:val="20"/>
                <w:szCs w:val="20"/>
                <w:bdr w:val="none" w:sz="0" w:space="0" w:color="auto"/>
              </w:rPr>
              <w:t>Nota: nella prima colonna rosso, verde e giallo indicano rispettivamente una performance regionale in peggioramento, in miglioramento o stabile, rispetto alla settimana precedente.</w:t>
            </w:r>
            <w:r w:rsidRPr="00275B6C">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275B6C">
              <w:rPr>
                <w:rFonts w:eastAsia="Times New Roman" w:cs="Calibri"/>
                <w:color w:val="auto"/>
                <w:sz w:val="20"/>
                <w:szCs w:val="20"/>
                <w:bdr w:val="none" w:sz="0" w:space="0" w:color="auto"/>
              </w:rPr>
              <w:br/>
              <w:t>Nelle ultime 2 colonne rosso e verde indicano il superamento, o meno, della soglia di saturazione del 15% per l’area medica e del 10% per le terapie intensive (dati Agenas).</w:t>
            </w:r>
          </w:p>
        </w:tc>
      </w:tr>
    </w:tbl>
    <w:p w:rsidR="00275B6C" w:rsidRPr="00234B97" w:rsidRDefault="00275B6C"/>
    <w:sectPr w:rsidR="00275B6C" w:rsidRPr="00234B97">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04F" w:rsidRDefault="009B504F">
      <w:pPr>
        <w:spacing w:after="0" w:line="240" w:lineRule="auto"/>
      </w:pPr>
      <w:r>
        <w:separator/>
      </w:r>
    </w:p>
  </w:endnote>
  <w:endnote w:type="continuationSeparator" w:id="0">
    <w:p w:rsidR="009B504F" w:rsidRDefault="009B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04F" w:rsidRDefault="009B504F">
      <w:pPr>
        <w:spacing w:after="0" w:line="240" w:lineRule="auto"/>
      </w:pPr>
      <w:r>
        <w:separator/>
      </w:r>
    </w:p>
  </w:footnote>
  <w:footnote w:type="continuationSeparator" w:id="0">
    <w:p w:rsidR="009B504F" w:rsidRDefault="009B5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B514920"/>
    <w:multiLevelType w:val="hybridMultilevel"/>
    <w:tmpl w:val="3F8C4CC8"/>
    <w:numStyleLink w:val="Stileimportato1"/>
  </w:abstractNum>
  <w:abstractNum w:abstractNumId="3" w15:restartNumberingAfterBreak="0">
    <w:nsid w:val="17124B2D"/>
    <w:multiLevelType w:val="hybridMultilevel"/>
    <w:tmpl w:val="D040A854"/>
    <w:numStyleLink w:val="Stileimportato2"/>
  </w:abstractNum>
  <w:abstractNum w:abstractNumId="4"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8"/>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82B"/>
    <w:rsid w:val="00004CA3"/>
    <w:rsid w:val="00005172"/>
    <w:rsid w:val="000056DE"/>
    <w:rsid w:val="00007BF9"/>
    <w:rsid w:val="00012113"/>
    <w:rsid w:val="00017890"/>
    <w:rsid w:val="00021C19"/>
    <w:rsid w:val="000222A5"/>
    <w:rsid w:val="00023784"/>
    <w:rsid w:val="00033800"/>
    <w:rsid w:val="000352B4"/>
    <w:rsid w:val="00037A0A"/>
    <w:rsid w:val="00037F01"/>
    <w:rsid w:val="000415C2"/>
    <w:rsid w:val="00042E7E"/>
    <w:rsid w:val="00051038"/>
    <w:rsid w:val="00052578"/>
    <w:rsid w:val="000552E2"/>
    <w:rsid w:val="00057E5F"/>
    <w:rsid w:val="00061D4E"/>
    <w:rsid w:val="000653E7"/>
    <w:rsid w:val="00067039"/>
    <w:rsid w:val="000673B6"/>
    <w:rsid w:val="0007243C"/>
    <w:rsid w:val="00072C04"/>
    <w:rsid w:val="00073A8A"/>
    <w:rsid w:val="000743B7"/>
    <w:rsid w:val="000747A9"/>
    <w:rsid w:val="000803DA"/>
    <w:rsid w:val="00080F14"/>
    <w:rsid w:val="0008362E"/>
    <w:rsid w:val="00087236"/>
    <w:rsid w:val="00095DC5"/>
    <w:rsid w:val="000A08BA"/>
    <w:rsid w:val="000A6581"/>
    <w:rsid w:val="000A72BA"/>
    <w:rsid w:val="000B0548"/>
    <w:rsid w:val="000B0AC0"/>
    <w:rsid w:val="000B119C"/>
    <w:rsid w:val="000B1B66"/>
    <w:rsid w:val="000B21CF"/>
    <w:rsid w:val="000B2449"/>
    <w:rsid w:val="000B25F9"/>
    <w:rsid w:val="000C6B69"/>
    <w:rsid w:val="000C789B"/>
    <w:rsid w:val="000D5B61"/>
    <w:rsid w:val="000D75CD"/>
    <w:rsid w:val="000D7E45"/>
    <w:rsid w:val="000E1A5A"/>
    <w:rsid w:val="000F0385"/>
    <w:rsid w:val="000F09AA"/>
    <w:rsid w:val="000F387B"/>
    <w:rsid w:val="000F3AC7"/>
    <w:rsid w:val="000F5019"/>
    <w:rsid w:val="000F50A4"/>
    <w:rsid w:val="0010442F"/>
    <w:rsid w:val="00106801"/>
    <w:rsid w:val="001104E4"/>
    <w:rsid w:val="00114088"/>
    <w:rsid w:val="00114459"/>
    <w:rsid w:val="00115B80"/>
    <w:rsid w:val="00116006"/>
    <w:rsid w:val="00116C93"/>
    <w:rsid w:val="0012399B"/>
    <w:rsid w:val="0012540D"/>
    <w:rsid w:val="00126938"/>
    <w:rsid w:val="00127892"/>
    <w:rsid w:val="001324D5"/>
    <w:rsid w:val="0014031D"/>
    <w:rsid w:val="00141F0A"/>
    <w:rsid w:val="00144E5A"/>
    <w:rsid w:val="00147243"/>
    <w:rsid w:val="001513A9"/>
    <w:rsid w:val="001533C7"/>
    <w:rsid w:val="001533DC"/>
    <w:rsid w:val="00157F8B"/>
    <w:rsid w:val="00161AEE"/>
    <w:rsid w:val="0016301A"/>
    <w:rsid w:val="001667ED"/>
    <w:rsid w:val="0016753E"/>
    <w:rsid w:val="00171468"/>
    <w:rsid w:val="00175709"/>
    <w:rsid w:val="00176590"/>
    <w:rsid w:val="00176B1E"/>
    <w:rsid w:val="00181F5C"/>
    <w:rsid w:val="00183B21"/>
    <w:rsid w:val="00184068"/>
    <w:rsid w:val="00187EBF"/>
    <w:rsid w:val="00191EB1"/>
    <w:rsid w:val="0019345D"/>
    <w:rsid w:val="00197134"/>
    <w:rsid w:val="00197435"/>
    <w:rsid w:val="001A1D07"/>
    <w:rsid w:val="001A2CC0"/>
    <w:rsid w:val="001A3E0F"/>
    <w:rsid w:val="001A3E43"/>
    <w:rsid w:val="001A503E"/>
    <w:rsid w:val="001A50D6"/>
    <w:rsid w:val="001A633C"/>
    <w:rsid w:val="001A7237"/>
    <w:rsid w:val="001C0EBF"/>
    <w:rsid w:val="001C7E16"/>
    <w:rsid w:val="001D0234"/>
    <w:rsid w:val="001D0E98"/>
    <w:rsid w:val="001D48DB"/>
    <w:rsid w:val="001D7E62"/>
    <w:rsid w:val="001E5653"/>
    <w:rsid w:val="001F2C8F"/>
    <w:rsid w:val="001F3785"/>
    <w:rsid w:val="001F4334"/>
    <w:rsid w:val="001F63AA"/>
    <w:rsid w:val="001F668D"/>
    <w:rsid w:val="00200400"/>
    <w:rsid w:val="0020699D"/>
    <w:rsid w:val="00210040"/>
    <w:rsid w:val="00212F66"/>
    <w:rsid w:val="00213464"/>
    <w:rsid w:val="00216973"/>
    <w:rsid w:val="002171F6"/>
    <w:rsid w:val="002222F6"/>
    <w:rsid w:val="00223DBB"/>
    <w:rsid w:val="00226C11"/>
    <w:rsid w:val="00234B97"/>
    <w:rsid w:val="00236626"/>
    <w:rsid w:val="0024188A"/>
    <w:rsid w:val="002427A3"/>
    <w:rsid w:val="00245DC3"/>
    <w:rsid w:val="00247670"/>
    <w:rsid w:val="00247BA3"/>
    <w:rsid w:val="0025323D"/>
    <w:rsid w:val="00253DD5"/>
    <w:rsid w:val="002540D8"/>
    <w:rsid w:val="00254744"/>
    <w:rsid w:val="002569A9"/>
    <w:rsid w:val="00262272"/>
    <w:rsid w:val="002634F1"/>
    <w:rsid w:val="00263A36"/>
    <w:rsid w:val="00263DA4"/>
    <w:rsid w:val="0026464D"/>
    <w:rsid w:val="00265ECF"/>
    <w:rsid w:val="002667D7"/>
    <w:rsid w:val="002669FF"/>
    <w:rsid w:val="00266BEA"/>
    <w:rsid w:val="00273C22"/>
    <w:rsid w:val="00275B6C"/>
    <w:rsid w:val="00275FFE"/>
    <w:rsid w:val="00282D8E"/>
    <w:rsid w:val="002846B6"/>
    <w:rsid w:val="0029023D"/>
    <w:rsid w:val="00290E33"/>
    <w:rsid w:val="00291ECD"/>
    <w:rsid w:val="002B0423"/>
    <w:rsid w:val="002B20E2"/>
    <w:rsid w:val="002B2371"/>
    <w:rsid w:val="002B3E49"/>
    <w:rsid w:val="002B7A43"/>
    <w:rsid w:val="002C672C"/>
    <w:rsid w:val="002D270C"/>
    <w:rsid w:val="002D288E"/>
    <w:rsid w:val="002D30A6"/>
    <w:rsid w:val="002D66EF"/>
    <w:rsid w:val="002E0B40"/>
    <w:rsid w:val="002E0CF7"/>
    <w:rsid w:val="002E1532"/>
    <w:rsid w:val="002E1669"/>
    <w:rsid w:val="002E30C9"/>
    <w:rsid w:val="002E63F1"/>
    <w:rsid w:val="002F4065"/>
    <w:rsid w:val="002F5606"/>
    <w:rsid w:val="002F6277"/>
    <w:rsid w:val="002F7E69"/>
    <w:rsid w:val="00300770"/>
    <w:rsid w:val="00301F67"/>
    <w:rsid w:val="00302774"/>
    <w:rsid w:val="00304225"/>
    <w:rsid w:val="003068D2"/>
    <w:rsid w:val="00312170"/>
    <w:rsid w:val="0031239E"/>
    <w:rsid w:val="00312A53"/>
    <w:rsid w:val="00312D49"/>
    <w:rsid w:val="00312EB1"/>
    <w:rsid w:val="00315CB0"/>
    <w:rsid w:val="00322631"/>
    <w:rsid w:val="00322C39"/>
    <w:rsid w:val="00325D76"/>
    <w:rsid w:val="00332BC9"/>
    <w:rsid w:val="00333D4F"/>
    <w:rsid w:val="00337B53"/>
    <w:rsid w:val="003408FB"/>
    <w:rsid w:val="0034119B"/>
    <w:rsid w:val="00342065"/>
    <w:rsid w:val="0034565E"/>
    <w:rsid w:val="003461BD"/>
    <w:rsid w:val="0035087A"/>
    <w:rsid w:val="003614B8"/>
    <w:rsid w:val="0036634C"/>
    <w:rsid w:val="0037026E"/>
    <w:rsid w:val="003726E1"/>
    <w:rsid w:val="003744DF"/>
    <w:rsid w:val="003747F1"/>
    <w:rsid w:val="0038374F"/>
    <w:rsid w:val="00391BD8"/>
    <w:rsid w:val="00391D3F"/>
    <w:rsid w:val="003932D6"/>
    <w:rsid w:val="0039505A"/>
    <w:rsid w:val="003A0661"/>
    <w:rsid w:val="003A62BF"/>
    <w:rsid w:val="003B0352"/>
    <w:rsid w:val="003B037E"/>
    <w:rsid w:val="003B632B"/>
    <w:rsid w:val="003B6B24"/>
    <w:rsid w:val="003B6F85"/>
    <w:rsid w:val="003B720F"/>
    <w:rsid w:val="003C17AF"/>
    <w:rsid w:val="003C724A"/>
    <w:rsid w:val="003D049D"/>
    <w:rsid w:val="003D353F"/>
    <w:rsid w:val="003D3EE4"/>
    <w:rsid w:val="003D4BA4"/>
    <w:rsid w:val="003D514B"/>
    <w:rsid w:val="003E083A"/>
    <w:rsid w:val="003E1DB5"/>
    <w:rsid w:val="003E33FF"/>
    <w:rsid w:val="003E35A0"/>
    <w:rsid w:val="003E3EB4"/>
    <w:rsid w:val="003E3FDD"/>
    <w:rsid w:val="003E512B"/>
    <w:rsid w:val="003E5D4D"/>
    <w:rsid w:val="003E5E24"/>
    <w:rsid w:val="003F07EE"/>
    <w:rsid w:val="003F0EDE"/>
    <w:rsid w:val="003F1259"/>
    <w:rsid w:val="003F2987"/>
    <w:rsid w:val="003F5612"/>
    <w:rsid w:val="003F6A5F"/>
    <w:rsid w:val="00402E63"/>
    <w:rsid w:val="004041F5"/>
    <w:rsid w:val="00405588"/>
    <w:rsid w:val="00407F58"/>
    <w:rsid w:val="004129D3"/>
    <w:rsid w:val="004167BB"/>
    <w:rsid w:val="00417326"/>
    <w:rsid w:val="00417D75"/>
    <w:rsid w:val="00420736"/>
    <w:rsid w:val="0043299D"/>
    <w:rsid w:val="00432C1D"/>
    <w:rsid w:val="0043788D"/>
    <w:rsid w:val="00440059"/>
    <w:rsid w:val="0044051F"/>
    <w:rsid w:val="004405AB"/>
    <w:rsid w:val="0044264D"/>
    <w:rsid w:val="00442D9F"/>
    <w:rsid w:val="00443AF2"/>
    <w:rsid w:val="00444814"/>
    <w:rsid w:val="00445E8D"/>
    <w:rsid w:val="00450520"/>
    <w:rsid w:val="00450FC6"/>
    <w:rsid w:val="0045113F"/>
    <w:rsid w:val="00451EEA"/>
    <w:rsid w:val="00456315"/>
    <w:rsid w:val="00457225"/>
    <w:rsid w:val="00460941"/>
    <w:rsid w:val="00460D0D"/>
    <w:rsid w:val="00461433"/>
    <w:rsid w:val="00463915"/>
    <w:rsid w:val="004642E7"/>
    <w:rsid w:val="00471002"/>
    <w:rsid w:val="00472289"/>
    <w:rsid w:val="00473630"/>
    <w:rsid w:val="00474D7E"/>
    <w:rsid w:val="004770F1"/>
    <w:rsid w:val="00477725"/>
    <w:rsid w:val="0047778D"/>
    <w:rsid w:val="00477B91"/>
    <w:rsid w:val="0048071C"/>
    <w:rsid w:val="004821B7"/>
    <w:rsid w:val="00483C7A"/>
    <w:rsid w:val="00484A42"/>
    <w:rsid w:val="00485811"/>
    <w:rsid w:val="004875F7"/>
    <w:rsid w:val="00490739"/>
    <w:rsid w:val="0049135C"/>
    <w:rsid w:val="00491484"/>
    <w:rsid w:val="004919DD"/>
    <w:rsid w:val="004920AE"/>
    <w:rsid w:val="0049213B"/>
    <w:rsid w:val="0049218A"/>
    <w:rsid w:val="00492A5B"/>
    <w:rsid w:val="0049549E"/>
    <w:rsid w:val="00495A9F"/>
    <w:rsid w:val="00496B48"/>
    <w:rsid w:val="00497D65"/>
    <w:rsid w:val="00497E19"/>
    <w:rsid w:val="004A19D1"/>
    <w:rsid w:val="004A309A"/>
    <w:rsid w:val="004B102C"/>
    <w:rsid w:val="004B5CB6"/>
    <w:rsid w:val="004B6438"/>
    <w:rsid w:val="004C465D"/>
    <w:rsid w:val="004C70BD"/>
    <w:rsid w:val="004C75FC"/>
    <w:rsid w:val="004D0234"/>
    <w:rsid w:val="004D0801"/>
    <w:rsid w:val="004D0D54"/>
    <w:rsid w:val="004D1C78"/>
    <w:rsid w:val="004D2E6B"/>
    <w:rsid w:val="004D3C41"/>
    <w:rsid w:val="004D52D6"/>
    <w:rsid w:val="004D5525"/>
    <w:rsid w:val="004D562D"/>
    <w:rsid w:val="004D5CB3"/>
    <w:rsid w:val="004D5CBF"/>
    <w:rsid w:val="004D7ABD"/>
    <w:rsid w:val="004E18F8"/>
    <w:rsid w:val="004E3F56"/>
    <w:rsid w:val="004E3F72"/>
    <w:rsid w:val="004E6C61"/>
    <w:rsid w:val="004F0669"/>
    <w:rsid w:val="004F17AF"/>
    <w:rsid w:val="00500C6B"/>
    <w:rsid w:val="00505C8D"/>
    <w:rsid w:val="00506BF3"/>
    <w:rsid w:val="00507572"/>
    <w:rsid w:val="005110E4"/>
    <w:rsid w:val="00516F1E"/>
    <w:rsid w:val="00517884"/>
    <w:rsid w:val="005206D7"/>
    <w:rsid w:val="00521485"/>
    <w:rsid w:val="005216C3"/>
    <w:rsid w:val="005239E5"/>
    <w:rsid w:val="005265EC"/>
    <w:rsid w:val="00526D94"/>
    <w:rsid w:val="0053071C"/>
    <w:rsid w:val="00540EB3"/>
    <w:rsid w:val="00542585"/>
    <w:rsid w:val="0054316E"/>
    <w:rsid w:val="00545404"/>
    <w:rsid w:val="005455CA"/>
    <w:rsid w:val="00547B69"/>
    <w:rsid w:val="00553823"/>
    <w:rsid w:val="005549FE"/>
    <w:rsid w:val="005568AB"/>
    <w:rsid w:val="0056300B"/>
    <w:rsid w:val="00563184"/>
    <w:rsid w:val="00567F60"/>
    <w:rsid w:val="00571451"/>
    <w:rsid w:val="00572677"/>
    <w:rsid w:val="00573388"/>
    <w:rsid w:val="00580D28"/>
    <w:rsid w:val="00582285"/>
    <w:rsid w:val="00583951"/>
    <w:rsid w:val="00584F59"/>
    <w:rsid w:val="0058585F"/>
    <w:rsid w:val="00587698"/>
    <w:rsid w:val="00594D45"/>
    <w:rsid w:val="00595E1C"/>
    <w:rsid w:val="00596736"/>
    <w:rsid w:val="005A6770"/>
    <w:rsid w:val="005A735E"/>
    <w:rsid w:val="005A755B"/>
    <w:rsid w:val="005A7880"/>
    <w:rsid w:val="005B103D"/>
    <w:rsid w:val="005B129C"/>
    <w:rsid w:val="005B48EF"/>
    <w:rsid w:val="005B4F47"/>
    <w:rsid w:val="005C2C9D"/>
    <w:rsid w:val="005C335F"/>
    <w:rsid w:val="005C6FBE"/>
    <w:rsid w:val="005D08F1"/>
    <w:rsid w:val="005D18C9"/>
    <w:rsid w:val="005D214D"/>
    <w:rsid w:val="005E19B1"/>
    <w:rsid w:val="005E1B40"/>
    <w:rsid w:val="005E26E5"/>
    <w:rsid w:val="005F14E1"/>
    <w:rsid w:val="005F1BEA"/>
    <w:rsid w:val="005F43B2"/>
    <w:rsid w:val="005F493D"/>
    <w:rsid w:val="005F5079"/>
    <w:rsid w:val="00603956"/>
    <w:rsid w:val="00605F09"/>
    <w:rsid w:val="00610E6C"/>
    <w:rsid w:val="0061216F"/>
    <w:rsid w:val="006121D4"/>
    <w:rsid w:val="00613848"/>
    <w:rsid w:val="00615DC1"/>
    <w:rsid w:val="00617672"/>
    <w:rsid w:val="006176B8"/>
    <w:rsid w:val="00617D14"/>
    <w:rsid w:val="0062012B"/>
    <w:rsid w:val="006236A4"/>
    <w:rsid w:val="00624898"/>
    <w:rsid w:val="00624DFE"/>
    <w:rsid w:val="0062682F"/>
    <w:rsid w:val="00632644"/>
    <w:rsid w:val="00634936"/>
    <w:rsid w:val="006370BE"/>
    <w:rsid w:val="00641859"/>
    <w:rsid w:val="0064474F"/>
    <w:rsid w:val="006479B3"/>
    <w:rsid w:val="00647D99"/>
    <w:rsid w:val="006501A2"/>
    <w:rsid w:val="00653A32"/>
    <w:rsid w:val="00655803"/>
    <w:rsid w:val="00655A1E"/>
    <w:rsid w:val="006603AC"/>
    <w:rsid w:val="00660954"/>
    <w:rsid w:val="00663DCF"/>
    <w:rsid w:val="00672C34"/>
    <w:rsid w:val="00677B01"/>
    <w:rsid w:val="0068026F"/>
    <w:rsid w:val="00684004"/>
    <w:rsid w:val="0068405E"/>
    <w:rsid w:val="006850DD"/>
    <w:rsid w:val="006927A5"/>
    <w:rsid w:val="00692A2C"/>
    <w:rsid w:val="00694C54"/>
    <w:rsid w:val="006A22DD"/>
    <w:rsid w:val="006A3F3C"/>
    <w:rsid w:val="006A7099"/>
    <w:rsid w:val="006B344A"/>
    <w:rsid w:val="006B365C"/>
    <w:rsid w:val="006B6E29"/>
    <w:rsid w:val="006B75AC"/>
    <w:rsid w:val="006B77FA"/>
    <w:rsid w:val="006C142C"/>
    <w:rsid w:val="006C2FDF"/>
    <w:rsid w:val="006C3678"/>
    <w:rsid w:val="006C7761"/>
    <w:rsid w:val="006D0DB7"/>
    <w:rsid w:val="006D1931"/>
    <w:rsid w:val="006D2E9D"/>
    <w:rsid w:val="006D60A3"/>
    <w:rsid w:val="006D67CC"/>
    <w:rsid w:val="006E201D"/>
    <w:rsid w:val="006E2AC2"/>
    <w:rsid w:val="006E4065"/>
    <w:rsid w:val="006E4555"/>
    <w:rsid w:val="006E4E9A"/>
    <w:rsid w:val="006E6EF5"/>
    <w:rsid w:val="006E6F88"/>
    <w:rsid w:val="006E759D"/>
    <w:rsid w:val="006F1B45"/>
    <w:rsid w:val="006F3DD6"/>
    <w:rsid w:val="006F5A3D"/>
    <w:rsid w:val="006F6446"/>
    <w:rsid w:val="006F7494"/>
    <w:rsid w:val="00701FEB"/>
    <w:rsid w:val="00705A25"/>
    <w:rsid w:val="00705BEA"/>
    <w:rsid w:val="00710899"/>
    <w:rsid w:val="007111CC"/>
    <w:rsid w:val="007126C0"/>
    <w:rsid w:val="0071337F"/>
    <w:rsid w:val="007135C5"/>
    <w:rsid w:val="007145F8"/>
    <w:rsid w:val="00714C4E"/>
    <w:rsid w:val="00715CA2"/>
    <w:rsid w:val="00716FA6"/>
    <w:rsid w:val="007237EA"/>
    <w:rsid w:val="00731555"/>
    <w:rsid w:val="007334AB"/>
    <w:rsid w:val="00733EDF"/>
    <w:rsid w:val="00735B0D"/>
    <w:rsid w:val="00736022"/>
    <w:rsid w:val="00741B18"/>
    <w:rsid w:val="007433AC"/>
    <w:rsid w:val="00743F51"/>
    <w:rsid w:val="00745607"/>
    <w:rsid w:val="00753317"/>
    <w:rsid w:val="00753E57"/>
    <w:rsid w:val="00757965"/>
    <w:rsid w:val="00763956"/>
    <w:rsid w:val="00766C89"/>
    <w:rsid w:val="00770441"/>
    <w:rsid w:val="00770468"/>
    <w:rsid w:val="00776FE3"/>
    <w:rsid w:val="00777916"/>
    <w:rsid w:val="00781526"/>
    <w:rsid w:val="00782A95"/>
    <w:rsid w:val="00791E54"/>
    <w:rsid w:val="0079301A"/>
    <w:rsid w:val="00793A6D"/>
    <w:rsid w:val="00793BD4"/>
    <w:rsid w:val="00793FA3"/>
    <w:rsid w:val="007945DD"/>
    <w:rsid w:val="00796514"/>
    <w:rsid w:val="00796F41"/>
    <w:rsid w:val="00797AB7"/>
    <w:rsid w:val="007A01BF"/>
    <w:rsid w:val="007A602C"/>
    <w:rsid w:val="007A69F8"/>
    <w:rsid w:val="007A6E24"/>
    <w:rsid w:val="007B0A1A"/>
    <w:rsid w:val="007B1735"/>
    <w:rsid w:val="007B33B7"/>
    <w:rsid w:val="007B398D"/>
    <w:rsid w:val="007B43CC"/>
    <w:rsid w:val="007B682B"/>
    <w:rsid w:val="007B6DAF"/>
    <w:rsid w:val="007C11CB"/>
    <w:rsid w:val="007C4ED4"/>
    <w:rsid w:val="007C5961"/>
    <w:rsid w:val="007D2352"/>
    <w:rsid w:val="007D2680"/>
    <w:rsid w:val="007D3363"/>
    <w:rsid w:val="007D5A05"/>
    <w:rsid w:val="007D5F8C"/>
    <w:rsid w:val="007D70D0"/>
    <w:rsid w:val="007E1912"/>
    <w:rsid w:val="007E1F3B"/>
    <w:rsid w:val="007E2586"/>
    <w:rsid w:val="007E629F"/>
    <w:rsid w:val="007E79D7"/>
    <w:rsid w:val="007F1BAD"/>
    <w:rsid w:val="007F2079"/>
    <w:rsid w:val="007F4E31"/>
    <w:rsid w:val="007F6C2C"/>
    <w:rsid w:val="007F6D39"/>
    <w:rsid w:val="007F79CD"/>
    <w:rsid w:val="007F79F1"/>
    <w:rsid w:val="008002F6"/>
    <w:rsid w:val="00801062"/>
    <w:rsid w:val="008020E7"/>
    <w:rsid w:val="00803E96"/>
    <w:rsid w:val="00811174"/>
    <w:rsid w:val="00811B49"/>
    <w:rsid w:val="00814786"/>
    <w:rsid w:val="00815E48"/>
    <w:rsid w:val="00816811"/>
    <w:rsid w:val="00822041"/>
    <w:rsid w:val="00822759"/>
    <w:rsid w:val="00824DF6"/>
    <w:rsid w:val="00825C99"/>
    <w:rsid w:val="008327BE"/>
    <w:rsid w:val="00837F1E"/>
    <w:rsid w:val="00840EBB"/>
    <w:rsid w:val="008436F7"/>
    <w:rsid w:val="0084571A"/>
    <w:rsid w:val="0085003A"/>
    <w:rsid w:val="008552D6"/>
    <w:rsid w:val="008610FE"/>
    <w:rsid w:val="00863261"/>
    <w:rsid w:val="008663EB"/>
    <w:rsid w:val="00867620"/>
    <w:rsid w:val="008703FF"/>
    <w:rsid w:val="00870881"/>
    <w:rsid w:val="0087125A"/>
    <w:rsid w:val="00872355"/>
    <w:rsid w:val="00872CB5"/>
    <w:rsid w:val="00875B0E"/>
    <w:rsid w:val="008947F5"/>
    <w:rsid w:val="00894C91"/>
    <w:rsid w:val="008A3B8C"/>
    <w:rsid w:val="008A44E1"/>
    <w:rsid w:val="008A6C7F"/>
    <w:rsid w:val="008A7B7E"/>
    <w:rsid w:val="008B15D8"/>
    <w:rsid w:val="008B2AAF"/>
    <w:rsid w:val="008B3B5E"/>
    <w:rsid w:val="008B58F8"/>
    <w:rsid w:val="008B625F"/>
    <w:rsid w:val="008C05C3"/>
    <w:rsid w:val="008C27CE"/>
    <w:rsid w:val="008C4763"/>
    <w:rsid w:val="008C5E4E"/>
    <w:rsid w:val="008D00D2"/>
    <w:rsid w:val="008D21DE"/>
    <w:rsid w:val="008D3CA5"/>
    <w:rsid w:val="008D5FB8"/>
    <w:rsid w:val="008D7A28"/>
    <w:rsid w:val="008E0517"/>
    <w:rsid w:val="008E33A1"/>
    <w:rsid w:val="008E4092"/>
    <w:rsid w:val="008F11C8"/>
    <w:rsid w:val="008F66E7"/>
    <w:rsid w:val="0090300F"/>
    <w:rsid w:val="00903DE5"/>
    <w:rsid w:val="00913BEB"/>
    <w:rsid w:val="00920965"/>
    <w:rsid w:val="009216B6"/>
    <w:rsid w:val="00924D28"/>
    <w:rsid w:val="00924D62"/>
    <w:rsid w:val="00930098"/>
    <w:rsid w:val="009332D3"/>
    <w:rsid w:val="00935328"/>
    <w:rsid w:val="00935401"/>
    <w:rsid w:val="00936B4D"/>
    <w:rsid w:val="009403CB"/>
    <w:rsid w:val="00941445"/>
    <w:rsid w:val="00944092"/>
    <w:rsid w:val="0094638F"/>
    <w:rsid w:val="009466A4"/>
    <w:rsid w:val="00946F37"/>
    <w:rsid w:val="00955B70"/>
    <w:rsid w:val="00957769"/>
    <w:rsid w:val="00957E32"/>
    <w:rsid w:val="009615E6"/>
    <w:rsid w:val="00961D34"/>
    <w:rsid w:val="009630F6"/>
    <w:rsid w:val="009643C6"/>
    <w:rsid w:val="00971D6F"/>
    <w:rsid w:val="00972DD8"/>
    <w:rsid w:val="00975A2D"/>
    <w:rsid w:val="009762C3"/>
    <w:rsid w:val="009809FC"/>
    <w:rsid w:val="00982AA4"/>
    <w:rsid w:val="00982FBA"/>
    <w:rsid w:val="00984C2B"/>
    <w:rsid w:val="00984FFB"/>
    <w:rsid w:val="00985E6B"/>
    <w:rsid w:val="00986267"/>
    <w:rsid w:val="00986C25"/>
    <w:rsid w:val="00991024"/>
    <w:rsid w:val="009A1C72"/>
    <w:rsid w:val="009A1DFB"/>
    <w:rsid w:val="009A3154"/>
    <w:rsid w:val="009A389D"/>
    <w:rsid w:val="009A3BFF"/>
    <w:rsid w:val="009A647E"/>
    <w:rsid w:val="009A6621"/>
    <w:rsid w:val="009B2C8D"/>
    <w:rsid w:val="009B371B"/>
    <w:rsid w:val="009B504F"/>
    <w:rsid w:val="009B7CBC"/>
    <w:rsid w:val="009C36F3"/>
    <w:rsid w:val="009C41D8"/>
    <w:rsid w:val="009C44C5"/>
    <w:rsid w:val="009C48C9"/>
    <w:rsid w:val="009E0CAE"/>
    <w:rsid w:val="009E269C"/>
    <w:rsid w:val="009E2750"/>
    <w:rsid w:val="009E42F7"/>
    <w:rsid w:val="009E4CC9"/>
    <w:rsid w:val="009E53C6"/>
    <w:rsid w:val="009E6B01"/>
    <w:rsid w:val="009F5E5D"/>
    <w:rsid w:val="00A00F54"/>
    <w:rsid w:val="00A047C6"/>
    <w:rsid w:val="00A058D9"/>
    <w:rsid w:val="00A06C04"/>
    <w:rsid w:val="00A06D49"/>
    <w:rsid w:val="00A108BA"/>
    <w:rsid w:val="00A12C1B"/>
    <w:rsid w:val="00A13153"/>
    <w:rsid w:val="00A14CE0"/>
    <w:rsid w:val="00A15244"/>
    <w:rsid w:val="00A22D49"/>
    <w:rsid w:val="00A25891"/>
    <w:rsid w:val="00A303CB"/>
    <w:rsid w:val="00A32AD4"/>
    <w:rsid w:val="00A33F59"/>
    <w:rsid w:val="00A36909"/>
    <w:rsid w:val="00A37F61"/>
    <w:rsid w:val="00A40F01"/>
    <w:rsid w:val="00A42754"/>
    <w:rsid w:val="00A474BF"/>
    <w:rsid w:val="00A47542"/>
    <w:rsid w:val="00A553F8"/>
    <w:rsid w:val="00A5586E"/>
    <w:rsid w:val="00A56ABF"/>
    <w:rsid w:val="00A5775A"/>
    <w:rsid w:val="00A65462"/>
    <w:rsid w:val="00A700EF"/>
    <w:rsid w:val="00A72492"/>
    <w:rsid w:val="00A74C39"/>
    <w:rsid w:val="00A76391"/>
    <w:rsid w:val="00A7772E"/>
    <w:rsid w:val="00A77BBF"/>
    <w:rsid w:val="00A80B27"/>
    <w:rsid w:val="00A86CE3"/>
    <w:rsid w:val="00A94175"/>
    <w:rsid w:val="00AA014E"/>
    <w:rsid w:val="00AA1561"/>
    <w:rsid w:val="00AA1E07"/>
    <w:rsid w:val="00AA33DA"/>
    <w:rsid w:val="00AA3F44"/>
    <w:rsid w:val="00AA4374"/>
    <w:rsid w:val="00AA64E5"/>
    <w:rsid w:val="00AA6C06"/>
    <w:rsid w:val="00AB1454"/>
    <w:rsid w:val="00AB3133"/>
    <w:rsid w:val="00AB4E9F"/>
    <w:rsid w:val="00AC2B7E"/>
    <w:rsid w:val="00AC451C"/>
    <w:rsid w:val="00AD2EF1"/>
    <w:rsid w:val="00AD5A92"/>
    <w:rsid w:val="00AE0B11"/>
    <w:rsid w:val="00AE2767"/>
    <w:rsid w:val="00AE3EC3"/>
    <w:rsid w:val="00AE41A0"/>
    <w:rsid w:val="00AE4F91"/>
    <w:rsid w:val="00AE5B4A"/>
    <w:rsid w:val="00AE6A72"/>
    <w:rsid w:val="00AF08E9"/>
    <w:rsid w:val="00AF0F8E"/>
    <w:rsid w:val="00AF16A2"/>
    <w:rsid w:val="00AF3E34"/>
    <w:rsid w:val="00B00C4C"/>
    <w:rsid w:val="00B063E2"/>
    <w:rsid w:val="00B07EF4"/>
    <w:rsid w:val="00B12B0E"/>
    <w:rsid w:val="00B305F0"/>
    <w:rsid w:val="00B30901"/>
    <w:rsid w:val="00B324DC"/>
    <w:rsid w:val="00B40E79"/>
    <w:rsid w:val="00B4215E"/>
    <w:rsid w:val="00B46108"/>
    <w:rsid w:val="00B4610A"/>
    <w:rsid w:val="00B46E4C"/>
    <w:rsid w:val="00B50183"/>
    <w:rsid w:val="00B51419"/>
    <w:rsid w:val="00B51B74"/>
    <w:rsid w:val="00B52247"/>
    <w:rsid w:val="00B54301"/>
    <w:rsid w:val="00B56876"/>
    <w:rsid w:val="00B61E79"/>
    <w:rsid w:val="00B6203D"/>
    <w:rsid w:val="00B635A4"/>
    <w:rsid w:val="00B649F9"/>
    <w:rsid w:val="00B66203"/>
    <w:rsid w:val="00B67538"/>
    <w:rsid w:val="00B70699"/>
    <w:rsid w:val="00B740D8"/>
    <w:rsid w:val="00B74FCA"/>
    <w:rsid w:val="00B8174F"/>
    <w:rsid w:val="00B81B08"/>
    <w:rsid w:val="00B842A4"/>
    <w:rsid w:val="00B85EBA"/>
    <w:rsid w:val="00B86D74"/>
    <w:rsid w:val="00B86DE1"/>
    <w:rsid w:val="00B90481"/>
    <w:rsid w:val="00B91F2F"/>
    <w:rsid w:val="00B922F0"/>
    <w:rsid w:val="00B935C1"/>
    <w:rsid w:val="00B950D8"/>
    <w:rsid w:val="00B951EB"/>
    <w:rsid w:val="00BA0E9E"/>
    <w:rsid w:val="00BA43D6"/>
    <w:rsid w:val="00BB04A6"/>
    <w:rsid w:val="00BB07D7"/>
    <w:rsid w:val="00BB0B64"/>
    <w:rsid w:val="00BB1851"/>
    <w:rsid w:val="00BB383A"/>
    <w:rsid w:val="00BB5F01"/>
    <w:rsid w:val="00BB60A5"/>
    <w:rsid w:val="00BC0336"/>
    <w:rsid w:val="00BC0433"/>
    <w:rsid w:val="00BC432F"/>
    <w:rsid w:val="00BC4D3E"/>
    <w:rsid w:val="00BC660B"/>
    <w:rsid w:val="00BC759D"/>
    <w:rsid w:val="00BC7AB6"/>
    <w:rsid w:val="00BD0D3E"/>
    <w:rsid w:val="00BD2319"/>
    <w:rsid w:val="00BD27F8"/>
    <w:rsid w:val="00BD3F2E"/>
    <w:rsid w:val="00BD4CEC"/>
    <w:rsid w:val="00BD6AC0"/>
    <w:rsid w:val="00BD7ADC"/>
    <w:rsid w:val="00BE1761"/>
    <w:rsid w:val="00BE2ECC"/>
    <w:rsid w:val="00BE3893"/>
    <w:rsid w:val="00BE3F28"/>
    <w:rsid w:val="00BE3F2B"/>
    <w:rsid w:val="00BE5310"/>
    <w:rsid w:val="00BF05A8"/>
    <w:rsid w:val="00BF1551"/>
    <w:rsid w:val="00BF36B3"/>
    <w:rsid w:val="00C00CFE"/>
    <w:rsid w:val="00C02CEF"/>
    <w:rsid w:val="00C049FB"/>
    <w:rsid w:val="00C10469"/>
    <w:rsid w:val="00C12AB9"/>
    <w:rsid w:val="00C15A30"/>
    <w:rsid w:val="00C174AA"/>
    <w:rsid w:val="00C21A63"/>
    <w:rsid w:val="00C24A58"/>
    <w:rsid w:val="00C2652A"/>
    <w:rsid w:val="00C265DE"/>
    <w:rsid w:val="00C30159"/>
    <w:rsid w:val="00C30D3B"/>
    <w:rsid w:val="00C31A5D"/>
    <w:rsid w:val="00C33661"/>
    <w:rsid w:val="00C3740F"/>
    <w:rsid w:val="00C40581"/>
    <w:rsid w:val="00C43985"/>
    <w:rsid w:val="00C44288"/>
    <w:rsid w:val="00C4440A"/>
    <w:rsid w:val="00C464DA"/>
    <w:rsid w:val="00C50B1C"/>
    <w:rsid w:val="00C5279E"/>
    <w:rsid w:val="00C534E1"/>
    <w:rsid w:val="00C53812"/>
    <w:rsid w:val="00C54017"/>
    <w:rsid w:val="00C57BD2"/>
    <w:rsid w:val="00C6367C"/>
    <w:rsid w:val="00C6598C"/>
    <w:rsid w:val="00C71231"/>
    <w:rsid w:val="00C718CD"/>
    <w:rsid w:val="00C73150"/>
    <w:rsid w:val="00C744C9"/>
    <w:rsid w:val="00C75102"/>
    <w:rsid w:val="00C82D0C"/>
    <w:rsid w:val="00C83D13"/>
    <w:rsid w:val="00C85275"/>
    <w:rsid w:val="00C90F39"/>
    <w:rsid w:val="00C91DE7"/>
    <w:rsid w:val="00C92095"/>
    <w:rsid w:val="00C92515"/>
    <w:rsid w:val="00C94E2D"/>
    <w:rsid w:val="00C95BCB"/>
    <w:rsid w:val="00C96F23"/>
    <w:rsid w:val="00C974D4"/>
    <w:rsid w:val="00CB2555"/>
    <w:rsid w:val="00CB5C32"/>
    <w:rsid w:val="00CB5E57"/>
    <w:rsid w:val="00CB7A6F"/>
    <w:rsid w:val="00CC620E"/>
    <w:rsid w:val="00CC75F9"/>
    <w:rsid w:val="00CC7750"/>
    <w:rsid w:val="00CD09A4"/>
    <w:rsid w:val="00CD0E65"/>
    <w:rsid w:val="00CD10F7"/>
    <w:rsid w:val="00CD409D"/>
    <w:rsid w:val="00CD4B38"/>
    <w:rsid w:val="00CD53ED"/>
    <w:rsid w:val="00CE0F85"/>
    <w:rsid w:val="00CE119C"/>
    <w:rsid w:val="00CE577D"/>
    <w:rsid w:val="00CE670D"/>
    <w:rsid w:val="00CF0969"/>
    <w:rsid w:val="00CF2721"/>
    <w:rsid w:val="00CF5DEB"/>
    <w:rsid w:val="00CF74E2"/>
    <w:rsid w:val="00D03C0F"/>
    <w:rsid w:val="00D1010A"/>
    <w:rsid w:val="00D1624F"/>
    <w:rsid w:val="00D20A66"/>
    <w:rsid w:val="00D21777"/>
    <w:rsid w:val="00D23836"/>
    <w:rsid w:val="00D241E2"/>
    <w:rsid w:val="00D26A8F"/>
    <w:rsid w:val="00D325D0"/>
    <w:rsid w:val="00D33951"/>
    <w:rsid w:val="00D37DB1"/>
    <w:rsid w:val="00D405FC"/>
    <w:rsid w:val="00D42384"/>
    <w:rsid w:val="00D43896"/>
    <w:rsid w:val="00D45C5F"/>
    <w:rsid w:val="00D538B5"/>
    <w:rsid w:val="00D54B4A"/>
    <w:rsid w:val="00D55C02"/>
    <w:rsid w:val="00D56BB9"/>
    <w:rsid w:val="00D61C25"/>
    <w:rsid w:val="00D62CC9"/>
    <w:rsid w:val="00D64DEC"/>
    <w:rsid w:val="00D65B96"/>
    <w:rsid w:val="00D707B3"/>
    <w:rsid w:val="00D71F7F"/>
    <w:rsid w:val="00D7724D"/>
    <w:rsid w:val="00D77EAE"/>
    <w:rsid w:val="00D936AC"/>
    <w:rsid w:val="00D93F71"/>
    <w:rsid w:val="00D943DC"/>
    <w:rsid w:val="00D952E7"/>
    <w:rsid w:val="00DA0EE7"/>
    <w:rsid w:val="00DA2B4C"/>
    <w:rsid w:val="00DA39C5"/>
    <w:rsid w:val="00DA672A"/>
    <w:rsid w:val="00DA708A"/>
    <w:rsid w:val="00DB1167"/>
    <w:rsid w:val="00DB51B3"/>
    <w:rsid w:val="00DB5E0F"/>
    <w:rsid w:val="00DC0FBB"/>
    <w:rsid w:val="00DC12BC"/>
    <w:rsid w:val="00DC15ED"/>
    <w:rsid w:val="00DC2299"/>
    <w:rsid w:val="00DC23FC"/>
    <w:rsid w:val="00DC27B0"/>
    <w:rsid w:val="00DC3704"/>
    <w:rsid w:val="00DC513A"/>
    <w:rsid w:val="00DC637B"/>
    <w:rsid w:val="00DC6EA0"/>
    <w:rsid w:val="00DC770C"/>
    <w:rsid w:val="00DD0F99"/>
    <w:rsid w:val="00DD30B2"/>
    <w:rsid w:val="00DD5C2C"/>
    <w:rsid w:val="00DD78C8"/>
    <w:rsid w:val="00DE0A4B"/>
    <w:rsid w:val="00DE7474"/>
    <w:rsid w:val="00DF0EB0"/>
    <w:rsid w:val="00DF2577"/>
    <w:rsid w:val="00DF7F37"/>
    <w:rsid w:val="00E05220"/>
    <w:rsid w:val="00E075CE"/>
    <w:rsid w:val="00E21BD0"/>
    <w:rsid w:val="00E21E4A"/>
    <w:rsid w:val="00E26609"/>
    <w:rsid w:val="00E33CA9"/>
    <w:rsid w:val="00E36ACB"/>
    <w:rsid w:val="00E37174"/>
    <w:rsid w:val="00E404D6"/>
    <w:rsid w:val="00E40793"/>
    <w:rsid w:val="00E42527"/>
    <w:rsid w:val="00E430A3"/>
    <w:rsid w:val="00E466E5"/>
    <w:rsid w:val="00E54306"/>
    <w:rsid w:val="00E60808"/>
    <w:rsid w:val="00E6094F"/>
    <w:rsid w:val="00E67F80"/>
    <w:rsid w:val="00E73ECC"/>
    <w:rsid w:val="00E758A1"/>
    <w:rsid w:val="00E765CD"/>
    <w:rsid w:val="00E7721C"/>
    <w:rsid w:val="00E77426"/>
    <w:rsid w:val="00E82446"/>
    <w:rsid w:val="00E82977"/>
    <w:rsid w:val="00E838BE"/>
    <w:rsid w:val="00E84324"/>
    <w:rsid w:val="00E858E0"/>
    <w:rsid w:val="00E97680"/>
    <w:rsid w:val="00EA24C3"/>
    <w:rsid w:val="00EA429E"/>
    <w:rsid w:val="00EA6AE2"/>
    <w:rsid w:val="00EB2EE9"/>
    <w:rsid w:val="00EB3216"/>
    <w:rsid w:val="00EB3A2B"/>
    <w:rsid w:val="00EB6539"/>
    <w:rsid w:val="00EB6697"/>
    <w:rsid w:val="00EC0703"/>
    <w:rsid w:val="00EC401B"/>
    <w:rsid w:val="00ED316F"/>
    <w:rsid w:val="00ED47EC"/>
    <w:rsid w:val="00ED709C"/>
    <w:rsid w:val="00ED7F42"/>
    <w:rsid w:val="00EE1262"/>
    <w:rsid w:val="00EE265E"/>
    <w:rsid w:val="00EE280D"/>
    <w:rsid w:val="00EE385A"/>
    <w:rsid w:val="00EE6E7C"/>
    <w:rsid w:val="00EF4A8B"/>
    <w:rsid w:val="00EF6CF6"/>
    <w:rsid w:val="00F05E94"/>
    <w:rsid w:val="00F07317"/>
    <w:rsid w:val="00F106B7"/>
    <w:rsid w:val="00F10F26"/>
    <w:rsid w:val="00F112A8"/>
    <w:rsid w:val="00F122C0"/>
    <w:rsid w:val="00F134C8"/>
    <w:rsid w:val="00F13AD1"/>
    <w:rsid w:val="00F14A72"/>
    <w:rsid w:val="00F15458"/>
    <w:rsid w:val="00F1592D"/>
    <w:rsid w:val="00F17918"/>
    <w:rsid w:val="00F21976"/>
    <w:rsid w:val="00F23E06"/>
    <w:rsid w:val="00F27836"/>
    <w:rsid w:val="00F27FC0"/>
    <w:rsid w:val="00F304F2"/>
    <w:rsid w:val="00F31B40"/>
    <w:rsid w:val="00F34894"/>
    <w:rsid w:val="00F416BF"/>
    <w:rsid w:val="00F441F1"/>
    <w:rsid w:val="00F44AE4"/>
    <w:rsid w:val="00F454DA"/>
    <w:rsid w:val="00F45600"/>
    <w:rsid w:val="00F458BE"/>
    <w:rsid w:val="00F45A03"/>
    <w:rsid w:val="00F470D4"/>
    <w:rsid w:val="00F47218"/>
    <w:rsid w:val="00F51F39"/>
    <w:rsid w:val="00F52DDA"/>
    <w:rsid w:val="00F551FA"/>
    <w:rsid w:val="00F575A4"/>
    <w:rsid w:val="00F604BA"/>
    <w:rsid w:val="00F63151"/>
    <w:rsid w:val="00F65203"/>
    <w:rsid w:val="00F72194"/>
    <w:rsid w:val="00F72B0C"/>
    <w:rsid w:val="00F72FD4"/>
    <w:rsid w:val="00F7357D"/>
    <w:rsid w:val="00F75BEE"/>
    <w:rsid w:val="00F82848"/>
    <w:rsid w:val="00F83B09"/>
    <w:rsid w:val="00F93DAF"/>
    <w:rsid w:val="00F96518"/>
    <w:rsid w:val="00F970BE"/>
    <w:rsid w:val="00FA0A87"/>
    <w:rsid w:val="00FA2822"/>
    <w:rsid w:val="00FA59F5"/>
    <w:rsid w:val="00FA791F"/>
    <w:rsid w:val="00FB53E2"/>
    <w:rsid w:val="00FC29A4"/>
    <w:rsid w:val="00FC5A8C"/>
    <w:rsid w:val="00FD03FA"/>
    <w:rsid w:val="00FD15C5"/>
    <w:rsid w:val="00FD2D0B"/>
    <w:rsid w:val="00FD5BEE"/>
    <w:rsid w:val="00FD6AEE"/>
    <w:rsid w:val="00FD7913"/>
    <w:rsid w:val="00FE2F96"/>
    <w:rsid w:val="00FE452F"/>
    <w:rsid w:val="00FE50E9"/>
    <w:rsid w:val="00FE71F0"/>
    <w:rsid w:val="00FF0A58"/>
    <w:rsid w:val="00FF42E8"/>
    <w:rsid w:val="00FF50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62FA5"/>
  <w15:docId w15:val="{CE5A0C42-7C6C-48E5-B7C1-7781C260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275B6C"/>
    <w:pPr>
      <w:spacing w:after="160" w:line="259" w:lineRule="auto"/>
    </w:pPr>
    <w:rPr>
      <w:rFonts w:ascii="Calibri" w:hAnsi="Calibri" w:cs="Arial Unicode MS"/>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ufficio.stampa@gimbe.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oronavirus.gimbe.or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1DF3C-0235-4D45-ADE4-E7E2B5980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1763</Words>
  <Characters>10050</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7</cp:revision>
  <cp:lastPrinted>2021-09-29T09:01:00Z</cp:lastPrinted>
  <dcterms:created xsi:type="dcterms:W3CDTF">2021-09-29T14:11:00Z</dcterms:created>
  <dcterms:modified xsi:type="dcterms:W3CDTF">2021-09-30T08:11:00Z</dcterms:modified>
</cp:coreProperties>
</file>