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E64" w:rsidRPr="0064148D" w:rsidRDefault="00115E64" w:rsidP="008B6A0F">
      <w:pPr>
        <w:jc w:val="center"/>
        <w:rPr>
          <w:b/>
          <w:bCs/>
          <w:sz w:val="36"/>
          <w:szCs w:val="36"/>
        </w:rPr>
      </w:pPr>
      <w:bookmarkStart w:id="0" w:name="_GoBack"/>
      <w:r w:rsidRPr="0064148D">
        <w:rPr>
          <w:rFonts w:ascii="Calibri" w:eastAsia="Calibri" w:hAnsi="Calibri" w:cs="Times New Roman"/>
          <w:b/>
          <w:bCs/>
          <w:sz w:val="36"/>
          <w:szCs w:val="36"/>
        </w:rPr>
        <w:t>COMUNICATO STAMPA</w:t>
      </w:r>
    </w:p>
    <w:p w:rsidR="00F96F38" w:rsidRDefault="00F96F38" w:rsidP="00226690">
      <w:pPr>
        <w:jc w:val="center"/>
        <w:rPr>
          <w:b/>
          <w:bCs/>
          <w:sz w:val="32"/>
          <w:szCs w:val="32"/>
        </w:rPr>
      </w:pPr>
      <w:r>
        <w:rPr>
          <w:b/>
          <w:bCs/>
          <w:sz w:val="32"/>
          <w:szCs w:val="32"/>
        </w:rPr>
        <w:t xml:space="preserve">CORONAVIRUS: </w:t>
      </w:r>
      <w:r w:rsidR="00B877A0">
        <w:rPr>
          <w:b/>
          <w:bCs/>
          <w:sz w:val="32"/>
          <w:szCs w:val="32"/>
        </w:rPr>
        <w:t>CONTAGI</w:t>
      </w:r>
      <w:r w:rsidR="00601627">
        <w:rPr>
          <w:b/>
          <w:bCs/>
          <w:sz w:val="32"/>
          <w:szCs w:val="32"/>
        </w:rPr>
        <w:t xml:space="preserve"> ANCORA IN CALO</w:t>
      </w:r>
      <w:r>
        <w:rPr>
          <w:b/>
          <w:bCs/>
          <w:sz w:val="32"/>
          <w:szCs w:val="32"/>
        </w:rPr>
        <w:t xml:space="preserve">, </w:t>
      </w:r>
      <w:r w:rsidR="00601627">
        <w:rPr>
          <w:b/>
          <w:bCs/>
          <w:sz w:val="32"/>
          <w:szCs w:val="32"/>
        </w:rPr>
        <w:t xml:space="preserve">SI SVUOTANO </w:t>
      </w:r>
      <w:r>
        <w:rPr>
          <w:b/>
          <w:bCs/>
          <w:sz w:val="32"/>
          <w:szCs w:val="32"/>
        </w:rPr>
        <w:t>OSPEDALI</w:t>
      </w:r>
      <w:r w:rsidR="00C84BBC">
        <w:rPr>
          <w:b/>
          <w:bCs/>
          <w:sz w:val="32"/>
          <w:szCs w:val="32"/>
        </w:rPr>
        <w:t xml:space="preserve"> </w:t>
      </w:r>
      <w:r>
        <w:rPr>
          <w:b/>
          <w:bCs/>
          <w:sz w:val="32"/>
          <w:szCs w:val="32"/>
        </w:rPr>
        <w:t xml:space="preserve">VACCINI: </w:t>
      </w:r>
      <w:r w:rsidR="00601627">
        <w:rPr>
          <w:b/>
          <w:bCs/>
          <w:sz w:val="32"/>
          <w:szCs w:val="32"/>
        </w:rPr>
        <w:t>CON -20,9 MLN DI DOSI CONSEGNATE</w:t>
      </w:r>
      <w:r w:rsidR="0050236A">
        <w:rPr>
          <w:b/>
          <w:bCs/>
          <w:sz w:val="32"/>
          <w:szCs w:val="32"/>
        </w:rPr>
        <w:t xml:space="preserve"> </w:t>
      </w:r>
      <w:r w:rsidR="00226690">
        <w:rPr>
          <w:b/>
          <w:bCs/>
          <w:sz w:val="32"/>
          <w:szCs w:val="32"/>
        </w:rPr>
        <w:t xml:space="preserve">SECONDO TRIMESTRE </w:t>
      </w:r>
      <w:r w:rsidR="0050236A">
        <w:rPr>
          <w:b/>
          <w:bCs/>
          <w:sz w:val="32"/>
          <w:szCs w:val="32"/>
        </w:rPr>
        <w:t>CHIUD</w:t>
      </w:r>
      <w:r w:rsidR="001E7230">
        <w:rPr>
          <w:b/>
          <w:bCs/>
          <w:sz w:val="32"/>
          <w:szCs w:val="32"/>
        </w:rPr>
        <w:t xml:space="preserve">E IN </w:t>
      </w:r>
      <w:r w:rsidR="00226690">
        <w:rPr>
          <w:b/>
          <w:bCs/>
          <w:sz w:val="32"/>
          <w:szCs w:val="32"/>
        </w:rPr>
        <w:t>ROSSO</w:t>
      </w:r>
      <w:r>
        <w:rPr>
          <w:b/>
          <w:bCs/>
          <w:sz w:val="32"/>
          <w:szCs w:val="32"/>
        </w:rPr>
        <w:t xml:space="preserve">. </w:t>
      </w:r>
      <w:r w:rsidR="00884342" w:rsidDel="00884342">
        <w:rPr>
          <w:b/>
          <w:bCs/>
          <w:sz w:val="32"/>
          <w:szCs w:val="32"/>
        </w:rPr>
        <w:t xml:space="preserve"> </w:t>
      </w:r>
      <w:r w:rsidR="00226690">
        <w:rPr>
          <w:b/>
          <w:bCs/>
          <w:sz w:val="32"/>
          <w:szCs w:val="32"/>
        </w:rPr>
        <w:br/>
      </w:r>
      <w:r>
        <w:rPr>
          <w:b/>
          <w:bCs/>
          <w:sz w:val="32"/>
          <w:szCs w:val="32"/>
        </w:rPr>
        <w:t>VARIANTE DELTA</w:t>
      </w:r>
      <w:r w:rsidR="00C226A1">
        <w:rPr>
          <w:b/>
          <w:bCs/>
          <w:sz w:val="32"/>
          <w:szCs w:val="32"/>
        </w:rPr>
        <w:t xml:space="preserve">: </w:t>
      </w:r>
      <w:r w:rsidR="006F117A">
        <w:rPr>
          <w:b/>
          <w:bCs/>
          <w:sz w:val="32"/>
          <w:szCs w:val="32"/>
        </w:rPr>
        <w:t>RIMODULARE CAMPAGNA VACCINALE</w:t>
      </w:r>
      <w:r w:rsidR="007B22E2">
        <w:rPr>
          <w:b/>
          <w:bCs/>
          <w:sz w:val="32"/>
          <w:szCs w:val="32"/>
        </w:rPr>
        <w:t xml:space="preserve"> PER 7 MILIONI DI OVER 60 A RISCHIO</w:t>
      </w:r>
    </w:p>
    <w:p w:rsidR="00F96F38" w:rsidRDefault="00F96F38" w:rsidP="00F96F38">
      <w:pPr>
        <w:jc w:val="both"/>
        <w:rPr>
          <w:b/>
          <w:bCs/>
          <w:sz w:val="24"/>
          <w:szCs w:val="24"/>
          <w:lang w:eastAsia="it-IT"/>
        </w:rPr>
      </w:pPr>
      <w:r>
        <w:rPr>
          <w:b/>
          <w:bCs/>
          <w:sz w:val="24"/>
          <w:szCs w:val="24"/>
        </w:rPr>
        <w:t>IL MONITORAGGIO DELLA FONDAZIONE GIMBE CONFERMA, NELLA SETTIMANA 23-29 GIUGNO, LA RIDUZIONE DI NUOVI CASI (-</w:t>
      </w:r>
      <w:r w:rsidR="00C566BF">
        <w:rPr>
          <w:b/>
          <w:bCs/>
          <w:sz w:val="24"/>
          <w:szCs w:val="24"/>
        </w:rPr>
        <w:t xml:space="preserve">26,9%), </w:t>
      </w:r>
      <w:r>
        <w:rPr>
          <w:b/>
          <w:bCs/>
          <w:sz w:val="24"/>
          <w:szCs w:val="24"/>
        </w:rPr>
        <w:t xml:space="preserve">UN ULTERIORE CALO </w:t>
      </w:r>
      <w:r w:rsidR="00C566BF">
        <w:rPr>
          <w:b/>
          <w:bCs/>
          <w:sz w:val="24"/>
          <w:szCs w:val="24"/>
        </w:rPr>
        <w:t>DI</w:t>
      </w:r>
      <w:r>
        <w:rPr>
          <w:b/>
          <w:bCs/>
          <w:sz w:val="24"/>
          <w:szCs w:val="24"/>
        </w:rPr>
        <w:t xml:space="preserve"> RICOVERI (-26,8%) E </w:t>
      </w:r>
      <w:r w:rsidR="00C566BF">
        <w:rPr>
          <w:b/>
          <w:bCs/>
          <w:sz w:val="24"/>
          <w:szCs w:val="24"/>
        </w:rPr>
        <w:t>TERAPIE INTENSIVE (-25,4%) E</w:t>
      </w:r>
      <w:r>
        <w:rPr>
          <w:b/>
          <w:bCs/>
          <w:sz w:val="24"/>
          <w:szCs w:val="24"/>
        </w:rPr>
        <w:t xml:space="preserve"> UNA STABILIZZAZIONE DEI DECESSI. SUL FRONTE VACCINI </w:t>
      </w:r>
      <w:r w:rsidR="00020F7D">
        <w:rPr>
          <w:b/>
          <w:bCs/>
          <w:sz w:val="24"/>
          <w:szCs w:val="24"/>
        </w:rPr>
        <w:t xml:space="preserve">LE FORNITURE DEL </w:t>
      </w:r>
      <w:r w:rsidR="0080521D">
        <w:rPr>
          <w:b/>
          <w:bCs/>
          <w:sz w:val="24"/>
          <w:szCs w:val="24"/>
        </w:rPr>
        <w:t xml:space="preserve">2° </w:t>
      </w:r>
      <w:r w:rsidR="00C226A1">
        <w:rPr>
          <w:b/>
          <w:bCs/>
          <w:sz w:val="24"/>
          <w:szCs w:val="24"/>
        </w:rPr>
        <w:t>TRIMESTRE</w:t>
      </w:r>
      <w:r>
        <w:rPr>
          <w:b/>
          <w:bCs/>
          <w:sz w:val="24"/>
          <w:szCs w:val="24"/>
        </w:rPr>
        <w:t xml:space="preserve"> </w:t>
      </w:r>
      <w:r w:rsidR="00020F7D">
        <w:rPr>
          <w:b/>
          <w:bCs/>
          <w:sz w:val="24"/>
          <w:szCs w:val="24"/>
        </w:rPr>
        <w:t xml:space="preserve">CHIUDONO </w:t>
      </w:r>
      <w:r w:rsidR="0080521D">
        <w:rPr>
          <w:b/>
          <w:bCs/>
          <w:sz w:val="24"/>
          <w:szCs w:val="24"/>
        </w:rPr>
        <w:t>MOLTO</w:t>
      </w:r>
      <w:r w:rsidR="00020F7D">
        <w:rPr>
          <w:b/>
          <w:bCs/>
          <w:sz w:val="24"/>
          <w:szCs w:val="24"/>
        </w:rPr>
        <w:t xml:space="preserve"> SOTTO DELLE</w:t>
      </w:r>
      <w:r>
        <w:rPr>
          <w:b/>
          <w:bCs/>
          <w:sz w:val="24"/>
          <w:szCs w:val="24"/>
        </w:rPr>
        <w:t xml:space="preserve"> PREVISIONI. </w:t>
      </w:r>
      <w:r w:rsidR="0080521D">
        <w:rPr>
          <w:b/>
          <w:bCs/>
          <w:sz w:val="24"/>
          <w:szCs w:val="24"/>
        </w:rPr>
        <w:t xml:space="preserve">PER RIDURRE CIRCOLAZIONE E IMPATTO DELLA </w:t>
      </w:r>
      <w:r>
        <w:rPr>
          <w:b/>
          <w:bCs/>
          <w:sz w:val="24"/>
          <w:szCs w:val="24"/>
        </w:rPr>
        <w:t>VARIANTE</w:t>
      </w:r>
      <w:r w:rsidR="00226690">
        <w:rPr>
          <w:b/>
          <w:bCs/>
          <w:sz w:val="24"/>
          <w:szCs w:val="24"/>
        </w:rPr>
        <w:t xml:space="preserve"> DELTA</w:t>
      </w:r>
      <w:r w:rsidR="0050236A">
        <w:rPr>
          <w:b/>
          <w:bCs/>
          <w:sz w:val="24"/>
          <w:szCs w:val="24"/>
        </w:rPr>
        <w:t xml:space="preserve">, OLTRE A POTENZIARE SEQUENZIAMENTO E CONTACT TRACING, </w:t>
      </w:r>
      <w:r w:rsidR="00020F7D">
        <w:rPr>
          <w:b/>
          <w:bCs/>
          <w:sz w:val="24"/>
          <w:szCs w:val="24"/>
        </w:rPr>
        <w:t xml:space="preserve">PER GLI OVER 60 ANTICIPARE RICHIAMI E PUNTARE </w:t>
      </w:r>
      <w:r w:rsidR="0080521D">
        <w:rPr>
          <w:b/>
          <w:bCs/>
          <w:sz w:val="24"/>
          <w:szCs w:val="24"/>
        </w:rPr>
        <w:t>SU VACCINI A MRNA PER LE PRIME SOMMINISTRAZIONI</w:t>
      </w:r>
      <w:r w:rsidR="00020F7D">
        <w:rPr>
          <w:b/>
          <w:bCs/>
          <w:sz w:val="24"/>
          <w:szCs w:val="24"/>
        </w:rPr>
        <w:t>.</w:t>
      </w:r>
    </w:p>
    <w:p w:rsidR="00115E64" w:rsidRPr="00F96F38" w:rsidRDefault="00C736EF" w:rsidP="000936E0">
      <w:pPr>
        <w:spacing w:after="120"/>
        <w:jc w:val="center"/>
        <w:rPr>
          <w:rFonts w:ascii="Calibri" w:eastAsia="Calibri" w:hAnsi="Calibri" w:cs="Times New Roman"/>
          <w:b/>
          <w:bCs/>
          <w:sz w:val="24"/>
          <w:szCs w:val="24"/>
        </w:rPr>
      </w:pPr>
      <w:r w:rsidRPr="00F96F38">
        <w:rPr>
          <w:rFonts w:ascii="Calibri" w:eastAsia="Calibri" w:hAnsi="Calibri" w:cs="Times New Roman"/>
          <w:b/>
          <w:bCs/>
          <w:sz w:val="24"/>
          <w:szCs w:val="24"/>
        </w:rPr>
        <w:t>1 luglio</w:t>
      </w:r>
      <w:r w:rsidR="00B85E3D" w:rsidRPr="00F96F38">
        <w:rPr>
          <w:rFonts w:ascii="Calibri" w:eastAsia="Calibri" w:hAnsi="Calibri" w:cs="Times New Roman"/>
          <w:b/>
          <w:bCs/>
          <w:sz w:val="24"/>
          <w:szCs w:val="24"/>
        </w:rPr>
        <w:t xml:space="preserve"> </w:t>
      </w:r>
      <w:r w:rsidR="00115E64" w:rsidRPr="00F96F38">
        <w:rPr>
          <w:rFonts w:ascii="Calibri" w:eastAsia="Calibri" w:hAnsi="Calibri" w:cs="Times New Roman"/>
          <w:b/>
          <w:bCs/>
          <w:sz w:val="24"/>
          <w:szCs w:val="24"/>
        </w:rPr>
        <w:t>2021 - Fondazione GIMBE, Bologna</w:t>
      </w:r>
    </w:p>
    <w:p w:rsidR="0064148D" w:rsidRPr="00D42FBC" w:rsidRDefault="0064148D" w:rsidP="0064148D">
      <w:pPr>
        <w:spacing w:line="276" w:lineRule="auto"/>
        <w:jc w:val="both"/>
      </w:pPr>
      <w:r w:rsidRPr="002015AA">
        <w:rPr>
          <w:rFonts w:ascii="Calibri" w:eastAsia="Times New Roman" w:hAnsi="Calibri" w:cs="Calibri"/>
          <w:lang w:eastAsia="it-IT"/>
        </w:rPr>
        <w:t xml:space="preserve">Il monitoraggio indipendente della Fondazione GIMBE rileva nella settimana </w:t>
      </w:r>
      <w:r w:rsidR="00B31F98" w:rsidRPr="002015AA">
        <w:rPr>
          <w:rFonts w:ascii="Calibri" w:eastAsia="Times New Roman" w:hAnsi="Calibri" w:cs="Calibri"/>
          <w:lang w:eastAsia="it-IT"/>
        </w:rPr>
        <w:t>23-29</w:t>
      </w:r>
      <w:r w:rsidRPr="002015AA">
        <w:rPr>
          <w:rFonts w:ascii="Calibri" w:eastAsia="Times New Roman" w:hAnsi="Calibri" w:cs="Calibri"/>
          <w:lang w:eastAsia="it-IT"/>
        </w:rPr>
        <w:t xml:space="preserve"> giugno 2021, rispetto alla precedente, una diminuzione di nuovi casi (</w:t>
      </w:r>
      <w:r w:rsidR="001F5A17">
        <w:rPr>
          <w:rFonts w:ascii="Calibri" w:eastAsia="Times New Roman" w:hAnsi="Calibri" w:cs="Calibri"/>
          <w:lang w:eastAsia="it-IT"/>
        </w:rPr>
        <w:t>5.306</w:t>
      </w:r>
      <w:r w:rsidR="00976D42" w:rsidRPr="002015AA">
        <w:rPr>
          <w:rFonts w:ascii="Calibri" w:eastAsia="Times New Roman" w:hAnsi="Calibri" w:cs="Calibri"/>
          <w:lang w:eastAsia="it-IT"/>
        </w:rPr>
        <w:t xml:space="preserve"> vs 7.262</w:t>
      </w:r>
      <w:r w:rsidRPr="002015AA">
        <w:rPr>
          <w:rFonts w:ascii="Calibri" w:eastAsia="Times New Roman" w:hAnsi="Calibri" w:cs="Calibri"/>
          <w:lang w:eastAsia="it-IT"/>
        </w:rPr>
        <w:t>) (</w:t>
      </w:r>
      <w:r w:rsidRPr="002015AA">
        <w:rPr>
          <w:rFonts w:ascii="Calibri" w:eastAsia="Times New Roman" w:hAnsi="Calibri" w:cs="Calibri"/>
          <w:highlight w:val="yellow"/>
          <w:lang w:eastAsia="it-IT"/>
        </w:rPr>
        <w:t>figura 1</w:t>
      </w:r>
      <w:r w:rsidRPr="002015AA">
        <w:rPr>
          <w:rFonts w:ascii="Calibri" w:eastAsia="Times New Roman" w:hAnsi="Calibri" w:cs="Calibri"/>
          <w:lang w:eastAsia="it-IT"/>
        </w:rPr>
        <w:t>) e</w:t>
      </w:r>
      <w:r w:rsidR="002015AA">
        <w:rPr>
          <w:rFonts w:ascii="Calibri" w:eastAsia="Times New Roman" w:hAnsi="Calibri" w:cs="Calibri"/>
          <w:lang w:eastAsia="it-IT"/>
        </w:rPr>
        <w:t xml:space="preserve"> una stabilizzazione dei</w:t>
      </w:r>
      <w:r w:rsidRPr="002015AA">
        <w:rPr>
          <w:rFonts w:ascii="Calibri" w:eastAsia="Times New Roman" w:hAnsi="Calibri" w:cs="Calibri"/>
          <w:lang w:eastAsia="it-IT"/>
        </w:rPr>
        <w:t xml:space="preserve"> decessi (</w:t>
      </w:r>
      <w:r w:rsidR="00976D42" w:rsidRPr="00D42FBC">
        <w:rPr>
          <w:rFonts w:ascii="Calibri" w:eastAsia="Times New Roman" w:hAnsi="Calibri" w:cs="Calibri"/>
          <w:lang w:eastAsia="it-IT"/>
        </w:rPr>
        <w:t>220 vs 221</w:t>
      </w:r>
      <w:r w:rsidRPr="00D42FBC">
        <w:rPr>
          <w:rFonts w:ascii="Calibri" w:eastAsia="Times New Roman" w:hAnsi="Calibri" w:cs="Calibri"/>
          <w:lang w:eastAsia="it-IT"/>
        </w:rPr>
        <w:t>) (</w:t>
      </w:r>
      <w:r w:rsidRPr="00D42FBC">
        <w:rPr>
          <w:rFonts w:ascii="Calibri" w:eastAsia="Times New Roman" w:hAnsi="Calibri" w:cs="Calibri"/>
          <w:highlight w:val="yellow"/>
          <w:lang w:eastAsia="it-IT"/>
        </w:rPr>
        <w:t>figura 2</w:t>
      </w:r>
      <w:r w:rsidRPr="00D42FBC">
        <w:rPr>
          <w:rFonts w:ascii="Calibri" w:eastAsia="Times New Roman" w:hAnsi="Calibri" w:cs="Calibri"/>
          <w:lang w:eastAsia="it-IT"/>
        </w:rPr>
        <w:t>). In calo anche i casi attualmente positivi (</w:t>
      </w:r>
      <w:r w:rsidR="00976D42" w:rsidRPr="00D42FBC">
        <w:rPr>
          <w:rFonts w:ascii="Calibri" w:eastAsia="Times New Roman" w:hAnsi="Calibri" w:cs="Calibri"/>
          <w:lang w:eastAsia="it-IT"/>
        </w:rPr>
        <w:t>52.824 vs 72.964</w:t>
      </w:r>
      <w:r w:rsidRPr="00D42FBC">
        <w:rPr>
          <w:rFonts w:ascii="Calibri" w:eastAsia="Times New Roman" w:hAnsi="Calibri" w:cs="Calibri"/>
          <w:lang w:eastAsia="it-IT"/>
        </w:rPr>
        <w:t>), le persone in isolamento domiciliare (</w:t>
      </w:r>
      <w:r w:rsidR="00A34154" w:rsidRPr="00D42FBC">
        <w:rPr>
          <w:rFonts w:ascii="Calibri" w:eastAsia="Times New Roman" w:hAnsi="Calibri" w:cs="Calibri"/>
          <w:lang w:eastAsia="it-IT"/>
        </w:rPr>
        <w:t>50.878 vs 70.313</w:t>
      </w:r>
      <w:r w:rsidRPr="00D42FBC">
        <w:rPr>
          <w:rFonts w:ascii="Calibri" w:eastAsia="Times New Roman" w:hAnsi="Calibri" w:cs="Calibri"/>
          <w:lang w:eastAsia="it-IT"/>
        </w:rPr>
        <w:t>), i ricoveri con sintomi (</w:t>
      </w:r>
      <w:r w:rsidR="00A34154" w:rsidRPr="00D42FBC">
        <w:rPr>
          <w:rFonts w:ascii="Calibri" w:eastAsia="Times New Roman" w:hAnsi="Calibri" w:cs="Calibri"/>
          <w:lang w:eastAsia="it-IT"/>
        </w:rPr>
        <w:t>1.676 vs 2.289</w:t>
      </w:r>
      <w:r w:rsidRPr="00D42FBC">
        <w:rPr>
          <w:rFonts w:ascii="Calibri" w:eastAsia="Times New Roman" w:hAnsi="Calibri" w:cs="Calibri"/>
          <w:lang w:eastAsia="it-IT"/>
        </w:rPr>
        <w:t>) e le terapie intensive (</w:t>
      </w:r>
      <w:r w:rsidR="00A34154" w:rsidRPr="00D42FBC">
        <w:rPr>
          <w:rFonts w:ascii="Calibri" w:eastAsia="Times New Roman" w:hAnsi="Calibri" w:cs="Calibri"/>
          <w:lang w:eastAsia="it-IT"/>
        </w:rPr>
        <w:t>270 vs 362</w:t>
      </w:r>
      <w:r w:rsidRPr="00D42FBC">
        <w:rPr>
          <w:rFonts w:ascii="Calibri" w:eastAsia="Times New Roman" w:hAnsi="Calibri" w:cs="Calibri"/>
          <w:lang w:eastAsia="it-IT"/>
        </w:rPr>
        <w:t>) (</w:t>
      </w:r>
      <w:r w:rsidRPr="00D42FBC">
        <w:rPr>
          <w:rFonts w:ascii="Calibri" w:eastAsia="Times New Roman" w:hAnsi="Calibri" w:cs="Calibri"/>
          <w:highlight w:val="yellow"/>
          <w:lang w:eastAsia="it-IT"/>
        </w:rPr>
        <w:t>figura 3</w:t>
      </w:r>
      <w:r w:rsidRPr="00D42FBC">
        <w:rPr>
          <w:rFonts w:ascii="Calibri" w:eastAsia="Times New Roman" w:hAnsi="Calibri" w:cs="Calibri"/>
          <w:lang w:eastAsia="it-IT"/>
        </w:rPr>
        <w:t>). In dettaglio, rispetto alla settimana precedente, si registrano le seguenti variazioni:</w:t>
      </w:r>
    </w:p>
    <w:p w:rsidR="00A34154" w:rsidRPr="00D42FBC" w:rsidRDefault="00A34154" w:rsidP="00A34154">
      <w:pPr>
        <w:pStyle w:val="Paragrafoelenco"/>
        <w:numPr>
          <w:ilvl w:val="0"/>
          <w:numId w:val="32"/>
        </w:numPr>
        <w:spacing w:line="276" w:lineRule="auto"/>
        <w:jc w:val="both"/>
      </w:pPr>
      <w:r w:rsidRPr="00D42FBC">
        <w:t>Decessi: 220 (-0,5%)</w:t>
      </w:r>
    </w:p>
    <w:p w:rsidR="00A34154" w:rsidRPr="00D42FBC" w:rsidRDefault="00A34154" w:rsidP="00A34154">
      <w:pPr>
        <w:pStyle w:val="Paragrafoelenco"/>
        <w:numPr>
          <w:ilvl w:val="0"/>
          <w:numId w:val="32"/>
        </w:numPr>
        <w:spacing w:line="276" w:lineRule="auto"/>
        <w:jc w:val="both"/>
      </w:pPr>
      <w:r w:rsidRPr="00D42FBC">
        <w:t>Terapia intensiva: -92 (-25,4%)</w:t>
      </w:r>
    </w:p>
    <w:p w:rsidR="00A34154" w:rsidRPr="00D42FBC" w:rsidRDefault="00A34154" w:rsidP="00A34154">
      <w:pPr>
        <w:pStyle w:val="Paragrafoelenco"/>
        <w:numPr>
          <w:ilvl w:val="0"/>
          <w:numId w:val="32"/>
        </w:numPr>
        <w:spacing w:line="276" w:lineRule="auto"/>
        <w:jc w:val="both"/>
      </w:pPr>
      <w:r w:rsidRPr="00D42FBC">
        <w:t>Ricoverati con sintomi: -613 (-26,8%)</w:t>
      </w:r>
    </w:p>
    <w:p w:rsidR="00A34154" w:rsidRPr="00D42FBC" w:rsidRDefault="00A34154" w:rsidP="00A34154">
      <w:pPr>
        <w:pStyle w:val="Paragrafoelenco"/>
        <w:numPr>
          <w:ilvl w:val="0"/>
          <w:numId w:val="32"/>
        </w:numPr>
        <w:spacing w:line="276" w:lineRule="auto"/>
        <w:jc w:val="both"/>
      </w:pPr>
      <w:r w:rsidRPr="00D42FBC">
        <w:t>Isolamento domiciliare: -19.435 (-27,6%)</w:t>
      </w:r>
    </w:p>
    <w:p w:rsidR="00A34154" w:rsidRPr="00D42FBC" w:rsidRDefault="00A34154" w:rsidP="00A34154">
      <w:pPr>
        <w:pStyle w:val="Paragrafoelenco"/>
        <w:numPr>
          <w:ilvl w:val="0"/>
          <w:numId w:val="32"/>
        </w:numPr>
        <w:spacing w:line="276" w:lineRule="auto"/>
        <w:jc w:val="both"/>
      </w:pPr>
      <w:r w:rsidRPr="00D42FBC">
        <w:t xml:space="preserve">Nuovi casi: </w:t>
      </w:r>
      <w:r w:rsidR="00CD7F7C">
        <w:t>5.306</w:t>
      </w:r>
      <w:r w:rsidRPr="00D42FBC">
        <w:t xml:space="preserve"> (-</w:t>
      </w:r>
      <w:r w:rsidR="00B07E4D">
        <w:t>26</w:t>
      </w:r>
      <w:r w:rsidRPr="00D42FBC">
        <w:t>,</w:t>
      </w:r>
      <w:r w:rsidR="00B07E4D">
        <w:t>9</w:t>
      </w:r>
      <w:r w:rsidRPr="00D42FBC">
        <w:t>%)</w:t>
      </w:r>
    </w:p>
    <w:p w:rsidR="00A34154" w:rsidRPr="00D42FBC" w:rsidRDefault="00A34154" w:rsidP="00A34154">
      <w:pPr>
        <w:pStyle w:val="Paragrafoelenco"/>
        <w:numPr>
          <w:ilvl w:val="0"/>
          <w:numId w:val="32"/>
        </w:numPr>
        <w:spacing w:line="276" w:lineRule="auto"/>
        <w:jc w:val="both"/>
      </w:pPr>
      <w:r w:rsidRPr="00D42FBC">
        <w:t>Casi attualmente positivi: -20.140 (-27,6%)</w:t>
      </w:r>
    </w:p>
    <w:p w:rsidR="00132F7B" w:rsidRPr="00EA47F7" w:rsidRDefault="00ED2393" w:rsidP="0064148D">
      <w:pPr>
        <w:spacing w:line="276" w:lineRule="auto"/>
        <w:jc w:val="both"/>
      </w:pPr>
      <w:r w:rsidRPr="00D42FBC">
        <w:rPr>
          <w:rFonts w:ascii="Calibri" w:eastAsia="Times New Roman" w:hAnsi="Calibri" w:cs="Calibri"/>
          <w:lang w:eastAsia="it-IT"/>
        </w:rPr>
        <w:t>«</w:t>
      </w:r>
      <w:r w:rsidR="00132F7B" w:rsidRPr="00D42FBC">
        <w:t xml:space="preserve">Da </w:t>
      </w:r>
      <w:r w:rsidR="00A34154" w:rsidRPr="00D42FBC">
        <w:t xml:space="preserve">15 </w:t>
      </w:r>
      <w:r w:rsidR="00132F7B" w:rsidRPr="00D42FBC">
        <w:t>settimane consecutive – dichiara Nino Cartabellotta, Presidente della Fondazione GIMBE –</w:t>
      </w:r>
      <w:r w:rsidR="00476901" w:rsidRPr="00D42FBC">
        <w:t xml:space="preserve"> </w:t>
      </w:r>
      <w:r w:rsidR="00C257DF" w:rsidRPr="00D42FBC">
        <w:t xml:space="preserve">si registra una </w:t>
      </w:r>
      <w:r w:rsidR="001753D7" w:rsidRPr="00D42FBC">
        <w:t>discesa dei nuovi casi settimanali</w:t>
      </w:r>
      <w:r w:rsidR="006363BF">
        <w:t xml:space="preserve">. </w:t>
      </w:r>
      <w:r w:rsidR="001753D7" w:rsidRPr="00D42FBC">
        <w:t xml:space="preserve"> </w:t>
      </w:r>
      <w:r w:rsidR="006363BF">
        <w:t>Tuttavia s</w:t>
      </w:r>
      <w:r w:rsidR="000F6FB5">
        <w:t xml:space="preserve">i continua a rilevare una </w:t>
      </w:r>
      <w:r w:rsidR="000F6FB5" w:rsidRPr="00D42FBC">
        <w:t xml:space="preserve">progressiva diminuzione dell’attività di </w:t>
      </w:r>
      <w:proofErr w:type="spellStart"/>
      <w:r w:rsidR="000F6FB5" w:rsidRPr="00D42FBC">
        <w:t>testing</w:t>
      </w:r>
      <w:proofErr w:type="spellEnd"/>
      <w:r w:rsidR="000F6FB5">
        <w:t xml:space="preserve"> che, ribadiamo, </w:t>
      </w:r>
      <w:r w:rsidR="000F6FB5" w:rsidRPr="00D42FBC">
        <w:t>sottostima il numero dei nuovi casi e documenta l’insufficiente tracciamento dei contatti, cruciale in questa fase della pandemia</w:t>
      </w:r>
      <w:r w:rsidR="000F6FB5" w:rsidRPr="00D42FBC">
        <w:rPr>
          <w:rFonts w:ascii="Calibri" w:eastAsia="Times New Roman" w:hAnsi="Calibri" w:cs="Calibri"/>
          <w:lang w:eastAsia="it-IT"/>
        </w:rPr>
        <w:t xml:space="preserve">». </w:t>
      </w:r>
      <w:r w:rsidR="007F5D66" w:rsidRPr="00D42FBC">
        <w:rPr>
          <w:rFonts w:ascii="Calibri" w:eastAsia="Times New Roman" w:hAnsi="Calibri" w:cs="Calibri"/>
          <w:lang w:eastAsia="it-IT"/>
        </w:rPr>
        <w:t xml:space="preserve">Dalla </w:t>
      </w:r>
      <w:r w:rsidR="00775EC3" w:rsidRPr="00D42FBC">
        <w:rPr>
          <w:rFonts w:ascii="Calibri" w:eastAsia="Times New Roman" w:hAnsi="Calibri" w:cs="Calibri"/>
          <w:lang w:eastAsia="it-IT"/>
        </w:rPr>
        <w:t xml:space="preserve">settimana 5-11 maggio il numero di persone testate </w:t>
      </w:r>
      <w:r w:rsidR="009E0626">
        <w:rPr>
          <w:rFonts w:ascii="Calibri" w:eastAsia="Times New Roman" w:hAnsi="Calibri" w:cs="Calibri"/>
          <w:lang w:eastAsia="it-IT"/>
        </w:rPr>
        <w:t xml:space="preserve">settimanalmente </w:t>
      </w:r>
      <w:r w:rsidR="00775EC3" w:rsidRPr="00D42FBC">
        <w:rPr>
          <w:rFonts w:ascii="Calibri" w:eastAsia="Times New Roman" w:hAnsi="Calibri" w:cs="Calibri"/>
          <w:lang w:eastAsia="it-IT"/>
        </w:rPr>
        <w:t>si è progressivamente ridotto</w:t>
      </w:r>
      <w:r w:rsidR="007F5D66" w:rsidRPr="00D42FBC">
        <w:rPr>
          <w:rFonts w:ascii="Calibri" w:eastAsia="Times New Roman" w:hAnsi="Calibri" w:cs="Calibri"/>
          <w:lang w:eastAsia="it-IT"/>
        </w:rPr>
        <w:t xml:space="preserve"> del </w:t>
      </w:r>
      <w:r w:rsidR="00EA47F7">
        <w:rPr>
          <w:rFonts w:ascii="Calibri" w:eastAsia="Times New Roman" w:hAnsi="Calibri" w:cs="Calibri"/>
          <w:lang w:eastAsia="it-IT"/>
        </w:rPr>
        <w:t>60,3</w:t>
      </w:r>
      <w:r w:rsidR="007F5D66" w:rsidRPr="00D42FBC">
        <w:rPr>
          <w:rFonts w:ascii="Calibri" w:eastAsia="Times New Roman" w:hAnsi="Calibri" w:cs="Calibri"/>
          <w:lang w:eastAsia="it-IT"/>
        </w:rPr>
        <w:t>%</w:t>
      </w:r>
      <w:r w:rsidR="00775EC3" w:rsidRPr="00D42FBC">
        <w:rPr>
          <w:rFonts w:ascii="Calibri" w:eastAsia="Times New Roman" w:hAnsi="Calibri" w:cs="Calibri"/>
          <w:lang w:eastAsia="it-IT"/>
        </w:rPr>
        <w:t xml:space="preserve">, passando da 662.549 a </w:t>
      </w:r>
      <w:r w:rsidR="00A34154" w:rsidRPr="00D42FBC">
        <w:rPr>
          <w:rFonts w:ascii="Calibri" w:eastAsia="Times New Roman" w:hAnsi="Calibri" w:cs="Calibri"/>
          <w:lang w:eastAsia="it-IT"/>
        </w:rPr>
        <w:t>263.213</w:t>
      </w:r>
      <w:r w:rsidR="00002811" w:rsidRPr="00D42FBC">
        <w:rPr>
          <w:rFonts w:ascii="Calibri" w:eastAsia="Times New Roman" w:hAnsi="Calibri" w:cs="Calibri"/>
          <w:lang w:eastAsia="it-IT"/>
        </w:rPr>
        <w:t xml:space="preserve"> (</w:t>
      </w:r>
      <w:r w:rsidR="00002811" w:rsidRPr="00D42FBC">
        <w:rPr>
          <w:rFonts w:ascii="Calibri" w:eastAsia="Times New Roman" w:hAnsi="Calibri" w:cs="Calibri"/>
          <w:highlight w:val="yellow"/>
          <w:lang w:eastAsia="it-IT"/>
        </w:rPr>
        <w:t>figura 4</w:t>
      </w:r>
      <w:r w:rsidR="00226690">
        <w:rPr>
          <w:rFonts w:ascii="Calibri" w:eastAsia="Times New Roman" w:hAnsi="Calibri" w:cs="Calibri"/>
          <w:lang w:eastAsia="it-IT"/>
        </w:rPr>
        <w:t>)</w:t>
      </w:r>
      <w:r w:rsidR="005F1411" w:rsidRPr="000F6FB5">
        <w:rPr>
          <w:rFonts w:ascii="Calibri" w:eastAsia="Times New Roman" w:hAnsi="Calibri" w:cs="Calibri"/>
          <w:lang w:eastAsia="it-IT"/>
        </w:rPr>
        <w:t xml:space="preserve">. </w:t>
      </w:r>
      <w:r w:rsidR="00EA47F7">
        <w:rPr>
          <w:rFonts w:ascii="Calibri" w:eastAsia="Times New Roman" w:hAnsi="Calibri" w:cs="Calibri"/>
          <w:lang w:eastAsia="it-IT"/>
        </w:rPr>
        <w:t>In quasi tutte le Regioni</w:t>
      </w:r>
      <w:r w:rsidR="00C66ECF" w:rsidRPr="000F6FB5">
        <w:rPr>
          <w:rFonts w:ascii="Calibri" w:eastAsia="Times New Roman" w:hAnsi="Calibri" w:cs="Calibri"/>
          <w:lang w:eastAsia="it-IT"/>
        </w:rPr>
        <w:t xml:space="preserve"> </w:t>
      </w:r>
      <w:r w:rsidR="00893AEC" w:rsidRPr="000F6FB5">
        <w:rPr>
          <w:rFonts w:ascii="Calibri" w:eastAsia="Times New Roman" w:hAnsi="Calibri" w:cs="Calibri"/>
          <w:lang w:eastAsia="it-IT"/>
        </w:rPr>
        <w:t xml:space="preserve">si conferma </w:t>
      </w:r>
      <w:r w:rsidR="005F1411" w:rsidRPr="000F6FB5">
        <w:rPr>
          <w:rFonts w:ascii="Calibri" w:eastAsia="Times New Roman" w:hAnsi="Calibri" w:cs="Calibri"/>
          <w:lang w:eastAsia="it-IT"/>
        </w:rPr>
        <w:t>i</w:t>
      </w:r>
      <w:r w:rsidRPr="000F6FB5">
        <w:rPr>
          <w:rFonts w:ascii="Calibri" w:eastAsia="Times New Roman" w:hAnsi="Calibri" w:cs="Calibri"/>
          <w:lang w:eastAsia="it-IT"/>
        </w:rPr>
        <w:t>l calo dei nuovi casi settimanali</w:t>
      </w:r>
      <w:r w:rsidR="000772E1" w:rsidRPr="000F6FB5">
        <w:rPr>
          <w:rFonts w:ascii="Calibri" w:eastAsia="Times New Roman" w:hAnsi="Calibri" w:cs="Calibri"/>
          <w:lang w:eastAsia="it-IT"/>
        </w:rPr>
        <w:t>,</w:t>
      </w:r>
      <w:r w:rsidR="009F0BF0" w:rsidRPr="000F6FB5">
        <w:rPr>
          <w:rFonts w:ascii="Calibri" w:eastAsia="Times New Roman" w:hAnsi="Calibri" w:cs="Calibri"/>
          <w:lang w:eastAsia="it-IT"/>
        </w:rPr>
        <w:t xml:space="preserve"> </w:t>
      </w:r>
      <w:r w:rsidR="000772E1" w:rsidRPr="000F6FB5">
        <w:rPr>
          <w:rFonts w:ascii="Calibri" w:eastAsia="Times New Roman" w:hAnsi="Calibri" w:cs="Calibri"/>
          <w:lang w:eastAsia="it-IT"/>
        </w:rPr>
        <w:t>a</w:t>
      </w:r>
      <w:r w:rsidR="00B241AC">
        <w:rPr>
          <w:rFonts w:ascii="Calibri" w:eastAsia="Times New Roman" w:hAnsi="Calibri" w:cs="Calibri"/>
          <w:lang w:eastAsia="it-IT"/>
        </w:rPr>
        <w:t>d</w:t>
      </w:r>
      <w:r w:rsidR="00EA47F7">
        <w:rPr>
          <w:rFonts w:ascii="Calibri" w:eastAsia="Times New Roman" w:hAnsi="Calibri" w:cs="Calibri"/>
          <w:lang w:eastAsia="it-IT"/>
        </w:rPr>
        <w:t xml:space="preserve"> </w:t>
      </w:r>
      <w:r w:rsidR="000772E1" w:rsidRPr="000F6FB5">
        <w:rPr>
          <w:rFonts w:ascii="Calibri" w:eastAsia="Times New Roman" w:hAnsi="Calibri" w:cs="Calibri"/>
          <w:lang w:eastAsia="it-IT"/>
        </w:rPr>
        <w:t>eccezione di Abruzzo e Sardegna</w:t>
      </w:r>
      <w:r w:rsidR="00226690">
        <w:rPr>
          <w:rFonts w:ascii="Calibri" w:eastAsia="Times New Roman" w:hAnsi="Calibri" w:cs="Calibri"/>
          <w:lang w:eastAsia="it-IT"/>
        </w:rPr>
        <w:t>, che</w:t>
      </w:r>
      <w:r w:rsidR="009E0626">
        <w:rPr>
          <w:rFonts w:ascii="Calibri" w:eastAsia="Times New Roman" w:hAnsi="Calibri" w:cs="Calibri"/>
          <w:lang w:eastAsia="it-IT"/>
        </w:rPr>
        <w:t xml:space="preserve"> tuttavia</w:t>
      </w:r>
      <w:r w:rsidR="00226690">
        <w:rPr>
          <w:rFonts w:ascii="Calibri" w:eastAsia="Times New Roman" w:hAnsi="Calibri" w:cs="Calibri"/>
          <w:lang w:eastAsia="it-IT"/>
        </w:rPr>
        <w:t xml:space="preserve"> </w:t>
      </w:r>
      <w:r w:rsidR="009E0626">
        <w:rPr>
          <w:rFonts w:ascii="Calibri" w:eastAsia="Times New Roman" w:hAnsi="Calibri" w:cs="Calibri"/>
          <w:lang w:eastAsia="it-IT"/>
        </w:rPr>
        <w:t xml:space="preserve">registrano </w:t>
      </w:r>
      <w:r w:rsidR="00226690">
        <w:rPr>
          <w:rFonts w:ascii="Calibri" w:eastAsia="Times New Roman" w:hAnsi="Calibri" w:cs="Calibri"/>
          <w:lang w:eastAsia="it-IT"/>
        </w:rPr>
        <w:t xml:space="preserve">incrementi irrilevanti in termini assoluti </w:t>
      </w:r>
      <w:r w:rsidRPr="000F6FB5">
        <w:rPr>
          <w:rFonts w:ascii="Calibri" w:eastAsia="Times New Roman" w:hAnsi="Calibri" w:cs="Calibri"/>
          <w:lang w:eastAsia="it-IT"/>
        </w:rPr>
        <w:t>(</w:t>
      </w:r>
      <w:r w:rsidRPr="000F6FB5">
        <w:rPr>
          <w:rFonts w:ascii="Calibri" w:eastAsia="Times New Roman" w:hAnsi="Calibri" w:cs="Calibri"/>
          <w:highlight w:val="yellow"/>
          <w:lang w:eastAsia="it-IT"/>
        </w:rPr>
        <w:t>tabella</w:t>
      </w:r>
      <w:r w:rsidRPr="000F6FB5">
        <w:rPr>
          <w:rFonts w:ascii="Calibri" w:eastAsia="Times New Roman" w:hAnsi="Calibri" w:cs="Calibri"/>
          <w:lang w:eastAsia="it-IT"/>
        </w:rPr>
        <w:t>).</w:t>
      </w:r>
      <w:r w:rsidR="005D6BC0" w:rsidRPr="000F6FB5">
        <w:rPr>
          <w:rFonts w:ascii="Calibri" w:eastAsia="Times New Roman" w:hAnsi="Calibri" w:cs="Calibri"/>
          <w:lang w:eastAsia="it-IT"/>
        </w:rPr>
        <w:t xml:space="preserve"> </w:t>
      </w:r>
      <w:bookmarkStart w:id="1" w:name="_Hlk74138709"/>
      <w:r w:rsidR="00EA47F7">
        <w:rPr>
          <w:rFonts w:ascii="Calibri" w:eastAsia="Times New Roman" w:hAnsi="Calibri" w:cs="Calibri"/>
          <w:lang w:eastAsia="it-IT"/>
        </w:rPr>
        <w:t xml:space="preserve">I decessi, </w:t>
      </w:r>
      <w:r w:rsidR="009E0626">
        <w:rPr>
          <w:rFonts w:ascii="Calibri" w:eastAsia="Times New Roman" w:hAnsi="Calibri" w:cs="Calibri"/>
          <w:lang w:eastAsia="it-IT"/>
        </w:rPr>
        <w:t xml:space="preserve">in calo da </w:t>
      </w:r>
      <w:r w:rsidR="00EA47F7">
        <w:rPr>
          <w:rFonts w:ascii="Calibri" w:eastAsia="Times New Roman" w:hAnsi="Calibri" w:cs="Calibri"/>
          <w:lang w:eastAsia="it-IT"/>
        </w:rPr>
        <w:t>10 settimane consecutive</w:t>
      </w:r>
      <w:r w:rsidR="00132F7B" w:rsidRPr="000F6FB5">
        <w:t xml:space="preserve">, </w:t>
      </w:r>
      <w:r w:rsidR="00EA47F7">
        <w:t xml:space="preserve">si sono stabilizzati </w:t>
      </w:r>
      <w:r w:rsidR="009E0626">
        <w:t>attestandosi</w:t>
      </w:r>
      <w:r w:rsidR="00EA47F7">
        <w:t xml:space="preserve"> </w:t>
      </w:r>
      <w:r w:rsidR="00132F7B" w:rsidRPr="000F6FB5">
        <w:t xml:space="preserve">nell’ultima settimana </w:t>
      </w:r>
      <w:r w:rsidR="00B241AC">
        <w:t>ad una</w:t>
      </w:r>
      <w:r w:rsidR="00B241AC" w:rsidRPr="000F6FB5">
        <w:t xml:space="preserve"> </w:t>
      </w:r>
      <w:r w:rsidR="00132F7B" w:rsidRPr="000F6FB5">
        <w:t xml:space="preserve">media </w:t>
      </w:r>
      <w:r w:rsidR="000772E1" w:rsidRPr="000F6FB5">
        <w:t xml:space="preserve">31 </w:t>
      </w:r>
      <w:r w:rsidR="00132F7B" w:rsidRPr="000F6FB5">
        <w:t>al giorno</w:t>
      </w:r>
      <w:r w:rsidR="0064148D" w:rsidRPr="000F6FB5">
        <w:t xml:space="preserve"> rispetto ai </w:t>
      </w:r>
      <w:r w:rsidR="000772E1" w:rsidRPr="000F6FB5">
        <w:t xml:space="preserve">32 </w:t>
      </w:r>
      <w:r w:rsidR="0064148D" w:rsidRPr="000F6FB5">
        <w:t>della settimana precedente</w:t>
      </w:r>
      <w:r w:rsidR="005D6BC0" w:rsidRPr="000F6FB5">
        <w:t>.</w:t>
      </w:r>
      <w:bookmarkEnd w:id="1"/>
    </w:p>
    <w:p w:rsidR="00696361" w:rsidRPr="00D83E0C" w:rsidRDefault="00513592" w:rsidP="0021553C">
      <w:pPr>
        <w:spacing w:before="240" w:line="276" w:lineRule="auto"/>
        <w:jc w:val="both"/>
      </w:pPr>
      <w:r w:rsidRPr="0084147D">
        <w:rPr>
          <w:rFonts w:ascii="Calibri" w:eastAsia="Times New Roman" w:hAnsi="Calibri" w:cs="Calibri"/>
          <w:lang w:eastAsia="it-IT"/>
        </w:rPr>
        <w:t>«</w:t>
      </w:r>
      <w:r w:rsidR="005C7FCF">
        <w:rPr>
          <w:rFonts w:ascii="Calibri" w:eastAsia="Times New Roman" w:hAnsi="Calibri" w:cs="Calibri"/>
          <w:lang w:eastAsia="it-IT"/>
        </w:rPr>
        <w:t xml:space="preserve">Prosegue, </w:t>
      </w:r>
      <w:r w:rsidR="00226690">
        <w:rPr>
          <w:rFonts w:ascii="Calibri" w:eastAsia="Times New Roman" w:hAnsi="Calibri" w:cs="Calibri"/>
          <w:lang w:eastAsia="it-IT"/>
        </w:rPr>
        <w:t>ormai</w:t>
      </w:r>
      <w:r w:rsidR="005C7FCF">
        <w:rPr>
          <w:rFonts w:ascii="Calibri" w:eastAsia="Times New Roman" w:hAnsi="Calibri" w:cs="Calibri"/>
          <w:lang w:eastAsia="it-IT"/>
        </w:rPr>
        <w:t xml:space="preserve"> più lentamente, la</w:t>
      </w:r>
      <w:r w:rsidR="006B3A81" w:rsidRPr="0084147D">
        <w:rPr>
          <w:rFonts w:ascii="Calibri" w:eastAsia="Times New Roman" w:hAnsi="Calibri" w:cs="Calibri"/>
          <w:lang w:eastAsia="it-IT"/>
        </w:rPr>
        <w:t xml:space="preserve"> riduzione dei pazienti ospedalizzati </w:t>
      </w:r>
      <w:r w:rsidR="00132F7B" w:rsidRPr="0084147D">
        <w:rPr>
          <w:rFonts w:ascii="Calibri" w:eastAsia="Times New Roman" w:hAnsi="Calibri" w:cs="Calibri"/>
          <w:lang w:eastAsia="it-IT"/>
        </w:rPr>
        <w:t xml:space="preserve">– </w:t>
      </w:r>
      <w:r w:rsidRPr="0084147D">
        <w:rPr>
          <w:rFonts w:ascii="Calibri" w:eastAsia="Times New Roman" w:hAnsi="Calibri" w:cs="Calibri"/>
          <w:lang w:eastAsia="it-IT"/>
        </w:rPr>
        <w:t>afferma Renata Gili, responsabile Ricerca sui Servizi Sanitari della Fondazione GIMBE –</w:t>
      </w:r>
      <w:r w:rsidR="005C7FCF">
        <w:rPr>
          <w:rFonts w:ascii="Calibri" w:eastAsia="Times New Roman" w:hAnsi="Calibri" w:cs="Calibri"/>
          <w:lang w:eastAsia="it-IT"/>
        </w:rPr>
        <w:t xml:space="preserve"> che</w:t>
      </w:r>
      <w:r w:rsidR="006B3A81" w:rsidRPr="0084147D">
        <w:rPr>
          <w:rFonts w:ascii="Calibri" w:eastAsia="Times New Roman" w:hAnsi="Calibri" w:cs="Calibri"/>
          <w:lang w:eastAsia="it-IT"/>
        </w:rPr>
        <w:t xml:space="preserve"> </w:t>
      </w:r>
      <w:r w:rsidR="00FB69FB" w:rsidRPr="0084147D">
        <w:rPr>
          <w:rFonts w:ascii="Calibri" w:eastAsia="Times New Roman" w:hAnsi="Calibri" w:cs="Calibri"/>
          <w:lang w:eastAsia="it-IT"/>
        </w:rPr>
        <w:t>ha portato</w:t>
      </w:r>
      <w:r w:rsidR="00132F7B" w:rsidRPr="0084147D">
        <w:rPr>
          <w:rFonts w:ascii="Calibri" w:eastAsia="Times New Roman" w:hAnsi="Calibri" w:cs="Calibri"/>
          <w:lang w:eastAsia="it-IT"/>
        </w:rPr>
        <w:t xml:space="preserve"> </w:t>
      </w:r>
      <w:r w:rsidR="009F0BF0" w:rsidRPr="0084147D">
        <w:rPr>
          <w:rFonts w:ascii="Calibri" w:eastAsia="Times New Roman" w:hAnsi="Calibri" w:cs="Calibri"/>
          <w:lang w:eastAsia="it-IT"/>
        </w:rPr>
        <w:t>l</w:t>
      </w:r>
      <w:r w:rsidR="00132F7B" w:rsidRPr="0084147D">
        <w:t xml:space="preserve">’occupazione dei posti letto </w:t>
      </w:r>
      <w:r w:rsidR="009F0BF0" w:rsidRPr="0084147D">
        <w:t xml:space="preserve">da </w:t>
      </w:r>
      <w:r w:rsidR="009F0BF0" w:rsidRPr="00D42FBC">
        <w:t xml:space="preserve">parte dei pazienti </w:t>
      </w:r>
      <w:r w:rsidR="00132F7B" w:rsidRPr="00D42FBC">
        <w:t xml:space="preserve">COVID </w:t>
      </w:r>
      <w:r w:rsidR="00132F7B" w:rsidRPr="00D42FBC">
        <w:rPr>
          <w:rFonts w:ascii="Calibri" w:eastAsia="Times New Roman" w:hAnsi="Calibri" w:cs="Calibri"/>
          <w:lang w:eastAsia="it-IT"/>
        </w:rPr>
        <w:t>a</w:t>
      </w:r>
      <w:r w:rsidR="00BB7279" w:rsidRPr="00D42FBC">
        <w:rPr>
          <w:rFonts w:ascii="Calibri" w:eastAsia="Times New Roman" w:hAnsi="Calibri" w:cs="Calibri"/>
          <w:lang w:eastAsia="it-IT"/>
        </w:rPr>
        <w:t>l</w:t>
      </w:r>
      <w:r w:rsidR="00C73ADB" w:rsidRPr="00D42FBC">
        <w:rPr>
          <w:rFonts w:ascii="Calibri" w:eastAsia="Times New Roman" w:hAnsi="Calibri" w:cs="Calibri"/>
          <w:lang w:eastAsia="it-IT"/>
        </w:rPr>
        <w:t xml:space="preserve"> </w:t>
      </w:r>
      <w:r w:rsidR="000772E1" w:rsidRPr="00D42FBC">
        <w:rPr>
          <w:rFonts w:ascii="Calibri" w:eastAsia="Times New Roman" w:hAnsi="Calibri" w:cs="Calibri"/>
          <w:lang w:eastAsia="it-IT"/>
        </w:rPr>
        <w:t>3</w:t>
      </w:r>
      <w:r w:rsidR="00132F7B" w:rsidRPr="00D42FBC">
        <w:rPr>
          <w:rFonts w:ascii="Calibri" w:eastAsia="Times New Roman" w:hAnsi="Calibri" w:cs="Calibri"/>
          <w:lang w:eastAsia="it-IT"/>
        </w:rPr>
        <w:t>% sia in area medica che in terapia intensiva</w:t>
      </w:r>
      <w:r w:rsidR="00C67DAE">
        <w:rPr>
          <w:rFonts w:ascii="Calibri" w:eastAsia="Times New Roman" w:hAnsi="Calibri" w:cs="Calibri"/>
          <w:lang w:eastAsia="it-IT"/>
        </w:rPr>
        <w:t xml:space="preserve">: </w:t>
      </w:r>
      <w:r w:rsidR="005C7FCF">
        <w:rPr>
          <w:rFonts w:ascii="Calibri" w:eastAsia="Times New Roman" w:hAnsi="Calibri" w:cs="Calibri"/>
          <w:lang w:eastAsia="it-IT"/>
        </w:rPr>
        <w:t xml:space="preserve">anche questa settimana </w:t>
      </w:r>
      <w:r w:rsidR="000E5E18" w:rsidRPr="00D42FBC">
        <w:rPr>
          <w:rFonts w:ascii="Calibri" w:eastAsia="Times New Roman" w:hAnsi="Calibri" w:cs="Calibri"/>
          <w:lang w:eastAsia="it-IT"/>
        </w:rPr>
        <w:t xml:space="preserve">tutte le Regioni </w:t>
      </w:r>
      <w:r w:rsidR="005B75E8" w:rsidRPr="00D42FBC">
        <w:rPr>
          <w:rFonts w:ascii="Calibri" w:eastAsia="Times New Roman" w:hAnsi="Calibri" w:cs="Calibri"/>
          <w:lang w:eastAsia="it-IT"/>
        </w:rPr>
        <w:t xml:space="preserve">registrano </w:t>
      </w:r>
      <w:r w:rsidR="000E5E18" w:rsidRPr="00D42FBC">
        <w:rPr>
          <w:rFonts w:ascii="Calibri" w:eastAsia="Times New Roman" w:hAnsi="Calibri" w:cs="Calibri"/>
          <w:lang w:eastAsia="it-IT"/>
        </w:rPr>
        <w:t xml:space="preserve">valori inferiori al 10% e </w:t>
      </w:r>
      <w:r w:rsidR="00C67DAE">
        <w:rPr>
          <w:rFonts w:ascii="Calibri" w:eastAsia="Times New Roman" w:hAnsi="Calibri" w:cs="Calibri"/>
          <w:lang w:eastAsia="it-IT"/>
        </w:rPr>
        <w:t xml:space="preserve">sono </w:t>
      </w:r>
      <w:r w:rsidR="000772E1" w:rsidRPr="00D42FBC">
        <w:rPr>
          <w:rFonts w:ascii="Calibri" w:eastAsia="Times New Roman" w:hAnsi="Calibri" w:cs="Calibri"/>
          <w:lang w:eastAsia="it-IT"/>
        </w:rPr>
        <w:t xml:space="preserve">5 </w:t>
      </w:r>
      <w:r w:rsidR="00C67DAE">
        <w:rPr>
          <w:rFonts w:ascii="Calibri" w:eastAsia="Times New Roman" w:hAnsi="Calibri" w:cs="Calibri"/>
          <w:lang w:eastAsia="it-IT"/>
        </w:rPr>
        <w:t xml:space="preserve">le </w:t>
      </w:r>
      <w:r w:rsidR="000E5E18" w:rsidRPr="00D42FBC">
        <w:rPr>
          <w:rFonts w:ascii="Calibri" w:eastAsia="Times New Roman" w:hAnsi="Calibri" w:cs="Calibri"/>
          <w:lang w:eastAsia="it-IT"/>
        </w:rPr>
        <w:t xml:space="preserve">Regioni senza pazienti COVID ricoverati in </w:t>
      </w:r>
      <w:r w:rsidR="00CD54D3" w:rsidRPr="00D42FBC">
        <w:rPr>
          <w:rFonts w:ascii="Calibri" w:eastAsia="Times New Roman" w:hAnsi="Calibri" w:cs="Calibri"/>
          <w:lang w:eastAsia="it-IT"/>
        </w:rPr>
        <w:t>area critica</w:t>
      </w:r>
      <w:r w:rsidRPr="00D42FBC">
        <w:rPr>
          <w:rFonts w:ascii="Calibri" w:eastAsia="Times New Roman" w:hAnsi="Calibri" w:cs="Calibri"/>
          <w:lang w:eastAsia="it-IT"/>
        </w:rPr>
        <w:t>». In</w:t>
      </w:r>
      <w:r w:rsidRPr="00D42FBC">
        <w:t xml:space="preserve"> dettaglio</w:t>
      </w:r>
      <w:r w:rsidR="00322B74" w:rsidRPr="00D42FBC">
        <w:t>,</w:t>
      </w:r>
      <w:r w:rsidRPr="00D42FBC">
        <w:t xml:space="preserve"> dal picco del 6 aprile i posti </w:t>
      </w:r>
      <w:r w:rsidRPr="0084147D">
        <w:t xml:space="preserve">letto occupati in area </w:t>
      </w:r>
      <w:r w:rsidRPr="00D83E0C">
        <w:t xml:space="preserve">medica sono scesi da </w:t>
      </w:r>
      <w:r w:rsidR="00EA3790" w:rsidRPr="00D83E0C">
        <w:t>29.337</w:t>
      </w:r>
      <w:r w:rsidR="00301721" w:rsidRPr="00D83E0C">
        <w:t xml:space="preserve"> </w:t>
      </w:r>
      <w:r w:rsidRPr="00D83E0C">
        <w:t xml:space="preserve">a </w:t>
      </w:r>
      <w:r w:rsidR="000772E1" w:rsidRPr="00D83E0C">
        <w:t>1.676</w:t>
      </w:r>
      <w:r w:rsidRPr="00D83E0C">
        <w:t xml:space="preserve"> (-</w:t>
      </w:r>
      <w:r w:rsidR="000772E1" w:rsidRPr="00D83E0C">
        <w:t>94</w:t>
      </w:r>
      <w:r w:rsidR="00C73ADB" w:rsidRPr="00D83E0C">
        <w:t>,</w:t>
      </w:r>
      <w:r w:rsidR="000772E1" w:rsidRPr="00D83E0C">
        <w:t>3</w:t>
      </w:r>
      <w:r w:rsidR="009E6C0C" w:rsidRPr="00D83E0C">
        <w:t>%)</w:t>
      </w:r>
      <w:r w:rsidRPr="00D83E0C">
        <w:t xml:space="preserve"> e quelli in terapia intensiva da</w:t>
      </w:r>
      <w:r w:rsidR="005F1411" w:rsidRPr="00D83E0C">
        <w:t xml:space="preserve"> </w:t>
      </w:r>
      <w:r w:rsidR="00EA3790" w:rsidRPr="00D83E0C">
        <w:t xml:space="preserve">3.743 </w:t>
      </w:r>
      <w:r w:rsidRPr="00D83E0C">
        <w:t xml:space="preserve">a </w:t>
      </w:r>
      <w:r w:rsidR="000772E1" w:rsidRPr="00D83E0C">
        <w:t xml:space="preserve">270 </w:t>
      </w:r>
      <w:r w:rsidRPr="00D83E0C">
        <w:t>(-</w:t>
      </w:r>
      <w:r w:rsidR="009C50B6" w:rsidRPr="00D83E0C">
        <w:t>9</w:t>
      </w:r>
      <w:r w:rsidR="000772E1" w:rsidRPr="00D83E0C">
        <w:t>2</w:t>
      </w:r>
      <w:r w:rsidR="00EA3790" w:rsidRPr="00D83E0C">
        <w:t>,</w:t>
      </w:r>
      <w:r w:rsidR="000772E1" w:rsidRPr="00D83E0C">
        <w:t>8</w:t>
      </w:r>
      <w:r w:rsidRPr="00D83E0C">
        <w:t>%)</w:t>
      </w:r>
      <w:r w:rsidR="000A5004" w:rsidRPr="00D83E0C">
        <w:t>.</w:t>
      </w:r>
      <w:r w:rsidR="004D1807" w:rsidRPr="00D83E0C">
        <w:t xml:space="preserve"> </w:t>
      </w:r>
      <w:r w:rsidR="009C50B6" w:rsidRPr="00D83E0C">
        <w:t>L</w:t>
      </w:r>
      <w:r w:rsidR="004D1807" w:rsidRPr="00D83E0C">
        <w:t>e persone in isolamento domiciliare</w:t>
      </w:r>
      <w:r w:rsidR="00F66CB5" w:rsidRPr="00D83E0C">
        <w:t>,</w:t>
      </w:r>
      <w:r w:rsidR="004D1807" w:rsidRPr="00D83E0C">
        <w:t xml:space="preserve"> </w:t>
      </w:r>
      <w:r w:rsidR="006A1DDF" w:rsidRPr="00D83E0C">
        <w:t>dal picco del 28 marzo</w:t>
      </w:r>
      <w:r w:rsidR="00F66CB5" w:rsidRPr="00D83E0C">
        <w:t>,</w:t>
      </w:r>
      <w:r w:rsidR="006A1DDF" w:rsidRPr="00D83E0C">
        <w:t xml:space="preserve"> </w:t>
      </w:r>
      <w:r w:rsidR="00F66CB5" w:rsidRPr="00D83E0C">
        <w:t>sono passate</w:t>
      </w:r>
      <w:r w:rsidR="00AF19B2" w:rsidRPr="00D83E0C">
        <w:t xml:space="preserve"> </w:t>
      </w:r>
      <w:r w:rsidR="004D1807" w:rsidRPr="00D83E0C">
        <w:t xml:space="preserve">da 540.855 a </w:t>
      </w:r>
      <w:r w:rsidR="000772E1" w:rsidRPr="00D83E0C">
        <w:t>50.878</w:t>
      </w:r>
      <w:r w:rsidR="004D1807" w:rsidRPr="00D83E0C">
        <w:t xml:space="preserve"> (-</w:t>
      </w:r>
      <w:r w:rsidR="00FC046C" w:rsidRPr="00D83E0C">
        <w:t>90,6</w:t>
      </w:r>
      <w:r w:rsidR="004D1807" w:rsidRPr="00D83E0C">
        <w:t>%).</w:t>
      </w:r>
      <w:r w:rsidR="00371869" w:rsidRPr="00D83E0C">
        <w:t xml:space="preserve"> </w:t>
      </w:r>
      <w:r w:rsidRPr="00D83E0C">
        <w:t>«</w:t>
      </w:r>
      <w:r w:rsidR="00EC6615" w:rsidRPr="00D83E0C">
        <w:t>G</w:t>
      </w:r>
      <w:r w:rsidR="000A5004" w:rsidRPr="00D83E0C">
        <w:t>li</w:t>
      </w:r>
      <w:r w:rsidRPr="00D83E0C">
        <w:t xml:space="preserve"> ingressi</w:t>
      </w:r>
      <w:r w:rsidR="000C3B5B" w:rsidRPr="00D83E0C">
        <w:t xml:space="preserve"> giornalieri</w:t>
      </w:r>
      <w:r w:rsidRPr="00D83E0C">
        <w:t xml:space="preserve"> in terapia intensiva</w:t>
      </w:r>
      <w:r w:rsidR="00402BB9" w:rsidRPr="00D83E0C">
        <w:t xml:space="preserve"> </w:t>
      </w:r>
      <w:r w:rsidRPr="00D83E0C">
        <w:t xml:space="preserve">– spiega </w:t>
      </w:r>
      <w:r w:rsidRPr="00D83E0C">
        <w:lastRenderedPageBreak/>
        <w:t>Marco Mosti, Direttore Operativo della Fondazione GIMBE –</w:t>
      </w:r>
      <w:r w:rsidR="00F66CB5" w:rsidRPr="00D83E0C">
        <w:t xml:space="preserve"> </w:t>
      </w:r>
      <w:r w:rsidR="009C50B6" w:rsidRPr="00D83E0C">
        <w:t xml:space="preserve">risultano </w:t>
      </w:r>
      <w:r w:rsidR="00404A0D" w:rsidRPr="00D83E0C">
        <w:t>in calo da</w:t>
      </w:r>
      <w:r w:rsidR="00DE10A8" w:rsidRPr="00D83E0C">
        <w:t xml:space="preserve"> </w:t>
      </w:r>
      <w:r w:rsidR="00B241AC">
        <w:t xml:space="preserve">ormai </w:t>
      </w:r>
      <w:r w:rsidR="00DE10A8" w:rsidRPr="00D83E0C">
        <w:t xml:space="preserve">3 mesi </w:t>
      </w:r>
      <w:r w:rsidR="009C50B6" w:rsidRPr="00D83E0C">
        <w:t xml:space="preserve">e la media </w:t>
      </w:r>
      <w:r w:rsidRPr="00D83E0C">
        <w:t xml:space="preserve">mobile a 7 giorni </w:t>
      </w:r>
      <w:r w:rsidR="009C50B6" w:rsidRPr="00D83E0C">
        <w:t xml:space="preserve">è di </w:t>
      </w:r>
      <w:r w:rsidR="00FC046C" w:rsidRPr="00D83E0C">
        <w:t xml:space="preserve">8 </w:t>
      </w:r>
      <w:r w:rsidRPr="00D83E0C">
        <w:t>ingressi/die» (</w:t>
      </w:r>
      <w:r w:rsidRPr="00D83E0C">
        <w:rPr>
          <w:highlight w:val="yellow"/>
        </w:rPr>
        <w:t xml:space="preserve">figura </w:t>
      </w:r>
      <w:r w:rsidR="00C82FD3">
        <w:rPr>
          <w:highlight w:val="yellow"/>
        </w:rPr>
        <w:t>5</w:t>
      </w:r>
      <w:r w:rsidRPr="00D83E0C">
        <w:t>).</w:t>
      </w:r>
    </w:p>
    <w:p w:rsidR="009C50B6" w:rsidRDefault="008B1130" w:rsidP="00C30D9B">
      <w:pPr>
        <w:spacing w:after="0" w:line="276" w:lineRule="auto"/>
        <w:jc w:val="both"/>
      </w:pPr>
      <w:r w:rsidRPr="005C7FCF">
        <w:rPr>
          <w:b/>
        </w:rPr>
        <w:t xml:space="preserve">Vaccini: </w:t>
      </w:r>
      <w:r w:rsidRPr="00D83E0C">
        <w:rPr>
          <w:b/>
        </w:rPr>
        <w:t>forniture</w:t>
      </w:r>
      <w:r w:rsidRPr="00D83E0C">
        <w:t xml:space="preserve">. </w:t>
      </w:r>
      <w:r w:rsidR="003D03C1" w:rsidRPr="00D83E0C">
        <w:t xml:space="preserve">Al </w:t>
      </w:r>
      <w:r w:rsidR="001526E8" w:rsidRPr="00D83E0C">
        <w:t>30</w:t>
      </w:r>
      <w:r w:rsidR="00683A5E" w:rsidRPr="00D83E0C">
        <w:t xml:space="preserve"> giugn</w:t>
      </w:r>
      <w:r w:rsidR="00D32E45" w:rsidRPr="00D83E0C">
        <w:t>o</w:t>
      </w:r>
      <w:r w:rsidR="003D03C1" w:rsidRPr="00D83E0C">
        <w:t xml:space="preserve"> (aggiornamento ore</w:t>
      </w:r>
      <w:r w:rsidR="00AD0DBF" w:rsidRPr="00D83E0C">
        <w:t xml:space="preserve"> 6.</w:t>
      </w:r>
      <w:r w:rsidR="009C50B6" w:rsidRPr="00D83E0C">
        <w:t>10</w:t>
      </w:r>
      <w:r w:rsidR="003D03C1" w:rsidRPr="00D83E0C">
        <w:t>) risultano consegnate</w:t>
      </w:r>
      <w:r w:rsidR="00AD0DBF" w:rsidRPr="00D83E0C">
        <w:t xml:space="preserve"> </w:t>
      </w:r>
      <w:r w:rsidR="001526E8" w:rsidRPr="00D83E0C">
        <w:t>55.302.293</w:t>
      </w:r>
      <w:r w:rsidR="009C50B6" w:rsidRPr="00D83E0C">
        <w:t xml:space="preserve"> </w:t>
      </w:r>
      <w:r w:rsidR="006A2E8A" w:rsidRPr="00D83E0C">
        <w:t xml:space="preserve">dosi, </w:t>
      </w:r>
      <w:r w:rsidR="002A7BB3" w:rsidRPr="00D83E0C">
        <w:t>pari al</w:t>
      </w:r>
      <w:r w:rsidR="00AD0DBF" w:rsidRPr="00D83E0C">
        <w:t xml:space="preserve"> </w:t>
      </w:r>
      <w:r w:rsidR="001526E8" w:rsidRPr="00D83E0C">
        <w:t>72,6</w:t>
      </w:r>
      <w:r w:rsidR="00231765" w:rsidRPr="00D83E0C">
        <w:t xml:space="preserve">% </w:t>
      </w:r>
      <w:r w:rsidR="006A2E8A" w:rsidRPr="00D83E0C">
        <w:t>di quelle</w:t>
      </w:r>
      <w:r w:rsidR="00231765" w:rsidRPr="00D83E0C">
        <w:t xml:space="preserve"> p</w:t>
      </w:r>
      <w:r w:rsidR="00AA62F8" w:rsidRPr="00D83E0C">
        <w:t>reviste per il 1° semestre 2021</w:t>
      </w:r>
      <w:r w:rsidR="006B3A81" w:rsidRPr="00D83E0C">
        <w:t xml:space="preserve"> (</w:t>
      </w:r>
      <w:r w:rsidR="001C290F" w:rsidRPr="00D83E0C">
        <w:rPr>
          <w:highlight w:val="yellow"/>
        </w:rPr>
        <w:t xml:space="preserve">figura </w:t>
      </w:r>
      <w:r w:rsidR="00C82FD3">
        <w:rPr>
          <w:highlight w:val="yellow"/>
        </w:rPr>
        <w:t>6</w:t>
      </w:r>
      <w:r w:rsidR="006B3A81" w:rsidRPr="00D83E0C">
        <w:t>)</w:t>
      </w:r>
      <w:r w:rsidR="003D03C1" w:rsidRPr="00D83E0C">
        <w:t>. In dettaglio</w:t>
      </w:r>
      <w:r w:rsidR="006B0B30" w:rsidRPr="00D83E0C">
        <w:t>:</w:t>
      </w:r>
    </w:p>
    <w:tbl>
      <w:tblPr>
        <w:tblW w:w="7796" w:type="dxa"/>
        <w:tblInd w:w="851" w:type="dxa"/>
        <w:tblCellMar>
          <w:left w:w="70" w:type="dxa"/>
          <w:right w:w="70" w:type="dxa"/>
        </w:tblCellMar>
        <w:tblLook w:val="04A0" w:firstRow="1" w:lastRow="0" w:firstColumn="1" w:lastColumn="0" w:noHBand="0" w:noVBand="1"/>
      </w:tblPr>
      <w:tblGrid>
        <w:gridCol w:w="1984"/>
        <w:gridCol w:w="1560"/>
        <w:gridCol w:w="2108"/>
        <w:gridCol w:w="2144"/>
      </w:tblGrid>
      <w:tr w:rsidR="001526E8" w:rsidRPr="001526E8" w:rsidTr="005C7FCF">
        <w:trPr>
          <w:trHeight w:val="300"/>
        </w:trPr>
        <w:tc>
          <w:tcPr>
            <w:tcW w:w="7796" w:type="dxa"/>
            <w:gridSpan w:val="4"/>
            <w:tcBorders>
              <w:top w:val="nil"/>
              <w:left w:val="nil"/>
              <w:bottom w:val="single" w:sz="4" w:space="0" w:color="00457D"/>
              <w:right w:val="nil"/>
            </w:tcBorders>
            <w:shd w:val="clear" w:color="000000" w:fill="FFFFFF"/>
            <w:noWrap/>
            <w:vAlign w:val="center"/>
            <w:hideMark/>
          </w:tcPr>
          <w:p w:rsidR="001526E8" w:rsidRPr="001526E8" w:rsidRDefault="001526E8" w:rsidP="001526E8">
            <w:pPr>
              <w:spacing w:after="0" w:line="240" w:lineRule="auto"/>
              <w:jc w:val="center"/>
              <w:rPr>
                <w:rFonts w:ascii="Calibri" w:eastAsia="Times New Roman" w:hAnsi="Calibri" w:cs="Calibri"/>
                <w:b/>
                <w:bCs/>
                <w:color w:val="00457D"/>
                <w:lang w:eastAsia="it-IT"/>
              </w:rPr>
            </w:pPr>
            <w:r w:rsidRPr="001526E8">
              <w:rPr>
                <w:rFonts w:ascii="Calibri" w:eastAsia="Times New Roman" w:hAnsi="Calibri" w:cs="Calibri"/>
                <w:b/>
                <w:bCs/>
                <w:color w:val="00457D"/>
                <w:lang w:eastAsia="it-IT"/>
              </w:rPr>
              <w:t>Dosi di vaccini 1° semestre 2021</w:t>
            </w:r>
          </w:p>
        </w:tc>
      </w:tr>
      <w:tr w:rsidR="001526E8" w:rsidRPr="001526E8" w:rsidTr="005C7FCF">
        <w:trPr>
          <w:trHeight w:val="825"/>
        </w:trPr>
        <w:tc>
          <w:tcPr>
            <w:tcW w:w="1984" w:type="dxa"/>
            <w:tcBorders>
              <w:top w:val="nil"/>
              <w:left w:val="single" w:sz="4" w:space="0" w:color="00457D"/>
              <w:bottom w:val="nil"/>
              <w:right w:val="single" w:sz="4" w:space="0" w:color="FFFFFF"/>
            </w:tcBorders>
            <w:shd w:val="clear" w:color="000000" w:fill="003C7D"/>
            <w:vAlign w:val="center"/>
            <w:hideMark/>
          </w:tcPr>
          <w:p w:rsidR="001526E8" w:rsidRPr="001526E8" w:rsidRDefault="001526E8" w:rsidP="001526E8">
            <w:pPr>
              <w:spacing w:after="0" w:line="240" w:lineRule="auto"/>
              <w:rPr>
                <w:rFonts w:ascii="Calibri" w:eastAsia="Times New Roman" w:hAnsi="Calibri" w:cs="Calibri"/>
                <w:b/>
                <w:bCs/>
                <w:color w:val="FFFFFF"/>
                <w:sz w:val="20"/>
                <w:szCs w:val="20"/>
                <w:lang w:eastAsia="it-IT"/>
              </w:rPr>
            </w:pPr>
            <w:r w:rsidRPr="001526E8">
              <w:rPr>
                <w:rFonts w:ascii="Calibri" w:eastAsia="Times New Roman" w:hAnsi="Calibri" w:cs="Calibri"/>
                <w:b/>
                <w:bCs/>
                <w:color w:val="FFFFFF"/>
                <w:sz w:val="20"/>
                <w:szCs w:val="20"/>
                <w:lang w:eastAsia="it-IT"/>
              </w:rPr>
              <w:t>Vaccino</w:t>
            </w:r>
          </w:p>
        </w:tc>
        <w:tc>
          <w:tcPr>
            <w:tcW w:w="1560" w:type="dxa"/>
            <w:tcBorders>
              <w:top w:val="nil"/>
              <w:left w:val="nil"/>
              <w:bottom w:val="nil"/>
              <w:right w:val="single" w:sz="4" w:space="0" w:color="FFFFFF"/>
            </w:tcBorders>
            <w:shd w:val="clear" w:color="000000" w:fill="003C7D"/>
            <w:vAlign w:val="center"/>
            <w:hideMark/>
          </w:tcPr>
          <w:p w:rsidR="001526E8" w:rsidRPr="001526E8" w:rsidRDefault="001526E8" w:rsidP="001526E8">
            <w:pPr>
              <w:spacing w:after="0" w:line="240" w:lineRule="auto"/>
              <w:jc w:val="center"/>
              <w:rPr>
                <w:rFonts w:ascii="Calibri" w:eastAsia="Times New Roman" w:hAnsi="Calibri" w:cs="Calibri"/>
                <w:b/>
                <w:bCs/>
                <w:color w:val="FFFFFF"/>
                <w:sz w:val="20"/>
                <w:szCs w:val="20"/>
                <w:lang w:eastAsia="it-IT"/>
              </w:rPr>
            </w:pPr>
            <w:r w:rsidRPr="001526E8">
              <w:rPr>
                <w:rFonts w:ascii="Calibri" w:eastAsia="Times New Roman" w:hAnsi="Calibri" w:cs="Calibri"/>
                <w:b/>
                <w:bCs/>
                <w:color w:val="FFFFFF"/>
                <w:sz w:val="20"/>
                <w:szCs w:val="20"/>
                <w:lang w:eastAsia="it-IT"/>
              </w:rPr>
              <w:t>Dosi previste</w:t>
            </w:r>
          </w:p>
        </w:tc>
        <w:tc>
          <w:tcPr>
            <w:tcW w:w="2108" w:type="dxa"/>
            <w:tcBorders>
              <w:top w:val="nil"/>
              <w:left w:val="nil"/>
              <w:bottom w:val="nil"/>
              <w:right w:val="single" w:sz="4" w:space="0" w:color="FFFFFF"/>
            </w:tcBorders>
            <w:shd w:val="clear" w:color="000000" w:fill="003C7D"/>
            <w:vAlign w:val="center"/>
            <w:hideMark/>
          </w:tcPr>
          <w:p w:rsidR="001526E8" w:rsidRPr="001526E8" w:rsidRDefault="001526E8" w:rsidP="001526E8">
            <w:pPr>
              <w:spacing w:after="0" w:line="240" w:lineRule="auto"/>
              <w:jc w:val="center"/>
              <w:rPr>
                <w:rFonts w:ascii="Calibri" w:eastAsia="Times New Roman" w:hAnsi="Calibri" w:cs="Calibri"/>
                <w:b/>
                <w:bCs/>
                <w:color w:val="FFFFFF"/>
                <w:sz w:val="20"/>
                <w:szCs w:val="20"/>
                <w:lang w:eastAsia="it-IT"/>
              </w:rPr>
            </w:pPr>
            <w:r w:rsidRPr="001526E8">
              <w:rPr>
                <w:rFonts w:ascii="Calibri" w:eastAsia="Times New Roman" w:hAnsi="Calibri" w:cs="Calibri"/>
                <w:b/>
                <w:bCs/>
                <w:color w:val="FFFFFF"/>
                <w:sz w:val="20"/>
                <w:szCs w:val="20"/>
                <w:lang w:eastAsia="it-IT"/>
              </w:rPr>
              <w:t>Dosi consegnate</w:t>
            </w:r>
            <w:r w:rsidRPr="001526E8">
              <w:rPr>
                <w:rFonts w:ascii="Calibri" w:eastAsia="Times New Roman" w:hAnsi="Calibri" w:cs="Calibri"/>
                <w:b/>
                <w:bCs/>
                <w:color w:val="FFFFFF"/>
                <w:sz w:val="20"/>
                <w:szCs w:val="20"/>
                <w:lang w:eastAsia="it-IT"/>
              </w:rPr>
              <w:br/>
              <w:t>(% su dosi previste)</w:t>
            </w:r>
          </w:p>
        </w:tc>
        <w:tc>
          <w:tcPr>
            <w:tcW w:w="2144" w:type="dxa"/>
            <w:tcBorders>
              <w:top w:val="nil"/>
              <w:left w:val="nil"/>
              <w:bottom w:val="nil"/>
              <w:right w:val="single" w:sz="4" w:space="0" w:color="00457D"/>
            </w:tcBorders>
            <w:shd w:val="clear" w:color="000000" w:fill="003C7D"/>
            <w:vAlign w:val="center"/>
            <w:hideMark/>
          </w:tcPr>
          <w:p w:rsidR="001526E8" w:rsidRPr="001526E8" w:rsidRDefault="001526E8" w:rsidP="001526E8">
            <w:pPr>
              <w:spacing w:after="0" w:line="240" w:lineRule="auto"/>
              <w:jc w:val="center"/>
              <w:rPr>
                <w:rFonts w:ascii="Calibri" w:eastAsia="Times New Roman" w:hAnsi="Calibri" w:cs="Calibri"/>
                <w:b/>
                <w:bCs/>
                <w:color w:val="FFFFFF"/>
                <w:sz w:val="20"/>
                <w:szCs w:val="20"/>
                <w:lang w:eastAsia="it-IT"/>
              </w:rPr>
            </w:pPr>
            <w:r w:rsidRPr="001526E8">
              <w:rPr>
                <w:rFonts w:ascii="Calibri" w:eastAsia="Times New Roman" w:hAnsi="Calibri" w:cs="Calibri"/>
                <w:b/>
                <w:bCs/>
                <w:color w:val="FFFFFF"/>
                <w:sz w:val="20"/>
                <w:szCs w:val="20"/>
                <w:lang w:eastAsia="it-IT"/>
              </w:rPr>
              <w:t xml:space="preserve">Dosi somministrate </w:t>
            </w:r>
            <w:r w:rsidRPr="001526E8">
              <w:rPr>
                <w:rFonts w:ascii="Calibri" w:eastAsia="Times New Roman" w:hAnsi="Calibri" w:cs="Calibri"/>
                <w:b/>
                <w:bCs/>
                <w:color w:val="FFFFFF"/>
                <w:sz w:val="20"/>
                <w:szCs w:val="20"/>
                <w:lang w:eastAsia="it-IT"/>
              </w:rPr>
              <w:br/>
              <w:t>(% su dosi consegnate)</w:t>
            </w:r>
          </w:p>
        </w:tc>
      </w:tr>
      <w:tr w:rsidR="001526E8" w:rsidRPr="001526E8" w:rsidTr="001526E8">
        <w:trPr>
          <w:trHeight w:val="300"/>
        </w:trPr>
        <w:tc>
          <w:tcPr>
            <w:tcW w:w="1984" w:type="dxa"/>
            <w:tcBorders>
              <w:top w:val="nil"/>
              <w:left w:val="single" w:sz="4" w:space="0" w:color="00457D"/>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Pfizer/</w:t>
            </w:r>
            <w:proofErr w:type="spellStart"/>
            <w:r w:rsidRPr="001526E8">
              <w:rPr>
                <w:rFonts w:ascii="Calibri" w:eastAsia="Times New Roman" w:hAnsi="Calibri" w:cs="Calibri"/>
                <w:sz w:val="20"/>
                <w:szCs w:val="20"/>
                <w:lang w:eastAsia="it-IT"/>
              </w:rPr>
              <w:t>BioNTech</w:t>
            </w:r>
            <w:proofErr w:type="spellEnd"/>
          </w:p>
        </w:tc>
        <w:tc>
          <w:tcPr>
            <w:tcW w:w="1560" w:type="dxa"/>
            <w:tcBorders>
              <w:top w:val="nil"/>
              <w:left w:val="nil"/>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41.463.630</w:t>
            </w:r>
          </w:p>
        </w:tc>
        <w:tc>
          <w:tcPr>
            <w:tcW w:w="2108" w:type="dxa"/>
            <w:tcBorders>
              <w:top w:val="nil"/>
              <w:left w:val="nil"/>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37.404.244 (90,2%)</w:t>
            </w:r>
          </w:p>
        </w:tc>
        <w:tc>
          <w:tcPr>
            <w:tcW w:w="2144" w:type="dxa"/>
            <w:tcBorders>
              <w:top w:val="nil"/>
              <w:left w:val="nil"/>
              <w:bottom w:val="single" w:sz="4" w:space="0" w:color="003C7D"/>
              <w:right w:val="single" w:sz="4" w:space="0" w:color="0045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36.068.002 (96,4%)</w:t>
            </w:r>
          </w:p>
        </w:tc>
      </w:tr>
      <w:tr w:rsidR="001526E8" w:rsidRPr="001526E8" w:rsidTr="001526E8">
        <w:trPr>
          <w:trHeight w:val="300"/>
        </w:trPr>
        <w:tc>
          <w:tcPr>
            <w:tcW w:w="1984" w:type="dxa"/>
            <w:tcBorders>
              <w:top w:val="nil"/>
              <w:left w:val="single" w:sz="4" w:space="0" w:color="00457D"/>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Moderna</w:t>
            </w:r>
          </w:p>
        </w:tc>
        <w:tc>
          <w:tcPr>
            <w:tcW w:w="1560" w:type="dxa"/>
            <w:tcBorders>
              <w:top w:val="nil"/>
              <w:left w:val="nil"/>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5.980.000</w:t>
            </w:r>
          </w:p>
        </w:tc>
        <w:tc>
          <w:tcPr>
            <w:tcW w:w="2108" w:type="dxa"/>
            <w:tcBorders>
              <w:top w:val="nil"/>
              <w:left w:val="nil"/>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5.445.037 (91,1%)</w:t>
            </w:r>
          </w:p>
        </w:tc>
        <w:tc>
          <w:tcPr>
            <w:tcW w:w="2144" w:type="dxa"/>
            <w:tcBorders>
              <w:top w:val="nil"/>
              <w:left w:val="nil"/>
              <w:bottom w:val="single" w:sz="4" w:space="0" w:color="003C7D"/>
              <w:right w:val="single" w:sz="4" w:space="0" w:color="0045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4.911.882 (90,2%)</w:t>
            </w:r>
          </w:p>
        </w:tc>
      </w:tr>
      <w:tr w:rsidR="001526E8" w:rsidRPr="001526E8" w:rsidTr="001526E8">
        <w:trPr>
          <w:trHeight w:val="300"/>
        </w:trPr>
        <w:tc>
          <w:tcPr>
            <w:tcW w:w="1984" w:type="dxa"/>
            <w:tcBorders>
              <w:top w:val="nil"/>
              <w:left w:val="single" w:sz="4" w:space="0" w:color="00457D"/>
              <w:bottom w:val="nil"/>
              <w:right w:val="single" w:sz="4" w:space="0" w:color="003C7D"/>
            </w:tcBorders>
            <w:shd w:val="clear" w:color="auto" w:fill="auto"/>
            <w:noWrap/>
            <w:vAlign w:val="center"/>
            <w:hideMark/>
          </w:tcPr>
          <w:p w:rsidR="001526E8" w:rsidRPr="001526E8" w:rsidRDefault="001526E8" w:rsidP="001526E8">
            <w:pPr>
              <w:spacing w:after="0" w:line="240" w:lineRule="auto"/>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AstraZeneca</w:t>
            </w:r>
          </w:p>
        </w:tc>
        <w:tc>
          <w:tcPr>
            <w:tcW w:w="1560" w:type="dxa"/>
            <w:tcBorders>
              <w:top w:val="nil"/>
              <w:left w:val="nil"/>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14.158.500</w:t>
            </w:r>
          </w:p>
        </w:tc>
        <w:tc>
          <w:tcPr>
            <w:tcW w:w="2108" w:type="dxa"/>
            <w:tcBorders>
              <w:top w:val="nil"/>
              <w:left w:val="nil"/>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10.406.506 (73,5%)</w:t>
            </w:r>
          </w:p>
        </w:tc>
        <w:tc>
          <w:tcPr>
            <w:tcW w:w="2144" w:type="dxa"/>
            <w:tcBorders>
              <w:top w:val="nil"/>
              <w:left w:val="nil"/>
              <w:bottom w:val="single" w:sz="4" w:space="0" w:color="003C7D"/>
              <w:right w:val="single" w:sz="4" w:space="0" w:color="0045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8.800.793 (84,6%)</w:t>
            </w:r>
          </w:p>
        </w:tc>
      </w:tr>
      <w:tr w:rsidR="001526E8" w:rsidRPr="001526E8" w:rsidTr="001526E8">
        <w:trPr>
          <w:trHeight w:val="300"/>
        </w:trPr>
        <w:tc>
          <w:tcPr>
            <w:tcW w:w="1984" w:type="dxa"/>
            <w:tcBorders>
              <w:top w:val="single" w:sz="4" w:space="0" w:color="003C7D"/>
              <w:left w:val="single" w:sz="4" w:space="0" w:color="00457D"/>
              <w:bottom w:val="nil"/>
              <w:right w:val="single" w:sz="4" w:space="0" w:color="003C7D"/>
            </w:tcBorders>
            <w:shd w:val="clear" w:color="auto" w:fill="auto"/>
            <w:noWrap/>
            <w:vAlign w:val="center"/>
            <w:hideMark/>
          </w:tcPr>
          <w:p w:rsidR="001526E8" w:rsidRPr="001526E8" w:rsidRDefault="001526E8" w:rsidP="001526E8">
            <w:pPr>
              <w:spacing w:after="0" w:line="240" w:lineRule="auto"/>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Johnson &amp; Johnson</w:t>
            </w:r>
          </w:p>
        </w:tc>
        <w:tc>
          <w:tcPr>
            <w:tcW w:w="1560" w:type="dxa"/>
            <w:tcBorders>
              <w:top w:val="nil"/>
              <w:left w:val="nil"/>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7.307.292</w:t>
            </w:r>
          </w:p>
        </w:tc>
        <w:tc>
          <w:tcPr>
            <w:tcW w:w="2108" w:type="dxa"/>
            <w:tcBorders>
              <w:top w:val="nil"/>
              <w:left w:val="nil"/>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2.046.506 (28,0%)</w:t>
            </w:r>
          </w:p>
        </w:tc>
        <w:tc>
          <w:tcPr>
            <w:tcW w:w="2144" w:type="dxa"/>
            <w:tcBorders>
              <w:top w:val="nil"/>
              <w:left w:val="nil"/>
              <w:bottom w:val="single" w:sz="4" w:space="0" w:color="003C7D"/>
              <w:right w:val="single" w:sz="4" w:space="0" w:color="0045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1.226.627 (59,9%)</w:t>
            </w:r>
          </w:p>
        </w:tc>
      </w:tr>
      <w:tr w:rsidR="001526E8" w:rsidRPr="001526E8" w:rsidTr="001526E8">
        <w:trPr>
          <w:trHeight w:val="300"/>
        </w:trPr>
        <w:tc>
          <w:tcPr>
            <w:tcW w:w="1984" w:type="dxa"/>
            <w:tcBorders>
              <w:top w:val="single" w:sz="4" w:space="0" w:color="003C7D"/>
              <w:left w:val="single" w:sz="4" w:space="0" w:color="00457D"/>
              <w:bottom w:val="nil"/>
              <w:right w:val="single" w:sz="4" w:space="0" w:color="003C7D"/>
            </w:tcBorders>
            <w:shd w:val="clear" w:color="auto" w:fill="auto"/>
            <w:noWrap/>
            <w:vAlign w:val="center"/>
            <w:hideMark/>
          </w:tcPr>
          <w:p w:rsidR="001526E8" w:rsidRPr="001526E8" w:rsidRDefault="001526E8" w:rsidP="001526E8">
            <w:pPr>
              <w:spacing w:after="0" w:line="240" w:lineRule="auto"/>
              <w:rPr>
                <w:rFonts w:ascii="Calibri" w:eastAsia="Times New Roman" w:hAnsi="Calibri" w:cs="Calibri"/>
                <w:sz w:val="20"/>
                <w:szCs w:val="20"/>
                <w:lang w:eastAsia="it-IT"/>
              </w:rPr>
            </w:pPr>
            <w:proofErr w:type="spellStart"/>
            <w:r w:rsidRPr="001526E8">
              <w:rPr>
                <w:rFonts w:ascii="Calibri" w:eastAsia="Times New Roman" w:hAnsi="Calibri" w:cs="Calibri"/>
                <w:sz w:val="20"/>
                <w:szCs w:val="20"/>
                <w:lang w:eastAsia="it-IT"/>
              </w:rPr>
              <w:t>CureVac</w:t>
            </w:r>
            <w:proofErr w:type="spellEnd"/>
          </w:p>
        </w:tc>
        <w:tc>
          <w:tcPr>
            <w:tcW w:w="1560" w:type="dxa"/>
            <w:tcBorders>
              <w:top w:val="nil"/>
              <w:left w:val="nil"/>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7.314.904</w:t>
            </w:r>
          </w:p>
        </w:tc>
        <w:tc>
          <w:tcPr>
            <w:tcW w:w="2108" w:type="dxa"/>
            <w:tcBorders>
              <w:top w:val="nil"/>
              <w:left w:val="nil"/>
              <w:bottom w:val="single" w:sz="4" w:space="0" w:color="003C7D"/>
              <w:right w:val="single" w:sz="4" w:space="0" w:color="003C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 xml:space="preserve"> (0,0%)</w:t>
            </w:r>
          </w:p>
        </w:tc>
        <w:tc>
          <w:tcPr>
            <w:tcW w:w="2144" w:type="dxa"/>
            <w:tcBorders>
              <w:top w:val="nil"/>
              <w:left w:val="nil"/>
              <w:bottom w:val="single" w:sz="4" w:space="0" w:color="003C7D"/>
              <w:right w:val="single" w:sz="4" w:space="0" w:color="00457D"/>
            </w:tcBorders>
            <w:shd w:val="clear" w:color="auto" w:fill="auto"/>
            <w:noWrap/>
            <w:vAlign w:val="center"/>
            <w:hideMark/>
          </w:tcPr>
          <w:p w:rsidR="001526E8" w:rsidRPr="001526E8" w:rsidRDefault="001526E8" w:rsidP="001526E8">
            <w:pPr>
              <w:spacing w:after="0" w:line="240" w:lineRule="auto"/>
              <w:jc w:val="right"/>
              <w:rPr>
                <w:rFonts w:ascii="Calibri" w:eastAsia="Times New Roman" w:hAnsi="Calibri" w:cs="Calibri"/>
                <w:sz w:val="20"/>
                <w:szCs w:val="20"/>
                <w:lang w:eastAsia="it-IT"/>
              </w:rPr>
            </w:pPr>
            <w:r w:rsidRPr="001526E8">
              <w:rPr>
                <w:rFonts w:ascii="Calibri" w:eastAsia="Times New Roman" w:hAnsi="Calibri" w:cs="Calibri"/>
                <w:sz w:val="20"/>
                <w:szCs w:val="20"/>
                <w:lang w:eastAsia="it-IT"/>
              </w:rPr>
              <w:t xml:space="preserve"> (0,0%)</w:t>
            </w:r>
          </w:p>
        </w:tc>
      </w:tr>
      <w:tr w:rsidR="001526E8" w:rsidRPr="001526E8" w:rsidTr="005C7FCF">
        <w:trPr>
          <w:trHeight w:val="300"/>
        </w:trPr>
        <w:tc>
          <w:tcPr>
            <w:tcW w:w="1984" w:type="dxa"/>
            <w:tcBorders>
              <w:top w:val="nil"/>
              <w:left w:val="single" w:sz="4" w:space="0" w:color="00457D"/>
              <w:bottom w:val="single" w:sz="4" w:space="0" w:color="auto"/>
              <w:right w:val="single" w:sz="4" w:space="0" w:color="FFFFFF"/>
            </w:tcBorders>
            <w:shd w:val="clear" w:color="000000" w:fill="003C7D"/>
            <w:noWrap/>
            <w:vAlign w:val="center"/>
            <w:hideMark/>
          </w:tcPr>
          <w:p w:rsidR="001526E8" w:rsidRPr="001526E8" w:rsidRDefault="001526E8" w:rsidP="001526E8">
            <w:pPr>
              <w:spacing w:after="0" w:line="240" w:lineRule="auto"/>
              <w:rPr>
                <w:rFonts w:ascii="Calibri" w:eastAsia="Times New Roman" w:hAnsi="Calibri" w:cs="Calibri"/>
                <w:b/>
                <w:bCs/>
                <w:color w:val="FFFFFF"/>
                <w:sz w:val="20"/>
                <w:szCs w:val="20"/>
                <w:lang w:eastAsia="it-IT"/>
              </w:rPr>
            </w:pPr>
            <w:r w:rsidRPr="001526E8">
              <w:rPr>
                <w:rFonts w:ascii="Calibri" w:eastAsia="Times New Roman" w:hAnsi="Calibri" w:cs="Calibri"/>
                <w:b/>
                <w:bCs/>
                <w:color w:val="FFFFFF"/>
                <w:sz w:val="20"/>
                <w:szCs w:val="20"/>
                <w:lang w:eastAsia="it-IT"/>
              </w:rPr>
              <w:t>TOTALE</w:t>
            </w:r>
          </w:p>
        </w:tc>
        <w:tc>
          <w:tcPr>
            <w:tcW w:w="1560" w:type="dxa"/>
            <w:tcBorders>
              <w:top w:val="nil"/>
              <w:left w:val="nil"/>
              <w:bottom w:val="single" w:sz="4" w:space="0" w:color="auto"/>
              <w:right w:val="single" w:sz="4" w:space="0" w:color="FFFFFF"/>
            </w:tcBorders>
            <w:shd w:val="clear" w:color="000000" w:fill="003C7D"/>
            <w:noWrap/>
            <w:vAlign w:val="center"/>
            <w:hideMark/>
          </w:tcPr>
          <w:p w:rsidR="001526E8" w:rsidRPr="001526E8" w:rsidRDefault="001526E8" w:rsidP="001526E8">
            <w:pPr>
              <w:spacing w:after="0" w:line="240" w:lineRule="auto"/>
              <w:jc w:val="right"/>
              <w:rPr>
                <w:rFonts w:ascii="Calibri" w:eastAsia="Times New Roman" w:hAnsi="Calibri" w:cs="Calibri"/>
                <w:b/>
                <w:bCs/>
                <w:color w:val="FFFFFF"/>
                <w:sz w:val="20"/>
                <w:szCs w:val="20"/>
                <w:lang w:eastAsia="it-IT"/>
              </w:rPr>
            </w:pPr>
            <w:r w:rsidRPr="001526E8">
              <w:rPr>
                <w:rFonts w:ascii="Calibri" w:eastAsia="Times New Roman" w:hAnsi="Calibri" w:cs="Calibri"/>
                <w:b/>
                <w:bCs/>
                <w:color w:val="FFFFFF"/>
                <w:sz w:val="20"/>
                <w:szCs w:val="20"/>
                <w:lang w:eastAsia="it-IT"/>
              </w:rPr>
              <w:t>76.224.326</w:t>
            </w:r>
          </w:p>
        </w:tc>
        <w:tc>
          <w:tcPr>
            <w:tcW w:w="2108" w:type="dxa"/>
            <w:tcBorders>
              <w:top w:val="nil"/>
              <w:left w:val="nil"/>
              <w:bottom w:val="single" w:sz="4" w:space="0" w:color="auto"/>
              <w:right w:val="single" w:sz="4" w:space="0" w:color="FFFFFF"/>
            </w:tcBorders>
            <w:shd w:val="clear" w:color="000000" w:fill="003C7D"/>
            <w:noWrap/>
            <w:vAlign w:val="center"/>
            <w:hideMark/>
          </w:tcPr>
          <w:p w:rsidR="001526E8" w:rsidRPr="001526E8" w:rsidRDefault="001526E8" w:rsidP="001526E8">
            <w:pPr>
              <w:spacing w:after="0" w:line="240" w:lineRule="auto"/>
              <w:jc w:val="right"/>
              <w:rPr>
                <w:rFonts w:ascii="Calibri" w:eastAsia="Times New Roman" w:hAnsi="Calibri" w:cs="Calibri"/>
                <w:b/>
                <w:bCs/>
                <w:color w:val="FFFFFF"/>
                <w:sz w:val="20"/>
                <w:szCs w:val="20"/>
                <w:lang w:eastAsia="it-IT"/>
              </w:rPr>
            </w:pPr>
            <w:r w:rsidRPr="001526E8">
              <w:rPr>
                <w:rFonts w:ascii="Calibri" w:eastAsia="Times New Roman" w:hAnsi="Calibri" w:cs="Calibri"/>
                <w:b/>
                <w:bCs/>
                <w:color w:val="FFFFFF"/>
                <w:sz w:val="20"/>
                <w:szCs w:val="20"/>
                <w:lang w:eastAsia="it-IT"/>
              </w:rPr>
              <w:t>55.302.293 (72,6%)</w:t>
            </w:r>
          </w:p>
        </w:tc>
        <w:tc>
          <w:tcPr>
            <w:tcW w:w="2144" w:type="dxa"/>
            <w:tcBorders>
              <w:top w:val="nil"/>
              <w:left w:val="nil"/>
              <w:bottom w:val="single" w:sz="4" w:space="0" w:color="auto"/>
              <w:right w:val="single" w:sz="4" w:space="0" w:color="00457D"/>
            </w:tcBorders>
            <w:shd w:val="clear" w:color="000000" w:fill="003C7D"/>
            <w:noWrap/>
            <w:vAlign w:val="center"/>
            <w:hideMark/>
          </w:tcPr>
          <w:p w:rsidR="001526E8" w:rsidRPr="001526E8" w:rsidRDefault="001526E8" w:rsidP="001526E8">
            <w:pPr>
              <w:spacing w:after="0" w:line="240" w:lineRule="auto"/>
              <w:jc w:val="right"/>
              <w:rPr>
                <w:rFonts w:ascii="Calibri" w:eastAsia="Times New Roman" w:hAnsi="Calibri" w:cs="Calibri"/>
                <w:b/>
                <w:bCs/>
                <w:color w:val="FFFFFF"/>
                <w:sz w:val="20"/>
                <w:szCs w:val="20"/>
                <w:lang w:eastAsia="it-IT"/>
              </w:rPr>
            </w:pPr>
            <w:r w:rsidRPr="001526E8">
              <w:rPr>
                <w:rFonts w:ascii="Calibri" w:eastAsia="Times New Roman" w:hAnsi="Calibri" w:cs="Calibri"/>
                <w:b/>
                <w:bCs/>
                <w:color w:val="FFFFFF"/>
                <w:sz w:val="20"/>
                <w:szCs w:val="20"/>
                <w:lang w:eastAsia="it-IT"/>
              </w:rPr>
              <w:t>51.007.304 (92,2%)</w:t>
            </w:r>
          </w:p>
        </w:tc>
      </w:tr>
      <w:tr w:rsidR="001526E8" w:rsidRPr="001526E8" w:rsidTr="005C7FCF">
        <w:trPr>
          <w:trHeight w:val="680"/>
        </w:trPr>
        <w:tc>
          <w:tcPr>
            <w:tcW w:w="77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6E8" w:rsidRPr="001526E8" w:rsidRDefault="001526E8" w:rsidP="001526E8">
            <w:pPr>
              <w:spacing w:after="0" w:line="240" w:lineRule="auto"/>
              <w:rPr>
                <w:rFonts w:ascii="Calibri" w:eastAsia="Times New Roman" w:hAnsi="Calibri" w:cs="Calibri"/>
                <w:color w:val="000000"/>
                <w:lang w:eastAsia="it-IT"/>
              </w:rPr>
            </w:pPr>
            <w:r w:rsidRPr="005C7FCF">
              <w:rPr>
                <w:rFonts w:ascii="Calibri" w:eastAsia="Times New Roman" w:hAnsi="Calibri" w:cs="Calibri"/>
                <w:noProof/>
                <w:color w:val="00457D"/>
                <w:sz w:val="18"/>
                <w:szCs w:val="18"/>
                <w:lang w:eastAsia="it-IT"/>
              </w:rPr>
              <w:drawing>
                <wp:anchor distT="0" distB="0" distL="114300" distR="114300" simplePos="0" relativeHeight="251664384" behindDoc="0" locked="0" layoutInCell="1" allowOverlap="1" wp14:anchorId="5E95DF5A" wp14:editId="36A670FD">
                  <wp:simplePos x="0" y="0"/>
                  <wp:positionH relativeFrom="column">
                    <wp:posOffset>3970020</wp:posOffset>
                  </wp:positionH>
                  <wp:positionV relativeFrom="paragraph">
                    <wp:posOffset>35560</wp:posOffset>
                  </wp:positionV>
                  <wp:extent cx="866775" cy="285750"/>
                  <wp:effectExtent l="0" t="0" r="0" b="0"/>
                  <wp:wrapNone/>
                  <wp:docPr id="9" name="Immagine 9">
                    <a:extLst xmlns:a="http://schemas.openxmlformats.org/drawingml/2006/main">
                      <a:ext uri="{FF2B5EF4-FFF2-40B4-BE49-F238E27FC236}">
                        <a16:creationId xmlns:a16="http://schemas.microsoft.com/office/drawing/2014/main" id="{00000000-0008-0000-0D00-00000A000000}"/>
                      </a:ext>
                    </a:extLst>
                  </wp:docPr>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00000000-0008-0000-0D00-00000A000000}"/>
                              </a:ext>
                            </a:extLst>
                          </pic:cNvPr>
                          <pic:cNvPicPr>
                            <a:picLocks noChangeAspect="1"/>
                          </pic:cNvPicPr>
                        </pic:nvPicPr>
                        <pic:blipFill>
                          <a:blip r:embed="rId8" cstate="print"/>
                          <a:stretch>
                            <a:fillRect/>
                          </a:stretch>
                        </pic:blipFill>
                        <pic:spPr>
                          <a:xfrm>
                            <a:off x="0" y="0"/>
                            <a:ext cx="866775" cy="285750"/>
                          </a:xfrm>
                          <a:prstGeom prst="rect">
                            <a:avLst/>
                          </a:prstGeom>
                        </pic:spPr>
                      </pic:pic>
                    </a:graphicData>
                  </a:graphic>
                  <wp14:sizeRelH relativeFrom="page">
                    <wp14:pctWidth>0</wp14:pctWidth>
                  </wp14:sizeRelH>
                  <wp14:sizeRelV relativeFrom="page">
                    <wp14:pctHeight>0</wp14:pctHeight>
                  </wp14:sizeRelV>
                </wp:anchor>
              </w:drawing>
            </w:r>
            <w:r w:rsidRPr="001526E8">
              <w:rPr>
                <w:rFonts w:ascii="Calibri" w:eastAsia="Times New Roman" w:hAnsi="Calibri" w:cs="Calibri"/>
                <w:color w:val="00457D"/>
                <w:sz w:val="18"/>
                <w:szCs w:val="18"/>
                <w:lang w:eastAsia="it-IT"/>
              </w:rPr>
              <w:t>Elaborazione GIMBE su dati Ministero Salute, Commissario Straordinario COVID-19</w:t>
            </w:r>
            <w:r w:rsidRPr="001526E8">
              <w:rPr>
                <w:rFonts w:ascii="Calibri" w:eastAsia="Times New Roman" w:hAnsi="Calibri" w:cs="Calibri"/>
                <w:color w:val="00457D"/>
                <w:sz w:val="18"/>
                <w:szCs w:val="18"/>
                <w:lang w:eastAsia="it-IT"/>
              </w:rPr>
              <w:br/>
              <w:t>Aggiornamento: 30 giugno 2021 ore 06:10</w:t>
            </w:r>
          </w:p>
        </w:tc>
      </w:tr>
    </w:tbl>
    <w:p w:rsidR="001526E8" w:rsidRDefault="001526E8" w:rsidP="00C30D9B">
      <w:pPr>
        <w:spacing w:after="0" w:line="276" w:lineRule="auto"/>
        <w:jc w:val="both"/>
      </w:pPr>
    </w:p>
    <w:p w:rsidR="002B27AE" w:rsidRDefault="002660BF" w:rsidP="00066812">
      <w:pPr>
        <w:spacing w:after="0" w:line="276" w:lineRule="auto"/>
        <w:jc w:val="both"/>
        <w:rPr>
          <w:color w:val="FF0000"/>
        </w:rPr>
      </w:pPr>
      <w:r w:rsidRPr="005C7FCF">
        <w:t>«</w:t>
      </w:r>
      <w:r w:rsidRPr="00585BAF">
        <w:t xml:space="preserve">Rispetto alle forniture stimate </w:t>
      </w:r>
      <w:r w:rsidR="002577C1" w:rsidRPr="00585BAF">
        <w:t xml:space="preserve">nel </w:t>
      </w:r>
      <w:r w:rsidRPr="00585BAF">
        <w:t xml:space="preserve">Piano vaccinale – spiega il Presidente – </w:t>
      </w:r>
      <w:r w:rsidR="006F1EF1" w:rsidRPr="00585BAF">
        <w:t>rima</w:t>
      </w:r>
      <w:r w:rsidR="001F0270">
        <w:t xml:space="preserve">rrebbero </w:t>
      </w:r>
      <w:r w:rsidRPr="00585BAF">
        <w:t xml:space="preserve">da consegnare </w:t>
      </w:r>
      <w:r w:rsidR="005C7FCF">
        <w:t xml:space="preserve">circa </w:t>
      </w:r>
      <w:r w:rsidR="006F1EF1" w:rsidRPr="00585BAF">
        <w:t>20</w:t>
      </w:r>
      <w:r w:rsidR="005C7FCF">
        <w:t>,</w:t>
      </w:r>
      <w:r w:rsidR="006F1EF1" w:rsidRPr="00585BAF">
        <w:t>9</w:t>
      </w:r>
      <w:r w:rsidRPr="00585BAF">
        <w:t xml:space="preserve"> milioni di dosi, il </w:t>
      </w:r>
      <w:r w:rsidR="006F1EF1" w:rsidRPr="00585BAF">
        <w:t>27,4</w:t>
      </w:r>
      <w:r w:rsidRPr="00585BAF">
        <w:t xml:space="preserve">% </w:t>
      </w:r>
      <w:r w:rsidR="00922E11" w:rsidRPr="00585BAF">
        <w:t>di quelle originariamente previste</w:t>
      </w:r>
      <w:r w:rsidR="00053713">
        <w:t>:</w:t>
      </w:r>
      <w:r w:rsidR="005C7FCF">
        <w:t xml:space="preserve"> </w:t>
      </w:r>
      <w:r w:rsidR="005C7FCF" w:rsidRPr="005C7FCF">
        <w:t>anche</w:t>
      </w:r>
      <w:r w:rsidRPr="005C7FCF">
        <w:t xml:space="preserve"> </w:t>
      </w:r>
      <w:r w:rsidR="001D7BB6" w:rsidRPr="005C7FCF">
        <w:t xml:space="preserve">non considerando </w:t>
      </w:r>
      <w:r w:rsidR="002577C1" w:rsidRPr="005C7FCF">
        <w:t xml:space="preserve">il vaccino di </w:t>
      </w:r>
      <w:proofErr w:type="spellStart"/>
      <w:r w:rsidRPr="005C7FCF">
        <w:t>CureVac</w:t>
      </w:r>
      <w:proofErr w:type="spellEnd"/>
      <w:r w:rsidRPr="005C7FCF">
        <w:t xml:space="preserve"> che non ha superato con successo i test clinici, </w:t>
      </w:r>
      <w:r w:rsidR="00053713">
        <w:t xml:space="preserve">in assenza di ulteriori consegne in settimana, </w:t>
      </w:r>
      <w:r w:rsidR="001F0270">
        <w:t xml:space="preserve">il 2° trimestre chiuderà </w:t>
      </w:r>
      <w:r w:rsidR="00601627">
        <w:t xml:space="preserve">con </w:t>
      </w:r>
      <w:r w:rsidR="001F0270">
        <w:t>oltre 13,6 milioni di dosi</w:t>
      </w:r>
      <w:r w:rsidR="00601627">
        <w:t xml:space="preserve"> in meno</w:t>
      </w:r>
      <w:r w:rsidRPr="002B27AE">
        <w:t>»</w:t>
      </w:r>
      <w:r w:rsidR="00C90106" w:rsidRPr="002B27AE">
        <w:t>.</w:t>
      </w:r>
    </w:p>
    <w:p w:rsidR="004C6F41" w:rsidRDefault="004C6F41" w:rsidP="00066812">
      <w:pPr>
        <w:spacing w:after="0" w:line="276" w:lineRule="auto"/>
        <w:jc w:val="both"/>
        <w:rPr>
          <w:b/>
        </w:rPr>
      </w:pPr>
    </w:p>
    <w:p w:rsidR="009C50B6" w:rsidRPr="002B27AE" w:rsidRDefault="00C865BD" w:rsidP="00066812">
      <w:pPr>
        <w:spacing w:after="0" w:line="276" w:lineRule="auto"/>
        <w:jc w:val="both"/>
      </w:pPr>
      <w:r w:rsidRPr="002B27AE">
        <w:rPr>
          <w:b/>
        </w:rPr>
        <w:t xml:space="preserve">Vaccini: somministrazioni. </w:t>
      </w:r>
      <w:r w:rsidR="0094585E" w:rsidRPr="00585BAF">
        <w:t xml:space="preserve">Al </w:t>
      </w:r>
      <w:r w:rsidR="006F1EF1" w:rsidRPr="00585BAF">
        <w:t xml:space="preserve">30 </w:t>
      </w:r>
      <w:r w:rsidR="00683A5E" w:rsidRPr="00585BAF">
        <w:t>giugn</w:t>
      </w:r>
      <w:r w:rsidR="0094585E" w:rsidRPr="00585BAF">
        <w:t xml:space="preserve">o </w:t>
      </w:r>
      <w:r w:rsidR="0094585E" w:rsidRPr="002B27AE">
        <w:t xml:space="preserve">(aggiornamento </w:t>
      </w:r>
      <w:r w:rsidR="0094585E" w:rsidRPr="00C554B0">
        <w:t xml:space="preserve">ore </w:t>
      </w:r>
      <w:r w:rsidR="00BA17EF" w:rsidRPr="00C554B0">
        <w:t>6.</w:t>
      </w:r>
      <w:r w:rsidR="00AD0DBF" w:rsidRPr="00C554B0">
        <w:t>1</w:t>
      </w:r>
      <w:r w:rsidR="009C50B6" w:rsidRPr="00C554B0">
        <w:t>0</w:t>
      </w:r>
      <w:r w:rsidR="0094585E" w:rsidRPr="00C554B0">
        <w:t>)</w:t>
      </w:r>
      <w:r w:rsidR="00F40B66" w:rsidRPr="00C554B0">
        <w:t>,</w:t>
      </w:r>
      <w:r w:rsidRPr="00C554B0">
        <w:t xml:space="preserve"> </w:t>
      </w:r>
      <w:r w:rsidR="009C50B6" w:rsidRPr="00C554B0">
        <w:t xml:space="preserve">il </w:t>
      </w:r>
      <w:r w:rsidR="00B455A1" w:rsidRPr="00C554B0">
        <w:t>57,1</w:t>
      </w:r>
      <w:r w:rsidR="009C50B6" w:rsidRPr="00C554B0">
        <w:t xml:space="preserve">% della popolazione ha ricevuto almeno una dose di vaccino (n. </w:t>
      </w:r>
      <w:r w:rsidR="00B455A1" w:rsidRPr="00C554B0">
        <w:t>33.823.70</w:t>
      </w:r>
      <w:r w:rsidR="00C554B0">
        <w:t>2</w:t>
      </w:r>
      <w:r w:rsidR="009C50B6" w:rsidRPr="00C554B0">
        <w:t xml:space="preserve">) e il </w:t>
      </w:r>
      <w:r w:rsidR="00B455A1" w:rsidRPr="00C554B0">
        <w:t>31,1</w:t>
      </w:r>
      <w:r w:rsidR="009C50B6" w:rsidRPr="00C554B0">
        <w:t xml:space="preserve">% ha completato il ciclo vaccinale (n. </w:t>
      </w:r>
      <w:r w:rsidR="00B455A1" w:rsidRPr="00C554B0">
        <w:t>18.410.229</w:t>
      </w:r>
      <w:r w:rsidR="009C50B6" w:rsidRPr="00C554B0">
        <w:t>)</w:t>
      </w:r>
      <w:r w:rsidR="00EC6615" w:rsidRPr="00C554B0">
        <w:t xml:space="preserve"> </w:t>
      </w:r>
      <w:r w:rsidRPr="00C554B0">
        <w:t>(</w:t>
      </w:r>
      <w:r w:rsidRPr="00C554B0">
        <w:rPr>
          <w:highlight w:val="yellow"/>
        </w:rPr>
        <w:t xml:space="preserve">figura </w:t>
      </w:r>
      <w:r w:rsidR="00C82FD3">
        <w:rPr>
          <w:highlight w:val="yellow"/>
        </w:rPr>
        <w:t>7</w:t>
      </w:r>
      <w:r w:rsidRPr="00C554B0">
        <w:t>).</w:t>
      </w:r>
      <w:r w:rsidR="009011ED" w:rsidRPr="00C554B0">
        <w:t xml:space="preserve"> </w:t>
      </w:r>
      <w:r w:rsidR="00371869" w:rsidRPr="00C554B0">
        <w:t>N</w:t>
      </w:r>
      <w:r w:rsidR="009011ED" w:rsidRPr="00C554B0">
        <w:t xml:space="preserve">ell’ultima settimana </w:t>
      </w:r>
      <w:r w:rsidR="005347C4" w:rsidRPr="00C554B0">
        <w:t xml:space="preserve">sono state </w:t>
      </w:r>
      <w:r w:rsidR="007429CB" w:rsidRPr="00C554B0">
        <w:t xml:space="preserve">somministrate </w:t>
      </w:r>
      <w:r w:rsidR="00B455A1" w:rsidRPr="00C554B0">
        <w:t xml:space="preserve">3.823.828 </w:t>
      </w:r>
      <w:r w:rsidR="00A14768" w:rsidRPr="00C554B0">
        <w:t xml:space="preserve">milioni </w:t>
      </w:r>
      <w:r w:rsidR="007429CB" w:rsidRPr="00C554B0">
        <w:t xml:space="preserve">dosi </w:t>
      </w:r>
      <w:r w:rsidR="002226B7" w:rsidRPr="00C554B0">
        <w:t>(</w:t>
      </w:r>
      <w:r w:rsidR="002226B7" w:rsidRPr="00C554B0">
        <w:rPr>
          <w:highlight w:val="yellow"/>
        </w:rPr>
        <w:t xml:space="preserve">figura </w:t>
      </w:r>
      <w:r w:rsidR="00C82FD3">
        <w:rPr>
          <w:highlight w:val="yellow"/>
        </w:rPr>
        <w:t>8</w:t>
      </w:r>
      <w:r w:rsidR="002226B7" w:rsidRPr="00C554B0">
        <w:t>)</w:t>
      </w:r>
      <w:r w:rsidR="00496BF6" w:rsidRPr="00C554B0">
        <w:t xml:space="preserve">, </w:t>
      </w:r>
      <w:r w:rsidR="00B455A1" w:rsidRPr="00C554B0">
        <w:t>in</w:t>
      </w:r>
      <w:r w:rsidR="002B27AE">
        <w:t xml:space="preserve"> lieve</w:t>
      </w:r>
      <w:r w:rsidR="00B455A1" w:rsidRPr="00C554B0">
        <w:t xml:space="preserve"> aumento </w:t>
      </w:r>
      <w:r w:rsidR="001F0270" w:rsidRPr="00C554B0">
        <w:t>(+1,6%)</w:t>
      </w:r>
      <w:r w:rsidR="001F0270">
        <w:t xml:space="preserve"> </w:t>
      </w:r>
      <w:r w:rsidR="00B455A1" w:rsidRPr="00C554B0">
        <w:t>dopo il</w:t>
      </w:r>
      <w:r w:rsidR="00496BF6" w:rsidRPr="00C554B0">
        <w:t xml:space="preserve"> calo</w:t>
      </w:r>
      <w:r w:rsidR="003555B9" w:rsidRPr="00C554B0">
        <w:t xml:space="preserve"> </w:t>
      </w:r>
      <w:r w:rsidR="002B27AE">
        <w:t>de</w:t>
      </w:r>
      <w:r w:rsidR="00496BF6" w:rsidRPr="00C554B0">
        <w:t>lla settimana precedente</w:t>
      </w:r>
      <w:r w:rsidR="00B241AC">
        <w:t xml:space="preserve">: restano comunque ancora “in frigo” </w:t>
      </w:r>
      <w:r w:rsidR="00B455A1" w:rsidRPr="00C554B0">
        <w:t>4.294.989</w:t>
      </w:r>
      <w:r w:rsidR="001F224D" w:rsidRPr="00C554B0">
        <w:t xml:space="preserve"> milioni di dosi</w:t>
      </w:r>
      <w:r w:rsidR="007F5D66" w:rsidRPr="00C554B0">
        <w:t xml:space="preserve">. </w:t>
      </w:r>
      <w:r w:rsidR="001F0270">
        <w:t xml:space="preserve">La </w:t>
      </w:r>
      <w:r w:rsidR="009A324A" w:rsidRPr="00C554B0">
        <w:t>media mobile a 7 giorni</w:t>
      </w:r>
      <w:r w:rsidR="001F0270">
        <w:t xml:space="preserve"> si attesta </w:t>
      </w:r>
      <w:r w:rsidR="007F5D66" w:rsidRPr="00C554B0">
        <w:t xml:space="preserve">a </w:t>
      </w:r>
      <w:r w:rsidR="00B455A1" w:rsidRPr="00C554B0">
        <w:t>541.210</w:t>
      </w:r>
      <w:r w:rsidR="00013116" w:rsidRPr="00C554B0">
        <w:t xml:space="preserve"> </w:t>
      </w:r>
      <w:r w:rsidR="006A49A4" w:rsidRPr="00C554B0">
        <w:t>inoculazioni</w:t>
      </w:r>
      <w:r w:rsidR="00DC23D7" w:rsidRPr="00C554B0">
        <w:t>/die</w:t>
      </w:r>
      <w:r w:rsidR="00EE139F" w:rsidRPr="00C554B0">
        <w:t xml:space="preserve"> </w:t>
      </w:r>
      <w:r w:rsidR="00837F13" w:rsidRPr="002B27AE">
        <w:t>(</w:t>
      </w:r>
      <w:r w:rsidR="00837F13" w:rsidRPr="002B27AE">
        <w:rPr>
          <w:highlight w:val="yellow"/>
        </w:rPr>
        <w:t xml:space="preserve">figura </w:t>
      </w:r>
      <w:r w:rsidR="00C82FD3">
        <w:rPr>
          <w:highlight w:val="yellow"/>
        </w:rPr>
        <w:t>9</w:t>
      </w:r>
      <w:r w:rsidR="00837F13" w:rsidRPr="002B27AE">
        <w:t>)</w:t>
      </w:r>
      <w:r w:rsidR="00AA3D8C" w:rsidRPr="002B27AE">
        <w:t>.</w:t>
      </w:r>
      <w:r w:rsidR="00334889" w:rsidRPr="002B27AE">
        <w:t xml:space="preserve"> </w:t>
      </w:r>
    </w:p>
    <w:p w:rsidR="00111C28" w:rsidRPr="00B31F98" w:rsidRDefault="00111C28" w:rsidP="003555B9">
      <w:pPr>
        <w:spacing w:after="0" w:line="276" w:lineRule="auto"/>
        <w:jc w:val="center"/>
        <w:rPr>
          <w:b/>
          <w:color w:val="FF0000"/>
        </w:rPr>
      </w:pPr>
    </w:p>
    <w:p w:rsidR="00EA0D70" w:rsidRPr="00582004" w:rsidRDefault="00157A2E" w:rsidP="00231765">
      <w:pPr>
        <w:spacing w:after="120" w:line="276" w:lineRule="auto"/>
        <w:jc w:val="both"/>
      </w:pPr>
      <w:r w:rsidRPr="002B27AE">
        <w:rPr>
          <w:b/>
        </w:rPr>
        <w:t>Vaccini: c</w:t>
      </w:r>
      <w:r w:rsidR="00862017" w:rsidRPr="002B27AE">
        <w:rPr>
          <w:b/>
        </w:rPr>
        <w:t>opertura de</w:t>
      </w:r>
      <w:r w:rsidR="002A5273" w:rsidRPr="002B27AE">
        <w:rPr>
          <w:b/>
        </w:rPr>
        <w:t xml:space="preserve">gli </w:t>
      </w:r>
      <w:r w:rsidR="002A5273" w:rsidRPr="00582004">
        <w:rPr>
          <w:b/>
        </w:rPr>
        <w:t xml:space="preserve">over </w:t>
      </w:r>
      <w:r w:rsidR="002A5273" w:rsidRPr="00C554B0">
        <w:rPr>
          <w:b/>
        </w:rPr>
        <w:t>60</w:t>
      </w:r>
      <w:r w:rsidR="005358F7" w:rsidRPr="00C554B0">
        <w:rPr>
          <w:b/>
        </w:rPr>
        <w:t>.</w:t>
      </w:r>
      <w:r w:rsidR="000B50E1" w:rsidRPr="00C554B0">
        <w:rPr>
          <w:b/>
        </w:rPr>
        <w:t xml:space="preserve"> </w:t>
      </w:r>
      <w:r w:rsidR="00C33477" w:rsidRPr="00C554B0">
        <w:t>L’</w:t>
      </w:r>
      <w:r w:rsidR="00066812" w:rsidRPr="00C554B0">
        <w:t>86</w:t>
      </w:r>
      <w:r w:rsidR="00B455A1" w:rsidRPr="00C554B0">
        <w:t>,7</w:t>
      </w:r>
      <w:r w:rsidR="00EA0D70" w:rsidRPr="00C554B0">
        <w:t>%</w:t>
      </w:r>
      <w:r w:rsidR="000B50E1" w:rsidRPr="00C554B0">
        <w:t xml:space="preserve"> ha ricevuto almeno la prima dose di vaccino, con </w:t>
      </w:r>
      <w:r w:rsidR="005137E2" w:rsidRPr="00C554B0">
        <w:t xml:space="preserve">alcune </w:t>
      </w:r>
      <w:r w:rsidR="003F4304" w:rsidRPr="00C554B0">
        <w:t>differenze regionali:</w:t>
      </w:r>
      <w:r w:rsidR="0052372B" w:rsidRPr="00C554B0">
        <w:t xml:space="preserve"> </w:t>
      </w:r>
      <w:r w:rsidR="00614C18" w:rsidRPr="00C554B0">
        <w:t>se</w:t>
      </w:r>
      <w:r w:rsidR="00C34084" w:rsidRPr="00C554B0">
        <w:t xml:space="preserve"> </w:t>
      </w:r>
      <w:r w:rsidR="0052372B" w:rsidRPr="00C554B0">
        <w:t>Puglia</w:t>
      </w:r>
      <w:r w:rsidR="00643B57">
        <w:t xml:space="preserve">, </w:t>
      </w:r>
      <w:r w:rsidR="00111C28" w:rsidRPr="00C554B0">
        <w:t>Umbria</w:t>
      </w:r>
      <w:r w:rsidR="00643B57">
        <w:t xml:space="preserve"> e Lazio</w:t>
      </w:r>
      <w:r w:rsidR="00C34084" w:rsidRPr="00C554B0">
        <w:t xml:space="preserve"> ha</w:t>
      </w:r>
      <w:r w:rsidR="00111C28" w:rsidRPr="00C554B0">
        <w:t>nno</w:t>
      </w:r>
      <w:r w:rsidR="00C34084" w:rsidRPr="00C554B0">
        <w:t xml:space="preserve"> superato il 90%</w:t>
      </w:r>
      <w:r w:rsidR="00643B57">
        <w:t xml:space="preserve">, </w:t>
      </w:r>
      <w:r w:rsidR="00614C18" w:rsidRPr="00C554B0">
        <w:t xml:space="preserve">la </w:t>
      </w:r>
      <w:r w:rsidR="0052372B" w:rsidRPr="00C554B0">
        <w:t xml:space="preserve">Sicilia </w:t>
      </w:r>
      <w:r w:rsidR="00CD37E9">
        <w:t xml:space="preserve">si ferma </w:t>
      </w:r>
      <w:r w:rsidR="00643B57">
        <w:t>al</w:t>
      </w:r>
      <w:r w:rsidR="0052372B" w:rsidRPr="00C554B0">
        <w:t xml:space="preserve"> </w:t>
      </w:r>
      <w:r w:rsidR="00B455A1" w:rsidRPr="00C554B0">
        <w:t>76,</w:t>
      </w:r>
      <w:r w:rsidR="00643B57">
        <w:t>2</w:t>
      </w:r>
      <w:r w:rsidR="0052372B" w:rsidRPr="00C554B0">
        <w:t>%.</w:t>
      </w:r>
      <w:r w:rsidR="00FE4B81" w:rsidRPr="00C554B0">
        <w:t xml:space="preserve"> </w:t>
      </w:r>
      <w:r w:rsidR="00E95D1F" w:rsidRPr="00C554B0">
        <w:t>In detta</w:t>
      </w:r>
      <w:r w:rsidR="00E95D1F" w:rsidRPr="00582004">
        <w:t>glio:</w:t>
      </w:r>
    </w:p>
    <w:p w:rsidR="00066812" w:rsidRPr="002B27AE" w:rsidRDefault="00066812" w:rsidP="00B455A1">
      <w:pPr>
        <w:pStyle w:val="Paragrafoelenco"/>
        <w:numPr>
          <w:ilvl w:val="0"/>
          <w:numId w:val="21"/>
        </w:numPr>
        <w:spacing w:line="276" w:lineRule="auto"/>
        <w:jc w:val="both"/>
        <w:rPr>
          <w:b/>
        </w:rPr>
      </w:pPr>
      <w:r w:rsidRPr="00582004">
        <w:rPr>
          <w:b/>
        </w:rPr>
        <w:t xml:space="preserve">Over 80: </w:t>
      </w:r>
      <w:r w:rsidR="00B455A1" w:rsidRPr="00582004">
        <w:t>degli oltre 4,4 milioni, 3.930.326 (87,7%) hanno completato il ciclo vaccinale e 273.892 (6,1%) hanno ricevuto solo la prima dose</w:t>
      </w:r>
      <w:r w:rsidRPr="00582004">
        <w:t xml:space="preserve"> (</w:t>
      </w:r>
      <w:r w:rsidRPr="00582004">
        <w:rPr>
          <w:highlight w:val="yellow"/>
        </w:rPr>
        <w:t>fig</w:t>
      </w:r>
      <w:r w:rsidRPr="002B27AE">
        <w:rPr>
          <w:highlight w:val="yellow"/>
        </w:rPr>
        <w:t>ura 1</w:t>
      </w:r>
      <w:r w:rsidR="002C0054">
        <w:rPr>
          <w:highlight w:val="yellow"/>
        </w:rPr>
        <w:t>0</w:t>
      </w:r>
      <w:r w:rsidRPr="002B27AE">
        <w:t>).</w:t>
      </w:r>
    </w:p>
    <w:p w:rsidR="00066812" w:rsidRPr="00CC2DCE" w:rsidRDefault="00066812" w:rsidP="00FC4AAA">
      <w:pPr>
        <w:pStyle w:val="Paragrafoelenco"/>
        <w:numPr>
          <w:ilvl w:val="0"/>
          <w:numId w:val="21"/>
        </w:numPr>
        <w:spacing w:line="276" w:lineRule="auto"/>
        <w:jc w:val="both"/>
      </w:pPr>
      <w:r w:rsidRPr="002B27AE">
        <w:rPr>
          <w:b/>
        </w:rPr>
        <w:t xml:space="preserve">Fascia 70-79 anni: </w:t>
      </w:r>
      <w:r w:rsidRPr="002B27AE">
        <w:t xml:space="preserve">degli </w:t>
      </w:r>
      <w:r w:rsidRPr="00582004">
        <w:t xml:space="preserve">oltre 5,9 milioni, </w:t>
      </w:r>
      <w:r w:rsidR="00FC4AAA" w:rsidRPr="00582004">
        <w:t>3.365.081 (56,4%) hanno completato il ciclo vaccinale e 1.860.324 (</w:t>
      </w:r>
      <w:r w:rsidR="00FC4AAA" w:rsidRPr="00CC2DCE">
        <w:t>31,2%) hanno ricevuto solo la prima dose</w:t>
      </w:r>
      <w:r w:rsidRPr="00CC2DCE">
        <w:t xml:space="preserve"> (</w:t>
      </w:r>
      <w:r w:rsidRPr="00CC2DCE">
        <w:rPr>
          <w:highlight w:val="yellow"/>
        </w:rPr>
        <w:t>figura 1</w:t>
      </w:r>
      <w:r w:rsidR="002C0054">
        <w:rPr>
          <w:highlight w:val="yellow"/>
        </w:rPr>
        <w:t>1</w:t>
      </w:r>
      <w:r w:rsidRPr="00CC2DCE">
        <w:t>).</w:t>
      </w:r>
    </w:p>
    <w:p w:rsidR="00066812" w:rsidRPr="00CC2DCE" w:rsidRDefault="00066812" w:rsidP="00FC4AAA">
      <w:pPr>
        <w:pStyle w:val="Paragrafoelenco"/>
        <w:numPr>
          <w:ilvl w:val="0"/>
          <w:numId w:val="21"/>
        </w:numPr>
        <w:spacing w:line="276" w:lineRule="auto"/>
        <w:jc w:val="both"/>
      </w:pPr>
      <w:r w:rsidRPr="00CC2DCE">
        <w:rPr>
          <w:b/>
        </w:rPr>
        <w:t xml:space="preserve">Fascia 60-69 anni: </w:t>
      </w:r>
      <w:r w:rsidRPr="00CC2DCE">
        <w:t xml:space="preserve">degli oltre 7,3 milioni, </w:t>
      </w:r>
      <w:r w:rsidR="00FC4AAA" w:rsidRPr="00CC2DCE">
        <w:t>3.557.990 (47,8%) hanno completato il ciclo vaccinale e 2.514.299 (33,8%) hanno ricevuto solo la prima dose</w:t>
      </w:r>
      <w:r w:rsidRPr="00CC2DCE">
        <w:t xml:space="preserve"> (</w:t>
      </w:r>
      <w:r w:rsidRPr="00CC2DCE">
        <w:rPr>
          <w:highlight w:val="yellow"/>
        </w:rPr>
        <w:t>figura 1</w:t>
      </w:r>
      <w:r w:rsidR="002C0054">
        <w:rPr>
          <w:highlight w:val="yellow"/>
        </w:rPr>
        <w:t>2</w:t>
      </w:r>
      <w:r w:rsidRPr="00CC2DCE">
        <w:t>).</w:t>
      </w:r>
    </w:p>
    <w:p w:rsidR="007F5D66" w:rsidRPr="00643B57" w:rsidRDefault="00546229" w:rsidP="00F41A50">
      <w:pPr>
        <w:spacing w:line="276" w:lineRule="auto"/>
        <w:jc w:val="both"/>
      </w:pPr>
      <w:r>
        <w:rPr>
          <w:lang w:eastAsia="it-IT"/>
        </w:rPr>
        <w:t>Sono</w:t>
      </w:r>
      <w:r w:rsidR="007A0489" w:rsidRPr="00643B57">
        <w:rPr>
          <w:lang w:eastAsia="it-IT"/>
        </w:rPr>
        <w:t xml:space="preserve"> </w:t>
      </w:r>
      <w:r w:rsidR="00FC4AAA" w:rsidRPr="00643B57">
        <w:rPr>
          <w:lang w:eastAsia="it-IT"/>
        </w:rPr>
        <w:t>2.384.966</w:t>
      </w:r>
      <w:r w:rsidR="00397FE1" w:rsidRPr="00643B57">
        <w:rPr>
          <w:lang w:eastAsia="it-IT"/>
        </w:rPr>
        <w:t xml:space="preserve"> </w:t>
      </w:r>
      <w:r w:rsidRPr="00643B57">
        <w:rPr>
          <w:lang w:eastAsia="it-IT"/>
        </w:rPr>
        <w:t>(13,3%)</w:t>
      </w:r>
      <w:r>
        <w:rPr>
          <w:lang w:eastAsia="it-IT"/>
        </w:rPr>
        <w:t>, dunque, gli</w:t>
      </w:r>
      <w:r w:rsidR="004F5A28" w:rsidRPr="00643B57">
        <w:rPr>
          <w:lang w:eastAsia="it-IT"/>
        </w:rPr>
        <w:t xml:space="preserve"> over 60 </w:t>
      </w:r>
      <w:r>
        <w:rPr>
          <w:lang w:eastAsia="it-IT"/>
        </w:rPr>
        <w:t xml:space="preserve">che </w:t>
      </w:r>
      <w:r w:rsidR="00C24EB4" w:rsidRPr="00643B57">
        <w:rPr>
          <w:lang w:eastAsia="it-IT"/>
        </w:rPr>
        <w:t>non ha ricevuto nemmeno una dose di vaccino, con rilevanti differenze regionali: dal 2</w:t>
      </w:r>
      <w:r w:rsidR="00FC4AAA" w:rsidRPr="00643B57">
        <w:rPr>
          <w:lang w:eastAsia="it-IT"/>
        </w:rPr>
        <w:t>3</w:t>
      </w:r>
      <w:r w:rsidR="00C24EB4" w:rsidRPr="00643B57">
        <w:rPr>
          <w:lang w:eastAsia="it-IT"/>
        </w:rPr>
        <w:t>,</w:t>
      </w:r>
      <w:r w:rsidR="00FC4AAA" w:rsidRPr="00643B57">
        <w:rPr>
          <w:lang w:eastAsia="it-IT"/>
        </w:rPr>
        <w:t>8</w:t>
      </w:r>
      <w:r w:rsidR="00C24EB4" w:rsidRPr="00643B57">
        <w:rPr>
          <w:lang w:eastAsia="it-IT"/>
        </w:rPr>
        <w:t>% della Sicilia al 8,</w:t>
      </w:r>
      <w:r w:rsidR="00FC4AAA" w:rsidRPr="00643B57">
        <w:rPr>
          <w:lang w:eastAsia="it-IT"/>
        </w:rPr>
        <w:t>1</w:t>
      </w:r>
      <w:r w:rsidR="00C24EB4" w:rsidRPr="00643B57">
        <w:rPr>
          <w:lang w:eastAsia="it-IT"/>
        </w:rPr>
        <w:t>% della Puglia</w:t>
      </w:r>
      <w:r w:rsidR="00166C1D" w:rsidRPr="00643B57">
        <w:rPr>
          <w:lang w:eastAsia="it-IT"/>
        </w:rPr>
        <w:t xml:space="preserve"> </w:t>
      </w:r>
      <w:r w:rsidR="00166C1D" w:rsidRPr="00643B57">
        <w:t>(</w:t>
      </w:r>
      <w:r w:rsidR="00166C1D" w:rsidRPr="00643B57">
        <w:rPr>
          <w:highlight w:val="yellow"/>
        </w:rPr>
        <w:t>figura 1</w:t>
      </w:r>
      <w:r w:rsidR="002C0054">
        <w:rPr>
          <w:highlight w:val="yellow"/>
        </w:rPr>
        <w:t>3</w:t>
      </w:r>
      <w:r w:rsidR="00166C1D" w:rsidRPr="00643B57">
        <w:t>)</w:t>
      </w:r>
      <w:r w:rsidR="004F5A28" w:rsidRPr="00643B57">
        <w:rPr>
          <w:lang w:eastAsia="it-IT"/>
        </w:rPr>
        <w:t>. Peraltro, il trend di coperture vaccinali per fasce di età</w:t>
      </w:r>
      <w:r w:rsidR="00C0018D" w:rsidRPr="00643B57">
        <w:rPr>
          <w:lang w:eastAsia="it-IT"/>
        </w:rPr>
        <w:t xml:space="preserve"> </w:t>
      </w:r>
      <w:r w:rsidR="004F5A28" w:rsidRPr="00643B57">
        <w:rPr>
          <w:lang w:eastAsia="it-IT"/>
        </w:rPr>
        <w:t xml:space="preserve">conferma </w:t>
      </w:r>
      <w:r w:rsidR="00AB1D68" w:rsidRPr="00643B57">
        <w:rPr>
          <w:lang w:eastAsia="it-IT"/>
        </w:rPr>
        <w:t xml:space="preserve">ormai </w:t>
      </w:r>
      <w:r w:rsidR="004F5A28" w:rsidRPr="00643B57">
        <w:rPr>
          <w:lang w:eastAsia="it-IT"/>
        </w:rPr>
        <w:t xml:space="preserve">l’appiattimento delle curve degli over 80 e delle fasce 70-79 e 60-69, oltre a </w:t>
      </w:r>
      <w:r>
        <w:rPr>
          <w:lang w:eastAsia="it-IT"/>
        </w:rPr>
        <w:t>registrare</w:t>
      </w:r>
      <w:r w:rsidRPr="00643B57">
        <w:rPr>
          <w:lang w:eastAsia="it-IT"/>
        </w:rPr>
        <w:t xml:space="preserve"> </w:t>
      </w:r>
      <w:r w:rsidR="004F5A28" w:rsidRPr="00643B57">
        <w:rPr>
          <w:lang w:eastAsia="it-IT"/>
        </w:rPr>
        <w:t>una netta flessione nelle ultime tre settimane per la fascia 50-59 anni, gi</w:t>
      </w:r>
      <w:r w:rsidR="00A50097" w:rsidRPr="00643B57">
        <w:rPr>
          <w:lang w:eastAsia="it-IT"/>
        </w:rPr>
        <w:t>à a copertura inferiore al 70%</w:t>
      </w:r>
      <w:r>
        <w:rPr>
          <w:lang w:eastAsia="it-IT"/>
        </w:rPr>
        <w:t xml:space="preserve"> </w:t>
      </w:r>
      <w:r w:rsidRPr="00643B57">
        <w:t>(</w:t>
      </w:r>
      <w:r w:rsidRPr="00643B57">
        <w:rPr>
          <w:highlight w:val="yellow"/>
        </w:rPr>
        <w:t>figura 1</w:t>
      </w:r>
      <w:r>
        <w:rPr>
          <w:highlight w:val="yellow"/>
        </w:rPr>
        <w:t>4</w:t>
      </w:r>
      <w:r w:rsidRPr="00643B57">
        <w:t>)</w:t>
      </w:r>
      <w:r w:rsidR="004F5A28" w:rsidRPr="00643B57">
        <w:rPr>
          <w:lang w:eastAsia="it-IT"/>
        </w:rPr>
        <w:t>.</w:t>
      </w:r>
    </w:p>
    <w:p w:rsidR="000C1765" w:rsidRDefault="0094509C" w:rsidP="0094509C">
      <w:pPr>
        <w:spacing w:line="276" w:lineRule="auto"/>
        <w:jc w:val="both"/>
      </w:pPr>
      <w:r>
        <w:rPr>
          <w:b/>
        </w:rPr>
        <w:t xml:space="preserve">Variante delta e strategia vaccinale. </w:t>
      </w:r>
      <w:r w:rsidRPr="00844042">
        <w:t xml:space="preserve">A oggi dei 17.886.878 over 60, </w:t>
      </w:r>
      <w:r w:rsidRPr="00643B57">
        <w:t>2.384.966 (13,3%) non hanno ancora ricevuto nemmeno una dose di vaccino e 4.648.515 (</w:t>
      </w:r>
      <w:r w:rsidR="006863C1">
        <w:t>26,0</w:t>
      </w:r>
      <w:r w:rsidRPr="00643B57">
        <w:t xml:space="preserve">%) sono in </w:t>
      </w:r>
      <w:r>
        <w:t xml:space="preserve">attesa di </w:t>
      </w:r>
      <w:r w:rsidRPr="00844042">
        <w:t xml:space="preserve">completare il ciclo </w:t>
      </w:r>
      <w:r>
        <w:t>con la seconda</w:t>
      </w:r>
      <w:r w:rsidRPr="00844042">
        <w:t xml:space="preserve"> dose: 3.154.159 con AstraZeneca</w:t>
      </w:r>
      <w:r>
        <w:t xml:space="preserve">, </w:t>
      </w:r>
      <w:r w:rsidRPr="00844042">
        <w:t>1.286.101 con Pfizer-</w:t>
      </w:r>
      <w:proofErr w:type="spellStart"/>
      <w:r w:rsidRPr="00844042">
        <w:t>BioNTech</w:t>
      </w:r>
      <w:proofErr w:type="spellEnd"/>
      <w:r>
        <w:t xml:space="preserve"> e 208.255 con Moderna</w:t>
      </w:r>
      <w:r w:rsidR="003E354E">
        <w:t>:</w:t>
      </w:r>
      <w:r w:rsidR="006863C1">
        <w:t xml:space="preserve"> in tutto sono dunque</w:t>
      </w:r>
      <w:r w:rsidR="003E354E">
        <w:t xml:space="preserve"> oltre 7 milioni </w:t>
      </w:r>
      <w:r w:rsidR="006863C1">
        <w:t xml:space="preserve">i </w:t>
      </w:r>
      <w:r w:rsidR="003E354E">
        <w:t xml:space="preserve">soggetti </w:t>
      </w:r>
      <w:r w:rsidR="006863C1">
        <w:t xml:space="preserve">over 60 </w:t>
      </w:r>
      <w:r w:rsidR="00C566BF">
        <w:t xml:space="preserve">parzialmente o totalmente </w:t>
      </w:r>
      <w:r w:rsidR="003E354E">
        <w:t xml:space="preserve">esposti a rischio di malattia grave </w:t>
      </w:r>
      <w:r w:rsidR="00A14C39">
        <w:t xml:space="preserve">che non hanno adeguata copertura contro la variante. </w:t>
      </w:r>
    </w:p>
    <w:p w:rsidR="000C1765" w:rsidRDefault="00CC2DCE" w:rsidP="000C1765">
      <w:pPr>
        <w:spacing w:line="276" w:lineRule="auto"/>
        <w:jc w:val="center"/>
      </w:pPr>
      <w:r>
        <w:rPr>
          <w:noProof/>
          <w:lang w:eastAsia="it-IT"/>
        </w:rPr>
        <w:lastRenderedPageBreak/>
        <w:drawing>
          <wp:inline distT="0" distB="0" distL="0" distR="0" wp14:anchorId="2A4965F7" wp14:editId="5CD97637">
            <wp:extent cx="6120130" cy="3506635"/>
            <wp:effectExtent l="19050" t="19050" r="13970" b="177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506635"/>
                    </a:xfrm>
                    <a:prstGeom prst="rect">
                      <a:avLst/>
                    </a:prstGeom>
                    <a:noFill/>
                    <a:ln>
                      <a:solidFill>
                        <a:srgbClr val="004381"/>
                      </a:solidFill>
                    </a:ln>
                  </pic:spPr>
                </pic:pic>
              </a:graphicData>
            </a:graphic>
          </wp:inline>
        </w:drawing>
      </w:r>
    </w:p>
    <w:p w:rsidR="00BB126C" w:rsidRDefault="0094509C" w:rsidP="0094509C">
      <w:pPr>
        <w:spacing w:line="276" w:lineRule="auto"/>
        <w:jc w:val="both"/>
      </w:pPr>
      <w:r w:rsidRPr="0064148D">
        <w:rPr>
          <w:rFonts w:ascii="Calibri" w:eastAsia="Times New Roman" w:hAnsi="Calibri" w:cs="Calibri"/>
          <w:lang w:eastAsia="it-IT"/>
        </w:rPr>
        <w:t>«</w:t>
      </w:r>
      <w:r>
        <w:rPr>
          <w:rFonts w:ascii="Calibri" w:eastAsia="Times New Roman" w:hAnsi="Calibri" w:cs="Calibri"/>
          <w:lang w:eastAsia="it-IT"/>
        </w:rPr>
        <w:t xml:space="preserve">Pur non conoscendo </w:t>
      </w:r>
      <w:r w:rsidR="00B34BF2">
        <w:rPr>
          <w:rFonts w:ascii="Calibri" w:eastAsia="Times New Roman" w:hAnsi="Calibri" w:cs="Calibri"/>
          <w:lang w:eastAsia="it-IT"/>
        </w:rPr>
        <w:t xml:space="preserve">al momento </w:t>
      </w:r>
      <w:r>
        <w:rPr>
          <w:rFonts w:ascii="Calibri" w:eastAsia="Times New Roman" w:hAnsi="Calibri" w:cs="Calibri"/>
          <w:lang w:eastAsia="it-IT"/>
        </w:rPr>
        <w:t>l</w:t>
      </w:r>
      <w:r w:rsidR="00226690">
        <w:rPr>
          <w:rFonts w:ascii="Calibri" w:eastAsia="Times New Roman" w:hAnsi="Calibri" w:cs="Calibri"/>
          <w:lang w:eastAsia="it-IT"/>
        </w:rPr>
        <w:t xml:space="preserve">’esatta </w:t>
      </w:r>
      <w:r>
        <w:rPr>
          <w:rFonts w:ascii="Calibri" w:eastAsia="Times New Roman" w:hAnsi="Calibri" w:cs="Calibri"/>
          <w:lang w:eastAsia="it-IT"/>
        </w:rPr>
        <w:t xml:space="preserve">prevalenza della variante delta </w:t>
      </w:r>
      <w:r>
        <w:t xml:space="preserve">in Italia </w:t>
      </w:r>
      <w:r w:rsidRPr="0064148D">
        <w:rPr>
          <w:rFonts w:ascii="Calibri" w:eastAsia="Times New Roman" w:hAnsi="Calibri" w:cs="Calibri"/>
          <w:lang w:eastAsia="it-IT"/>
        </w:rPr>
        <w:t xml:space="preserve">– </w:t>
      </w:r>
      <w:r>
        <w:rPr>
          <w:rFonts w:ascii="Calibri" w:eastAsia="Times New Roman" w:hAnsi="Calibri" w:cs="Calibri"/>
          <w:lang w:eastAsia="it-IT"/>
        </w:rPr>
        <w:t xml:space="preserve">spiega Gili </w:t>
      </w:r>
      <w:r w:rsidRPr="0064148D">
        <w:rPr>
          <w:rFonts w:ascii="Calibri" w:eastAsia="Times New Roman" w:hAnsi="Calibri" w:cs="Calibri"/>
          <w:lang w:eastAsia="it-IT"/>
        </w:rPr>
        <w:t xml:space="preserve">– </w:t>
      </w:r>
      <w:r>
        <w:t>la sua maggiore contagiosità e, soprattutto, la documentata limitata efficacia di una singola dose di vaccino richiedono una rivalutazione delle strategie vaccinali per minimizzarne l’impatto clinico e quello sui servizi sanitari</w:t>
      </w:r>
      <w:r w:rsidRPr="009C50B6">
        <w:t>»</w:t>
      </w:r>
      <w:r>
        <w:t xml:space="preserve">. Due gli obiettivi prioritari: da un lato raggiungere il maggior numero possibile di over 60 che non hanno ancora ricevuto nemmeno una dose di vaccino, dall’altro anticipare quanto possibile la somministrazione della seconda dose in questa fascia anagrafica. Tuttavia, se per i vaccini a </w:t>
      </w:r>
      <w:proofErr w:type="spellStart"/>
      <w:r>
        <w:t>mRNA</w:t>
      </w:r>
      <w:proofErr w:type="spellEnd"/>
      <w:r>
        <w:t xml:space="preserve"> l’intervallo minimo tra le due dosi può essere riportato a quello originale (21 giorni per Pfizer-</w:t>
      </w:r>
      <w:proofErr w:type="spellStart"/>
      <w:r>
        <w:t>BioNTech</w:t>
      </w:r>
      <w:proofErr w:type="spellEnd"/>
      <w:r>
        <w:t xml:space="preserve"> e 28 giorni per Moderna), diverso è il caso di AstraZeneca. Infatti, se il richiamo sarebbe formalmente permesso dalle indicazioni del foglietto illustrativo a partire dalla quarta settimana successiva alla prima somministrazione, la circolare ministeriale n. </w:t>
      </w:r>
      <w:r w:rsidRPr="00447FFB">
        <w:t>5079</w:t>
      </w:r>
      <w:r>
        <w:t xml:space="preserve"> del 9 febbraio 2021 raccomanda un intervallo ottimale di 10-12 settimane per garantire una maggiore efficacia del vaccino.</w:t>
      </w:r>
      <w:r w:rsidR="00226690">
        <w:t xml:space="preserve"> </w:t>
      </w:r>
    </w:p>
    <w:p w:rsidR="0094509C" w:rsidRDefault="0094509C" w:rsidP="0094509C">
      <w:pPr>
        <w:spacing w:line="276" w:lineRule="auto"/>
        <w:jc w:val="both"/>
      </w:pPr>
      <w:r>
        <w:t xml:space="preserve">A seguito di tali valutazioni, la Fondazione GIMBE </w:t>
      </w:r>
      <w:r w:rsidR="00E63D05">
        <w:t>propone di</w:t>
      </w:r>
      <w:r>
        <w:t xml:space="preserve"> rimodulare la campagna vaccinale negli over 60</w:t>
      </w:r>
      <w:r w:rsidR="00E63D05">
        <w:t xml:space="preserve"> come segue</w:t>
      </w:r>
      <w:r>
        <w:t>:</w:t>
      </w:r>
    </w:p>
    <w:p w:rsidR="0094509C" w:rsidRDefault="0094509C" w:rsidP="0094509C">
      <w:pPr>
        <w:pStyle w:val="Paragrafoelenco"/>
        <w:numPr>
          <w:ilvl w:val="0"/>
          <w:numId w:val="41"/>
        </w:numPr>
        <w:spacing w:line="276" w:lineRule="auto"/>
        <w:jc w:val="both"/>
      </w:pPr>
      <w:r>
        <w:t xml:space="preserve">Prime dosi: offrire solo vaccini a </w:t>
      </w:r>
      <w:proofErr w:type="spellStart"/>
      <w:r>
        <w:t>mRNA</w:t>
      </w:r>
      <w:proofErr w:type="spellEnd"/>
      <w:r>
        <w:t xml:space="preserve">, sia per aumentare l’adesione alla campagna fortemente compromessa dalla diffidenza verso i vaccini a vettore virale, sia per evitare </w:t>
      </w:r>
      <w:r w:rsidR="00E63D05">
        <w:t xml:space="preserve">che i </w:t>
      </w:r>
      <w:r>
        <w:t xml:space="preserve">nuovi vaccinati </w:t>
      </w:r>
      <w:r w:rsidR="00982D93">
        <w:t xml:space="preserve">restino </w:t>
      </w:r>
      <w:r w:rsidR="00E63D05">
        <w:t xml:space="preserve">esposti per le successive 10-12 settimane alla variante delta senza </w:t>
      </w:r>
      <w:r w:rsidR="00D91D80">
        <w:t>adeguata</w:t>
      </w:r>
      <w:r>
        <w:t xml:space="preserve"> copertura;</w:t>
      </w:r>
    </w:p>
    <w:p w:rsidR="0094509C" w:rsidRDefault="0094509C" w:rsidP="0094509C">
      <w:pPr>
        <w:pStyle w:val="Paragrafoelenco"/>
        <w:numPr>
          <w:ilvl w:val="0"/>
          <w:numId w:val="41"/>
        </w:numPr>
        <w:spacing w:line="276" w:lineRule="auto"/>
        <w:jc w:val="both"/>
      </w:pPr>
      <w:r>
        <w:t xml:space="preserve">Seconde dosi: </w:t>
      </w:r>
    </w:p>
    <w:p w:rsidR="0094509C" w:rsidRDefault="0094509C" w:rsidP="0094509C">
      <w:pPr>
        <w:pStyle w:val="Paragrafoelenco"/>
        <w:numPr>
          <w:ilvl w:val="1"/>
          <w:numId w:val="41"/>
        </w:numPr>
        <w:spacing w:line="276" w:lineRule="auto"/>
        <w:jc w:val="both"/>
      </w:pPr>
      <w:r>
        <w:t>Pfizer-</w:t>
      </w:r>
      <w:proofErr w:type="spellStart"/>
      <w:r>
        <w:t>BioNTech</w:t>
      </w:r>
      <w:proofErr w:type="spellEnd"/>
      <w:r>
        <w:t xml:space="preserve"> e Moderna: somministrare la seconda dose rispettivamente a 21 e 28 giorni, anticipando i richiami fissati a intervalli più prolungati;</w:t>
      </w:r>
    </w:p>
    <w:p w:rsidR="0094509C" w:rsidRDefault="0094509C" w:rsidP="0094509C">
      <w:pPr>
        <w:pStyle w:val="Paragrafoelenco"/>
        <w:numPr>
          <w:ilvl w:val="1"/>
          <w:numId w:val="41"/>
        </w:numPr>
        <w:spacing w:line="276" w:lineRule="auto"/>
        <w:jc w:val="both"/>
      </w:pPr>
      <w:r>
        <w:t xml:space="preserve">AstraZeneca: estendere l’autorizzazione AIFA per offrire la vaccinazione eterologa anche agli over 60 (al momento off </w:t>
      </w:r>
      <w:proofErr w:type="spellStart"/>
      <w:r>
        <w:t>label</w:t>
      </w:r>
      <w:proofErr w:type="spellEnd"/>
      <w:r>
        <w:t>), permettendo così di anticipare la seconda dose a 8 settimane dalla prima. In alternativa, mantenendo il ciclo completo con AstraZeneca, per proteggere gli over 60 non adeguatamente coperti dalla singola dose contro la variante delta</w:t>
      </w:r>
      <w:r w:rsidR="00982D93">
        <w:t>,</w:t>
      </w:r>
      <w:r>
        <w:t xml:space="preserve"> occorrerebbe </w:t>
      </w:r>
      <w:r w:rsidR="0048161F">
        <w:t xml:space="preserve">ripristinare </w:t>
      </w:r>
      <w:r>
        <w:t>misure non farmacologiche più rigorose.</w:t>
      </w:r>
    </w:p>
    <w:p w:rsidR="0094509C" w:rsidRDefault="0094509C" w:rsidP="0094509C">
      <w:pPr>
        <w:spacing w:line="276" w:lineRule="auto"/>
        <w:jc w:val="both"/>
      </w:pPr>
      <w:r w:rsidRPr="00997E57">
        <w:rPr>
          <w:rFonts w:ascii="Calibri" w:eastAsia="Times New Roman" w:hAnsi="Calibri" w:cs="Calibri"/>
          <w:lang w:eastAsia="it-IT"/>
        </w:rPr>
        <w:t xml:space="preserve">«Se per contrastare la diffusione della variante delta – conclude Cartabellotta – devono tornare in campo i servizi territoriali potenziando </w:t>
      </w:r>
      <w:proofErr w:type="spellStart"/>
      <w:r w:rsidRPr="00997E57">
        <w:rPr>
          <w:rFonts w:ascii="Calibri" w:eastAsia="Times New Roman" w:hAnsi="Calibri" w:cs="Calibri"/>
          <w:lang w:eastAsia="it-IT"/>
        </w:rPr>
        <w:t>contact</w:t>
      </w:r>
      <w:proofErr w:type="spellEnd"/>
      <w:r w:rsidRPr="00997E57">
        <w:rPr>
          <w:rFonts w:ascii="Calibri" w:eastAsia="Times New Roman" w:hAnsi="Calibri" w:cs="Calibri"/>
          <w:lang w:eastAsia="it-IT"/>
        </w:rPr>
        <w:t xml:space="preserve"> </w:t>
      </w:r>
      <w:proofErr w:type="spellStart"/>
      <w:r w:rsidRPr="00997E57">
        <w:rPr>
          <w:rFonts w:ascii="Calibri" w:eastAsia="Times New Roman" w:hAnsi="Calibri" w:cs="Calibri"/>
          <w:lang w:eastAsia="it-IT"/>
        </w:rPr>
        <w:t>tracing</w:t>
      </w:r>
      <w:proofErr w:type="spellEnd"/>
      <w:r w:rsidRPr="00997E57">
        <w:rPr>
          <w:rFonts w:ascii="Calibri" w:eastAsia="Times New Roman" w:hAnsi="Calibri" w:cs="Calibri"/>
          <w:lang w:eastAsia="it-IT"/>
        </w:rPr>
        <w:t xml:space="preserve">, sequenziamento e screening alle frontiere, per limitare l’impatto della COVID-19 severa e </w:t>
      </w:r>
      <w:r>
        <w:rPr>
          <w:rFonts w:ascii="Calibri" w:eastAsia="Times New Roman" w:hAnsi="Calibri" w:cs="Calibri"/>
          <w:lang w:eastAsia="it-IT"/>
        </w:rPr>
        <w:t>del</w:t>
      </w:r>
      <w:r w:rsidRPr="00997E57">
        <w:rPr>
          <w:rFonts w:ascii="Calibri" w:eastAsia="Times New Roman" w:hAnsi="Calibri" w:cs="Calibri"/>
          <w:lang w:eastAsia="it-IT"/>
        </w:rPr>
        <w:t xml:space="preserve">le ospedalizzazioni </w:t>
      </w:r>
      <w:r>
        <w:rPr>
          <w:rFonts w:ascii="Calibri" w:eastAsia="Times New Roman" w:hAnsi="Calibri" w:cs="Calibri"/>
          <w:lang w:eastAsia="it-IT"/>
        </w:rPr>
        <w:t>occorre</w:t>
      </w:r>
      <w:r w:rsidRPr="00997E57">
        <w:rPr>
          <w:rFonts w:ascii="Calibri" w:eastAsia="Times New Roman" w:hAnsi="Calibri" w:cs="Calibri"/>
          <w:lang w:eastAsia="it-IT"/>
        </w:rPr>
        <w:t xml:space="preserve"> </w:t>
      </w:r>
      <w:r>
        <w:t xml:space="preserve">accelerare la somministrazione della seconda dose negli over 60. Ma serve una scelta strategica univoca, senza fughe in avanti delle Regioni, </w:t>
      </w:r>
      <w:r>
        <w:lastRenderedPageBreak/>
        <w:t>allineata con le indicazioni autorizzate dei vaccini e adeguatamente comunicata alla popolazione, anche perché, in relazione alle scorte di vaccini disponibili, nuove vaccinazioni e richiami degli under 60 potrebbero dover subire un rallentamento</w:t>
      </w:r>
      <w:r w:rsidRPr="009C50B6">
        <w:t>»</w:t>
      </w:r>
      <w:r>
        <w:t>.</w:t>
      </w:r>
    </w:p>
    <w:p w:rsidR="008B1130" w:rsidRPr="004014C0" w:rsidRDefault="00AE53B4" w:rsidP="00C65326">
      <w:pPr>
        <w:spacing w:after="120"/>
        <w:jc w:val="both"/>
        <w:rPr>
          <w:rStyle w:val="Collegamentoipertestuale"/>
          <w:color w:val="auto"/>
          <w:u w:val="none"/>
        </w:rPr>
      </w:pPr>
      <w:r w:rsidRPr="00497C09">
        <w:rPr>
          <w:rFonts w:cstheme="minorHAnsi"/>
          <w:i/>
        </w:rPr>
        <w:t xml:space="preserve">Il monitoraggio GIMBE dell'epidemia di COVID-19 è disponibile a: </w:t>
      </w:r>
      <w:hyperlink r:id="rId10" w:history="1">
        <w:r w:rsidRPr="00497C09">
          <w:rPr>
            <w:rStyle w:val="Collegamentoipertestuale"/>
            <w:rFonts w:cstheme="minorHAnsi"/>
            <w:i/>
          </w:rPr>
          <w:t>https://coronavirus.gimbe.org</w:t>
        </w:r>
      </w:hyperlink>
    </w:p>
    <w:p w:rsidR="00F5067B" w:rsidRPr="00241CDD" w:rsidRDefault="00AE53B4" w:rsidP="002529AF">
      <w:pPr>
        <w:spacing w:after="120"/>
        <w:rPr>
          <w:rFonts w:ascii="Calibri" w:eastAsia="Calibri" w:hAnsi="Calibri" w:cs="Times New Roman"/>
          <w:color w:val="0563C1" w:themeColor="hyperlink"/>
          <w:sz w:val="20"/>
          <w:u w:val="single"/>
        </w:rPr>
      </w:pPr>
      <w:r w:rsidRPr="00A24080">
        <w:rPr>
          <w:rFonts w:ascii="Calibri" w:eastAsia="Calibri" w:hAnsi="Calibri" w:cs="Times New Roman"/>
          <w:b/>
          <w:bCs/>
        </w:rPr>
        <w:t>CONTATTI</w:t>
      </w:r>
      <w:r>
        <w:rPr>
          <w:i/>
        </w:rPr>
        <w:br/>
      </w:r>
      <w:r w:rsidRPr="00A24080">
        <w:rPr>
          <w:b/>
        </w:rPr>
        <w:t>Fondazione GIMBE</w:t>
      </w:r>
      <w:r>
        <w:rPr>
          <w:rFonts w:cstheme="minorHAnsi"/>
          <w:i/>
          <w:color w:val="0563C1" w:themeColor="hyperlink"/>
          <w:u w:val="single"/>
        </w:rPr>
        <w:br/>
      </w:r>
      <w:r w:rsidRPr="00652364">
        <w:rPr>
          <w:rFonts w:ascii="Calibri" w:eastAsia="Calibri" w:hAnsi="Calibri" w:cs="Times New Roman"/>
          <w:sz w:val="20"/>
        </w:rPr>
        <w:t>Via Amendola 2 - 40121 Bologna</w:t>
      </w:r>
      <w:r>
        <w:rPr>
          <w:rFonts w:ascii="Calibri" w:eastAsia="Calibri" w:hAnsi="Calibri" w:cs="Times New Roman"/>
          <w:sz w:val="20"/>
        </w:rPr>
        <w:br/>
      </w:r>
      <w:r w:rsidRPr="00652364">
        <w:rPr>
          <w:rFonts w:ascii="Calibri" w:eastAsia="Calibri" w:hAnsi="Calibri" w:cs="Times New Roman"/>
          <w:sz w:val="20"/>
        </w:rPr>
        <w:t>Tel. 051 5883920 - Fax 051 4075774</w:t>
      </w:r>
      <w:r>
        <w:rPr>
          <w:rFonts w:ascii="Calibri" w:eastAsia="Calibri" w:hAnsi="Calibri" w:cs="Times New Roman"/>
          <w:sz w:val="20"/>
        </w:rPr>
        <w:br/>
      </w:r>
      <w:r w:rsidRPr="00652364">
        <w:rPr>
          <w:rFonts w:ascii="Calibri" w:eastAsia="Calibri" w:hAnsi="Calibri" w:cs="Times New Roman"/>
          <w:sz w:val="20"/>
        </w:rPr>
        <w:t xml:space="preserve">E-mail: </w:t>
      </w:r>
      <w:hyperlink r:id="rId11" w:history="1">
        <w:r w:rsidRPr="00652364">
          <w:rPr>
            <w:rStyle w:val="Collegamentoipertestuale"/>
            <w:rFonts w:ascii="Calibri" w:eastAsia="Calibri" w:hAnsi="Calibri" w:cs="Times New Roman"/>
            <w:sz w:val="20"/>
          </w:rPr>
          <w:t>ufficio.stampa@gimbe.org</w:t>
        </w:r>
      </w:hyperlink>
    </w:p>
    <w:bookmarkEnd w:id="0"/>
    <w:p w:rsidR="00EC6615" w:rsidRDefault="00EC6615">
      <w:pPr>
        <w:rPr>
          <w:rStyle w:val="Rimandocommento"/>
        </w:rPr>
      </w:pPr>
    </w:p>
    <w:p w:rsidR="001C290F" w:rsidRDefault="001C290F">
      <w:pPr>
        <w:rPr>
          <w:rStyle w:val="Rimandocommento"/>
        </w:rPr>
      </w:pPr>
    </w:p>
    <w:p w:rsidR="00EA3790" w:rsidRDefault="00EA3790">
      <w:pPr>
        <w:rPr>
          <w:rStyle w:val="Rimandocommento"/>
        </w:rPr>
      </w:pPr>
      <w:r>
        <w:rPr>
          <w:rStyle w:val="Rimandocommento"/>
        </w:rPr>
        <w:br w:type="page"/>
      </w:r>
    </w:p>
    <w:p w:rsidR="00E51205" w:rsidRDefault="00D86DE6" w:rsidP="00E51205">
      <w:pPr>
        <w:jc w:val="center"/>
        <w:rPr>
          <w:b/>
          <w:color w:val="00457D"/>
          <w:sz w:val="24"/>
        </w:rPr>
      </w:pPr>
      <w:r>
        <w:rPr>
          <w:b/>
          <w:color w:val="00457D"/>
          <w:sz w:val="24"/>
        </w:rPr>
        <w:lastRenderedPageBreak/>
        <w:t>Figura 1</w:t>
      </w:r>
    </w:p>
    <w:p w:rsidR="00E51205" w:rsidRDefault="00E51205" w:rsidP="00E51205">
      <w:pPr>
        <w:jc w:val="center"/>
        <w:rPr>
          <w:b/>
          <w:color w:val="00457D"/>
          <w:sz w:val="24"/>
        </w:rPr>
      </w:pPr>
    </w:p>
    <w:p w:rsidR="00EE7857" w:rsidRDefault="009A04ED" w:rsidP="00E51205">
      <w:pPr>
        <w:jc w:val="center"/>
        <w:rPr>
          <w:b/>
          <w:color w:val="00457D"/>
          <w:sz w:val="24"/>
        </w:rPr>
      </w:pPr>
      <w:r>
        <w:rPr>
          <w:b/>
          <w:noProof/>
          <w:color w:val="00457D"/>
          <w:sz w:val="24"/>
          <w:lang w:eastAsia="it-IT"/>
        </w:rPr>
        <w:drawing>
          <wp:inline distT="0" distB="0" distL="0" distR="0" wp14:anchorId="1D9912BF" wp14:editId="1470D90B">
            <wp:extent cx="5760000" cy="2664086"/>
            <wp:effectExtent l="0" t="0" r="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664086"/>
                    </a:xfrm>
                    <a:prstGeom prst="rect">
                      <a:avLst/>
                    </a:prstGeom>
                    <a:noFill/>
                  </pic:spPr>
                </pic:pic>
              </a:graphicData>
            </a:graphic>
          </wp:inline>
        </w:drawing>
      </w:r>
    </w:p>
    <w:p w:rsidR="00D86DE6" w:rsidRDefault="00D86DE6" w:rsidP="00891F25">
      <w:pPr>
        <w:rPr>
          <w:b/>
          <w:color w:val="00457D"/>
          <w:sz w:val="24"/>
        </w:rPr>
      </w:pPr>
    </w:p>
    <w:p w:rsidR="0029362B" w:rsidRDefault="00DE19CB" w:rsidP="008B6F3B">
      <w:pPr>
        <w:jc w:val="center"/>
        <w:rPr>
          <w:b/>
          <w:color w:val="00457D"/>
          <w:sz w:val="24"/>
        </w:rPr>
      </w:pPr>
      <w:r>
        <w:rPr>
          <w:b/>
          <w:color w:val="00457D"/>
          <w:sz w:val="24"/>
        </w:rPr>
        <w:t>Figura 2</w:t>
      </w:r>
    </w:p>
    <w:p w:rsidR="008B6F3B" w:rsidRDefault="008B6F3B" w:rsidP="00333902">
      <w:pPr>
        <w:jc w:val="center"/>
        <w:rPr>
          <w:b/>
          <w:color w:val="00457D"/>
          <w:sz w:val="24"/>
        </w:rPr>
      </w:pPr>
      <w:r>
        <w:rPr>
          <w:b/>
          <w:color w:val="00457D"/>
          <w:sz w:val="24"/>
        </w:rPr>
        <w:br/>
      </w:r>
      <w:r w:rsidR="009A04ED">
        <w:rPr>
          <w:b/>
          <w:noProof/>
          <w:color w:val="00457D"/>
          <w:sz w:val="24"/>
          <w:lang w:eastAsia="it-IT"/>
        </w:rPr>
        <w:drawing>
          <wp:inline distT="0" distB="0" distL="0" distR="0" wp14:anchorId="4843428D" wp14:editId="575D06F8">
            <wp:extent cx="5767617" cy="2664000"/>
            <wp:effectExtent l="0" t="0" r="5080" b="317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7617" cy="2664000"/>
                    </a:xfrm>
                    <a:prstGeom prst="rect">
                      <a:avLst/>
                    </a:prstGeom>
                    <a:noFill/>
                  </pic:spPr>
                </pic:pic>
              </a:graphicData>
            </a:graphic>
          </wp:inline>
        </w:drawing>
      </w:r>
    </w:p>
    <w:p w:rsidR="003F2406" w:rsidRDefault="003F2406" w:rsidP="003F2406">
      <w:pPr>
        <w:jc w:val="center"/>
        <w:rPr>
          <w:b/>
          <w:color w:val="00457D"/>
          <w:sz w:val="24"/>
        </w:rPr>
        <w:sectPr w:rsidR="003F2406" w:rsidSect="00115E64">
          <w:footnotePr>
            <w:numFmt w:val="chicago"/>
          </w:footnotePr>
          <w:pgSz w:w="11906" w:h="16838"/>
          <w:pgMar w:top="993" w:right="1134" w:bottom="709" w:left="1134" w:header="709" w:footer="836" w:gutter="0"/>
          <w:cols w:space="708"/>
          <w:docGrid w:linePitch="360"/>
        </w:sectPr>
      </w:pPr>
      <w:r>
        <w:rPr>
          <w:b/>
          <w:color w:val="00457D"/>
          <w:sz w:val="24"/>
        </w:rPr>
        <w:br/>
      </w:r>
    </w:p>
    <w:p w:rsidR="001A0514" w:rsidRDefault="00BF6DF7" w:rsidP="00891F25">
      <w:pPr>
        <w:spacing w:after="0" w:line="360" w:lineRule="auto"/>
        <w:jc w:val="center"/>
        <w:rPr>
          <w:b/>
          <w:color w:val="00457D"/>
          <w:sz w:val="24"/>
        </w:rPr>
      </w:pPr>
      <w:r>
        <w:rPr>
          <w:b/>
          <w:color w:val="00457D"/>
          <w:sz w:val="24"/>
        </w:rPr>
        <w:lastRenderedPageBreak/>
        <w:t xml:space="preserve">Figura </w:t>
      </w:r>
      <w:r w:rsidR="00DE19CB">
        <w:rPr>
          <w:b/>
          <w:color w:val="00457D"/>
          <w:sz w:val="24"/>
        </w:rPr>
        <w:t>3</w:t>
      </w:r>
    </w:p>
    <w:p w:rsidR="00891F25" w:rsidRDefault="00891F25" w:rsidP="00080306">
      <w:pPr>
        <w:spacing w:after="0" w:line="360" w:lineRule="auto"/>
        <w:jc w:val="center"/>
        <w:rPr>
          <w:b/>
          <w:color w:val="FF0000"/>
          <w:sz w:val="24"/>
        </w:rPr>
      </w:pPr>
    </w:p>
    <w:p w:rsidR="009A04ED" w:rsidRPr="00080306" w:rsidRDefault="0053439F" w:rsidP="00080306">
      <w:pPr>
        <w:spacing w:after="0" w:line="360" w:lineRule="auto"/>
        <w:jc w:val="center"/>
        <w:rPr>
          <w:b/>
          <w:color w:val="FF0000"/>
          <w:sz w:val="24"/>
        </w:rPr>
        <w:sectPr w:rsidR="009A04ED" w:rsidRPr="00080306" w:rsidSect="00B76C0E">
          <w:footnotePr>
            <w:numFmt w:val="chicago"/>
          </w:footnotePr>
          <w:pgSz w:w="16838" w:h="11906" w:orient="landscape"/>
          <w:pgMar w:top="1134" w:right="709" w:bottom="1134" w:left="992" w:header="709" w:footer="833" w:gutter="0"/>
          <w:cols w:space="708"/>
          <w:docGrid w:linePitch="360"/>
        </w:sectPr>
      </w:pPr>
      <w:r>
        <w:rPr>
          <w:b/>
          <w:noProof/>
          <w:color w:val="FF0000"/>
          <w:sz w:val="24"/>
          <w:lang w:eastAsia="it-IT"/>
        </w:rPr>
        <w:drawing>
          <wp:inline distT="0" distB="0" distL="0" distR="0" wp14:anchorId="26E13994" wp14:editId="296AA24E">
            <wp:extent cx="9360000" cy="4868302"/>
            <wp:effectExtent l="0" t="0" r="0" b="889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60000" cy="4868302"/>
                    </a:xfrm>
                    <a:prstGeom prst="rect">
                      <a:avLst/>
                    </a:prstGeom>
                    <a:noFill/>
                  </pic:spPr>
                </pic:pic>
              </a:graphicData>
            </a:graphic>
          </wp:inline>
        </w:drawing>
      </w:r>
    </w:p>
    <w:p w:rsidR="00884344" w:rsidRDefault="004C0660" w:rsidP="000825ED">
      <w:pPr>
        <w:jc w:val="center"/>
        <w:rPr>
          <w:b/>
          <w:color w:val="00457D"/>
          <w:sz w:val="24"/>
        </w:rPr>
      </w:pPr>
      <w:r>
        <w:rPr>
          <w:b/>
          <w:color w:val="00457D"/>
          <w:sz w:val="24"/>
        </w:rPr>
        <w:lastRenderedPageBreak/>
        <w:t>Figura 4</w:t>
      </w:r>
    </w:p>
    <w:p w:rsidR="00B97D3A" w:rsidRDefault="00B97D3A" w:rsidP="00E35027">
      <w:pPr>
        <w:spacing w:after="0"/>
        <w:jc w:val="center"/>
        <w:rPr>
          <w:b/>
          <w:color w:val="00457D"/>
          <w:sz w:val="24"/>
        </w:rPr>
      </w:pPr>
    </w:p>
    <w:p w:rsidR="008A740C" w:rsidRDefault="008A740C" w:rsidP="00E35027">
      <w:pPr>
        <w:spacing w:after="0"/>
        <w:jc w:val="center"/>
        <w:rPr>
          <w:b/>
          <w:color w:val="00457D"/>
          <w:sz w:val="24"/>
        </w:rPr>
      </w:pPr>
      <w:r>
        <w:rPr>
          <w:b/>
          <w:noProof/>
          <w:color w:val="00457D"/>
          <w:sz w:val="24"/>
          <w:lang w:eastAsia="it-IT"/>
        </w:rPr>
        <w:drawing>
          <wp:inline distT="0" distB="0" distL="0" distR="0" wp14:anchorId="7AE1655F" wp14:editId="33FAE1F4">
            <wp:extent cx="5760000" cy="2884691"/>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884691"/>
                    </a:xfrm>
                    <a:prstGeom prst="rect">
                      <a:avLst/>
                    </a:prstGeom>
                    <a:noFill/>
                  </pic:spPr>
                </pic:pic>
              </a:graphicData>
            </a:graphic>
          </wp:inline>
        </w:drawing>
      </w:r>
    </w:p>
    <w:p w:rsidR="000825ED" w:rsidRDefault="000825ED" w:rsidP="000825ED">
      <w:pPr>
        <w:rPr>
          <w:b/>
          <w:color w:val="00457D"/>
          <w:sz w:val="24"/>
        </w:rPr>
      </w:pPr>
    </w:p>
    <w:p w:rsidR="00C73ADB" w:rsidRDefault="00C73ADB" w:rsidP="000825ED">
      <w:pPr>
        <w:rPr>
          <w:b/>
          <w:color w:val="00457D"/>
          <w:sz w:val="24"/>
        </w:rPr>
      </w:pPr>
    </w:p>
    <w:p w:rsidR="00B97D3A" w:rsidRDefault="000825ED" w:rsidP="000C1765">
      <w:pPr>
        <w:jc w:val="center"/>
        <w:rPr>
          <w:b/>
          <w:color w:val="00457D"/>
          <w:sz w:val="24"/>
        </w:rPr>
      </w:pPr>
      <w:r>
        <w:rPr>
          <w:b/>
          <w:color w:val="00457D"/>
          <w:sz w:val="24"/>
        </w:rPr>
        <w:t>Figura 5</w:t>
      </w:r>
    </w:p>
    <w:p w:rsidR="000825ED" w:rsidRDefault="000825ED" w:rsidP="00E35027">
      <w:pPr>
        <w:spacing w:after="0"/>
        <w:jc w:val="center"/>
        <w:rPr>
          <w:b/>
          <w:color w:val="00457D"/>
          <w:sz w:val="24"/>
        </w:rPr>
      </w:pPr>
    </w:p>
    <w:p w:rsidR="008A740C" w:rsidRDefault="008A740C" w:rsidP="00E35027">
      <w:pPr>
        <w:spacing w:after="0"/>
        <w:jc w:val="center"/>
        <w:rPr>
          <w:b/>
          <w:color w:val="00457D"/>
          <w:sz w:val="24"/>
        </w:rPr>
      </w:pPr>
      <w:r>
        <w:rPr>
          <w:b/>
          <w:noProof/>
          <w:color w:val="00457D"/>
          <w:sz w:val="24"/>
          <w:lang w:eastAsia="it-IT"/>
        </w:rPr>
        <w:drawing>
          <wp:inline distT="0" distB="0" distL="0" distR="0" wp14:anchorId="3ABB0B9B" wp14:editId="34B91B77">
            <wp:extent cx="5760000" cy="2854692"/>
            <wp:effectExtent l="0" t="0" r="0" b="317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854692"/>
                    </a:xfrm>
                    <a:prstGeom prst="rect">
                      <a:avLst/>
                    </a:prstGeom>
                    <a:noFill/>
                  </pic:spPr>
                </pic:pic>
              </a:graphicData>
            </a:graphic>
          </wp:inline>
        </w:drawing>
      </w:r>
    </w:p>
    <w:p w:rsidR="00B97D3A" w:rsidRDefault="00B97D3A" w:rsidP="00E35027">
      <w:pPr>
        <w:spacing w:after="0"/>
        <w:jc w:val="center"/>
        <w:rPr>
          <w:b/>
          <w:color w:val="00457D"/>
          <w:sz w:val="24"/>
        </w:rPr>
      </w:pPr>
    </w:p>
    <w:p w:rsidR="001C290F" w:rsidRDefault="001C290F" w:rsidP="00E35027">
      <w:pPr>
        <w:spacing w:after="0"/>
        <w:jc w:val="center"/>
        <w:rPr>
          <w:b/>
          <w:color w:val="00457D"/>
          <w:sz w:val="24"/>
        </w:rPr>
      </w:pPr>
    </w:p>
    <w:p w:rsidR="001C290F" w:rsidRDefault="001C290F" w:rsidP="001C290F">
      <w:pPr>
        <w:spacing w:after="0"/>
        <w:jc w:val="center"/>
        <w:rPr>
          <w:b/>
          <w:color w:val="00457D"/>
          <w:sz w:val="24"/>
        </w:rPr>
      </w:pPr>
    </w:p>
    <w:p w:rsidR="001C290F" w:rsidRDefault="001C290F" w:rsidP="001C290F">
      <w:pPr>
        <w:spacing w:after="0"/>
        <w:jc w:val="center"/>
        <w:rPr>
          <w:b/>
          <w:color w:val="00457D"/>
          <w:sz w:val="24"/>
        </w:rPr>
      </w:pPr>
    </w:p>
    <w:p w:rsidR="000C1765" w:rsidRDefault="000C1765">
      <w:pPr>
        <w:rPr>
          <w:b/>
          <w:color w:val="00457D"/>
          <w:sz w:val="24"/>
        </w:rPr>
      </w:pPr>
      <w:r>
        <w:rPr>
          <w:b/>
          <w:color w:val="00457D"/>
          <w:sz w:val="24"/>
        </w:rPr>
        <w:br w:type="page"/>
      </w:r>
    </w:p>
    <w:p w:rsidR="002C0054" w:rsidRDefault="001C290F" w:rsidP="00C82FD3">
      <w:pPr>
        <w:spacing w:after="0"/>
        <w:jc w:val="center"/>
        <w:rPr>
          <w:b/>
          <w:color w:val="00457D"/>
          <w:sz w:val="24"/>
        </w:rPr>
      </w:pPr>
      <w:r>
        <w:rPr>
          <w:b/>
          <w:color w:val="00457D"/>
          <w:sz w:val="24"/>
        </w:rPr>
        <w:lastRenderedPageBreak/>
        <w:t xml:space="preserve">Figura </w:t>
      </w:r>
      <w:r w:rsidR="00C82FD3">
        <w:rPr>
          <w:b/>
          <w:color w:val="00457D"/>
          <w:sz w:val="24"/>
        </w:rPr>
        <w:t>6</w:t>
      </w:r>
    </w:p>
    <w:p w:rsidR="002C0054" w:rsidRDefault="002C0054" w:rsidP="00C82FD3">
      <w:pPr>
        <w:spacing w:after="0"/>
        <w:jc w:val="center"/>
        <w:rPr>
          <w:b/>
          <w:color w:val="00457D"/>
          <w:sz w:val="24"/>
        </w:rPr>
      </w:pPr>
    </w:p>
    <w:p w:rsidR="00663184" w:rsidRDefault="00663184" w:rsidP="00C82FD3">
      <w:pPr>
        <w:spacing w:after="0"/>
        <w:jc w:val="center"/>
        <w:rPr>
          <w:b/>
          <w:color w:val="00457D"/>
          <w:sz w:val="24"/>
        </w:rPr>
      </w:pPr>
      <w:r>
        <w:rPr>
          <w:b/>
          <w:noProof/>
          <w:color w:val="00457D"/>
          <w:sz w:val="24"/>
          <w:lang w:eastAsia="it-IT"/>
        </w:rPr>
        <w:drawing>
          <wp:inline distT="0" distB="0" distL="0" distR="0" wp14:anchorId="3C5F7C1F" wp14:editId="36298D93">
            <wp:extent cx="5760000" cy="2858443"/>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858443"/>
                    </a:xfrm>
                    <a:prstGeom prst="rect">
                      <a:avLst/>
                    </a:prstGeom>
                    <a:noFill/>
                  </pic:spPr>
                </pic:pic>
              </a:graphicData>
            </a:graphic>
          </wp:inline>
        </w:drawing>
      </w:r>
    </w:p>
    <w:p w:rsidR="00B170CB" w:rsidRDefault="00B170CB" w:rsidP="008F70D4">
      <w:pPr>
        <w:spacing w:after="0"/>
        <w:jc w:val="center"/>
        <w:rPr>
          <w:b/>
          <w:color w:val="00457D"/>
          <w:sz w:val="24"/>
        </w:rPr>
      </w:pPr>
    </w:p>
    <w:p w:rsidR="003500D7" w:rsidRDefault="003500D7" w:rsidP="001F0270">
      <w:pPr>
        <w:spacing w:after="0"/>
        <w:jc w:val="center"/>
        <w:rPr>
          <w:b/>
          <w:color w:val="00457D"/>
          <w:sz w:val="24"/>
        </w:rPr>
      </w:pPr>
      <w:r>
        <w:rPr>
          <w:b/>
          <w:color w:val="00457D"/>
          <w:sz w:val="24"/>
        </w:rPr>
        <w:t xml:space="preserve">Figura </w:t>
      </w:r>
      <w:r w:rsidR="00C82FD3">
        <w:rPr>
          <w:b/>
          <w:color w:val="00457D"/>
          <w:sz w:val="24"/>
        </w:rPr>
        <w:t>7</w:t>
      </w:r>
    </w:p>
    <w:p w:rsidR="002C0054" w:rsidRDefault="002C0054" w:rsidP="001F0270">
      <w:pPr>
        <w:spacing w:after="0"/>
        <w:jc w:val="center"/>
        <w:rPr>
          <w:b/>
          <w:color w:val="00457D"/>
          <w:sz w:val="24"/>
        </w:rPr>
      </w:pPr>
    </w:p>
    <w:p w:rsidR="009F72D6" w:rsidRDefault="009F72D6" w:rsidP="003500D7">
      <w:pPr>
        <w:jc w:val="center"/>
        <w:rPr>
          <w:b/>
          <w:color w:val="00457D"/>
          <w:sz w:val="24"/>
        </w:rPr>
      </w:pPr>
      <w:r>
        <w:rPr>
          <w:b/>
          <w:noProof/>
          <w:color w:val="00457D"/>
          <w:sz w:val="24"/>
          <w:lang w:eastAsia="it-IT"/>
        </w:rPr>
        <w:drawing>
          <wp:inline distT="0" distB="0" distL="0" distR="0" wp14:anchorId="732911D9" wp14:editId="099E9CAF">
            <wp:extent cx="5760000" cy="4535788"/>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4535788"/>
                    </a:xfrm>
                    <a:prstGeom prst="rect">
                      <a:avLst/>
                    </a:prstGeom>
                    <a:noFill/>
                  </pic:spPr>
                </pic:pic>
              </a:graphicData>
            </a:graphic>
          </wp:inline>
        </w:drawing>
      </w:r>
    </w:p>
    <w:p w:rsidR="003420BC" w:rsidRDefault="003420BC">
      <w:pPr>
        <w:rPr>
          <w:b/>
          <w:color w:val="00457D"/>
          <w:sz w:val="24"/>
        </w:rPr>
      </w:pPr>
      <w:r>
        <w:rPr>
          <w:b/>
          <w:color w:val="00457D"/>
          <w:sz w:val="24"/>
        </w:rPr>
        <w:br w:type="page"/>
      </w:r>
    </w:p>
    <w:p w:rsidR="00141E75" w:rsidRDefault="00141E75" w:rsidP="001F0270">
      <w:pPr>
        <w:jc w:val="center"/>
        <w:rPr>
          <w:b/>
          <w:color w:val="00457D"/>
          <w:sz w:val="24"/>
        </w:rPr>
      </w:pPr>
      <w:r>
        <w:rPr>
          <w:b/>
          <w:color w:val="00457D"/>
          <w:sz w:val="24"/>
        </w:rPr>
        <w:lastRenderedPageBreak/>
        <w:t xml:space="preserve">Figura </w:t>
      </w:r>
      <w:r w:rsidR="00C82FD3">
        <w:rPr>
          <w:b/>
          <w:color w:val="00457D"/>
          <w:sz w:val="24"/>
        </w:rPr>
        <w:t>8</w:t>
      </w:r>
    </w:p>
    <w:p w:rsidR="002C0054" w:rsidRDefault="002C0054" w:rsidP="001F0270">
      <w:pPr>
        <w:jc w:val="center"/>
        <w:rPr>
          <w:b/>
          <w:color w:val="00457D"/>
          <w:sz w:val="24"/>
        </w:rPr>
      </w:pPr>
    </w:p>
    <w:p w:rsidR="009F72D6" w:rsidRDefault="009F72D6" w:rsidP="00141E75">
      <w:pPr>
        <w:jc w:val="center"/>
        <w:rPr>
          <w:b/>
          <w:color w:val="00457D"/>
          <w:sz w:val="24"/>
        </w:rPr>
      </w:pPr>
      <w:r>
        <w:rPr>
          <w:b/>
          <w:noProof/>
          <w:color w:val="00457D"/>
          <w:sz w:val="24"/>
          <w:lang w:eastAsia="it-IT"/>
        </w:rPr>
        <w:drawing>
          <wp:inline distT="0" distB="0" distL="0" distR="0" wp14:anchorId="24ED99F3" wp14:editId="4A37D7D8">
            <wp:extent cx="5760000" cy="2530736"/>
            <wp:effectExtent l="0" t="0" r="0" b="317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530736"/>
                    </a:xfrm>
                    <a:prstGeom prst="rect">
                      <a:avLst/>
                    </a:prstGeom>
                    <a:noFill/>
                  </pic:spPr>
                </pic:pic>
              </a:graphicData>
            </a:graphic>
          </wp:inline>
        </w:drawing>
      </w:r>
    </w:p>
    <w:p w:rsidR="003420BC" w:rsidRDefault="003420BC" w:rsidP="008F70D4">
      <w:pPr>
        <w:spacing w:after="0"/>
        <w:jc w:val="center"/>
        <w:rPr>
          <w:b/>
          <w:color w:val="00457D"/>
          <w:sz w:val="24"/>
        </w:rPr>
      </w:pPr>
    </w:p>
    <w:p w:rsidR="00141E75" w:rsidRDefault="00141E75" w:rsidP="001F0270">
      <w:pPr>
        <w:spacing w:after="0"/>
        <w:jc w:val="center"/>
        <w:rPr>
          <w:b/>
          <w:color w:val="00457D"/>
          <w:sz w:val="24"/>
        </w:rPr>
      </w:pPr>
      <w:r>
        <w:rPr>
          <w:b/>
          <w:color w:val="00457D"/>
          <w:sz w:val="24"/>
        </w:rPr>
        <w:t xml:space="preserve">Figura </w:t>
      </w:r>
      <w:r w:rsidR="00C82FD3">
        <w:rPr>
          <w:b/>
          <w:color w:val="00457D"/>
          <w:sz w:val="24"/>
        </w:rPr>
        <w:t>9</w:t>
      </w:r>
    </w:p>
    <w:p w:rsidR="002C0054" w:rsidRDefault="002C0054" w:rsidP="001F0270">
      <w:pPr>
        <w:spacing w:after="0"/>
        <w:jc w:val="center"/>
        <w:rPr>
          <w:b/>
          <w:color w:val="00457D"/>
          <w:sz w:val="24"/>
        </w:rPr>
      </w:pPr>
    </w:p>
    <w:p w:rsidR="009F72D6" w:rsidRDefault="009F72D6" w:rsidP="00141E75">
      <w:pPr>
        <w:jc w:val="center"/>
        <w:rPr>
          <w:b/>
          <w:color w:val="00457D"/>
          <w:sz w:val="24"/>
        </w:rPr>
      </w:pPr>
      <w:r>
        <w:rPr>
          <w:b/>
          <w:noProof/>
          <w:color w:val="00457D"/>
          <w:sz w:val="24"/>
          <w:lang w:eastAsia="it-IT"/>
        </w:rPr>
        <w:drawing>
          <wp:inline distT="0" distB="0" distL="0" distR="0" wp14:anchorId="5B6047C4" wp14:editId="17AE234A">
            <wp:extent cx="5760000" cy="3364932"/>
            <wp:effectExtent l="0" t="0" r="0" b="698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364932"/>
                    </a:xfrm>
                    <a:prstGeom prst="rect">
                      <a:avLst/>
                    </a:prstGeom>
                    <a:noFill/>
                  </pic:spPr>
                </pic:pic>
              </a:graphicData>
            </a:graphic>
          </wp:inline>
        </w:drawing>
      </w:r>
    </w:p>
    <w:p w:rsidR="003420BC" w:rsidRDefault="003420BC">
      <w:pPr>
        <w:rPr>
          <w:b/>
          <w:color w:val="00457D"/>
          <w:sz w:val="24"/>
        </w:rPr>
      </w:pPr>
      <w:r>
        <w:rPr>
          <w:b/>
          <w:color w:val="00457D"/>
          <w:sz w:val="24"/>
        </w:rPr>
        <w:br w:type="page"/>
      </w:r>
    </w:p>
    <w:p w:rsidR="002C0054" w:rsidRDefault="00842CC3" w:rsidP="0065595A">
      <w:pPr>
        <w:spacing w:after="0" w:line="240" w:lineRule="auto"/>
        <w:jc w:val="center"/>
        <w:rPr>
          <w:b/>
          <w:color w:val="00457D"/>
          <w:sz w:val="24"/>
        </w:rPr>
      </w:pPr>
      <w:r>
        <w:rPr>
          <w:b/>
          <w:color w:val="00457D"/>
          <w:sz w:val="24"/>
        </w:rPr>
        <w:lastRenderedPageBreak/>
        <w:t xml:space="preserve">Figura </w:t>
      </w:r>
      <w:r w:rsidR="006E53AC">
        <w:rPr>
          <w:b/>
          <w:color w:val="00457D"/>
          <w:sz w:val="24"/>
        </w:rPr>
        <w:t>1</w:t>
      </w:r>
      <w:r w:rsidR="002C0054">
        <w:rPr>
          <w:b/>
          <w:color w:val="00457D"/>
          <w:sz w:val="24"/>
        </w:rPr>
        <w:t>0</w:t>
      </w:r>
    </w:p>
    <w:p w:rsidR="009F72D6" w:rsidRDefault="009F72D6" w:rsidP="0065595A">
      <w:pPr>
        <w:spacing w:after="0" w:line="240" w:lineRule="auto"/>
        <w:jc w:val="center"/>
        <w:rPr>
          <w:b/>
          <w:color w:val="00457D"/>
          <w:sz w:val="24"/>
        </w:rPr>
      </w:pPr>
      <w:r>
        <w:rPr>
          <w:b/>
          <w:noProof/>
          <w:color w:val="00457D"/>
          <w:sz w:val="24"/>
          <w:lang w:eastAsia="it-IT"/>
        </w:rPr>
        <w:drawing>
          <wp:inline distT="0" distB="0" distL="0" distR="0" wp14:anchorId="0E8C95BE" wp14:editId="425954EB">
            <wp:extent cx="5760000" cy="454023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4540235"/>
                    </a:xfrm>
                    <a:prstGeom prst="rect">
                      <a:avLst/>
                    </a:prstGeom>
                    <a:noFill/>
                  </pic:spPr>
                </pic:pic>
              </a:graphicData>
            </a:graphic>
          </wp:inline>
        </w:drawing>
      </w:r>
    </w:p>
    <w:p w:rsidR="00117E81" w:rsidRDefault="00117E81" w:rsidP="00765063">
      <w:pPr>
        <w:jc w:val="center"/>
        <w:rPr>
          <w:b/>
          <w:color w:val="00457D"/>
          <w:sz w:val="24"/>
        </w:rPr>
      </w:pPr>
    </w:p>
    <w:p w:rsidR="00D94CBF" w:rsidRDefault="00902DB0" w:rsidP="001F0270">
      <w:pPr>
        <w:spacing w:after="0" w:line="240" w:lineRule="auto"/>
        <w:jc w:val="center"/>
        <w:rPr>
          <w:b/>
          <w:color w:val="00457D"/>
          <w:sz w:val="24"/>
        </w:rPr>
      </w:pPr>
      <w:r>
        <w:rPr>
          <w:b/>
          <w:color w:val="00457D"/>
          <w:sz w:val="24"/>
        </w:rPr>
        <w:br w:type="page"/>
      </w:r>
      <w:r w:rsidR="006A036A">
        <w:rPr>
          <w:b/>
          <w:color w:val="00457D"/>
          <w:sz w:val="24"/>
        </w:rPr>
        <w:lastRenderedPageBreak/>
        <w:t>Figura 1</w:t>
      </w:r>
      <w:r w:rsidR="002C0054">
        <w:rPr>
          <w:b/>
          <w:color w:val="00457D"/>
          <w:sz w:val="24"/>
        </w:rPr>
        <w:t>1</w:t>
      </w:r>
    </w:p>
    <w:p w:rsidR="002C0054" w:rsidRDefault="002C0054" w:rsidP="001F0270">
      <w:pPr>
        <w:spacing w:after="0" w:line="240" w:lineRule="auto"/>
        <w:jc w:val="center"/>
        <w:rPr>
          <w:b/>
          <w:color w:val="00457D"/>
          <w:sz w:val="24"/>
        </w:rPr>
      </w:pPr>
    </w:p>
    <w:p w:rsidR="009F72D6" w:rsidRDefault="009F72D6" w:rsidP="006A036A">
      <w:pPr>
        <w:spacing w:after="0" w:line="240" w:lineRule="auto"/>
        <w:jc w:val="center"/>
        <w:rPr>
          <w:b/>
          <w:color w:val="00457D"/>
          <w:sz w:val="24"/>
        </w:rPr>
      </w:pPr>
      <w:r>
        <w:rPr>
          <w:b/>
          <w:noProof/>
          <w:color w:val="00457D"/>
          <w:sz w:val="24"/>
          <w:lang w:eastAsia="it-IT"/>
        </w:rPr>
        <w:drawing>
          <wp:inline distT="0" distB="0" distL="0" distR="0" wp14:anchorId="781B8C5E" wp14:editId="53E4D98C">
            <wp:extent cx="5760000" cy="4491794"/>
            <wp:effectExtent l="0" t="0" r="0" b="444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4491794"/>
                    </a:xfrm>
                    <a:prstGeom prst="rect">
                      <a:avLst/>
                    </a:prstGeom>
                    <a:noFill/>
                  </pic:spPr>
                </pic:pic>
              </a:graphicData>
            </a:graphic>
          </wp:inline>
        </w:drawing>
      </w:r>
    </w:p>
    <w:p w:rsidR="00A1163B" w:rsidRDefault="00A1163B" w:rsidP="006A036A">
      <w:pPr>
        <w:spacing w:after="0" w:line="240" w:lineRule="auto"/>
        <w:jc w:val="center"/>
        <w:rPr>
          <w:b/>
          <w:color w:val="00457D"/>
          <w:sz w:val="24"/>
        </w:rPr>
      </w:pPr>
    </w:p>
    <w:p w:rsidR="00141E75" w:rsidRDefault="00141E75" w:rsidP="00FD54FE">
      <w:pPr>
        <w:spacing w:after="120"/>
        <w:jc w:val="center"/>
        <w:rPr>
          <w:b/>
          <w:color w:val="00457D"/>
          <w:sz w:val="24"/>
        </w:rPr>
      </w:pPr>
    </w:p>
    <w:p w:rsidR="001C290F" w:rsidRDefault="001C290F">
      <w:pPr>
        <w:rPr>
          <w:b/>
          <w:color w:val="00457D"/>
          <w:sz w:val="24"/>
        </w:rPr>
      </w:pPr>
      <w:r>
        <w:rPr>
          <w:b/>
          <w:color w:val="00457D"/>
          <w:sz w:val="24"/>
        </w:rPr>
        <w:br w:type="page"/>
      </w:r>
    </w:p>
    <w:p w:rsidR="00D94CBF" w:rsidRDefault="000D39C6" w:rsidP="001F0270">
      <w:pPr>
        <w:spacing w:after="0" w:line="240" w:lineRule="auto"/>
        <w:jc w:val="center"/>
        <w:rPr>
          <w:b/>
          <w:color w:val="00457D"/>
          <w:sz w:val="24"/>
        </w:rPr>
      </w:pPr>
      <w:r>
        <w:rPr>
          <w:b/>
          <w:color w:val="00457D"/>
          <w:sz w:val="24"/>
        </w:rPr>
        <w:lastRenderedPageBreak/>
        <w:t xml:space="preserve">Figura </w:t>
      </w:r>
      <w:r w:rsidR="00227DD0">
        <w:rPr>
          <w:b/>
          <w:color w:val="00457D"/>
          <w:sz w:val="24"/>
        </w:rPr>
        <w:t>1</w:t>
      </w:r>
      <w:r w:rsidR="002C0054">
        <w:rPr>
          <w:b/>
          <w:color w:val="00457D"/>
          <w:sz w:val="24"/>
        </w:rPr>
        <w:t>2</w:t>
      </w:r>
    </w:p>
    <w:p w:rsidR="002C0054" w:rsidRDefault="002C0054" w:rsidP="001F0270">
      <w:pPr>
        <w:spacing w:after="0" w:line="240" w:lineRule="auto"/>
        <w:jc w:val="center"/>
        <w:rPr>
          <w:b/>
          <w:color w:val="00457D"/>
          <w:sz w:val="24"/>
        </w:rPr>
      </w:pPr>
    </w:p>
    <w:p w:rsidR="009F72D6" w:rsidRDefault="009F72D6" w:rsidP="002A179A">
      <w:pPr>
        <w:spacing w:after="0" w:line="240" w:lineRule="auto"/>
        <w:jc w:val="center"/>
        <w:rPr>
          <w:b/>
          <w:color w:val="00457D"/>
          <w:sz w:val="24"/>
        </w:rPr>
      </w:pPr>
      <w:r>
        <w:rPr>
          <w:b/>
          <w:noProof/>
          <w:color w:val="00457D"/>
          <w:sz w:val="24"/>
          <w:lang w:eastAsia="it-IT"/>
        </w:rPr>
        <w:drawing>
          <wp:inline distT="0" distB="0" distL="0" distR="0" wp14:anchorId="0D7AC32D" wp14:editId="399E5DBB">
            <wp:extent cx="5760000" cy="4513684"/>
            <wp:effectExtent l="0" t="0" r="0" b="127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513684"/>
                    </a:xfrm>
                    <a:prstGeom prst="rect">
                      <a:avLst/>
                    </a:prstGeom>
                    <a:noFill/>
                  </pic:spPr>
                </pic:pic>
              </a:graphicData>
            </a:graphic>
          </wp:inline>
        </w:drawing>
      </w:r>
    </w:p>
    <w:p w:rsidR="000D39C6" w:rsidRDefault="000D39C6" w:rsidP="00F05ADD">
      <w:pPr>
        <w:jc w:val="center"/>
        <w:rPr>
          <w:rStyle w:val="Rimandocommento"/>
        </w:rPr>
      </w:pPr>
    </w:p>
    <w:p w:rsidR="000D39C6" w:rsidRDefault="000D39C6" w:rsidP="000D39C6">
      <w:pPr>
        <w:spacing w:after="120"/>
        <w:jc w:val="both"/>
      </w:pPr>
    </w:p>
    <w:p w:rsidR="002C0054" w:rsidRDefault="002C0054" w:rsidP="000D39C6">
      <w:pPr>
        <w:spacing w:after="120"/>
        <w:jc w:val="both"/>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120"/>
        <w:jc w:val="center"/>
        <w:rPr>
          <w:b/>
          <w:noProof/>
          <w:color w:val="00457D"/>
          <w:sz w:val="24"/>
          <w:lang w:eastAsia="it-IT"/>
        </w:rPr>
      </w:pPr>
    </w:p>
    <w:p w:rsidR="002C0054" w:rsidRDefault="002C0054" w:rsidP="002C0054">
      <w:pPr>
        <w:spacing w:after="0" w:line="240" w:lineRule="auto"/>
        <w:jc w:val="center"/>
        <w:rPr>
          <w:b/>
          <w:color w:val="00457D"/>
          <w:sz w:val="24"/>
        </w:rPr>
      </w:pPr>
      <w:r>
        <w:rPr>
          <w:b/>
          <w:color w:val="00457D"/>
          <w:sz w:val="24"/>
        </w:rPr>
        <w:t>Figura 13</w:t>
      </w:r>
    </w:p>
    <w:p w:rsidR="002C0054" w:rsidRDefault="002C0054" w:rsidP="002C0054">
      <w:pPr>
        <w:spacing w:after="120"/>
        <w:jc w:val="center"/>
        <w:rPr>
          <w:b/>
          <w:noProof/>
          <w:color w:val="00457D"/>
          <w:sz w:val="24"/>
          <w:lang w:eastAsia="it-IT"/>
        </w:rPr>
      </w:pPr>
    </w:p>
    <w:p w:rsidR="002C0054" w:rsidRDefault="002C0054" w:rsidP="002C0054">
      <w:pPr>
        <w:spacing w:after="120"/>
        <w:jc w:val="center"/>
      </w:pPr>
      <w:r>
        <w:rPr>
          <w:b/>
          <w:noProof/>
          <w:color w:val="00457D"/>
          <w:sz w:val="24"/>
          <w:lang w:eastAsia="it-IT"/>
        </w:rPr>
        <w:drawing>
          <wp:inline distT="0" distB="0" distL="0" distR="0" wp14:anchorId="0B7E943F" wp14:editId="1209E90A">
            <wp:extent cx="5760000" cy="4433382"/>
            <wp:effectExtent l="0" t="0" r="0" b="571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4433382"/>
                    </a:xfrm>
                    <a:prstGeom prst="rect">
                      <a:avLst/>
                    </a:prstGeom>
                    <a:noFill/>
                  </pic:spPr>
                </pic:pic>
              </a:graphicData>
            </a:graphic>
          </wp:inline>
        </w:drawing>
      </w:r>
    </w:p>
    <w:p w:rsidR="002C0054" w:rsidRDefault="002C0054" w:rsidP="002C0054">
      <w:pPr>
        <w:spacing w:after="120"/>
        <w:jc w:val="cente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Default="002C0054" w:rsidP="002C0054">
      <w:pPr>
        <w:spacing w:after="0" w:line="240" w:lineRule="auto"/>
        <w:jc w:val="center"/>
        <w:rPr>
          <w:b/>
          <w:color w:val="00457D"/>
          <w:sz w:val="24"/>
        </w:rPr>
      </w:pPr>
    </w:p>
    <w:p w:rsidR="002C0054" w:rsidRPr="00D94CBF" w:rsidRDefault="002C0054" w:rsidP="002C0054">
      <w:pPr>
        <w:spacing w:after="0" w:line="240" w:lineRule="auto"/>
        <w:jc w:val="center"/>
        <w:rPr>
          <w:b/>
          <w:color w:val="00457D"/>
          <w:sz w:val="24"/>
        </w:rPr>
      </w:pPr>
      <w:r>
        <w:rPr>
          <w:b/>
          <w:color w:val="00457D"/>
          <w:sz w:val="24"/>
        </w:rPr>
        <w:lastRenderedPageBreak/>
        <w:t>Figura 14</w:t>
      </w:r>
    </w:p>
    <w:p w:rsidR="002C0054" w:rsidRDefault="002C0054" w:rsidP="00D94CBF">
      <w:pPr>
        <w:spacing w:after="0" w:line="240" w:lineRule="auto"/>
        <w:jc w:val="center"/>
        <w:rPr>
          <w:b/>
          <w:color w:val="00457D"/>
          <w:sz w:val="24"/>
        </w:rPr>
      </w:pPr>
    </w:p>
    <w:p w:rsidR="002C0054" w:rsidRDefault="002C0054" w:rsidP="00D94CBF">
      <w:pPr>
        <w:spacing w:after="0" w:line="240" w:lineRule="auto"/>
        <w:jc w:val="center"/>
        <w:rPr>
          <w:b/>
          <w:color w:val="00457D"/>
          <w:sz w:val="24"/>
        </w:rPr>
      </w:pPr>
    </w:p>
    <w:p w:rsidR="00DF1003" w:rsidRDefault="00DF1003" w:rsidP="00DF1003">
      <w:pPr>
        <w:jc w:val="center"/>
        <w:rPr>
          <w:b/>
          <w:color w:val="FF0000"/>
          <w:sz w:val="24"/>
        </w:rPr>
        <w:sectPr w:rsidR="00DF1003" w:rsidSect="005C6853">
          <w:pgSz w:w="11906" w:h="16838"/>
          <w:pgMar w:top="1134" w:right="1134" w:bottom="1418" w:left="1134" w:header="709" w:footer="709" w:gutter="0"/>
          <w:cols w:space="708"/>
          <w:docGrid w:linePitch="360"/>
        </w:sectPr>
      </w:pPr>
      <w:r>
        <w:rPr>
          <w:noProof/>
          <w:lang w:eastAsia="it-IT"/>
        </w:rPr>
        <w:drawing>
          <wp:inline distT="0" distB="0" distL="0" distR="0" wp14:anchorId="213DE84C" wp14:editId="5F055FE8">
            <wp:extent cx="5760000" cy="341225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412251"/>
                    </a:xfrm>
                    <a:prstGeom prst="rect">
                      <a:avLst/>
                    </a:prstGeom>
                    <a:noFill/>
                  </pic:spPr>
                </pic:pic>
              </a:graphicData>
            </a:graphic>
          </wp:inline>
        </w:drawing>
      </w:r>
    </w:p>
    <w:p w:rsidR="009E19EE" w:rsidRPr="00B242BF" w:rsidRDefault="009E19EE" w:rsidP="009E19EE">
      <w:pPr>
        <w:spacing w:line="276" w:lineRule="auto"/>
        <w:jc w:val="center"/>
        <w:rPr>
          <w:b/>
          <w:color w:val="00457D"/>
          <w:sz w:val="24"/>
        </w:rPr>
      </w:pPr>
      <w:r w:rsidRPr="00B242BF">
        <w:rPr>
          <w:b/>
          <w:color w:val="00457D"/>
          <w:sz w:val="24"/>
        </w:rPr>
        <w:lastRenderedPageBreak/>
        <w:t xml:space="preserve">Tabella. Indicatori regionali: settimana </w:t>
      </w:r>
      <w:r>
        <w:rPr>
          <w:b/>
          <w:color w:val="00457D"/>
          <w:sz w:val="24"/>
        </w:rPr>
        <w:t>23-29 giugno</w:t>
      </w:r>
      <w:r w:rsidRPr="00B242BF">
        <w:rPr>
          <w:b/>
          <w:color w:val="00457D"/>
          <w:sz w:val="24"/>
        </w:rPr>
        <w:t xml:space="preserve"> 2021</w:t>
      </w:r>
    </w:p>
    <w:tbl>
      <w:tblPr>
        <w:tblW w:w="5000" w:type="pct"/>
        <w:tblCellMar>
          <w:left w:w="70" w:type="dxa"/>
          <w:right w:w="70" w:type="dxa"/>
        </w:tblCellMar>
        <w:tblLook w:val="04A0" w:firstRow="1" w:lastRow="0" w:firstColumn="1" w:lastColumn="0" w:noHBand="0" w:noVBand="1"/>
      </w:tblPr>
      <w:tblGrid>
        <w:gridCol w:w="2197"/>
        <w:gridCol w:w="1879"/>
        <w:gridCol w:w="1609"/>
        <w:gridCol w:w="1997"/>
        <w:gridCol w:w="2096"/>
      </w:tblGrid>
      <w:tr w:rsidR="009E19EE" w:rsidRPr="00504B91" w:rsidTr="009E19EE">
        <w:trPr>
          <w:trHeight w:val="1200"/>
        </w:trPr>
        <w:tc>
          <w:tcPr>
            <w:tcW w:w="1123" w:type="pct"/>
            <w:tcBorders>
              <w:top w:val="single" w:sz="8" w:space="0" w:color="auto"/>
              <w:left w:val="single" w:sz="8" w:space="0" w:color="auto"/>
              <w:bottom w:val="single" w:sz="4" w:space="0" w:color="auto"/>
              <w:right w:val="single" w:sz="8" w:space="0" w:color="auto"/>
            </w:tcBorders>
            <w:shd w:val="clear" w:color="000000" w:fill="00457D"/>
            <w:vAlign w:val="center"/>
            <w:hideMark/>
          </w:tcPr>
          <w:p w:rsidR="009E19EE" w:rsidRPr="00504B91" w:rsidRDefault="009E19EE" w:rsidP="003134EC">
            <w:pPr>
              <w:spacing w:after="0" w:line="240" w:lineRule="auto"/>
              <w:rPr>
                <w:rFonts w:ascii="Calibri" w:eastAsia="Times New Roman" w:hAnsi="Calibri" w:cs="Calibri"/>
                <w:b/>
                <w:bCs/>
                <w:color w:val="FFFFFF"/>
                <w:lang w:eastAsia="it-IT"/>
              </w:rPr>
            </w:pPr>
            <w:r w:rsidRPr="00504B91">
              <w:rPr>
                <w:rFonts w:ascii="Calibri" w:eastAsia="Times New Roman" w:hAnsi="Calibri" w:cs="Calibri"/>
                <w:b/>
                <w:bCs/>
                <w:color w:val="FFFFFF"/>
                <w:lang w:eastAsia="it-IT"/>
              </w:rPr>
              <w:t>Regione</w:t>
            </w:r>
          </w:p>
        </w:tc>
        <w:tc>
          <w:tcPr>
            <w:tcW w:w="961" w:type="pct"/>
            <w:tcBorders>
              <w:top w:val="single" w:sz="8" w:space="0" w:color="auto"/>
              <w:left w:val="single" w:sz="4" w:space="0" w:color="auto"/>
              <w:bottom w:val="single" w:sz="4" w:space="0" w:color="auto"/>
              <w:right w:val="single" w:sz="4" w:space="0" w:color="auto"/>
            </w:tcBorders>
            <w:shd w:val="clear" w:color="000000" w:fill="00457D"/>
            <w:vAlign w:val="center"/>
            <w:hideMark/>
          </w:tcPr>
          <w:p w:rsidR="009E19EE" w:rsidRPr="00504B91" w:rsidRDefault="009E19EE" w:rsidP="003134EC">
            <w:pPr>
              <w:spacing w:after="0" w:line="240" w:lineRule="auto"/>
              <w:jc w:val="center"/>
              <w:rPr>
                <w:rFonts w:ascii="Calibri" w:eastAsia="Times New Roman" w:hAnsi="Calibri" w:cs="Calibri"/>
                <w:b/>
                <w:bCs/>
                <w:color w:val="FFFFFF"/>
                <w:sz w:val="21"/>
                <w:szCs w:val="21"/>
                <w:lang w:eastAsia="it-IT"/>
              </w:rPr>
            </w:pPr>
            <w:r w:rsidRPr="00504B91">
              <w:rPr>
                <w:rFonts w:ascii="Calibri" w:eastAsia="Times New Roman" w:hAnsi="Calibri" w:cs="Calibri"/>
                <w:b/>
                <w:bCs/>
                <w:color w:val="FFFFFF"/>
                <w:sz w:val="21"/>
                <w:szCs w:val="21"/>
                <w:lang w:eastAsia="it-IT"/>
              </w:rPr>
              <w:t>Casi attualmente positivi per 100.000 abitanti</w:t>
            </w:r>
          </w:p>
        </w:tc>
        <w:tc>
          <w:tcPr>
            <w:tcW w:w="823" w:type="pct"/>
            <w:tcBorders>
              <w:top w:val="single" w:sz="8" w:space="0" w:color="auto"/>
              <w:left w:val="nil"/>
              <w:bottom w:val="single" w:sz="4" w:space="0" w:color="auto"/>
              <w:right w:val="single" w:sz="4" w:space="0" w:color="auto"/>
            </w:tcBorders>
            <w:shd w:val="clear" w:color="000000" w:fill="00457D"/>
            <w:vAlign w:val="center"/>
            <w:hideMark/>
          </w:tcPr>
          <w:p w:rsidR="009E19EE" w:rsidRPr="00504B91" w:rsidRDefault="009E19EE" w:rsidP="003134EC">
            <w:pPr>
              <w:spacing w:after="0" w:line="240" w:lineRule="auto"/>
              <w:jc w:val="center"/>
              <w:rPr>
                <w:rFonts w:ascii="Calibri" w:eastAsia="Times New Roman" w:hAnsi="Calibri" w:cs="Calibri"/>
                <w:b/>
                <w:bCs/>
                <w:color w:val="FFFFFF"/>
                <w:lang w:eastAsia="it-IT"/>
              </w:rPr>
            </w:pPr>
            <w:r w:rsidRPr="00504B91">
              <w:rPr>
                <w:rFonts w:ascii="Calibri" w:eastAsia="Times New Roman" w:hAnsi="Calibri" w:cs="Calibri"/>
                <w:b/>
                <w:bCs/>
                <w:color w:val="FFFFFF"/>
                <w:lang w:eastAsia="it-IT"/>
              </w:rPr>
              <w:t xml:space="preserve">Variazione </w:t>
            </w:r>
            <w:r w:rsidRPr="00504B91">
              <w:rPr>
                <w:rFonts w:ascii="Calibri" w:eastAsia="Times New Roman" w:hAnsi="Calibri" w:cs="Calibri"/>
                <w:b/>
                <w:bCs/>
                <w:color w:val="FFFFFF"/>
                <w:lang w:eastAsia="it-IT"/>
              </w:rPr>
              <w:br/>
              <w:t>% nuovi casi</w:t>
            </w:r>
          </w:p>
        </w:tc>
        <w:tc>
          <w:tcPr>
            <w:tcW w:w="1021" w:type="pct"/>
            <w:tcBorders>
              <w:top w:val="single" w:sz="8" w:space="0" w:color="auto"/>
              <w:left w:val="single" w:sz="8" w:space="0" w:color="auto"/>
              <w:bottom w:val="single" w:sz="4" w:space="0" w:color="auto"/>
              <w:right w:val="single" w:sz="4" w:space="0" w:color="auto"/>
            </w:tcBorders>
            <w:shd w:val="clear" w:color="000000" w:fill="00457D"/>
            <w:vAlign w:val="center"/>
            <w:hideMark/>
          </w:tcPr>
          <w:p w:rsidR="009E19EE" w:rsidRPr="00504B91" w:rsidRDefault="009E19EE" w:rsidP="003134EC">
            <w:pPr>
              <w:spacing w:after="0" w:line="240" w:lineRule="auto"/>
              <w:jc w:val="center"/>
              <w:rPr>
                <w:rFonts w:ascii="Calibri" w:eastAsia="Times New Roman" w:hAnsi="Calibri" w:cs="Calibri"/>
                <w:b/>
                <w:bCs/>
                <w:color w:val="FFFFFF"/>
                <w:lang w:eastAsia="it-IT"/>
              </w:rPr>
            </w:pPr>
            <w:r w:rsidRPr="00504B91">
              <w:rPr>
                <w:rFonts w:ascii="Calibri" w:eastAsia="Times New Roman" w:hAnsi="Calibri" w:cs="Calibri"/>
                <w:b/>
                <w:bCs/>
                <w:color w:val="FFFFFF"/>
                <w:lang w:eastAsia="it-IT"/>
              </w:rPr>
              <w:t>Posti letto in area medica occupati da pazienti COVID−19</w:t>
            </w:r>
          </w:p>
        </w:tc>
        <w:tc>
          <w:tcPr>
            <w:tcW w:w="1072" w:type="pct"/>
            <w:tcBorders>
              <w:top w:val="single" w:sz="8" w:space="0" w:color="auto"/>
              <w:left w:val="nil"/>
              <w:bottom w:val="single" w:sz="4" w:space="0" w:color="auto"/>
              <w:right w:val="single" w:sz="8" w:space="0" w:color="auto"/>
            </w:tcBorders>
            <w:shd w:val="clear" w:color="000000" w:fill="00457D"/>
            <w:vAlign w:val="center"/>
            <w:hideMark/>
          </w:tcPr>
          <w:p w:rsidR="009E19EE" w:rsidRPr="00504B91" w:rsidRDefault="009E19EE" w:rsidP="003134EC">
            <w:pPr>
              <w:spacing w:after="0" w:line="240" w:lineRule="auto"/>
              <w:jc w:val="center"/>
              <w:rPr>
                <w:rFonts w:ascii="Calibri" w:eastAsia="Times New Roman" w:hAnsi="Calibri" w:cs="Calibri"/>
                <w:b/>
                <w:bCs/>
                <w:color w:val="FFFFFF"/>
                <w:lang w:eastAsia="it-IT"/>
              </w:rPr>
            </w:pPr>
            <w:r w:rsidRPr="00504B91">
              <w:rPr>
                <w:rFonts w:ascii="Calibri" w:eastAsia="Times New Roman" w:hAnsi="Calibri" w:cs="Calibri"/>
                <w:b/>
                <w:bCs/>
                <w:color w:val="FFFFFF"/>
                <w:lang w:eastAsia="it-IT"/>
              </w:rPr>
              <w:t xml:space="preserve">Posti letto in terapia intensiva occupati da </w:t>
            </w:r>
            <w:r w:rsidRPr="00504B91">
              <w:rPr>
                <w:rFonts w:ascii="Calibri" w:eastAsia="Times New Roman" w:hAnsi="Calibri" w:cs="Calibri"/>
                <w:b/>
                <w:bCs/>
                <w:color w:val="FFFFFF"/>
                <w:lang w:eastAsia="it-IT"/>
              </w:rPr>
              <w:br/>
              <w:t>pazienti COVID−19</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Abruzzo</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70</w:t>
            </w:r>
          </w:p>
        </w:tc>
        <w:tc>
          <w:tcPr>
            <w:tcW w:w="82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9E19EE" w:rsidRPr="00504B91" w:rsidRDefault="009E19EE" w:rsidP="003134EC">
            <w:pPr>
              <w:spacing w:after="0" w:line="240" w:lineRule="auto"/>
              <w:jc w:val="center"/>
              <w:rPr>
                <w:rFonts w:ascii="Calibri" w:eastAsia="Times New Roman" w:hAnsi="Calibri" w:cs="Calibri"/>
                <w:color w:val="9C0006"/>
                <w:lang w:eastAsia="it-IT"/>
              </w:rPr>
            </w:pPr>
            <w:r w:rsidRPr="00504B91">
              <w:rPr>
                <w:rFonts w:ascii="Calibri" w:eastAsia="Times New Roman" w:hAnsi="Calibri" w:cs="Calibri"/>
                <w:color w:val="9C0006"/>
                <w:lang w:eastAsia="it-IT"/>
              </w:rPr>
              <w:t>12,9%</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1%</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Basilicata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121</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-24,4%</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4%</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0%</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Calabria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279</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-41,8%</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8%</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4%</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Campania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145</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-8,7%</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5%</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4%</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Emilia Romagna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73</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-22,8%</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4%</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Friuli Venezia Giulia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17</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w:t>
            </w:r>
            <w:r>
              <w:rPr>
                <w:rFonts w:ascii="Calibri" w:eastAsia="Times New Roman" w:hAnsi="Calibri" w:cs="Calibri"/>
                <w:color w:val="006100"/>
                <w:lang w:eastAsia="it-IT"/>
              </w:rPr>
              <w:t>10,2</w:t>
            </w:r>
            <w:r w:rsidRPr="00504B91">
              <w:rPr>
                <w:rFonts w:ascii="Calibri" w:eastAsia="Times New Roman" w:hAnsi="Calibri" w:cs="Calibri"/>
                <w:color w:val="006100"/>
                <w:lang w:eastAsia="it-IT"/>
              </w:rPr>
              <w:t>%</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1%</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0%</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Lazio</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56</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-23,2%</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6%</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Liguria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10</w:t>
            </w:r>
          </w:p>
        </w:tc>
        <w:tc>
          <w:tcPr>
            <w:tcW w:w="823" w:type="pct"/>
            <w:tcBorders>
              <w:top w:val="single" w:sz="4" w:space="0" w:color="auto"/>
              <w:left w:val="single" w:sz="4" w:space="0" w:color="auto"/>
              <w:bottom w:val="single" w:sz="4" w:space="0" w:color="auto"/>
              <w:right w:val="single" w:sz="4" w:space="0" w:color="auto"/>
            </w:tcBorders>
            <w:shd w:val="clear" w:color="auto" w:fill="C6EFCE"/>
            <w:noWrap/>
            <w:vAlign w:val="bottom"/>
            <w:hideMark/>
          </w:tcPr>
          <w:p w:rsidR="009E19EE" w:rsidRPr="00504B91" w:rsidRDefault="009E19EE" w:rsidP="003134EC">
            <w:pPr>
              <w:spacing w:after="0" w:line="240" w:lineRule="auto"/>
              <w:jc w:val="center"/>
              <w:rPr>
                <w:rFonts w:ascii="Calibri" w:eastAsia="Times New Roman" w:hAnsi="Calibri" w:cs="Calibri"/>
                <w:color w:val="9C0006"/>
                <w:lang w:eastAsia="it-IT"/>
              </w:rPr>
            </w:pPr>
            <w:r w:rsidRPr="009A61BD">
              <w:rPr>
                <w:rFonts w:ascii="Calibri" w:eastAsia="Times New Roman" w:hAnsi="Calibri" w:cs="Calibri"/>
                <w:color w:val="006100"/>
                <w:lang w:eastAsia="it-IT"/>
              </w:rPr>
              <w:t>-41,9%</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1%</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Lombardia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112</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-29,9%</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4%</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4%</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Marche</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89</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-45,2%</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Molise</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28</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-8,1%</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4%</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0%</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Piemonte</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21</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-33,0%</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proofErr w:type="spellStart"/>
            <w:r w:rsidRPr="00504B91">
              <w:rPr>
                <w:rFonts w:ascii="Calibri" w:eastAsia="Times New Roman" w:hAnsi="Calibri" w:cs="Calibri"/>
                <w:color w:val="000000"/>
                <w:lang w:eastAsia="it-IT"/>
              </w:rPr>
              <w:t>Prov</w:t>
            </w:r>
            <w:proofErr w:type="spellEnd"/>
            <w:r w:rsidRPr="00504B91">
              <w:rPr>
                <w:rFonts w:ascii="Calibri" w:eastAsia="Times New Roman" w:hAnsi="Calibri" w:cs="Calibri"/>
                <w:color w:val="000000"/>
                <w:lang w:eastAsia="it-IT"/>
              </w:rPr>
              <w:t>. Aut. Bolzano</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30</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-32,8%</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proofErr w:type="spellStart"/>
            <w:r w:rsidRPr="00504B91">
              <w:rPr>
                <w:rFonts w:ascii="Calibri" w:eastAsia="Times New Roman" w:hAnsi="Calibri" w:cs="Calibri"/>
                <w:color w:val="000000"/>
                <w:lang w:eastAsia="it-IT"/>
              </w:rPr>
              <w:t>Prov</w:t>
            </w:r>
            <w:proofErr w:type="spellEnd"/>
            <w:r w:rsidRPr="00504B91">
              <w:rPr>
                <w:rFonts w:ascii="Calibri" w:eastAsia="Times New Roman" w:hAnsi="Calibri" w:cs="Calibri"/>
                <w:color w:val="000000"/>
                <w:lang w:eastAsia="it-IT"/>
              </w:rPr>
              <w:t>. Aut. Trento</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11</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-32,5%</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1%</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0%</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Puglia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79</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-36,8%</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4%</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Sardegna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144</w:t>
            </w:r>
          </w:p>
        </w:tc>
        <w:tc>
          <w:tcPr>
            <w:tcW w:w="82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9E19EE" w:rsidRPr="00504B91" w:rsidRDefault="009E19EE" w:rsidP="003134EC">
            <w:pPr>
              <w:spacing w:after="0" w:line="240" w:lineRule="auto"/>
              <w:jc w:val="center"/>
              <w:rPr>
                <w:rFonts w:ascii="Calibri" w:eastAsia="Times New Roman" w:hAnsi="Calibri" w:cs="Calibri"/>
                <w:color w:val="9C0006"/>
                <w:lang w:eastAsia="it-IT"/>
              </w:rPr>
            </w:pPr>
            <w:r w:rsidRPr="00504B91">
              <w:rPr>
                <w:rFonts w:ascii="Calibri" w:eastAsia="Times New Roman" w:hAnsi="Calibri" w:cs="Calibri"/>
                <w:color w:val="9C0006"/>
                <w:lang w:eastAsia="it-IT"/>
              </w:rPr>
              <w:t>35,8%</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1%</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Sicilia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87</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-32,0%</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5%</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4%</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Toscana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53</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-27,9%</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2%</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6%</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Umbria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90</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-30,0%</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Valle D'Aosta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30</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-7,1%</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1%</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0%</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auto"/>
            <w:noWrap/>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Veneto</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color w:val="006100"/>
                <w:lang w:eastAsia="it-IT"/>
              </w:rPr>
            </w:pPr>
            <w:r w:rsidRPr="005412FF">
              <w:rPr>
                <w:rFonts w:ascii="Calibri" w:eastAsia="Times New Roman" w:hAnsi="Calibri" w:cs="Calibri"/>
                <w:color w:val="006100"/>
                <w:lang w:eastAsia="it-IT"/>
              </w:rPr>
              <w:t>94</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-36,3%</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1%</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color w:val="006100"/>
                <w:lang w:eastAsia="it-IT"/>
              </w:rPr>
            </w:pPr>
            <w:r w:rsidRPr="00504B91">
              <w:rPr>
                <w:rFonts w:ascii="Calibri" w:eastAsia="Times New Roman" w:hAnsi="Calibri" w:cs="Calibri"/>
                <w:color w:val="006100"/>
                <w:lang w:eastAsia="it-IT"/>
              </w:rPr>
              <w:t>1%</w:t>
            </w:r>
          </w:p>
        </w:tc>
      </w:tr>
      <w:tr w:rsidR="009E19EE" w:rsidRPr="00504B91" w:rsidTr="009E19EE">
        <w:trPr>
          <w:trHeight w:val="300"/>
        </w:trPr>
        <w:tc>
          <w:tcPr>
            <w:tcW w:w="1123" w:type="pct"/>
            <w:tcBorders>
              <w:top w:val="nil"/>
              <w:left w:val="single" w:sz="8" w:space="0" w:color="auto"/>
              <w:bottom w:val="single" w:sz="4" w:space="0" w:color="auto"/>
              <w:right w:val="single" w:sz="8" w:space="0" w:color="auto"/>
            </w:tcBorders>
            <w:shd w:val="clear" w:color="auto" w:fill="00457D"/>
            <w:noWrap/>
            <w:vAlign w:val="bottom"/>
            <w:hideMark/>
          </w:tcPr>
          <w:p w:rsidR="009E19EE" w:rsidRPr="00504B91" w:rsidRDefault="009E19EE" w:rsidP="003134EC">
            <w:pPr>
              <w:spacing w:after="0" w:line="240" w:lineRule="auto"/>
              <w:rPr>
                <w:rFonts w:ascii="Calibri" w:eastAsia="Times New Roman" w:hAnsi="Calibri" w:cs="Calibri"/>
                <w:b/>
                <w:bCs/>
                <w:color w:val="000000"/>
                <w:lang w:eastAsia="it-IT"/>
              </w:rPr>
            </w:pPr>
            <w:r w:rsidRPr="005412FF">
              <w:rPr>
                <w:rFonts w:ascii="Calibri" w:eastAsia="Times New Roman" w:hAnsi="Calibri" w:cs="Calibri"/>
                <w:b/>
                <w:bCs/>
                <w:color w:val="FFFFFF" w:themeColor="background1"/>
                <w:lang w:eastAsia="it-IT"/>
              </w:rPr>
              <w:t>ITALIA</w:t>
            </w:r>
          </w:p>
        </w:tc>
        <w:tc>
          <w:tcPr>
            <w:tcW w:w="961" w:type="pct"/>
            <w:tcBorders>
              <w:top w:val="nil"/>
              <w:left w:val="single" w:sz="4" w:space="0" w:color="auto"/>
              <w:bottom w:val="single" w:sz="4" w:space="0" w:color="auto"/>
              <w:right w:val="single" w:sz="4" w:space="0" w:color="auto"/>
            </w:tcBorders>
            <w:shd w:val="clear" w:color="auto" w:fill="C6EFCE"/>
            <w:noWrap/>
            <w:vAlign w:val="bottom"/>
            <w:hideMark/>
          </w:tcPr>
          <w:p w:rsidR="009E19EE" w:rsidRPr="005412FF" w:rsidRDefault="009E19EE" w:rsidP="003134EC">
            <w:pPr>
              <w:spacing w:after="0" w:line="240" w:lineRule="auto"/>
              <w:jc w:val="center"/>
              <w:rPr>
                <w:rFonts w:ascii="Calibri" w:eastAsia="Times New Roman" w:hAnsi="Calibri" w:cs="Calibri"/>
                <w:b/>
                <w:bCs/>
                <w:color w:val="006100"/>
                <w:lang w:eastAsia="it-IT"/>
              </w:rPr>
            </w:pPr>
            <w:r w:rsidRPr="005412FF">
              <w:rPr>
                <w:rFonts w:ascii="Calibri" w:eastAsia="Times New Roman" w:hAnsi="Calibri" w:cs="Calibri"/>
                <w:b/>
                <w:bCs/>
                <w:color w:val="006100"/>
                <w:lang w:eastAsia="it-IT"/>
              </w:rPr>
              <w:t>89</w:t>
            </w:r>
          </w:p>
        </w:tc>
        <w:tc>
          <w:tcPr>
            <w:tcW w:w="823"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9E19EE" w:rsidRPr="005412FF" w:rsidRDefault="009E19EE" w:rsidP="003134EC">
            <w:pPr>
              <w:spacing w:after="0" w:line="240" w:lineRule="auto"/>
              <w:jc w:val="center"/>
              <w:rPr>
                <w:rFonts w:ascii="Calibri" w:eastAsia="Times New Roman" w:hAnsi="Calibri" w:cs="Calibri"/>
                <w:b/>
                <w:color w:val="006100"/>
                <w:lang w:eastAsia="it-IT"/>
              </w:rPr>
            </w:pPr>
            <w:r w:rsidRPr="005412FF">
              <w:rPr>
                <w:rFonts w:ascii="Calibri" w:eastAsia="Times New Roman" w:hAnsi="Calibri" w:cs="Calibri"/>
                <w:b/>
                <w:color w:val="006100"/>
                <w:lang w:eastAsia="it-IT"/>
              </w:rPr>
              <w:t>-33,4%</w:t>
            </w:r>
          </w:p>
        </w:tc>
        <w:tc>
          <w:tcPr>
            <w:tcW w:w="1021" w:type="pct"/>
            <w:tcBorders>
              <w:top w:val="single" w:sz="4" w:space="0" w:color="auto"/>
              <w:left w:val="single" w:sz="8" w:space="0" w:color="auto"/>
              <w:bottom w:val="single" w:sz="4" w:space="0" w:color="auto"/>
              <w:right w:val="single" w:sz="4"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b/>
                <w:bCs/>
                <w:color w:val="006100"/>
                <w:lang w:eastAsia="it-IT"/>
              </w:rPr>
            </w:pPr>
            <w:r w:rsidRPr="00504B91">
              <w:rPr>
                <w:rFonts w:ascii="Calibri" w:eastAsia="Times New Roman" w:hAnsi="Calibri" w:cs="Calibri"/>
                <w:b/>
                <w:bCs/>
                <w:color w:val="006100"/>
                <w:lang w:eastAsia="it-IT"/>
              </w:rPr>
              <w:t>3%</w:t>
            </w:r>
          </w:p>
        </w:tc>
        <w:tc>
          <w:tcPr>
            <w:tcW w:w="1072" w:type="pct"/>
            <w:tcBorders>
              <w:top w:val="single" w:sz="4" w:space="0" w:color="auto"/>
              <w:left w:val="single" w:sz="4" w:space="0" w:color="auto"/>
              <w:bottom w:val="single" w:sz="4" w:space="0" w:color="auto"/>
              <w:right w:val="single" w:sz="8" w:space="0" w:color="auto"/>
            </w:tcBorders>
            <w:shd w:val="clear" w:color="000000" w:fill="C6EFCE"/>
            <w:noWrap/>
            <w:vAlign w:val="bottom"/>
            <w:hideMark/>
          </w:tcPr>
          <w:p w:rsidR="009E19EE" w:rsidRPr="00504B91" w:rsidRDefault="009E19EE" w:rsidP="003134EC">
            <w:pPr>
              <w:spacing w:after="0" w:line="240" w:lineRule="auto"/>
              <w:jc w:val="center"/>
              <w:rPr>
                <w:rFonts w:ascii="Calibri" w:eastAsia="Times New Roman" w:hAnsi="Calibri" w:cs="Calibri"/>
                <w:b/>
                <w:bCs/>
                <w:color w:val="006100"/>
                <w:lang w:eastAsia="it-IT"/>
              </w:rPr>
            </w:pPr>
            <w:r w:rsidRPr="00504B91">
              <w:rPr>
                <w:rFonts w:ascii="Calibri" w:eastAsia="Times New Roman" w:hAnsi="Calibri" w:cs="Calibri"/>
                <w:b/>
                <w:bCs/>
                <w:color w:val="006100"/>
                <w:lang w:eastAsia="it-IT"/>
              </w:rPr>
              <w:t>3%</w:t>
            </w:r>
          </w:p>
        </w:tc>
      </w:tr>
      <w:tr w:rsidR="009E19EE" w:rsidRPr="00504B91" w:rsidTr="009E19EE">
        <w:trPr>
          <w:trHeight w:val="1860"/>
        </w:trPr>
        <w:tc>
          <w:tcPr>
            <w:tcW w:w="5000" w:type="pct"/>
            <w:gridSpan w:val="5"/>
            <w:tcBorders>
              <w:top w:val="single" w:sz="4" w:space="0" w:color="auto"/>
              <w:left w:val="nil"/>
              <w:bottom w:val="nil"/>
              <w:right w:val="nil"/>
            </w:tcBorders>
            <w:shd w:val="clear" w:color="auto" w:fill="auto"/>
            <w:vAlign w:val="bottom"/>
            <w:hideMark/>
          </w:tcPr>
          <w:p w:rsidR="009E19EE" w:rsidRPr="00504B91" w:rsidRDefault="009E19EE" w:rsidP="003134EC">
            <w:pPr>
              <w:spacing w:after="0" w:line="240" w:lineRule="auto"/>
              <w:rPr>
                <w:rFonts w:ascii="Calibri" w:eastAsia="Times New Roman" w:hAnsi="Calibri" w:cs="Calibri"/>
                <w:color w:val="000000"/>
                <w:lang w:eastAsia="it-IT"/>
              </w:rPr>
            </w:pPr>
            <w:r w:rsidRPr="00504B91">
              <w:rPr>
                <w:rFonts w:ascii="Calibri" w:eastAsia="Times New Roman" w:hAnsi="Calibri" w:cs="Calibri"/>
                <w:color w:val="000000"/>
                <w:lang w:eastAsia="it-IT"/>
              </w:rPr>
              <w:t>Nota: nella prima colonna rosso e verde indicano rispettivamente una performance regionale in peggioramento, o in miglioramento, rispetto alla settimana precedente.</w:t>
            </w:r>
            <w:r w:rsidRPr="00504B91">
              <w:rPr>
                <w:rFonts w:ascii="Calibri" w:eastAsia="Times New Roman" w:hAnsi="Calibri" w:cs="Calibri"/>
                <w:color w:val="000000"/>
                <w:lang w:eastAsia="it-IT"/>
              </w:rPr>
              <w:br/>
              <w:t>Nella seconda colonna rosso e verde indicano rispettivamente un aumento o una diminuzione di nuovi casi rispetto alla settimana precedente.</w:t>
            </w:r>
            <w:r w:rsidRPr="00504B91">
              <w:rPr>
                <w:rFonts w:ascii="Calibri" w:eastAsia="Times New Roman" w:hAnsi="Calibri" w:cs="Calibri"/>
                <w:color w:val="000000"/>
                <w:lang w:eastAsia="it-IT"/>
              </w:rPr>
              <w:br/>
              <w:t xml:space="preserve">Nelle ultime 2 colonne rosso e verde indicano il superamento, o meno, della soglia di saturazione del 40% per l’area medica e del 30% per le terapie intensive (dati </w:t>
            </w:r>
            <w:proofErr w:type="spellStart"/>
            <w:r w:rsidRPr="00504B91">
              <w:rPr>
                <w:rFonts w:ascii="Calibri" w:eastAsia="Times New Roman" w:hAnsi="Calibri" w:cs="Calibri"/>
                <w:color w:val="000000"/>
                <w:lang w:eastAsia="it-IT"/>
              </w:rPr>
              <w:t>Agenas</w:t>
            </w:r>
            <w:proofErr w:type="spellEnd"/>
            <w:r w:rsidRPr="00504B91">
              <w:rPr>
                <w:rFonts w:ascii="Calibri" w:eastAsia="Times New Roman" w:hAnsi="Calibri" w:cs="Calibri"/>
                <w:color w:val="000000"/>
                <w:lang w:eastAsia="it-IT"/>
              </w:rPr>
              <w:t>).</w:t>
            </w:r>
          </w:p>
        </w:tc>
      </w:tr>
    </w:tbl>
    <w:p w:rsidR="00504B91" w:rsidRDefault="00504B91" w:rsidP="00DF17DE">
      <w:pPr>
        <w:spacing w:line="276" w:lineRule="auto"/>
        <w:jc w:val="center"/>
        <w:rPr>
          <w:b/>
          <w:color w:val="00457D"/>
          <w:spacing w:val="-4"/>
          <w:sz w:val="24"/>
        </w:rPr>
      </w:pPr>
    </w:p>
    <w:sectPr w:rsidR="00504B91" w:rsidSect="00A1163B">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C59" w:rsidRDefault="00E11C59">
      <w:pPr>
        <w:spacing w:after="0" w:line="240" w:lineRule="auto"/>
      </w:pPr>
      <w:r>
        <w:separator/>
      </w:r>
    </w:p>
  </w:endnote>
  <w:endnote w:type="continuationSeparator" w:id="0">
    <w:p w:rsidR="00E11C59" w:rsidRDefault="00E11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C59" w:rsidRDefault="00E11C59">
      <w:pPr>
        <w:spacing w:after="0" w:line="240" w:lineRule="auto"/>
      </w:pPr>
      <w:r>
        <w:separator/>
      </w:r>
    </w:p>
  </w:footnote>
  <w:footnote w:type="continuationSeparator" w:id="0">
    <w:p w:rsidR="00E11C59" w:rsidRDefault="00E11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ABAB18"/>
    <w:multiLevelType w:val="hybridMultilevel"/>
    <w:tmpl w:val="4F2456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B7213F"/>
    <w:multiLevelType w:val="hybridMultilevel"/>
    <w:tmpl w:val="6FBA9D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C82E81"/>
    <w:multiLevelType w:val="hybridMultilevel"/>
    <w:tmpl w:val="714841C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61465B6"/>
    <w:multiLevelType w:val="hybridMultilevel"/>
    <w:tmpl w:val="5B286A1C"/>
    <w:lvl w:ilvl="0" w:tplc="2F8C9688">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D3311F2"/>
    <w:multiLevelType w:val="hybridMultilevel"/>
    <w:tmpl w:val="36A6CC0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D7D28AB"/>
    <w:multiLevelType w:val="hybridMultilevel"/>
    <w:tmpl w:val="CDD4D67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DD67160"/>
    <w:multiLevelType w:val="hybridMultilevel"/>
    <w:tmpl w:val="94AC11D0"/>
    <w:lvl w:ilvl="0" w:tplc="04100001">
      <w:start w:val="1"/>
      <w:numFmt w:val="bullet"/>
      <w:lvlText w:val=""/>
      <w:lvlJc w:val="left"/>
      <w:pPr>
        <w:ind w:left="764" w:hanging="360"/>
      </w:pPr>
      <w:rPr>
        <w:rFonts w:ascii="Symbol" w:hAnsi="Symbol" w:hint="default"/>
      </w:rPr>
    </w:lvl>
    <w:lvl w:ilvl="1" w:tplc="04100003" w:tentative="1">
      <w:start w:val="1"/>
      <w:numFmt w:val="bullet"/>
      <w:lvlText w:val="o"/>
      <w:lvlJc w:val="left"/>
      <w:pPr>
        <w:ind w:left="1484" w:hanging="360"/>
      </w:pPr>
      <w:rPr>
        <w:rFonts w:ascii="Courier New" w:hAnsi="Courier New" w:cs="Courier New" w:hint="default"/>
      </w:rPr>
    </w:lvl>
    <w:lvl w:ilvl="2" w:tplc="04100005" w:tentative="1">
      <w:start w:val="1"/>
      <w:numFmt w:val="bullet"/>
      <w:lvlText w:val=""/>
      <w:lvlJc w:val="left"/>
      <w:pPr>
        <w:ind w:left="2204" w:hanging="360"/>
      </w:pPr>
      <w:rPr>
        <w:rFonts w:ascii="Wingdings" w:hAnsi="Wingdings" w:hint="default"/>
      </w:rPr>
    </w:lvl>
    <w:lvl w:ilvl="3" w:tplc="04100001" w:tentative="1">
      <w:start w:val="1"/>
      <w:numFmt w:val="bullet"/>
      <w:lvlText w:val=""/>
      <w:lvlJc w:val="left"/>
      <w:pPr>
        <w:ind w:left="2924" w:hanging="360"/>
      </w:pPr>
      <w:rPr>
        <w:rFonts w:ascii="Symbol" w:hAnsi="Symbol" w:hint="default"/>
      </w:rPr>
    </w:lvl>
    <w:lvl w:ilvl="4" w:tplc="04100003" w:tentative="1">
      <w:start w:val="1"/>
      <w:numFmt w:val="bullet"/>
      <w:lvlText w:val="o"/>
      <w:lvlJc w:val="left"/>
      <w:pPr>
        <w:ind w:left="3644" w:hanging="360"/>
      </w:pPr>
      <w:rPr>
        <w:rFonts w:ascii="Courier New" w:hAnsi="Courier New" w:cs="Courier New" w:hint="default"/>
      </w:rPr>
    </w:lvl>
    <w:lvl w:ilvl="5" w:tplc="04100005" w:tentative="1">
      <w:start w:val="1"/>
      <w:numFmt w:val="bullet"/>
      <w:lvlText w:val=""/>
      <w:lvlJc w:val="left"/>
      <w:pPr>
        <w:ind w:left="4364" w:hanging="360"/>
      </w:pPr>
      <w:rPr>
        <w:rFonts w:ascii="Wingdings" w:hAnsi="Wingdings" w:hint="default"/>
      </w:rPr>
    </w:lvl>
    <w:lvl w:ilvl="6" w:tplc="04100001" w:tentative="1">
      <w:start w:val="1"/>
      <w:numFmt w:val="bullet"/>
      <w:lvlText w:val=""/>
      <w:lvlJc w:val="left"/>
      <w:pPr>
        <w:ind w:left="5084" w:hanging="360"/>
      </w:pPr>
      <w:rPr>
        <w:rFonts w:ascii="Symbol" w:hAnsi="Symbol" w:hint="default"/>
      </w:rPr>
    </w:lvl>
    <w:lvl w:ilvl="7" w:tplc="04100003" w:tentative="1">
      <w:start w:val="1"/>
      <w:numFmt w:val="bullet"/>
      <w:lvlText w:val="o"/>
      <w:lvlJc w:val="left"/>
      <w:pPr>
        <w:ind w:left="5804" w:hanging="360"/>
      </w:pPr>
      <w:rPr>
        <w:rFonts w:ascii="Courier New" w:hAnsi="Courier New" w:cs="Courier New" w:hint="default"/>
      </w:rPr>
    </w:lvl>
    <w:lvl w:ilvl="8" w:tplc="04100005" w:tentative="1">
      <w:start w:val="1"/>
      <w:numFmt w:val="bullet"/>
      <w:lvlText w:val=""/>
      <w:lvlJc w:val="left"/>
      <w:pPr>
        <w:ind w:left="6524" w:hanging="360"/>
      </w:pPr>
      <w:rPr>
        <w:rFonts w:ascii="Wingdings" w:hAnsi="Wingdings" w:hint="default"/>
      </w:rPr>
    </w:lvl>
  </w:abstractNum>
  <w:abstractNum w:abstractNumId="7" w15:restartNumberingAfterBreak="0">
    <w:nsid w:val="149E1463"/>
    <w:multiLevelType w:val="hybridMultilevel"/>
    <w:tmpl w:val="7A4C4D7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8" w15:restartNumberingAfterBreak="0">
    <w:nsid w:val="1E513AB3"/>
    <w:multiLevelType w:val="hybridMultilevel"/>
    <w:tmpl w:val="16E0E5BE"/>
    <w:lvl w:ilvl="0" w:tplc="BA0E2B0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5F45FF"/>
    <w:multiLevelType w:val="hybridMultilevel"/>
    <w:tmpl w:val="6F84A354"/>
    <w:lvl w:ilvl="0" w:tplc="3A3EC9E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FB93F44"/>
    <w:multiLevelType w:val="hybridMultilevel"/>
    <w:tmpl w:val="9D9C0B5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1737A7A"/>
    <w:multiLevelType w:val="multilevel"/>
    <w:tmpl w:val="CB5C1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color w:val="auto"/>
        <w:sz w:val="20"/>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1119EF"/>
    <w:multiLevelType w:val="hybridMultilevel"/>
    <w:tmpl w:val="580C5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D8D23CF"/>
    <w:multiLevelType w:val="hybridMultilevel"/>
    <w:tmpl w:val="EFDC4A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9C5165"/>
    <w:multiLevelType w:val="hybridMultilevel"/>
    <w:tmpl w:val="F196B8DE"/>
    <w:lvl w:ilvl="0" w:tplc="4A4CBF0E">
      <w:start w:val="10"/>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EAA5987"/>
    <w:multiLevelType w:val="hybridMultilevel"/>
    <w:tmpl w:val="D796371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EBC0E7D"/>
    <w:multiLevelType w:val="hybridMultilevel"/>
    <w:tmpl w:val="F5C086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0F84CFA"/>
    <w:multiLevelType w:val="hybridMultilevel"/>
    <w:tmpl w:val="A85683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2AE7BDE"/>
    <w:multiLevelType w:val="hybridMultilevel"/>
    <w:tmpl w:val="9C54C9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3CA7847"/>
    <w:multiLevelType w:val="hybridMultilevel"/>
    <w:tmpl w:val="3C14515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3ED4DC0"/>
    <w:multiLevelType w:val="multilevel"/>
    <w:tmpl w:val="F086E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362A1B"/>
    <w:multiLevelType w:val="hybridMultilevel"/>
    <w:tmpl w:val="36689C1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3D7D2329"/>
    <w:multiLevelType w:val="hybridMultilevel"/>
    <w:tmpl w:val="39DC157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FF97BD9"/>
    <w:multiLevelType w:val="hybridMultilevel"/>
    <w:tmpl w:val="C7DA7C08"/>
    <w:lvl w:ilvl="0" w:tplc="6D3AB94A">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41C01F8F"/>
    <w:multiLevelType w:val="hybridMultilevel"/>
    <w:tmpl w:val="AC084D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A01460C"/>
    <w:multiLevelType w:val="hybridMultilevel"/>
    <w:tmpl w:val="F96E9D9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4A543D4E"/>
    <w:multiLevelType w:val="hybridMultilevel"/>
    <w:tmpl w:val="646A98D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A973B61"/>
    <w:multiLevelType w:val="hybridMultilevel"/>
    <w:tmpl w:val="A9885D2E"/>
    <w:lvl w:ilvl="0" w:tplc="6D722CE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AD04D54"/>
    <w:multiLevelType w:val="hybridMultilevel"/>
    <w:tmpl w:val="C9B832F8"/>
    <w:lvl w:ilvl="0" w:tplc="C22A3F20">
      <w:start w:val="1"/>
      <w:numFmt w:val="bullet"/>
      <w:lvlText w:val=""/>
      <w:lvlJc w:val="left"/>
      <w:pPr>
        <w:ind w:left="360" w:hanging="360"/>
      </w:pPr>
      <w:rPr>
        <w:rFonts w:ascii="Symbol" w:hAnsi="Symbol" w:hint="default"/>
        <w:color w:val="auto"/>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553D3D8B"/>
    <w:multiLevelType w:val="hybridMultilevel"/>
    <w:tmpl w:val="5628A830"/>
    <w:lvl w:ilvl="0" w:tplc="869C72D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5BD73A8"/>
    <w:multiLevelType w:val="hybridMultilevel"/>
    <w:tmpl w:val="7A0487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66F346F"/>
    <w:multiLevelType w:val="hybridMultilevel"/>
    <w:tmpl w:val="FFB6875A"/>
    <w:lvl w:ilvl="0" w:tplc="C242DA30">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60A13898"/>
    <w:multiLevelType w:val="hybridMultilevel"/>
    <w:tmpl w:val="8E00214E"/>
    <w:lvl w:ilvl="0" w:tplc="A6EEA2B6">
      <w:start w:val="1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9B7EAA"/>
    <w:multiLevelType w:val="hybridMultilevel"/>
    <w:tmpl w:val="3DC289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7FF63CA"/>
    <w:multiLevelType w:val="hybridMultilevel"/>
    <w:tmpl w:val="0CFC7E8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B753ADD"/>
    <w:multiLevelType w:val="hybridMultilevel"/>
    <w:tmpl w:val="FFF4DE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14D7393"/>
    <w:multiLevelType w:val="hybridMultilevel"/>
    <w:tmpl w:val="22E6387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73C81715"/>
    <w:multiLevelType w:val="hybridMultilevel"/>
    <w:tmpl w:val="51B049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50509DE"/>
    <w:multiLevelType w:val="hybridMultilevel"/>
    <w:tmpl w:val="513AA9C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7BB23171"/>
    <w:multiLevelType w:val="hybridMultilevel"/>
    <w:tmpl w:val="D2C6AC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7F901458"/>
    <w:multiLevelType w:val="hybridMultilevel"/>
    <w:tmpl w:val="D1B0DA8E"/>
    <w:lvl w:ilvl="0" w:tplc="356E069A">
      <w:start w:val="1"/>
      <w:numFmt w:val="bullet"/>
      <w:lvlText w:val=""/>
      <w:lvlJc w:val="left"/>
      <w:pPr>
        <w:ind w:left="360" w:hanging="360"/>
      </w:pPr>
      <w:rPr>
        <w:rFonts w:ascii="Symbol" w:hAnsi="Symbol" w:hint="default"/>
        <w:color w:val="000000" w:themeColor="text1"/>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9"/>
  </w:num>
  <w:num w:numId="4">
    <w:abstractNumId w:val="15"/>
  </w:num>
  <w:num w:numId="5">
    <w:abstractNumId w:val="40"/>
  </w:num>
  <w:num w:numId="6">
    <w:abstractNumId w:val="16"/>
  </w:num>
  <w:num w:numId="7">
    <w:abstractNumId w:val="1"/>
  </w:num>
  <w:num w:numId="8">
    <w:abstractNumId w:val="33"/>
  </w:num>
  <w:num w:numId="9">
    <w:abstractNumId w:val="12"/>
  </w:num>
  <w:num w:numId="10">
    <w:abstractNumId w:val="17"/>
  </w:num>
  <w:num w:numId="11">
    <w:abstractNumId w:val="10"/>
  </w:num>
  <w:num w:numId="12">
    <w:abstractNumId w:val="24"/>
  </w:num>
  <w:num w:numId="13">
    <w:abstractNumId w:val="37"/>
  </w:num>
  <w:num w:numId="14">
    <w:abstractNumId w:val="18"/>
  </w:num>
  <w:num w:numId="15">
    <w:abstractNumId w:val="13"/>
  </w:num>
  <w:num w:numId="16">
    <w:abstractNumId w:val="20"/>
  </w:num>
  <w:num w:numId="17">
    <w:abstractNumId w:val="31"/>
  </w:num>
  <w:num w:numId="18">
    <w:abstractNumId w:val="4"/>
  </w:num>
  <w:num w:numId="19">
    <w:abstractNumId w:val="32"/>
  </w:num>
  <w:num w:numId="20">
    <w:abstractNumId w:val="27"/>
  </w:num>
  <w:num w:numId="21">
    <w:abstractNumId w:val="26"/>
  </w:num>
  <w:num w:numId="22">
    <w:abstractNumId w:val="35"/>
  </w:num>
  <w:num w:numId="23">
    <w:abstractNumId w:val="22"/>
  </w:num>
  <w:num w:numId="24">
    <w:abstractNumId w:val="3"/>
  </w:num>
  <w:num w:numId="25">
    <w:abstractNumId w:val="2"/>
  </w:num>
  <w:num w:numId="26">
    <w:abstractNumId w:val="25"/>
  </w:num>
  <w:num w:numId="27">
    <w:abstractNumId w:val="28"/>
  </w:num>
  <w:num w:numId="28">
    <w:abstractNumId w:val="34"/>
  </w:num>
  <w:num w:numId="29">
    <w:abstractNumId w:val="30"/>
  </w:num>
  <w:num w:numId="30">
    <w:abstractNumId w:val="0"/>
  </w:num>
  <w:num w:numId="31">
    <w:abstractNumId w:val="14"/>
  </w:num>
  <w:num w:numId="32">
    <w:abstractNumId w:val="19"/>
  </w:num>
  <w:num w:numId="33">
    <w:abstractNumId w:val="23"/>
  </w:num>
  <w:num w:numId="34">
    <w:abstractNumId w:val="7"/>
  </w:num>
  <w:num w:numId="35">
    <w:abstractNumId w:val="11"/>
  </w:num>
  <w:num w:numId="36">
    <w:abstractNumId w:val="36"/>
  </w:num>
  <w:num w:numId="37">
    <w:abstractNumId w:val="21"/>
  </w:num>
  <w:num w:numId="38">
    <w:abstractNumId w:val="39"/>
  </w:num>
  <w:num w:numId="39">
    <w:abstractNumId w:val="6"/>
  </w:num>
  <w:num w:numId="40">
    <w:abstractNumId w:val="29"/>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DF4"/>
    <w:rsid w:val="00000078"/>
    <w:rsid w:val="00000F50"/>
    <w:rsid w:val="00001157"/>
    <w:rsid w:val="0000191B"/>
    <w:rsid w:val="00001B7A"/>
    <w:rsid w:val="00001D39"/>
    <w:rsid w:val="00002087"/>
    <w:rsid w:val="0000219C"/>
    <w:rsid w:val="00002740"/>
    <w:rsid w:val="00002811"/>
    <w:rsid w:val="000028FB"/>
    <w:rsid w:val="00002E03"/>
    <w:rsid w:val="00002FFB"/>
    <w:rsid w:val="0000329A"/>
    <w:rsid w:val="00003531"/>
    <w:rsid w:val="0000481E"/>
    <w:rsid w:val="00005682"/>
    <w:rsid w:val="00006C73"/>
    <w:rsid w:val="00007085"/>
    <w:rsid w:val="0000756B"/>
    <w:rsid w:val="00010037"/>
    <w:rsid w:val="00010694"/>
    <w:rsid w:val="00010725"/>
    <w:rsid w:val="000111EE"/>
    <w:rsid w:val="00013116"/>
    <w:rsid w:val="00013860"/>
    <w:rsid w:val="00014279"/>
    <w:rsid w:val="00014416"/>
    <w:rsid w:val="0001456C"/>
    <w:rsid w:val="00014656"/>
    <w:rsid w:val="000148D8"/>
    <w:rsid w:val="000149BF"/>
    <w:rsid w:val="00014DD9"/>
    <w:rsid w:val="00015272"/>
    <w:rsid w:val="00015381"/>
    <w:rsid w:val="000158E0"/>
    <w:rsid w:val="00015FA4"/>
    <w:rsid w:val="00016386"/>
    <w:rsid w:val="00016A93"/>
    <w:rsid w:val="00016C84"/>
    <w:rsid w:val="00017282"/>
    <w:rsid w:val="00020702"/>
    <w:rsid w:val="00020A07"/>
    <w:rsid w:val="00020F7D"/>
    <w:rsid w:val="000215A2"/>
    <w:rsid w:val="00021815"/>
    <w:rsid w:val="00021EE9"/>
    <w:rsid w:val="000220F0"/>
    <w:rsid w:val="0002277E"/>
    <w:rsid w:val="00022CD7"/>
    <w:rsid w:val="00022E16"/>
    <w:rsid w:val="000244BD"/>
    <w:rsid w:val="00024558"/>
    <w:rsid w:val="00025019"/>
    <w:rsid w:val="000251CE"/>
    <w:rsid w:val="00025494"/>
    <w:rsid w:val="00025FA8"/>
    <w:rsid w:val="000265B1"/>
    <w:rsid w:val="00026E97"/>
    <w:rsid w:val="000270EE"/>
    <w:rsid w:val="00027266"/>
    <w:rsid w:val="00027F14"/>
    <w:rsid w:val="0003010A"/>
    <w:rsid w:val="00030315"/>
    <w:rsid w:val="000304F0"/>
    <w:rsid w:val="00030CFC"/>
    <w:rsid w:val="00030E3E"/>
    <w:rsid w:val="0003110F"/>
    <w:rsid w:val="000312A8"/>
    <w:rsid w:val="00031ACC"/>
    <w:rsid w:val="00031CE6"/>
    <w:rsid w:val="000324EF"/>
    <w:rsid w:val="000326E0"/>
    <w:rsid w:val="0003350D"/>
    <w:rsid w:val="00033CB3"/>
    <w:rsid w:val="00033F82"/>
    <w:rsid w:val="0003447B"/>
    <w:rsid w:val="00034E17"/>
    <w:rsid w:val="000353B9"/>
    <w:rsid w:val="00036BD4"/>
    <w:rsid w:val="0003714A"/>
    <w:rsid w:val="00037345"/>
    <w:rsid w:val="000400DF"/>
    <w:rsid w:val="0004012A"/>
    <w:rsid w:val="000401C6"/>
    <w:rsid w:val="00040A64"/>
    <w:rsid w:val="000414F2"/>
    <w:rsid w:val="000416C3"/>
    <w:rsid w:val="00042777"/>
    <w:rsid w:val="00042F53"/>
    <w:rsid w:val="00043D06"/>
    <w:rsid w:val="00044062"/>
    <w:rsid w:val="000440AB"/>
    <w:rsid w:val="00044AFD"/>
    <w:rsid w:val="00044EEF"/>
    <w:rsid w:val="0004515C"/>
    <w:rsid w:val="00045DFC"/>
    <w:rsid w:val="00045E1F"/>
    <w:rsid w:val="00046135"/>
    <w:rsid w:val="00047D44"/>
    <w:rsid w:val="00050147"/>
    <w:rsid w:val="00050361"/>
    <w:rsid w:val="0005099C"/>
    <w:rsid w:val="00051608"/>
    <w:rsid w:val="000518D9"/>
    <w:rsid w:val="0005345C"/>
    <w:rsid w:val="00053713"/>
    <w:rsid w:val="00053E14"/>
    <w:rsid w:val="00054919"/>
    <w:rsid w:val="0005557E"/>
    <w:rsid w:val="00055A37"/>
    <w:rsid w:val="00055C25"/>
    <w:rsid w:val="00055E82"/>
    <w:rsid w:val="00056307"/>
    <w:rsid w:val="000563A9"/>
    <w:rsid w:val="00056CDB"/>
    <w:rsid w:val="00057080"/>
    <w:rsid w:val="00060F82"/>
    <w:rsid w:val="00062566"/>
    <w:rsid w:val="00062A06"/>
    <w:rsid w:val="0006484A"/>
    <w:rsid w:val="00064A00"/>
    <w:rsid w:val="0006545A"/>
    <w:rsid w:val="00065711"/>
    <w:rsid w:val="0006575A"/>
    <w:rsid w:val="00065BEB"/>
    <w:rsid w:val="00066026"/>
    <w:rsid w:val="00066812"/>
    <w:rsid w:val="000670AE"/>
    <w:rsid w:val="00067E78"/>
    <w:rsid w:val="000702BE"/>
    <w:rsid w:val="00070853"/>
    <w:rsid w:val="00070ED2"/>
    <w:rsid w:val="00071627"/>
    <w:rsid w:val="00071D28"/>
    <w:rsid w:val="00072641"/>
    <w:rsid w:val="000736A0"/>
    <w:rsid w:val="00074190"/>
    <w:rsid w:val="000748DF"/>
    <w:rsid w:val="000751E0"/>
    <w:rsid w:val="00075B76"/>
    <w:rsid w:val="000764D8"/>
    <w:rsid w:val="00076A2E"/>
    <w:rsid w:val="00076CE3"/>
    <w:rsid w:val="00077038"/>
    <w:rsid w:val="000772E1"/>
    <w:rsid w:val="00077F18"/>
    <w:rsid w:val="00080306"/>
    <w:rsid w:val="00081517"/>
    <w:rsid w:val="00081620"/>
    <w:rsid w:val="000825ED"/>
    <w:rsid w:val="0008306E"/>
    <w:rsid w:val="0008355A"/>
    <w:rsid w:val="000837D2"/>
    <w:rsid w:val="00084054"/>
    <w:rsid w:val="0008430B"/>
    <w:rsid w:val="000846BC"/>
    <w:rsid w:val="000846FB"/>
    <w:rsid w:val="000847A3"/>
    <w:rsid w:val="000854F3"/>
    <w:rsid w:val="0008579D"/>
    <w:rsid w:val="00085F24"/>
    <w:rsid w:val="00087381"/>
    <w:rsid w:val="000877C3"/>
    <w:rsid w:val="00087852"/>
    <w:rsid w:val="000901C1"/>
    <w:rsid w:val="00090386"/>
    <w:rsid w:val="00090A20"/>
    <w:rsid w:val="000911B4"/>
    <w:rsid w:val="0009175F"/>
    <w:rsid w:val="00092192"/>
    <w:rsid w:val="0009286F"/>
    <w:rsid w:val="00093067"/>
    <w:rsid w:val="000930F4"/>
    <w:rsid w:val="0009326E"/>
    <w:rsid w:val="000936E0"/>
    <w:rsid w:val="00093E19"/>
    <w:rsid w:val="00094243"/>
    <w:rsid w:val="00095C79"/>
    <w:rsid w:val="00097055"/>
    <w:rsid w:val="000979DA"/>
    <w:rsid w:val="00097CE0"/>
    <w:rsid w:val="000A0168"/>
    <w:rsid w:val="000A0B3B"/>
    <w:rsid w:val="000A0EAD"/>
    <w:rsid w:val="000A20B7"/>
    <w:rsid w:val="000A2A7C"/>
    <w:rsid w:val="000A3147"/>
    <w:rsid w:val="000A3435"/>
    <w:rsid w:val="000A3B30"/>
    <w:rsid w:val="000A3B5F"/>
    <w:rsid w:val="000A4599"/>
    <w:rsid w:val="000A4D94"/>
    <w:rsid w:val="000A4DBA"/>
    <w:rsid w:val="000A4F71"/>
    <w:rsid w:val="000A5004"/>
    <w:rsid w:val="000A5141"/>
    <w:rsid w:val="000A53A0"/>
    <w:rsid w:val="000A607E"/>
    <w:rsid w:val="000A6134"/>
    <w:rsid w:val="000B006D"/>
    <w:rsid w:val="000B00A6"/>
    <w:rsid w:val="000B0C7A"/>
    <w:rsid w:val="000B0D4B"/>
    <w:rsid w:val="000B0EC6"/>
    <w:rsid w:val="000B0FD3"/>
    <w:rsid w:val="000B0FF3"/>
    <w:rsid w:val="000B178F"/>
    <w:rsid w:val="000B1EE4"/>
    <w:rsid w:val="000B2724"/>
    <w:rsid w:val="000B3191"/>
    <w:rsid w:val="000B382F"/>
    <w:rsid w:val="000B4627"/>
    <w:rsid w:val="000B50E1"/>
    <w:rsid w:val="000B5683"/>
    <w:rsid w:val="000B5948"/>
    <w:rsid w:val="000C100C"/>
    <w:rsid w:val="000C1765"/>
    <w:rsid w:val="000C180A"/>
    <w:rsid w:val="000C1E61"/>
    <w:rsid w:val="000C1F3E"/>
    <w:rsid w:val="000C2099"/>
    <w:rsid w:val="000C258C"/>
    <w:rsid w:val="000C26B7"/>
    <w:rsid w:val="000C27FD"/>
    <w:rsid w:val="000C2834"/>
    <w:rsid w:val="000C3B5B"/>
    <w:rsid w:val="000C4771"/>
    <w:rsid w:val="000C59B4"/>
    <w:rsid w:val="000C6042"/>
    <w:rsid w:val="000C646F"/>
    <w:rsid w:val="000C6F2F"/>
    <w:rsid w:val="000C6FC9"/>
    <w:rsid w:val="000C7991"/>
    <w:rsid w:val="000D06B3"/>
    <w:rsid w:val="000D13EA"/>
    <w:rsid w:val="000D1453"/>
    <w:rsid w:val="000D14D6"/>
    <w:rsid w:val="000D19DF"/>
    <w:rsid w:val="000D22FF"/>
    <w:rsid w:val="000D32B5"/>
    <w:rsid w:val="000D3317"/>
    <w:rsid w:val="000D3955"/>
    <w:rsid w:val="000D39C6"/>
    <w:rsid w:val="000D4C65"/>
    <w:rsid w:val="000D503D"/>
    <w:rsid w:val="000D557C"/>
    <w:rsid w:val="000D5D64"/>
    <w:rsid w:val="000D5DD4"/>
    <w:rsid w:val="000D5E97"/>
    <w:rsid w:val="000D721C"/>
    <w:rsid w:val="000D755B"/>
    <w:rsid w:val="000D7E03"/>
    <w:rsid w:val="000E0024"/>
    <w:rsid w:val="000E114A"/>
    <w:rsid w:val="000E1152"/>
    <w:rsid w:val="000E128E"/>
    <w:rsid w:val="000E1695"/>
    <w:rsid w:val="000E1F70"/>
    <w:rsid w:val="000E2059"/>
    <w:rsid w:val="000E2129"/>
    <w:rsid w:val="000E29C4"/>
    <w:rsid w:val="000E3BE8"/>
    <w:rsid w:val="000E3ED7"/>
    <w:rsid w:val="000E41E9"/>
    <w:rsid w:val="000E4E37"/>
    <w:rsid w:val="000E53BB"/>
    <w:rsid w:val="000E5BCB"/>
    <w:rsid w:val="000E5E18"/>
    <w:rsid w:val="000E6752"/>
    <w:rsid w:val="000E679E"/>
    <w:rsid w:val="000E6FB5"/>
    <w:rsid w:val="000E73F4"/>
    <w:rsid w:val="000F00BA"/>
    <w:rsid w:val="000F018C"/>
    <w:rsid w:val="000F0260"/>
    <w:rsid w:val="000F099A"/>
    <w:rsid w:val="000F0F04"/>
    <w:rsid w:val="000F0F4B"/>
    <w:rsid w:val="000F1906"/>
    <w:rsid w:val="000F25DE"/>
    <w:rsid w:val="000F26E4"/>
    <w:rsid w:val="000F27A9"/>
    <w:rsid w:val="000F2820"/>
    <w:rsid w:val="000F3036"/>
    <w:rsid w:val="000F307F"/>
    <w:rsid w:val="000F34DE"/>
    <w:rsid w:val="000F3DDA"/>
    <w:rsid w:val="000F4300"/>
    <w:rsid w:val="000F447C"/>
    <w:rsid w:val="000F5112"/>
    <w:rsid w:val="000F559B"/>
    <w:rsid w:val="000F57A9"/>
    <w:rsid w:val="000F58A4"/>
    <w:rsid w:val="000F5EBD"/>
    <w:rsid w:val="000F5EDE"/>
    <w:rsid w:val="000F6976"/>
    <w:rsid w:val="000F6D92"/>
    <w:rsid w:val="000F6FAE"/>
    <w:rsid w:val="000F6FB5"/>
    <w:rsid w:val="000F72AF"/>
    <w:rsid w:val="000F72B4"/>
    <w:rsid w:val="000F75B6"/>
    <w:rsid w:val="000F76E4"/>
    <w:rsid w:val="00100B90"/>
    <w:rsid w:val="00100E58"/>
    <w:rsid w:val="00101700"/>
    <w:rsid w:val="001019D5"/>
    <w:rsid w:val="001023EE"/>
    <w:rsid w:val="001026A9"/>
    <w:rsid w:val="00103368"/>
    <w:rsid w:val="0010398A"/>
    <w:rsid w:val="00103BB1"/>
    <w:rsid w:val="00103D26"/>
    <w:rsid w:val="00104433"/>
    <w:rsid w:val="00104DEC"/>
    <w:rsid w:val="00105017"/>
    <w:rsid w:val="001056AA"/>
    <w:rsid w:val="00107AC5"/>
    <w:rsid w:val="00107E05"/>
    <w:rsid w:val="0011129E"/>
    <w:rsid w:val="00111C28"/>
    <w:rsid w:val="00111F8F"/>
    <w:rsid w:val="001121EF"/>
    <w:rsid w:val="00112298"/>
    <w:rsid w:val="00112674"/>
    <w:rsid w:val="00112B21"/>
    <w:rsid w:val="00114E4C"/>
    <w:rsid w:val="00115808"/>
    <w:rsid w:val="00115E64"/>
    <w:rsid w:val="001160BD"/>
    <w:rsid w:val="00116411"/>
    <w:rsid w:val="0011670E"/>
    <w:rsid w:val="00117E81"/>
    <w:rsid w:val="00121465"/>
    <w:rsid w:val="00121829"/>
    <w:rsid w:val="00121A7E"/>
    <w:rsid w:val="00121FED"/>
    <w:rsid w:val="0012269C"/>
    <w:rsid w:val="0012309B"/>
    <w:rsid w:val="00123974"/>
    <w:rsid w:val="00123A9E"/>
    <w:rsid w:val="001241ED"/>
    <w:rsid w:val="001251C8"/>
    <w:rsid w:val="0012563F"/>
    <w:rsid w:val="00125DF9"/>
    <w:rsid w:val="001264C0"/>
    <w:rsid w:val="00126CDD"/>
    <w:rsid w:val="00127AF8"/>
    <w:rsid w:val="00131680"/>
    <w:rsid w:val="0013168B"/>
    <w:rsid w:val="001317B0"/>
    <w:rsid w:val="00132398"/>
    <w:rsid w:val="00132F7B"/>
    <w:rsid w:val="001332F1"/>
    <w:rsid w:val="001345C6"/>
    <w:rsid w:val="00135A26"/>
    <w:rsid w:val="0013638F"/>
    <w:rsid w:val="00136B5E"/>
    <w:rsid w:val="00137974"/>
    <w:rsid w:val="001410FA"/>
    <w:rsid w:val="00141385"/>
    <w:rsid w:val="00141E75"/>
    <w:rsid w:val="00143250"/>
    <w:rsid w:val="001457AC"/>
    <w:rsid w:val="00146E5B"/>
    <w:rsid w:val="00147A32"/>
    <w:rsid w:val="00147AF6"/>
    <w:rsid w:val="00147C8C"/>
    <w:rsid w:val="00147F3A"/>
    <w:rsid w:val="00150570"/>
    <w:rsid w:val="0015074D"/>
    <w:rsid w:val="00150A44"/>
    <w:rsid w:val="00150F61"/>
    <w:rsid w:val="00151830"/>
    <w:rsid w:val="00152302"/>
    <w:rsid w:val="001523B0"/>
    <w:rsid w:val="001526E8"/>
    <w:rsid w:val="00152CEF"/>
    <w:rsid w:val="00153101"/>
    <w:rsid w:val="00153455"/>
    <w:rsid w:val="001534EC"/>
    <w:rsid w:val="00153C6C"/>
    <w:rsid w:val="001543CB"/>
    <w:rsid w:val="0015497F"/>
    <w:rsid w:val="00155068"/>
    <w:rsid w:val="00155F52"/>
    <w:rsid w:val="00156BB9"/>
    <w:rsid w:val="00157A2E"/>
    <w:rsid w:val="00157C36"/>
    <w:rsid w:val="00160D8B"/>
    <w:rsid w:val="001612AB"/>
    <w:rsid w:val="001612E4"/>
    <w:rsid w:val="00162841"/>
    <w:rsid w:val="00164885"/>
    <w:rsid w:val="0016690B"/>
    <w:rsid w:val="0016690E"/>
    <w:rsid w:val="00166C1D"/>
    <w:rsid w:val="00167034"/>
    <w:rsid w:val="001702C9"/>
    <w:rsid w:val="001703AC"/>
    <w:rsid w:val="0017044E"/>
    <w:rsid w:val="0017053B"/>
    <w:rsid w:val="001706AA"/>
    <w:rsid w:val="0017078C"/>
    <w:rsid w:val="001711EB"/>
    <w:rsid w:val="00171513"/>
    <w:rsid w:val="001719D3"/>
    <w:rsid w:val="001719F9"/>
    <w:rsid w:val="00171BE9"/>
    <w:rsid w:val="00171F91"/>
    <w:rsid w:val="001722AA"/>
    <w:rsid w:val="001723BC"/>
    <w:rsid w:val="00172772"/>
    <w:rsid w:val="00172C88"/>
    <w:rsid w:val="00172E8A"/>
    <w:rsid w:val="00173F6C"/>
    <w:rsid w:val="00174939"/>
    <w:rsid w:val="00174D99"/>
    <w:rsid w:val="001753D7"/>
    <w:rsid w:val="0017688D"/>
    <w:rsid w:val="00176FC9"/>
    <w:rsid w:val="001771BB"/>
    <w:rsid w:val="00181187"/>
    <w:rsid w:val="001818B8"/>
    <w:rsid w:val="001818EF"/>
    <w:rsid w:val="00181CEF"/>
    <w:rsid w:val="00182618"/>
    <w:rsid w:val="00182A0F"/>
    <w:rsid w:val="0018369C"/>
    <w:rsid w:val="001837B0"/>
    <w:rsid w:val="0018467E"/>
    <w:rsid w:val="0018536B"/>
    <w:rsid w:val="001853B8"/>
    <w:rsid w:val="00185C48"/>
    <w:rsid w:val="00185C94"/>
    <w:rsid w:val="001861AD"/>
    <w:rsid w:val="00186BD2"/>
    <w:rsid w:val="00187928"/>
    <w:rsid w:val="00187B89"/>
    <w:rsid w:val="001900E4"/>
    <w:rsid w:val="00190DBF"/>
    <w:rsid w:val="001913FB"/>
    <w:rsid w:val="00191C3B"/>
    <w:rsid w:val="0019296A"/>
    <w:rsid w:val="00192F53"/>
    <w:rsid w:val="00192FB7"/>
    <w:rsid w:val="00193650"/>
    <w:rsid w:val="0019496B"/>
    <w:rsid w:val="001953F0"/>
    <w:rsid w:val="00195652"/>
    <w:rsid w:val="00195A7C"/>
    <w:rsid w:val="00196297"/>
    <w:rsid w:val="00196BBC"/>
    <w:rsid w:val="00196E59"/>
    <w:rsid w:val="001A0514"/>
    <w:rsid w:val="001A0EAB"/>
    <w:rsid w:val="001A0F9C"/>
    <w:rsid w:val="001A145D"/>
    <w:rsid w:val="001A1782"/>
    <w:rsid w:val="001A19B9"/>
    <w:rsid w:val="001A54CF"/>
    <w:rsid w:val="001A54DB"/>
    <w:rsid w:val="001A6875"/>
    <w:rsid w:val="001A6CCF"/>
    <w:rsid w:val="001A7664"/>
    <w:rsid w:val="001B02CB"/>
    <w:rsid w:val="001B05A8"/>
    <w:rsid w:val="001B0898"/>
    <w:rsid w:val="001B10AE"/>
    <w:rsid w:val="001B114E"/>
    <w:rsid w:val="001B1CA9"/>
    <w:rsid w:val="001B3B86"/>
    <w:rsid w:val="001B5309"/>
    <w:rsid w:val="001B5F33"/>
    <w:rsid w:val="001B692C"/>
    <w:rsid w:val="001B724F"/>
    <w:rsid w:val="001B79E2"/>
    <w:rsid w:val="001C1835"/>
    <w:rsid w:val="001C1D25"/>
    <w:rsid w:val="001C1D3F"/>
    <w:rsid w:val="001C1D5D"/>
    <w:rsid w:val="001C1E1C"/>
    <w:rsid w:val="001C22D9"/>
    <w:rsid w:val="001C26D3"/>
    <w:rsid w:val="001C290F"/>
    <w:rsid w:val="001C39E3"/>
    <w:rsid w:val="001C4238"/>
    <w:rsid w:val="001C4EB4"/>
    <w:rsid w:val="001C629C"/>
    <w:rsid w:val="001C6CAC"/>
    <w:rsid w:val="001C70DD"/>
    <w:rsid w:val="001C7BDC"/>
    <w:rsid w:val="001D0CC0"/>
    <w:rsid w:val="001D0F3D"/>
    <w:rsid w:val="001D14B0"/>
    <w:rsid w:val="001D1542"/>
    <w:rsid w:val="001D1CBC"/>
    <w:rsid w:val="001D225C"/>
    <w:rsid w:val="001D2CE6"/>
    <w:rsid w:val="001D2D7D"/>
    <w:rsid w:val="001D32CF"/>
    <w:rsid w:val="001D32D2"/>
    <w:rsid w:val="001D380E"/>
    <w:rsid w:val="001D47AF"/>
    <w:rsid w:val="001D4A9A"/>
    <w:rsid w:val="001D4BD4"/>
    <w:rsid w:val="001D4D32"/>
    <w:rsid w:val="001D50FE"/>
    <w:rsid w:val="001D555C"/>
    <w:rsid w:val="001D5CA7"/>
    <w:rsid w:val="001D61B8"/>
    <w:rsid w:val="001D62CC"/>
    <w:rsid w:val="001D7BB6"/>
    <w:rsid w:val="001D7DE3"/>
    <w:rsid w:val="001D7EEB"/>
    <w:rsid w:val="001E053F"/>
    <w:rsid w:val="001E0F52"/>
    <w:rsid w:val="001E0FB5"/>
    <w:rsid w:val="001E11E5"/>
    <w:rsid w:val="001E12BC"/>
    <w:rsid w:val="001E152C"/>
    <w:rsid w:val="001E1552"/>
    <w:rsid w:val="001E1E0B"/>
    <w:rsid w:val="001E2619"/>
    <w:rsid w:val="001E2858"/>
    <w:rsid w:val="001E2B2E"/>
    <w:rsid w:val="001E2B70"/>
    <w:rsid w:val="001E2C11"/>
    <w:rsid w:val="001E2FDD"/>
    <w:rsid w:val="001E3154"/>
    <w:rsid w:val="001E3186"/>
    <w:rsid w:val="001E37BC"/>
    <w:rsid w:val="001E3CC9"/>
    <w:rsid w:val="001E5598"/>
    <w:rsid w:val="001E5687"/>
    <w:rsid w:val="001E5B81"/>
    <w:rsid w:val="001E60C2"/>
    <w:rsid w:val="001E6D3E"/>
    <w:rsid w:val="001E6F54"/>
    <w:rsid w:val="001E7230"/>
    <w:rsid w:val="001E734E"/>
    <w:rsid w:val="001E7959"/>
    <w:rsid w:val="001E798A"/>
    <w:rsid w:val="001F0270"/>
    <w:rsid w:val="001F0B30"/>
    <w:rsid w:val="001F0BCF"/>
    <w:rsid w:val="001F0EED"/>
    <w:rsid w:val="001F1EA0"/>
    <w:rsid w:val="001F20BA"/>
    <w:rsid w:val="001F224D"/>
    <w:rsid w:val="001F44B5"/>
    <w:rsid w:val="001F583F"/>
    <w:rsid w:val="001F5966"/>
    <w:rsid w:val="001F5A17"/>
    <w:rsid w:val="001F5B10"/>
    <w:rsid w:val="001F5B4B"/>
    <w:rsid w:val="001F6486"/>
    <w:rsid w:val="001F6778"/>
    <w:rsid w:val="001F6F54"/>
    <w:rsid w:val="001F74D9"/>
    <w:rsid w:val="0020023F"/>
    <w:rsid w:val="002013FD"/>
    <w:rsid w:val="0020140C"/>
    <w:rsid w:val="002015AA"/>
    <w:rsid w:val="00202C99"/>
    <w:rsid w:val="00202CB0"/>
    <w:rsid w:val="00202FA1"/>
    <w:rsid w:val="002032BD"/>
    <w:rsid w:val="00204374"/>
    <w:rsid w:val="002050B7"/>
    <w:rsid w:val="00205DB0"/>
    <w:rsid w:val="002078B5"/>
    <w:rsid w:val="002078BB"/>
    <w:rsid w:val="00207C8C"/>
    <w:rsid w:val="00207E61"/>
    <w:rsid w:val="00210032"/>
    <w:rsid w:val="002107F1"/>
    <w:rsid w:val="002108B3"/>
    <w:rsid w:val="00210A14"/>
    <w:rsid w:val="002112D5"/>
    <w:rsid w:val="0021137B"/>
    <w:rsid w:val="0021161E"/>
    <w:rsid w:val="002123FE"/>
    <w:rsid w:val="0021257B"/>
    <w:rsid w:val="002127EF"/>
    <w:rsid w:val="00212AE0"/>
    <w:rsid w:val="00212F03"/>
    <w:rsid w:val="00213C28"/>
    <w:rsid w:val="00213FC2"/>
    <w:rsid w:val="0021434D"/>
    <w:rsid w:val="002146F7"/>
    <w:rsid w:val="00214711"/>
    <w:rsid w:val="0021553C"/>
    <w:rsid w:val="002158E4"/>
    <w:rsid w:val="00216109"/>
    <w:rsid w:val="00216246"/>
    <w:rsid w:val="00216445"/>
    <w:rsid w:val="00216C88"/>
    <w:rsid w:val="00216F80"/>
    <w:rsid w:val="002177E9"/>
    <w:rsid w:val="00217C04"/>
    <w:rsid w:val="00217ED7"/>
    <w:rsid w:val="00221194"/>
    <w:rsid w:val="00221C8A"/>
    <w:rsid w:val="00222503"/>
    <w:rsid w:val="00222539"/>
    <w:rsid w:val="002226B7"/>
    <w:rsid w:val="00222DC3"/>
    <w:rsid w:val="002237D1"/>
    <w:rsid w:val="00223B17"/>
    <w:rsid w:val="002242D1"/>
    <w:rsid w:val="00224394"/>
    <w:rsid w:val="0022493F"/>
    <w:rsid w:val="00224F09"/>
    <w:rsid w:val="00224F6A"/>
    <w:rsid w:val="002250C3"/>
    <w:rsid w:val="00225D6F"/>
    <w:rsid w:val="00226690"/>
    <w:rsid w:val="002274EF"/>
    <w:rsid w:val="002278D8"/>
    <w:rsid w:val="00227DD0"/>
    <w:rsid w:val="00227FEE"/>
    <w:rsid w:val="00227FF4"/>
    <w:rsid w:val="00230360"/>
    <w:rsid w:val="0023054A"/>
    <w:rsid w:val="002307D8"/>
    <w:rsid w:val="00230942"/>
    <w:rsid w:val="00230BF2"/>
    <w:rsid w:val="00230C24"/>
    <w:rsid w:val="0023116B"/>
    <w:rsid w:val="0023171C"/>
    <w:rsid w:val="00231765"/>
    <w:rsid w:val="00232013"/>
    <w:rsid w:val="00232016"/>
    <w:rsid w:val="002335D0"/>
    <w:rsid w:val="002336AE"/>
    <w:rsid w:val="0023379B"/>
    <w:rsid w:val="002337E8"/>
    <w:rsid w:val="002344FF"/>
    <w:rsid w:val="00235362"/>
    <w:rsid w:val="0023577A"/>
    <w:rsid w:val="002358E2"/>
    <w:rsid w:val="002377AB"/>
    <w:rsid w:val="002405B2"/>
    <w:rsid w:val="002411AC"/>
    <w:rsid w:val="00241353"/>
    <w:rsid w:val="00241CDD"/>
    <w:rsid w:val="00242719"/>
    <w:rsid w:val="002433D5"/>
    <w:rsid w:val="00243BF9"/>
    <w:rsid w:val="00243FC8"/>
    <w:rsid w:val="0024429E"/>
    <w:rsid w:val="00244408"/>
    <w:rsid w:val="00244676"/>
    <w:rsid w:val="00244ADB"/>
    <w:rsid w:val="0024541B"/>
    <w:rsid w:val="0024634D"/>
    <w:rsid w:val="002467E0"/>
    <w:rsid w:val="00246D6A"/>
    <w:rsid w:val="00246F91"/>
    <w:rsid w:val="0024765F"/>
    <w:rsid w:val="002479F5"/>
    <w:rsid w:val="00247E66"/>
    <w:rsid w:val="00250514"/>
    <w:rsid w:val="002508DA"/>
    <w:rsid w:val="002528E5"/>
    <w:rsid w:val="002529AF"/>
    <w:rsid w:val="00252B82"/>
    <w:rsid w:val="00252C1E"/>
    <w:rsid w:val="00253586"/>
    <w:rsid w:val="00253674"/>
    <w:rsid w:val="0025369A"/>
    <w:rsid w:val="0025377F"/>
    <w:rsid w:val="00253951"/>
    <w:rsid w:val="0025398E"/>
    <w:rsid w:val="002543BE"/>
    <w:rsid w:val="00254F03"/>
    <w:rsid w:val="0025559D"/>
    <w:rsid w:val="00255AF8"/>
    <w:rsid w:val="00255C33"/>
    <w:rsid w:val="00256270"/>
    <w:rsid w:val="002564BA"/>
    <w:rsid w:val="0025664C"/>
    <w:rsid w:val="002577C1"/>
    <w:rsid w:val="00260A75"/>
    <w:rsid w:val="00260FD2"/>
    <w:rsid w:val="00261593"/>
    <w:rsid w:val="00261DF2"/>
    <w:rsid w:val="0026245F"/>
    <w:rsid w:val="00262934"/>
    <w:rsid w:val="00262962"/>
    <w:rsid w:val="00262A6B"/>
    <w:rsid w:val="0026374F"/>
    <w:rsid w:val="00263A36"/>
    <w:rsid w:val="00264158"/>
    <w:rsid w:val="00264503"/>
    <w:rsid w:val="00265F5E"/>
    <w:rsid w:val="002660BF"/>
    <w:rsid w:val="00266BB7"/>
    <w:rsid w:val="00271E3F"/>
    <w:rsid w:val="00272091"/>
    <w:rsid w:val="002720C2"/>
    <w:rsid w:val="0027264F"/>
    <w:rsid w:val="0027294E"/>
    <w:rsid w:val="00272CFE"/>
    <w:rsid w:val="00272DC1"/>
    <w:rsid w:val="002738B8"/>
    <w:rsid w:val="00273ADB"/>
    <w:rsid w:val="00273DB5"/>
    <w:rsid w:val="00274D1B"/>
    <w:rsid w:val="00275302"/>
    <w:rsid w:val="002757FE"/>
    <w:rsid w:val="00275A00"/>
    <w:rsid w:val="00276D46"/>
    <w:rsid w:val="00276E14"/>
    <w:rsid w:val="00277B97"/>
    <w:rsid w:val="00277F11"/>
    <w:rsid w:val="002806D4"/>
    <w:rsid w:val="0028108C"/>
    <w:rsid w:val="00281B28"/>
    <w:rsid w:val="0028299B"/>
    <w:rsid w:val="00282B9A"/>
    <w:rsid w:val="002835F9"/>
    <w:rsid w:val="00283C59"/>
    <w:rsid w:val="00284459"/>
    <w:rsid w:val="0028492D"/>
    <w:rsid w:val="00284CAB"/>
    <w:rsid w:val="0028654B"/>
    <w:rsid w:val="0028688E"/>
    <w:rsid w:val="00286B18"/>
    <w:rsid w:val="00287FE8"/>
    <w:rsid w:val="002902AF"/>
    <w:rsid w:val="00290F07"/>
    <w:rsid w:val="00291294"/>
    <w:rsid w:val="002919F0"/>
    <w:rsid w:val="00291B4A"/>
    <w:rsid w:val="002920FA"/>
    <w:rsid w:val="0029239B"/>
    <w:rsid w:val="002923C1"/>
    <w:rsid w:val="0029257D"/>
    <w:rsid w:val="002933FE"/>
    <w:rsid w:val="002934EE"/>
    <w:rsid w:val="0029362B"/>
    <w:rsid w:val="00294223"/>
    <w:rsid w:val="002947BB"/>
    <w:rsid w:val="00294D90"/>
    <w:rsid w:val="00294F59"/>
    <w:rsid w:val="0029664A"/>
    <w:rsid w:val="002967EE"/>
    <w:rsid w:val="00297217"/>
    <w:rsid w:val="00297818"/>
    <w:rsid w:val="002A05A1"/>
    <w:rsid w:val="002A0983"/>
    <w:rsid w:val="002A1295"/>
    <w:rsid w:val="002A179A"/>
    <w:rsid w:val="002A1FD7"/>
    <w:rsid w:val="002A380E"/>
    <w:rsid w:val="002A3B09"/>
    <w:rsid w:val="002A4D73"/>
    <w:rsid w:val="002A5273"/>
    <w:rsid w:val="002A5296"/>
    <w:rsid w:val="002A6024"/>
    <w:rsid w:val="002A64A7"/>
    <w:rsid w:val="002A6E9D"/>
    <w:rsid w:val="002A743E"/>
    <w:rsid w:val="002A7736"/>
    <w:rsid w:val="002A78BD"/>
    <w:rsid w:val="002A7BB3"/>
    <w:rsid w:val="002B02C3"/>
    <w:rsid w:val="002B097C"/>
    <w:rsid w:val="002B1493"/>
    <w:rsid w:val="002B1FB3"/>
    <w:rsid w:val="002B26D7"/>
    <w:rsid w:val="002B27AE"/>
    <w:rsid w:val="002B370A"/>
    <w:rsid w:val="002B3E89"/>
    <w:rsid w:val="002B3F5C"/>
    <w:rsid w:val="002B4579"/>
    <w:rsid w:val="002B461E"/>
    <w:rsid w:val="002B491F"/>
    <w:rsid w:val="002B4D30"/>
    <w:rsid w:val="002B4E41"/>
    <w:rsid w:val="002B6479"/>
    <w:rsid w:val="002B6906"/>
    <w:rsid w:val="002B6BDD"/>
    <w:rsid w:val="002B6F24"/>
    <w:rsid w:val="002B7071"/>
    <w:rsid w:val="002B7F54"/>
    <w:rsid w:val="002C0054"/>
    <w:rsid w:val="002C009A"/>
    <w:rsid w:val="002C08FA"/>
    <w:rsid w:val="002C17CA"/>
    <w:rsid w:val="002C191D"/>
    <w:rsid w:val="002C1C46"/>
    <w:rsid w:val="002C2320"/>
    <w:rsid w:val="002C2380"/>
    <w:rsid w:val="002C2CED"/>
    <w:rsid w:val="002C2DDA"/>
    <w:rsid w:val="002C3478"/>
    <w:rsid w:val="002C435F"/>
    <w:rsid w:val="002C438E"/>
    <w:rsid w:val="002C43EA"/>
    <w:rsid w:val="002C464C"/>
    <w:rsid w:val="002C4D79"/>
    <w:rsid w:val="002C4EC3"/>
    <w:rsid w:val="002C55AE"/>
    <w:rsid w:val="002C6AF3"/>
    <w:rsid w:val="002C765E"/>
    <w:rsid w:val="002C76F8"/>
    <w:rsid w:val="002C7E52"/>
    <w:rsid w:val="002D03F8"/>
    <w:rsid w:val="002D0E17"/>
    <w:rsid w:val="002D13C3"/>
    <w:rsid w:val="002D16D8"/>
    <w:rsid w:val="002D1AD0"/>
    <w:rsid w:val="002D208F"/>
    <w:rsid w:val="002D28AE"/>
    <w:rsid w:val="002D2AFA"/>
    <w:rsid w:val="002D3244"/>
    <w:rsid w:val="002D3E5C"/>
    <w:rsid w:val="002D41A2"/>
    <w:rsid w:val="002D477A"/>
    <w:rsid w:val="002D4AB0"/>
    <w:rsid w:val="002D5C08"/>
    <w:rsid w:val="002D6025"/>
    <w:rsid w:val="002D68C7"/>
    <w:rsid w:val="002D6DEA"/>
    <w:rsid w:val="002D6E33"/>
    <w:rsid w:val="002D76C2"/>
    <w:rsid w:val="002D79E7"/>
    <w:rsid w:val="002D7BBB"/>
    <w:rsid w:val="002E101F"/>
    <w:rsid w:val="002E1039"/>
    <w:rsid w:val="002E2888"/>
    <w:rsid w:val="002E2E95"/>
    <w:rsid w:val="002E42E5"/>
    <w:rsid w:val="002E4784"/>
    <w:rsid w:val="002E4E66"/>
    <w:rsid w:val="002E4F15"/>
    <w:rsid w:val="002E51DF"/>
    <w:rsid w:val="002E5528"/>
    <w:rsid w:val="002E5D7E"/>
    <w:rsid w:val="002E5EF0"/>
    <w:rsid w:val="002E63C4"/>
    <w:rsid w:val="002E66BD"/>
    <w:rsid w:val="002E6A93"/>
    <w:rsid w:val="002E7367"/>
    <w:rsid w:val="002E7EA4"/>
    <w:rsid w:val="002F039E"/>
    <w:rsid w:val="002F1115"/>
    <w:rsid w:val="002F1FC5"/>
    <w:rsid w:val="002F2004"/>
    <w:rsid w:val="002F2889"/>
    <w:rsid w:val="002F2AB8"/>
    <w:rsid w:val="002F2B5B"/>
    <w:rsid w:val="002F2FF3"/>
    <w:rsid w:val="002F32D4"/>
    <w:rsid w:val="002F3659"/>
    <w:rsid w:val="002F3CCD"/>
    <w:rsid w:val="002F40C6"/>
    <w:rsid w:val="002F414A"/>
    <w:rsid w:val="002F4841"/>
    <w:rsid w:val="002F4912"/>
    <w:rsid w:val="002F51AE"/>
    <w:rsid w:val="002F52A8"/>
    <w:rsid w:val="002F5504"/>
    <w:rsid w:val="002F59ED"/>
    <w:rsid w:val="002F5EA5"/>
    <w:rsid w:val="002F6327"/>
    <w:rsid w:val="002F67B3"/>
    <w:rsid w:val="002F68CB"/>
    <w:rsid w:val="002F6A05"/>
    <w:rsid w:val="002F6D8D"/>
    <w:rsid w:val="003002C2"/>
    <w:rsid w:val="00301721"/>
    <w:rsid w:val="003026F8"/>
    <w:rsid w:val="00302764"/>
    <w:rsid w:val="00302C76"/>
    <w:rsid w:val="00303389"/>
    <w:rsid w:val="00303C73"/>
    <w:rsid w:val="0030449E"/>
    <w:rsid w:val="00305030"/>
    <w:rsid w:val="00305206"/>
    <w:rsid w:val="00305325"/>
    <w:rsid w:val="00305C6C"/>
    <w:rsid w:val="00305CBE"/>
    <w:rsid w:val="00305DA3"/>
    <w:rsid w:val="00310EEB"/>
    <w:rsid w:val="003110C2"/>
    <w:rsid w:val="003113AA"/>
    <w:rsid w:val="00311891"/>
    <w:rsid w:val="003124DA"/>
    <w:rsid w:val="00312D4A"/>
    <w:rsid w:val="00313087"/>
    <w:rsid w:val="0031374A"/>
    <w:rsid w:val="00313F79"/>
    <w:rsid w:val="003149A1"/>
    <w:rsid w:val="00314F19"/>
    <w:rsid w:val="003151F9"/>
    <w:rsid w:val="00315C07"/>
    <w:rsid w:val="00315D8F"/>
    <w:rsid w:val="00315D9D"/>
    <w:rsid w:val="003164D1"/>
    <w:rsid w:val="003176EA"/>
    <w:rsid w:val="00317E2A"/>
    <w:rsid w:val="003200A0"/>
    <w:rsid w:val="003205EF"/>
    <w:rsid w:val="00320C97"/>
    <w:rsid w:val="00320D88"/>
    <w:rsid w:val="003211CE"/>
    <w:rsid w:val="00321C8D"/>
    <w:rsid w:val="00321F61"/>
    <w:rsid w:val="003227F6"/>
    <w:rsid w:val="00322977"/>
    <w:rsid w:val="00322AE1"/>
    <w:rsid w:val="00322B74"/>
    <w:rsid w:val="00322C4E"/>
    <w:rsid w:val="00324060"/>
    <w:rsid w:val="003242B9"/>
    <w:rsid w:val="00324D4D"/>
    <w:rsid w:val="00325217"/>
    <w:rsid w:val="0032526F"/>
    <w:rsid w:val="00325E11"/>
    <w:rsid w:val="00326B4D"/>
    <w:rsid w:val="0032704B"/>
    <w:rsid w:val="00327373"/>
    <w:rsid w:val="00327ECF"/>
    <w:rsid w:val="003300B9"/>
    <w:rsid w:val="00330D33"/>
    <w:rsid w:val="00330D3C"/>
    <w:rsid w:val="00330DD4"/>
    <w:rsid w:val="00330F76"/>
    <w:rsid w:val="0033163F"/>
    <w:rsid w:val="00331A12"/>
    <w:rsid w:val="00331F5C"/>
    <w:rsid w:val="003329E4"/>
    <w:rsid w:val="00332A52"/>
    <w:rsid w:val="00332B22"/>
    <w:rsid w:val="00333001"/>
    <w:rsid w:val="00333739"/>
    <w:rsid w:val="00333902"/>
    <w:rsid w:val="00333BE6"/>
    <w:rsid w:val="00334889"/>
    <w:rsid w:val="0033541E"/>
    <w:rsid w:val="003369FD"/>
    <w:rsid w:val="00336C8B"/>
    <w:rsid w:val="00336EE4"/>
    <w:rsid w:val="00337CF1"/>
    <w:rsid w:val="00340517"/>
    <w:rsid w:val="00340C44"/>
    <w:rsid w:val="00340CE1"/>
    <w:rsid w:val="003410F7"/>
    <w:rsid w:val="00341F91"/>
    <w:rsid w:val="003420BC"/>
    <w:rsid w:val="0034315E"/>
    <w:rsid w:val="0034358F"/>
    <w:rsid w:val="00343E49"/>
    <w:rsid w:val="00343FA5"/>
    <w:rsid w:val="0034402E"/>
    <w:rsid w:val="0034550B"/>
    <w:rsid w:val="00345891"/>
    <w:rsid w:val="003460F8"/>
    <w:rsid w:val="003469D1"/>
    <w:rsid w:val="003474B9"/>
    <w:rsid w:val="003479DA"/>
    <w:rsid w:val="003500D7"/>
    <w:rsid w:val="003506E3"/>
    <w:rsid w:val="00350942"/>
    <w:rsid w:val="00350B44"/>
    <w:rsid w:val="003517F2"/>
    <w:rsid w:val="00352686"/>
    <w:rsid w:val="003526D2"/>
    <w:rsid w:val="00352866"/>
    <w:rsid w:val="00352EBE"/>
    <w:rsid w:val="003537DB"/>
    <w:rsid w:val="003539F3"/>
    <w:rsid w:val="003551B4"/>
    <w:rsid w:val="003555B9"/>
    <w:rsid w:val="00355AB1"/>
    <w:rsid w:val="00357A60"/>
    <w:rsid w:val="00357ECF"/>
    <w:rsid w:val="00360AEE"/>
    <w:rsid w:val="00360C96"/>
    <w:rsid w:val="00361112"/>
    <w:rsid w:val="003614DE"/>
    <w:rsid w:val="003616D7"/>
    <w:rsid w:val="00362F38"/>
    <w:rsid w:val="0036341F"/>
    <w:rsid w:val="00363717"/>
    <w:rsid w:val="00363B58"/>
    <w:rsid w:val="0036437A"/>
    <w:rsid w:val="00364A15"/>
    <w:rsid w:val="003655C7"/>
    <w:rsid w:val="003658BF"/>
    <w:rsid w:val="00365905"/>
    <w:rsid w:val="00365979"/>
    <w:rsid w:val="00365B9F"/>
    <w:rsid w:val="0036699F"/>
    <w:rsid w:val="003677DB"/>
    <w:rsid w:val="00370200"/>
    <w:rsid w:val="0037110D"/>
    <w:rsid w:val="00371869"/>
    <w:rsid w:val="00371ECF"/>
    <w:rsid w:val="00372037"/>
    <w:rsid w:val="00372416"/>
    <w:rsid w:val="00373342"/>
    <w:rsid w:val="0037363B"/>
    <w:rsid w:val="00374127"/>
    <w:rsid w:val="003741A1"/>
    <w:rsid w:val="0037525D"/>
    <w:rsid w:val="003760AF"/>
    <w:rsid w:val="003760D9"/>
    <w:rsid w:val="003761DD"/>
    <w:rsid w:val="00376D9E"/>
    <w:rsid w:val="00376F7D"/>
    <w:rsid w:val="00377891"/>
    <w:rsid w:val="00377C28"/>
    <w:rsid w:val="00380880"/>
    <w:rsid w:val="00380E8F"/>
    <w:rsid w:val="003815E9"/>
    <w:rsid w:val="00381873"/>
    <w:rsid w:val="00381903"/>
    <w:rsid w:val="00381C1E"/>
    <w:rsid w:val="00382008"/>
    <w:rsid w:val="00382AEA"/>
    <w:rsid w:val="00382E9F"/>
    <w:rsid w:val="0038317C"/>
    <w:rsid w:val="00383627"/>
    <w:rsid w:val="00383854"/>
    <w:rsid w:val="00384F5E"/>
    <w:rsid w:val="003850E9"/>
    <w:rsid w:val="00385295"/>
    <w:rsid w:val="00385C93"/>
    <w:rsid w:val="00386337"/>
    <w:rsid w:val="0038776C"/>
    <w:rsid w:val="00390F8C"/>
    <w:rsid w:val="00391963"/>
    <w:rsid w:val="00392B6E"/>
    <w:rsid w:val="00392DC9"/>
    <w:rsid w:val="00392FF4"/>
    <w:rsid w:val="00393475"/>
    <w:rsid w:val="00393B97"/>
    <w:rsid w:val="0039436E"/>
    <w:rsid w:val="003948BC"/>
    <w:rsid w:val="00394A3D"/>
    <w:rsid w:val="00394E7B"/>
    <w:rsid w:val="0039571D"/>
    <w:rsid w:val="00395926"/>
    <w:rsid w:val="00395C32"/>
    <w:rsid w:val="00395F44"/>
    <w:rsid w:val="00396280"/>
    <w:rsid w:val="00396C62"/>
    <w:rsid w:val="00396FBF"/>
    <w:rsid w:val="00397FE1"/>
    <w:rsid w:val="003A1196"/>
    <w:rsid w:val="003A12FC"/>
    <w:rsid w:val="003A1E60"/>
    <w:rsid w:val="003A1EC2"/>
    <w:rsid w:val="003A227C"/>
    <w:rsid w:val="003A22CB"/>
    <w:rsid w:val="003A2863"/>
    <w:rsid w:val="003A2BA8"/>
    <w:rsid w:val="003A37FD"/>
    <w:rsid w:val="003A3E76"/>
    <w:rsid w:val="003A4BB9"/>
    <w:rsid w:val="003A4CB4"/>
    <w:rsid w:val="003A548B"/>
    <w:rsid w:val="003A56D5"/>
    <w:rsid w:val="003A5EC7"/>
    <w:rsid w:val="003A62DC"/>
    <w:rsid w:val="003A669D"/>
    <w:rsid w:val="003A6723"/>
    <w:rsid w:val="003A67B3"/>
    <w:rsid w:val="003A7C0B"/>
    <w:rsid w:val="003B008A"/>
    <w:rsid w:val="003B0601"/>
    <w:rsid w:val="003B19BD"/>
    <w:rsid w:val="003B236B"/>
    <w:rsid w:val="003B2DD0"/>
    <w:rsid w:val="003B3025"/>
    <w:rsid w:val="003B3399"/>
    <w:rsid w:val="003B3D27"/>
    <w:rsid w:val="003B4F22"/>
    <w:rsid w:val="003B509D"/>
    <w:rsid w:val="003B7281"/>
    <w:rsid w:val="003B773B"/>
    <w:rsid w:val="003B777E"/>
    <w:rsid w:val="003C022C"/>
    <w:rsid w:val="003C11C3"/>
    <w:rsid w:val="003C2C6D"/>
    <w:rsid w:val="003C343E"/>
    <w:rsid w:val="003C370F"/>
    <w:rsid w:val="003C3FCF"/>
    <w:rsid w:val="003C4ADD"/>
    <w:rsid w:val="003C4B92"/>
    <w:rsid w:val="003C4FB3"/>
    <w:rsid w:val="003C54CA"/>
    <w:rsid w:val="003C6451"/>
    <w:rsid w:val="003C68B6"/>
    <w:rsid w:val="003C6A9C"/>
    <w:rsid w:val="003C71E5"/>
    <w:rsid w:val="003C74F4"/>
    <w:rsid w:val="003C7C73"/>
    <w:rsid w:val="003C7E31"/>
    <w:rsid w:val="003D00E4"/>
    <w:rsid w:val="003D01E8"/>
    <w:rsid w:val="003D03C1"/>
    <w:rsid w:val="003D0494"/>
    <w:rsid w:val="003D0BE2"/>
    <w:rsid w:val="003D16BA"/>
    <w:rsid w:val="003D198A"/>
    <w:rsid w:val="003D19DA"/>
    <w:rsid w:val="003D1CBD"/>
    <w:rsid w:val="003D24FF"/>
    <w:rsid w:val="003D28BD"/>
    <w:rsid w:val="003D3092"/>
    <w:rsid w:val="003D3220"/>
    <w:rsid w:val="003D3698"/>
    <w:rsid w:val="003D4614"/>
    <w:rsid w:val="003D4C85"/>
    <w:rsid w:val="003D5139"/>
    <w:rsid w:val="003D5AB2"/>
    <w:rsid w:val="003D5FD9"/>
    <w:rsid w:val="003D6D1E"/>
    <w:rsid w:val="003E0E21"/>
    <w:rsid w:val="003E1972"/>
    <w:rsid w:val="003E237E"/>
    <w:rsid w:val="003E2814"/>
    <w:rsid w:val="003E2FDF"/>
    <w:rsid w:val="003E354E"/>
    <w:rsid w:val="003E4B54"/>
    <w:rsid w:val="003E5F60"/>
    <w:rsid w:val="003E7C3F"/>
    <w:rsid w:val="003F0212"/>
    <w:rsid w:val="003F08C8"/>
    <w:rsid w:val="003F0FF3"/>
    <w:rsid w:val="003F1A70"/>
    <w:rsid w:val="003F2406"/>
    <w:rsid w:val="003F366F"/>
    <w:rsid w:val="003F3F67"/>
    <w:rsid w:val="003F4304"/>
    <w:rsid w:val="003F491E"/>
    <w:rsid w:val="003F62A0"/>
    <w:rsid w:val="003F666E"/>
    <w:rsid w:val="003F71D1"/>
    <w:rsid w:val="003F7210"/>
    <w:rsid w:val="0040065C"/>
    <w:rsid w:val="00400CBA"/>
    <w:rsid w:val="004011B6"/>
    <w:rsid w:val="004014C0"/>
    <w:rsid w:val="004015D2"/>
    <w:rsid w:val="004017C1"/>
    <w:rsid w:val="00401931"/>
    <w:rsid w:val="00401CBE"/>
    <w:rsid w:val="0040276F"/>
    <w:rsid w:val="00402BB9"/>
    <w:rsid w:val="004033F4"/>
    <w:rsid w:val="00403B01"/>
    <w:rsid w:val="00403DAC"/>
    <w:rsid w:val="00404859"/>
    <w:rsid w:val="00404A0D"/>
    <w:rsid w:val="00404F0C"/>
    <w:rsid w:val="0040521A"/>
    <w:rsid w:val="00407CC4"/>
    <w:rsid w:val="00411148"/>
    <w:rsid w:val="004113BF"/>
    <w:rsid w:val="004116FC"/>
    <w:rsid w:val="00411924"/>
    <w:rsid w:val="0041287E"/>
    <w:rsid w:val="0041299C"/>
    <w:rsid w:val="00413029"/>
    <w:rsid w:val="00413540"/>
    <w:rsid w:val="004141E1"/>
    <w:rsid w:val="004142C2"/>
    <w:rsid w:val="0041465A"/>
    <w:rsid w:val="00414C67"/>
    <w:rsid w:val="00414FFE"/>
    <w:rsid w:val="00415414"/>
    <w:rsid w:val="00415558"/>
    <w:rsid w:val="0041630D"/>
    <w:rsid w:val="004164B2"/>
    <w:rsid w:val="00417A4E"/>
    <w:rsid w:val="00421216"/>
    <w:rsid w:val="0042168A"/>
    <w:rsid w:val="00421966"/>
    <w:rsid w:val="004225D1"/>
    <w:rsid w:val="00422F0E"/>
    <w:rsid w:val="004233E6"/>
    <w:rsid w:val="00423592"/>
    <w:rsid w:val="00423900"/>
    <w:rsid w:val="004245F7"/>
    <w:rsid w:val="0042487D"/>
    <w:rsid w:val="00424E79"/>
    <w:rsid w:val="00426770"/>
    <w:rsid w:val="004268AE"/>
    <w:rsid w:val="00426D3C"/>
    <w:rsid w:val="00430380"/>
    <w:rsid w:val="00430809"/>
    <w:rsid w:val="00430A5A"/>
    <w:rsid w:val="00430CD8"/>
    <w:rsid w:val="00431597"/>
    <w:rsid w:val="0043205A"/>
    <w:rsid w:val="004325D0"/>
    <w:rsid w:val="00433003"/>
    <w:rsid w:val="0043323A"/>
    <w:rsid w:val="004335C2"/>
    <w:rsid w:val="00433B01"/>
    <w:rsid w:val="00433C5C"/>
    <w:rsid w:val="00433F24"/>
    <w:rsid w:val="004343F2"/>
    <w:rsid w:val="00434436"/>
    <w:rsid w:val="00434994"/>
    <w:rsid w:val="00434F8A"/>
    <w:rsid w:val="00435322"/>
    <w:rsid w:val="00435365"/>
    <w:rsid w:val="00436FB5"/>
    <w:rsid w:val="00437586"/>
    <w:rsid w:val="00437A03"/>
    <w:rsid w:val="00437CA9"/>
    <w:rsid w:val="00437EF0"/>
    <w:rsid w:val="004405B9"/>
    <w:rsid w:val="00440708"/>
    <w:rsid w:val="00440D03"/>
    <w:rsid w:val="0044116C"/>
    <w:rsid w:val="00441874"/>
    <w:rsid w:val="004420D4"/>
    <w:rsid w:val="00442126"/>
    <w:rsid w:val="004421A1"/>
    <w:rsid w:val="0044238B"/>
    <w:rsid w:val="00442FA4"/>
    <w:rsid w:val="0044369F"/>
    <w:rsid w:val="00443700"/>
    <w:rsid w:val="0044406E"/>
    <w:rsid w:val="00444F16"/>
    <w:rsid w:val="00445121"/>
    <w:rsid w:val="0044519B"/>
    <w:rsid w:val="004452A2"/>
    <w:rsid w:val="0044570F"/>
    <w:rsid w:val="00445903"/>
    <w:rsid w:val="004465B8"/>
    <w:rsid w:val="00447160"/>
    <w:rsid w:val="00447221"/>
    <w:rsid w:val="004475DF"/>
    <w:rsid w:val="00447AB4"/>
    <w:rsid w:val="00447EB6"/>
    <w:rsid w:val="0045033A"/>
    <w:rsid w:val="004504DB"/>
    <w:rsid w:val="00450C82"/>
    <w:rsid w:val="00450ED3"/>
    <w:rsid w:val="00451543"/>
    <w:rsid w:val="00451577"/>
    <w:rsid w:val="00451A2D"/>
    <w:rsid w:val="00451CFC"/>
    <w:rsid w:val="00452086"/>
    <w:rsid w:val="004527A8"/>
    <w:rsid w:val="0045296F"/>
    <w:rsid w:val="00452A13"/>
    <w:rsid w:val="00452BD8"/>
    <w:rsid w:val="00454850"/>
    <w:rsid w:val="004548A4"/>
    <w:rsid w:val="004548B6"/>
    <w:rsid w:val="004549E4"/>
    <w:rsid w:val="00454CDA"/>
    <w:rsid w:val="004551AB"/>
    <w:rsid w:val="00455711"/>
    <w:rsid w:val="004557A4"/>
    <w:rsid w:val="0045599E"/>
    <w:rsid w:val="00455B33"/>
    <w:rsid w:val="00455EBE"/>
    <w:rsid w:val="0045628D"/>
    <w:rsid w:val="00457444"/>
    <w:rsid w:val="00457E4B"/>
    <w:rsid w:val="00460BA5"/>
    <w:rsid w:val="004610E9"/>
    <w:rsid w:val="00461566"/>
    <w:rsid w:val="00461611"/>
    <w:rsid w:val="00462070"/>
    <w:rsid w:val="00462482"/>
    <w:rsid w:val="00462672"/>
    <w:rsid w:val="00462D64"/>
    <w:rsid w:val="004633A2"/>
    <w:rsid w:val="00464713"/>
    <w:rsid w:val="0046498B"/>
    <w:rsid w:val="00464A4C"/>
    <w:rsid w:val="00464FC2"/>
    <w:rsid w:val="0046701E"/>
    <w:rsid w:val="004671F7"/>
    <w:rsid w:val="00467211"/>
    <w:rsid w:val="004678CF"/>
    <w:rsid w:val="00470C50"/>
    <w:rsid w:val="00470CC0"/>
    <w:rsid w:val="004714E5"/>
    <w:rsid w:val="00471FD9"/>
    <w:rsid w:val="004720A6"/>
    <w:rsid w:val="00472663"/>
    <w:rsid w:val="004726C8"/>
    <w:rsid w:val="00473644"/>
    <w:rsid w:val="00473D7C"/>
    <w:rsid w:val="00473F58"/>
    <w:rsid w:val="004745D1"/>
    <w:rsid w:val="004748C5"/>
    <w:rsid w:val="004751A4"/>
    <w:rsid w:val="0047535A"/>
    <w:rsid w:val="0047605F"/>
    <w:rsid w:val="0047675C"/>
    <w:rsid w:val="00476901"/>
    <w:rsid w:val="00476F6B"/>
    <w:rsid w:val="004779AF"/>
    <w:rsid w:val="0048161F"/>
    <w:rsid w:val="0048167B"/>
    <w:rsid w:val="00481B3A"/>
    <w:rsid w:val="0048209C"/>
    <w:rsid w:val="004826E0"/>
    <w:rsid w:val="0048364E"/>
    <w:rsid w:val="00484538"/>
    <w:rsid w:val="00484DFC"/>
    <w:rsid w:val="004852ED"/>
    <w:rsid w:val="00486800"/>
    <w:rsid w:val="004877CE"/>
    <w:rsid w:val="00487E92"/>
    <w:rsid w:val="00490150"/>
    <w:rsid w:val="0049155A"/>
    <w:rsid w:val="004917C7"/>
    <w:rsid w:val="00491B2A"/>
    <w:rsid w:val="00491FEB"/>
    <w:rsid w:val="00492777"/>
    <w:rsid w:val="00492C3C"/>
    <w:rsid w:val="00493151"/>
    <w:rsid w:val="00493A06"/>
    <w:rsid w:val="00493B00"/>
    <w:rsid w:val="004940CF"/>
    <w:rsid w:val="00494474"/>
    <w:rsid w:val="00494ED5"/>
    <w:rsid w:val="004950EF"/>
    <w:rsid w:val="00495983"/>
    <w:rsid w:val="00495F8F"/>
    <w:rsid w:val="0049641D"/>
    <w:rsid w:val="0049694D"/>
    <w:rsid w:val="00496BF6"/>
    <w:rsid w:val="00496CDE"/>
    <w:rsid w:val="00496E42"/>
    <w:rsid w:val="00497201"/>
    <w:rsid w:val="004974B5"/>
    <w:rsid w:val="004977C2"/>
    <w:rsid w:val="00497AB8"/>
    <w:rsid w:val="00497ED9"/>
    <w:rsid w:val="004A050C"/>
    <w:rsid w:val="004A0618"/>
    <w:rsid w:val="004A097F"/>
    <w:rsid w:val="004A0EAB"/>
    <w:rsid w:val="004A141C"/>
    <w:rsid w:val="004A1A89"/>
    <w:rsid w:val="004A1E64"/>
    <w:rsid w:val="004A2551"/>
    <w:rsid w:val="004A25EE"/>
    <w:rsid w:val="004A2A76"/>
    <w:rsid w:val="004A3A70"/>
    <w:rsid w:val="004A3F01"/>
    <w:rsid w:val="004A4A67"/>
    <w:rsid w:val="004A4B2C"/>
    <w:rsid w:val="004A4D7F"/>
    <w:rsid w:val="004A6472"/>
    <w:rsid w:val="004A6E42"/>
    <w:rsid w:val="004A7BEE"/>
    <w:rsid w:val="004A7CC0"/>
    <w:rsid w:val="004B0040"/>
    <w:rsid w:val="004B04B6"/>
    <w:rsid w:val="004B0D5F"/>
    <w:rsid w:val="004B0F5C"/>
    <w:rsid w:val="004B10E1"/>
    <w:rsid w:val="004B25B3"/>
    <w:rsid w:val="004B2760"/>
    <w:rsid w:val="004B3894"/>
    <w:rsid w:val="004B3C7B"/>
    <w:rsid w:val="004B3FF8"/>
    <w:rsid w:val="004B505F"/>
    <w:rsid w:val="004B51A2"/>
    <w:rsid w:val="004B5575"/>
    <w:rsid w:val="004B62D3"/>
    <w:rsid w:val="004B6C4E"/>
    <w:rsid w:val="004B794E"/>
    <w:rsid w:val="004C064D"/>
    <w:rsid w:val="004C0660"/>
    <w:rsid w:val="004C0A54"/>
    <w:rsid w:val="004C14FC"/>
    <w:rsid w:val="004C155C"/>
    <w:rsid w:val="004C17D9"/>
    <w:rsid w:val="004C26BA"/>
    <w:rsid w:val="004C2A48"/>
    <w:rsid w:val="004C33D3"/>
    <w:rsid w:val="004C3579"/>
    <w:rsid w:val="004C36F9"/>
    <w:rsid w:val="004C374A"/>
    <w:rsid w:val="004C46BF"/>
    <w:rsid w:val="004C4E94"/>
    <w:rsid w:val="004C6225"/>
    <w:rsid w:val="004C6F41"/>
    <w:rsid w:val="004C7C37"/>
    <w:rsid w:val="004D1807"/>
    <w:rsid w:val="004D1F1A"/>
    <w:rsid w:val="004D2523"/>
    <w:rsid w:val="004D25AE"/>
    <w:rsid w:val="004D3D64"/>
    <w:rsid w:val="004D3FE0"/>
    <w:rsid w:val="004D45D4"/>
    <w:rsid w:val="004D5541"/>
    <w:rsid w:val="004D5F43"/>
    <w:rsid w:val="004D7764"/>
    <w:rsid w:val="004D7D0E"/>
    <w:rsid w:val="004E0C40"/>
    <w:rsid w:val="004E161C"/>
    <w:rsid w:val="004E1DF3"/>
    <w:rsid w:val="004E29B1"/>
    <w:rsid w:val="004E2D62"/>
    <w:rsid w:val="004E2DE0"/>
    <w:rsid w:val="004E3563"/>
    <w:rsid w:val="004E3B9A"/>
    <w:rsid w:val="004E494D"/>
    <w:rsid w:val="004E52E3"/>
    <w:rsid w:val="004E6116"/>
    <w:rsid w:val="004E6F1A"/>
    <w:rsid w:val="004E77EF"/>
    <w:rsid w:val="004E7ADF"/>
    <w:rsid w:val="004E7CE4"/>
    <w:rsid w:val="004E7DCA"/>
    <w:rsid w:val="004E7EE6"/>
    <w:rsid w:val="004F08CA"/>
    <w:rsid w:val="004F0C56"/>
    <w:rsid w:val="004F18F3"/>
    <w:rsid w:val="004F219B"/>
    <w:rsid w:val="004F26EA"/>
    <w:rsid w:val="004F34CC"/>
    <w:rsid w:val="004F4365"/>
    <w:rsid w:val="004F443C"/>
    <w:rsid w:val="004F4B00"/>
    <w:rsid w:val="004F58F7"/>
    <w:rsid w:val="004F5A28"/>
    <w:rsid w:val="004F5DDA"/>
    <w:rsid w:val="004F6026"/>
    <w:rsid w:val="004F651C"/>
    <w:rsid w:val="004F7236"/>
    <w:rsid w:val="004F782A"/>
    <w:rsid w:val="0050068A"/>
    <w:rsid w:val="00500AA5"/>
    <w:rsid w:val="005018C8"/>
    <w:rsid w:val="00501BAB"/>
    <w:rsid w:val="0050236A"/>
    <w:rsid w:val="00502656"/>
    <w:rsid w:val="00502A16"/>
    <w:rsid w:val="00502A36"/>
    <w:rsid w:val="00502E96"/>
    <w:rsid w:val="00502EF3"/>
    <w:rsid w:val="005034CE"/>
    <w:rsid w:val="00503A30"/>
    <w:rsid w:val="00504195"/>
    <w:rsid w:val="005041F6"/>
    <w:rsid w:val="00504B91"/>
    <w:rsid w:val="00505A3C"/>
    <w:rsid w:val="00505EEF"/>
    <w:rsid w:val="00506D69"/>
    <w:rsid w:val="005076DD"/>
    <w:rsid w:val="00507A5D"/>
    <w:rsid w:val="00507B8B"/>
    <w:rsid w:val="0051080D"/>
    <w:rsid w:val="00510B45"/>
    <w:rsid w:val="00512389"/>
    <w:rsid w:val="00513592"/>
    <w:rsid w:val="005137E2"/>
    <w:rsid w:val="00514010"/>
    <w:rsid w:val="0051475F"/>
    <w:rsid w:val="00514E36"/>
    <w:rsid w:val="00515C10"/>
    <w:rsid w:val="00515DD0"/>
    <w:rsid w:val="00517030"/>
    <w:rsid w:val="005171B5"/>
    <w:rsid w:val="00517843"/>
    <w:rsid w:val="00517B85"/>
    <w:rsid w:val="005205EB"/>
    <w:rsid w:val="00520A15"/>
    <w:rsid w:val="00520B96"/>
    <w:rsid w:val="00521540"/>
    <w:rsid w:val="005219AC"/>
    <w:rsid w:val="00521AB3"/>
    <w:rsid w:val="00521C6C"/>
    <w:rsid w:val="00521F3B"/>
    <w:rsid w:val="00522A69"/>
    <w:rsid w:val="00522CE4"/>
    <w:rsid w:val="00523628"/>
    <w:rsid w:val="0052372B"/>
    <w:rsid w:val="00523891"/>
    <w:rsid w:val="00523AB0"/>
    <w:rsid w:val="0052490D"/>
    <w:rsid w:val="0052520C"/>
    <w:rsid w:val="00525488"/>
    <w:rsid w:val="00525E86"/>
    <w:rsid w:val="005264C9"/>
    <w:rsid w:val="00526C2D"/>
    <w:rsid w:val="005304A2"/>
    <w:rsid w:val="00530D1B"/>
    <w:rsid w:val="005313C0"/>
    <w:rsid w:val="0053302F"/>
    <w:rsid w:val="005340E3"/>
    <w:rsid w:val="0053439F"/>
    <w:rsid w:val="005347C4"/>
    <w:rsid w:val="0053558A"/>
    <w:rsid w:val="005358F7"/>
    <w:rsid w:val="0053593D"/>
    <w:rsid w:val="00535C52"/>
    <w:rsid w:val="00535FAC"/>
    <w:rsid w:val="00536106"/>
    <w:rsid w:val="00536564"/>
    <w:rsid w:val="005419F5"/>
    <w:rsid w:val="00541B2E"/>
    <w:rsid w:val="00542950"/>
    <w:rsid w:val="00542966"/>
    <w:rsid w:val="00542B54"/>
    <w:rsid w:val="00543762"/>
    <w:rsid w:val="0054432B"/>
    <w:rsid w:val="00544E3F"/>
    <w:rsid w:val="005454FE"/>
    <w:rsid w:val="00545801"/>
    <w:rsid w:val="00546229"/>
    <w:rsid w:val="005464A2"/>
    <w:rsid w:val="00546DBB"/>
    <w:rsid w:val="00546F97"/>
    <w:rsid w:val="00547019"/>
    <w:rsid w:val="005475BC"/>
    <w:rsid w:val="00547A8D"/>
    <w:rsid w:val="00547E88"/>
    <w:rsid w:val="005505B6"/>
    <w:rsid w:val="00551058"/>
    <w:rsid w:val="00551188"/>
    <w:rsid w:val="0055213D"/>
    <w:rsid w:val="0055265C"/>
    <w:rsid w:val="00553D46"/>
    <w:rsid w:val="005545CC"/>
    <w:rsid w:val="005548CA"/>
    <w:rsid w:val="0055490E"/>
    <w:rsid w:val="005551CA"/>
    <w:rsid w:val="00555FC2"/>
    <w:rsid w:val="005561C3"/>
    <w:rsid w:val="00556800"/>
    <w:rsid w:val="00556AB9"/>
    <w:rsid w:val="00557B30"/>
    <w:rsid w:val="0056022D"/>
    <w:rsid w:val="005606E0"/>
    <w:rsid w:val="00560894"/>
    <w:rsid w:val="00562BC6"/>
    <w:rsid w:val="00563A90"/>
    <w:rsid w:val="00563DF6"/>
    <w:rsid w:val="00563E25"/>
    <w:rsid w:val="00563F37"/>
    <w:rsid w:val="005642FE"/>
    <w:rsid w:val="00564EAF"/>
    <w:rsid w:val="005662B7"/>
    <w:rsid w:val="00566457"/>
    <w:rsid w:val="0056772D"/>
    <w:rsid w:val="0057176D"/>
    <w:rsid w:val="00571F4A"/>
    <w:rsid w:val="005720DF"/>
    <w:rsid w:val="005722C0"/>
    <w:rsid w:val="00572D9B"/>
    <w:rsid w:val="0057390D"/>
    <w:rsid w:val="00574DCC"/>
    <w:rsid w:val="00574DEE"/>
    <w:rsid w:val="00575FEB"/>
    <w:rsid w:val="00576436"/>
    <w:rsid w:val="0057654C"/>
    <w:rsid w:val="005769CD"/>
    <w:rsid w:val="00576D1E"/>
    <w:rsid w:val="00576FD6"/>
    <w:rsid w:val="0057742C"/>
    <w:rsid w:val="005774AF"/>
    <w:rsid w:val="00580EA0"/>
    <w:rsid w:val="00582004"/>
    <w:rsid w:val="00582531"/>
    <w:rsid w:val="005826AA"/>
    <w:rsid w:val="005832C1"/>
    <w:rsid w:val="0058341A"/>
    <w:rsid w:val="0058406F"/>
    <w:rsid w:val="00584859"/>
    <w:rsid w:val="00585010"/>
    <w:rsid w:val="00585BAF"/>
    <w:rsid w:val="00585F40"/>
    <w:rsid w:val="00586B36"/>
    <w:rsid w:val="00587203"/>
    <w:rsid w:val="00587674"/>
    <w:rsid w:val="00587789"/>
    <w:rsid w:val="00587992"/>
    <w:rsid w:val="00587E17"/>
    <w:rsid w:val="0059075D"/>
    <w:rsid w:val="005923BA"/>
    <w:rsid w:val="005924B8"/>
    <w:rsid w:val="005926B7"/>
    <w:rsid w:val="00593D14"/>
    <w:rsid w:val="005942FB"/>
    <w:rsid w:val="00594315"/>
    <w:rsid w:val="0059450B"/>
    <w:rsid w:val="00594778"/>
    <w:rsid w:val="00594980"/>
    <w:rsid w:val="00594A55"/>
    <w:rsid w:val="00594C9B"/>
    <w:rsid w:val="005960FD"/>
    <w:rsid w:val="005969D5"/>
    <w:rsid w:val="00596A97"/>
    <w:rsid w:val="00596D39"/>
    <w:rsid w:val="00596E06"/>
    <w:rsid w:val="005A0974"/>
    <w:rsid w:val="005A0B2B"/>
    <w:rsid w:val="005A0E4E"/>
    <w:rsid w:val="005A1668"/>
    <w:rsid w:val="005A1C5E"/>
    <w:rsid w:val="005A1D1C"/>
    <w:rsid w:val="005A3054"/>
    <w:rsid w:val="005A3A3A"/>
    <w:rsid w:val="005A3CC9"/>
    <w:rsid w:val="005A3E71"/>
    <w:rsid w:val="005A5164"/>
    <w:rsid w:val="005A55AC"/>
    <w:rsid w:val="005A57A8"/>
    <w:rsid w:val="005A58CC"/>
    <w:rsid w:val="005A590D"/>
    <w:rsid w:val="005A6508"/>
    <w:rsid w:val="005A65B9"/>
    <w:rsid w:val="005A6D03"/>
    <w:rsid w:val="005A7B1D"/>
    <w:rsid w:val="005B0953"/>
    <w:rsid w:val="005B0C74"/>
    <w:rsid w:val="005B100E"/>
    <w:rsid w:val="005B2268"/>
    <w:rsid w:val="005B30F9"/>
    <w:rsid w:val="005B3246"/>
    <w:rsid w:val="005B3931"/>
    <w:rsid w:val="005B4B6D"/>
    <w:rsid w:val="005B4FEB"/>
    <w:rsid w:val="005B6293"/>
    <w:rsid w:val="005B75E8"/>
    <w:rsid w:val="005B7A59"/>
    <w:rsid w:val="005B7CDC"/>
    <w:rsid w:val="005C0239"/>
    <w:rsid w:val="005C0B33"/>
    <w:rsid w:val="005C0BA8"/>
    <w:rsid w:val="005C15C2"/>
    <w:rsid w:val="005C2461"/>
    <w:rsid w:val="005C2774"/>
    <w:rsid w:val="005C2B19"/>
    <w:rsid w:val="005C303C"/>
    <w:rsid w:val="005C3A01"/>
    <w:rsid w:val="005C3ED7"/>
    <w:rsid w:val="005C4301"/>
    <w:rsid w:val="005C5F74"/>
    <w:rsid w:val="005C6853"/>
    <w:rsid w:val="005C745E"/>
    <w:rsid w:val="005C7641"/>
    <w:rsid w:val="005C7BA7"/>
    <w:rsid w:val="005C7C7D"/>
    <w:rsid w:val="005C7E30"/>
    <w:rsid w:val="005C7EEF"/>
    <w:rsid w:val="005C7FCF"/>
    <w:rsid w:val="005D022A"/>
    <w:rsid w:val="005D18CE"/>
    <w:rsid w:val="005D1CA8"/>
    <w:rsid w:val="005D2DA6"/>
    <w:rsid w:val="005D37C7"/>
    <w:rsid w:val="005D3DF6"/>
    <w:rsid w:val="005D4EB6"/>
    <w:rsid w:val="005D51A2"/>
    <w:rsid w:val="005D5D64"/>
    <w:rsid w:val="005D66FD"/>
    <w:rsid w:val="005D6BC0"/>
    <w:rsid w:val="005D6EF3"/>
    <w:rsid w:val="005D7ACF"/>
    <w:rsid w:val="005E01C9"/>
    <w:rsid w:val="005E0ECA"/>
    <w:rsid w:val="005E14CA"/>
    <w:rsid w:val="005E1858"/>
    <w:rsid w:val="005E1B45"/>
    <w:rsid w:val="005E1C6F"/>
    <w:rsid w:val="005E2420"/>
    <w:rsid w:val="005E2574"/>
    <w:rsid w:val="005E3640"/>
    <w:rsid w:val="005E400E"/>
    <w:rsid w:val="005E4120"/>
    <w:rsid w:val="005E442A"/>
    <w:rsid w:val="005E56C7"/>
    <w:rsid w:val="005E6255"/>
    <w:rsid w:val="005E63FE"/>
    <w:rsid w:val="005E66AF"/>
    <w:rsid w:val="005E6F12"/>
    <w:rsid w:val="005E7A1F"/>
    <w:rsid w:val="005F039B"/>
    <w:rsid w:val="005F0903"/>
    <w:rsid w:val="005F092D"/>
    <w:rsid w:val="005F1411"/>
    <w:rsid w:val="005F1C04"/>
    <w:rsid w:val="005F1FBB"/>
    <w:rsid w:val="005F21F2"/>
    <w:rsid w:val="005F3F2D"/>
    <w:rsid w:val="005F419B"/>
    <w:rsid w:val="005F7073"/>
    <w:rsid w:val="005F77BC"/>
    <w:rsid w:val="00600306"/>
    <w:rsid w:val="006005F5"/>
    <w:rsid w:val="006014D0"/>
    <w:rsid w:val="00601627"/>
    <w:rsid w:val="00601712"/>
    <w:rsid w:val="00602594"/>
    <w:rsid w:val="00602F45"/>
    <w:rsid w:val="00603028"/>
    <w:rsid w:val="00604CBF"/>
    <w:rsid w:val="00604DDA"/>
    <w:rsid w:val="00604E02"/>
    <w:rsid w:val="0060580B"/>
    <w:rsid w:val="00605F0B"/>
    <w:rsid w:val="00610014"/>
    <w:rsid w:val="00610B45"/>
    <w:rsid w:val="00610E3D"/>
    <w:rsid w:val="0061156D"/>
    <w:rsid w:val="00614121"/>
    <w:rsid w:val="0061446B"/>
    <w:rsid w:val="006145B9"/>
    <w:rsid w:val="00614B6A"/>
    <w:rsid w:val="00614C18"/>
    <w:rsid w:val="00614C86"/>
    <w:rsid w:val="00614DE5"/>
    <w:rsid w:val="00614E2E"/>
    <w:rsid w:val="00614ED2"/>
    <w:rsid w:val="00615275"/>
    <w:rsid w:val="006152CC"/>
    <w:rsid w:val="0061552C"/>
    <w:rsid w:val="006161DD"/>
    <w:rsid w:val="0061674B"/>
    <w:rsid w:val="00616A57"/>
    <w:rsid w:val="006175B2"/>
    <w:rsid w:val="006175C3"/>
    <w:rsid w:val="00620300"/>
    <w:rsid w:val="006207A8"/>
    <w:rsid w:val="00620F9E"/>
    <w:rsid w:val="00621136"/>
    <w:rsid w:val="006211ED"/>
    <w:rsid w:val="006218AC"/>
    <w:rsid w:val="00621F20"/>
    <w:rsid w:val="006222F6"/>
    <w:rsid w:val="00622365"/>
    <w:rsid w:val="00622554"/>
    <w:rsid w:val="006233B8"/>
    <w:rsid w:val="006233E6"/>
    <w:rsid w:val="0062363D"/>
    <w:rsid w:val="006246B8"/>
    <w:rsid w:val="00624752"/>
    <w:rsid w:val="00625150"/>
    <w:rsid w:val="006257A1"/>
    <w:rsid w:val="00625BB0"/>
    <w:rsid w:val="0062606E"/>
    <w:rsid w:val="0062613D"/>
    <w:rsid w:val="006271E6"/>
    <w:rsid w:val="006272E8"/>
    <w:rsid w:val="006301E1"/>
    <w:rsid w:val="00630741"/>
    <w:rsid w:val="00630E51"/>
    <w:rsid w:val="00631FFD"/>
    <w:rsid w:val="00632063"/>
    <w:rsid w:val="00632E17"/>
    <w:rsid w:val="00633F5A"/>
    <w:rsid w:val="0063420D"/>
    <w:rsid w:val="0063434F"/>
    <w:rsid w:val="006346C9"/>
    <w:rsid w:val="00634DA2"/>
    <w:rsid w:val="00634F43"/>
    <w:rsid w:val="00635113"/>
    <w:rsid w:val="00635833"/>
    <w:rsid w:val="00635A99"/>
    <w:rsid w:val="006363BF"/>
    <w:rsid w:val="006400FF"/>
    <w:rsid w:val="006402D5"/>
    <w:rsid w:val="006404E6"/>
    <w:rsid w:val="006407B7"/>
    <w:rsid w:val="00640AA2"/>
    <w:rsid w:val="00640BA6"/>
    <w:rsid w:val="0064148D"/>
    <w:rsid w:val="00641A6A"/>
    <w:rsid w:val="006420E1"/>
    <w:rsid w:val="0064353A"/>
    <w:rsid w:val="00643B57"/>
    <w:rsid w:val="0064540A"/>
    <w:rsid w:val="00645B44"/>
    <w:rsid w:val="00645B6C"/>
    <w:rsid w:val="00646288"/>
    <w:rsid w:val="00646E61"/>
    <w:rsid w:val="00646E69"/>
    <w:rsid w:val="00646E7A"/>
    <w:rsid w:val="00647295"/>
    <w:rsid w:val="0065004B"/>
    <w:rsid w:val="0065183A"/>
    <w:rsid w:val="0065201B"/>
    <w:rsid w:val="0065204D"/>
    <w:rsid w:val="00652384"/>
    <w:rsid w:val="0065309B"/>
    <w:rsid w:val="006532DA"/>
    <w:rsid w:val="00653DE9"/>
    <w:rsid w:val="0065437D"/>
    <w:rsid w:val="00654956"/>
    <w:rsid w:val="006553CF"/>
    <w:rsid w:val="006558CE"/>
    <w:rsid w:val="0065595A"/>
    <w:rsid w:val="00655B70"/>
    <w:rsid w:val="00655E95"/>
    <w:rsid w:val="00656359"/>
    <w:rsid w:val="00657692"/>
    <w:rsid w:val="00660749"/>
    <w:rsid w:val="00660864"/>
    <w:rsid w:val="00661A34"/>
    <w:rsid w:val="00662090"/>
    <w:rsid w:val="00662B0B"/>
    <w:rsid w:val="00662E10"/>
    <w:rsid w:val="00663150"/>
    <w:rsid w:val="00663184"/>
    <w:rsid w:val="0066438B"/>
    <w:rsid w:val="00664B80"/>
    <w:rsid w:val="00665201"/>
    <w:rsid w:val="00665534"/>
    <w:rsid w:val="006656D5"/>
    <w:rsid w:val="00665B2D"/>
    <w:rsid w:val="00667AFA"/>
    <w:rsid w:val="00670300"/>
    <w:rsid w:val="00670E93"/>
    <w:rsid w:val="00671BDA"/>
    <w:rsid w:val="00672EA0"/>
    <w:rsid w:val="00673153"/>
    <w:rsid w:val="00673282"/>
    <w:rsid w:val="006738CF"/>
    <w:rsid w:val="00676890"/>
    <w:rsid w:val="00676CA2"/>
    <w:rsid w:val="0067739A"/>
    <w:rsid w:val="006775DF"/>
    <w:rsid w:val="006800DF"/>
    <w:rsid w:val="00680605"/>
    <w:rsid w:val="00681178"/>
    <w:rsid w:val="006813B8"/>
    <w:rsid w:val="006815B1"/>
    <w:rsid w:val="00682CB9"/>
    <w:rsid w:val="00683296"/>
    <w:rsid w:val="00683978"/>
    <w:rsid w:val="00683A5E"/>
    <w:rsid w:val="00683B9B"/>
    <w:rsid w:val="00684411"/>
    <w:rsid w:val="0068582D"/>
    <w:rsid w:val="006863C1"/>
    <w:rsid w:val="006868F5"/>
    <w:rsid w:val="00686926"/>
    <w:rsid w:val="0068717D"/>
    <w:rsid w:val="006872CC"/>
    <w:rsid w:val="0068785F"/>
    <w:rsid w:val="00687E8E"/>
    <w:rsid w:val="006907C4"/>
    <w:rsid w:val="00691FD4"/>
    <w:rsid w:val="006920F4"/>
    <w:rsid w:val="00693FEF"/>
    <w:rsid w:val="00694A02"/>
    <w:rsid w:val="00695048"/>
    <w:rsid w:val="00695FF6"/>
    <w:rsid w:val="00696361"/>
    <w:rsid w:val="006973DD"/>
    <w:rsid w:val="006A0247"/>
    <w:rsid w:val="006A036A"/>
    <w:rsid w:val="006A046A"/>
    <w:rsid w:val="006A04DC"/>
    <w:rsid w:val="006A0968"/>
    <w:rsid w:val="006A0C4B"/>
    <w:rsid w:val="006A1B99"/>
    <w:rsid w:val="006A1DDF"/>
    <w:rsid w:val="006A1F0B"/>
    <w:rsid w:val="006A2E8A"/>
    <w:rsid w:val="006A3181"/>
    <w:rsid w:val="006A3DF2"/>
    <w:rsid w:val="006A3E4B"/>
    <w:rsid w:val="006A42BE"/>
    <w:rsid w:val="006A46DB"/>
    <w:rsid w:val="006A485D"/>
    <w:rsid w:val="006A48C8"/>
    <w:rsid w:val="006A49A4"/>
    <w:rsid w:val="006A4D37"/>
    <w:rsid w:val="006A5072"/>
    <w:rsid w:val="006A50C1"/>
    <w:rsid w:val="006A5C60"/>
    <w:rsid w:val="006A61EF"/>
    <w:rsid w:val="006A6230"/>
    <w:rsid w:val="006A7064"/>
    <w:rsid w:val="006A7B6B"/>
    <w:rsid w:val="006B08D9"/>
    <w:rsid w:val="006B0B30"/>
    <w:rsid w:val="006B1B1F"/>
    <w:rsid w:val="006B1B2A"/>
    <w:rsid w:val="006B1EC6"/>
    <w:rsid w:val="006B28BF"/>
    <w:rsid w:val="006B2A57"/>
    <w:rsid w:val="006B2EF2"/>
    <w:rsid w:val="006B3A81"/>
    <w:rsid w:val="006B436F"/>
    <w:rsid w:val="006B4806"/>
    <w:rsid w:val="006B495F"/>
    <w:rsid w:val="006B499B"/>
    <w:rsid w:val="006B4E89"/>
    <w:rsid w:val="006B50A2"/>
    <w:rsid w:val="006B5B2A"/>
    <w:rsid w:val="006B5BE1"/>
    <w:rsid w:val="006B6251"/>
    <w:rsid w:val="006B6B50"/>
    <w:rsid w:val="006C0E5D"/>
    <w:rsid w:val="006C1552"/>
    <w:rsid w:val="006C208A"/>
    <w:rsid w:val="006C3232"/>
    <w:rsid w:val="006C3973"/>
    <w:rsid w:val="006C3AA8"/>
    <w:rsid w:val="006C4131"/>
    <w:rsid w:val="006C413A"/>
    <w:rsid w:val="006C4C31"/>
    <w:rsid w:val="006C5717"/>
    <w:rsid w:val="006C6A6A"/>
    <w:rsid w:val="006C7468"/>
    <w:rsid w:val="006D09A9"/>
    <w:rsid w:val="006D0D02"/>
    <w:rsid w:val="006D138E"/>
    <w:rsid w:val="006D1DCE"/>
    <w:rsid w:val="006D284B"/>
    <w:rsid w:val="006D37D5"/>
    <w:rsid w:val="006D3CB6"/>
    <w:rsid w:val="006D3DE5"/>
    <w:rsid w:val="006D3FD6"/>
    <w:rsid w:val="006D4D7C"/>
    <w:rsid w:val="006D50B9"/>
    <w:rsid w:val="006D5A19"/>
    <w:rsid w:val="006D641C"/>
    <w:rsid w:val="006D64ED"/>
    <w:rsid w:val="006D6999"/>
    <w:rsid w:val="006D69BF"/>
    <w:rsid w:val="006D746B"/>
    <w:rsid w:val="006D74BF"/>
    <w:rsid w:val="006D7F64"/>
    <w:rsid w:val="006E0696"/>
    <w:rsid w:val="006E0B1C"/>
    <w:rsid w:val="006E15B8"/>
    <w:rsid w:val="006E1EFE"/>
    <w:rsid w:val="006E23F8"/>
    <w:rsid w:val="006E2614"/>
    <w:rsid w:val="006E2649"/>
    <w:rsid w:val="006E30A8"/>
    <w:rsid w:val="006E3A38"/>
    <w:rsid w:val="006E3EE0"/>
    <w:rsid w:val="006E4642"/>
    <w:rsid w:val="006E49AD"/>
    <w:rsid w:val="006E5046"/>
    <w:rsid w:val="006E51B3"/>
    <w:rsid w:val="006E53AC"/>
    <w:rsid w:val="006E5825"/>
    <w:rsid w:val="006E66D0"/>
    <w:rsid w:val="006E6B0F"/>
    <w:rsid w:val="006E7F7C"/>
    <w:rsid w:val="006F03EA"/>
    <w:rsid w:val="006F090E"/>
    <w:rsid w:val="006F117A"/>
    <w:rsid w:val="006F17C1"/>
    <w:rsid w:val="006F1BC0"/>
    <w:rsid w:val="006F1EF1"/>
    <w:rsid w:val="006F1F2E"/>
    <w:rsid w:val="006F1FFA"/>
    <w:rsid w:val="006F2324"/>
    <w:rsid w:val="006F26F7"/>
    <w:rsid w:val="006F37B4"/>
    <w:rsid w:val="006F385D"/>
    <w:rsid w:val="006F3D9E"/>
    <w:rsid w:val="006F415A"/>
    <w:rsid w:val="006F43E4"/>
    <w:rsid w:val="006F43F5"/>
    <w:rsid w:val="006F4E35"/>
    <w:rsid w:val="006F5209"/>
    <w:rsid w:val="006F5975"/>
    <w:rsid w:val="006F5D5E"/>
    <w:rsid w:val="006F6A5F"/>
    <w:rsid w:val="006F6C3C"/>
    <w:rsid w:val="006F7C72"/>
    <w:rsid w:val="007000C2"/>
    <w:rsid w:val="00700949"/>
    <w:rsid w:val="00700B32"/>
    <w:rsid w:val="00700D08"/>
    <w:rsid w:val="00700F4A"/>
    <w:rsid w:val="00701FDB"/>
    <w:rsid w:val="00702D9C"/>
    <w:rsid w:val="007034DF"/>
    <w:rsid w:val="0070357D"/>
    <w:rsid w:val="00704174"/>
    <w:rsid w:val="0070462C"/>
    <w:rsid w:val="0070553A"/>
    <w:rsid w:val="007055E8"/>
    <w:rsid w:val="00706B0A"/>
    <w:rsid w:val="00706D0C"/>
    <w:rsid w:val="00707438"/>
    <w:rsid w:val="00707717"/>
    <w:rsid w:val="00707A47"/>
    <w:rsid w:val="00710DE5"/>
    <w:rsid w:val="007111F3"/>
    <w:rsid w:val="007114BA"/>
    <w:rsid w:val="007114CD"/>
    <w:rsid w:val="0071151E"/>
    <w:rsid w:val="0071296E"/>
    <w:rsid w:val="00713645"/>
    <w:rsid w:val="00713CDD"/>
    <w:rsid w:val="00714791"/>
    <w:rsid w:val="00714943"/>
    <w:rsid w:val="00714D01"/>
    <w:rsid w:val="00715634"/>
    <w:rsid w:val="007157EE"/>
    <w:rsid w:val="0071584F"/>
    <w:rsid w:val="0071612E"/>
    <w:rsid w:val="00716646"/>
    <w:rsid w:val="00717E0A"/>
    <w:rsid w:val="00720648"/>
    <w:rsid w:val="007209F4"/>
    <w:rsid w:val="00721F12"/>
    <w:rsid w:val="00722B56"/>
    <w:rsid w:val="00723106"/>
    <w:rsid w:val="0072336F"/>
    <w:rsid w:val="00723DE1"/>
    <w:rsid w:val="007243CB"/>
    <w:rsid w:val="00724582"/>
    <w:rsid w:val="0072508E"/>
    <w:rsid w:val="00725481"/>
    <w:rsid w:val="007257B2"/>
    <w:rsid w:val="007261EA"/>
    <w:rsid w:val="00726208"/>
    <w:rsid w:val="00726A50"/>
    <w:rsid w:val="00726C66"/>
    <w:rsid w:val="007275BA"/>
    <w:rsid w:val="007315D5"/>
    <w:rsid w:val="007328C0"/>
    <w:rsid w:val="00732B65"/>
    <w:rsid w:val="007333FD"/>
    <w:rsid w:val="00733B28"/>
    <w:rsid w:val="007341EF"/>
    <w:rsid w:val="00735427"/>
    <w:rsid w:val="00735C18"/>
    <w:rsid w:val="00735D18"/>
    <w:rsid w:val="00740681"/>
    <w:rsid w:val="007406DE"/>
    <w:rsid w:val="00740AE2"/>
    <w:rsid w:val="00740ECF"/>
    <w:rsid w:val="0074108E"/>
    <w:rsid w:val="007410FC"/>
    <w:rsid w:val="00741440"/>
    <w:rsid w:val="0074186A"/>
    <w:rsid w:val="00741B71"/>
    <w:rsid w:val="00741CDC"/>
    <w:rsid w:val="00742905"/>
    <w:rsid w:val="00742994"/>
    <w:rsid w:val="007429CB"/>
    <w:rsid w:val="00743C5D"/>
    <w:rsid w:val="00743F73"/>
    <w:rsid w:val="00744718"/>
    <w:rsid w:val="007452F4"/>
    <w:rsid w:val="0074565B"/>
    <w:rsid w:val="00745A63"/>
    <w:rsid w:val="00745FFE"/>
    <w:rsid w:val="00746052"/>
    <w:rsid w:val="00746338"/>
    <w:rsid w:val="00750ED8"/>
    <w:rsid w:val="0075126A"/>
    <w:rsid w:val="00752E14"/>
    <w:rsid w:val="00753E66"/>
    <w:rsid w:val="00753F7D"/>
    <w:rsid w:val="00754AA4"/>
    <w:rsid w:val="00755983"/>
    <w:rsid w:val="00755FD2"/>
    <w:rsid w:val="00757251"/>
    <w:rsid w:val="007578F5"/>
    <w:rsid w:val="00757A2D"/>
    <w:rsid w:val="00761329"/>
    <w:rsid w:val="00761912"/>
    <w:rsid w:val="007623CD"/>
    <w:rsid w:val="00762918"/>
    <w:rsid w:val="00762BD6"/>
    <w:rsid w:val="00762D66"/>
    <w:rsid w:val="00763BDC"/>
    <w:rsid w:val="00763E2F"/>
    <w:rsid w:val="00764154"/>
    <w:rsid w:val="0076434C"/>
    <w:rsid w:val="00764EB0"/>
    <w:rsid w:val="00765063"/>
    <w:rsid w:val="007657E7"/>
    <w:rsid w:val="00765C4E"/>
    <w:rsid w:val="00765C75"/>
    <w:rsid w:val="0076690C"/>
    <w:rsid w:val="007669D6"/>
    <w:rsid w:val="00767B52"/>
    <w:rsid w:val="00767E42"/>
    <w:rsid w:val="00767FBD"/>
    <w:rsid w:val="007708AC"/>
    <w:rsid w:val="00771329"/>
    <w:rsid w:val="00771E15"/>
    <w:rsid w:val="00771F77"/>
    <w:rsid w:val="00772119"/>
    <w:rsid w:val="00772BCA"/>
    <w:rsid w:val="00772C37"/>
    <w:rsid w:val="00772C7C"/>
    <w:rsid w:val="00772E98"/>
    <w:rsid w:val="00773842"/>
    <w:rsid w:val="00774CEB"/>
    <w:rsid w:val="0077512D"/>
    <w:rsid w:val="00775EC3"/>
    <w:rsid w:val="007762C3"/>
    <w:rsid w:val="0077656C"/>
    <w:rsid w:val="0077662A"/>
    <w:rsid w:val="007767A6"/>
    <w:rsid w:val="00776CC7"/>
    <w:rsid w:val="00777DE8"/>
    <w:rsid w:val="00777EFD"/>
    <w:rsid w:val="007805E4"/>
    <w:rsid w:val="007806CB"/>
    <w:rsid w:val="007810F4"/>
    <w:rsid w:val="007817F9"/>
    <w:rsid w:val="00781C68"/>
    <w:rsid w:val="0078235D"/>
    <w:rsid w:val="00782BE3"/>
    <w:rsid w:val="0078304F"/>
    <w:rsid w:val="007839C6"/>
    <w:rsid w:val="00784985"/>
    <w:rsid w:val="00785B2B"/>
    <w:rsid w:val="00786302"/>
    <w:rsid w:val="00786FB4"/>
    <w:rsid w:val="007872E9"/>
    <w:rsid w:val="007905A8"/>
    <w:rsid w:val="00791028"/>
    <w:rsid w:val="00791390"/>
    <w:rsid w:val="00791412"/>
    <w:rsid w:val="007916A7"/>
    <w:rsid w:val="00791757"/>
    <w:rsid w:val="007919D2"/>
    <w:rsid w:val="00791DB6"/>
    <w:rsid w:val="007933B3"/>
    <w:rsid w:val="00793F78"/>
    <w:rsid w:val="00793F79"/>
    <w:rsid w:val="00794C26"/>
    <w:rsid w:val="00794EC3"/>
    <w:rsid w:val="007957BC"/>
    <w:rsid w:val="00796A20"/>
    <w:rsid w:val="007970E7"/>
    <w:rsid w:val="007A0489"/>
    <w:rsid w:val="007A0C8D"/>
    <w:rsid w:val="007A1CAE"/>
    <w:rsid w:val="007A3799"/>
    <w:rsid w:val="007A37F4"/>
    <w:rsid w:val="007A3A69"/>
    <w:rsid w:val="007A43FE"/>
    <w:rsid w:val="007A46FF"/>
    <w:rsid w:val="007A48A6"/>
    <w:rsid w:val="007A48E5"/>
    <w:rsid w:val="007A571D"/>
    <w:rsid w:val="007A6828"/>
    <w:rsid w:val="007A70DD"/>
    <w:rsid w:val="007B0F7C"/>
    <w:rsid w:val="007B22E2"/>
    <w:rsid w:val="007B2AFA"/>
    <w:rsid w:val="007B3708"/>
    <w:rsid w:val="007B3F95"/>
    <w:rsid w:val="007B4631"/>
    <w:rsid w:val="007B5269"/>
    <w:rsid w:val="007B5D05"/>
    <w:rsid w:val="007B5F88"/>
    <w:rsid w:val="007B7159"/>
    <w:rsid w:val="007B796D"/>
    <w:rsid w:val="007B7AD8"/>
    <w:rsid w:val="007B7C93"/>
    <w:rsid w:val="007B7CC2"/>
    <w:rsid w:val="007B7D78"/>
    <w:rsid w:val="007C0034"/>
    <w:rsid w:val="007C0280"/>
    <w:rsid w:val="007C035D"/>
    <w:rsid w:val="007C1D4A"/>
    <w:rsid w:val="007C23AF"/>
    <w:rsid w:val="007C38AB"/>
    <w:rsid w:val="007C3A30"/>
    <w:rsid w:val="007C4DE1"/>
    <w:rsid w:val="007C5A61"/>
    <w:rsid w:val="007C5E0A"/>
    <w:rsid w:val="007C5EB8"/>
    <w:rsid w:val="007C62FC"/>
    <w:rsid w:val="007C6B20"/>
    <w:rsid w:val="007C6B29"/>
    <w:rsid w:val="007C7C56"/>
    <w:rsid w:val="007D0120"/>
    <w:rsid w:val="007D1002"/>
    <w:rsid w:val="007D137E"/>
    <w:rsid w:val="007D1484"/>
    <w:rsid w:val="007D165F"/>
    <w:rsid w:val="007D1821"/>
    <w:rsid w:val="007D3025"/>
    <w:rsid w:val="007D4088"/>
    <w:rsid w:val="007D40A3"/>
    <w:rsid w:val="007D4616"/>
    <w:rsid w:val="007D478D"/>
    <w:rsid w:val="007D5213"/>
    <w:rsid w:val="007D6B46"/>
    <w:rsid w:val="007D6C08"/>
    <w:rsid w:val="007D7165"/>
    <w:rsid w:val="007D719B"/>
    <w:rsid w:val="007D7A65"/>
    <w:rsid w:val="007E009A"/>
    <w:rsid w:val="007E12D3"/>
    <w:rsid w:val="007E2B32"/>
    <w:rsid w:val="007E2BC9"/>
    <w:rsid w:val="007E3126"/>
    <w:rsid w:val="007E3381"/>
    <w:rsid w:val="007E3CDD"/>
    <w:rsid w:val="007E3E1D"/>
    <w:rsid w:val="007E42B1"/>
    <w:rsid w:val="007E42C1"/>
    <w:rsid w:val="007E4378"/>
    <w:rsid w:val="007E44D5"/>
    <w:rsid w:val="007E4B0E"/>
    <w:rsid w:val="007E5ACE"/>
    <w:rsid w:val="007E6B78"/>
    <w:rsid w:val="007E778C"/>
    <w:rsid w:val="007F083A"/>
    <w:rsid w:val="007F085B"/>
    <w:rsid w:val="007F1380"/>
    <w:rsid w:val="007F161B"/>
    <w:rsid w:val="007F16E1"/>
    <w:rsid w:val="007F1BAF"/>
    <w:rsid w:val="007F2E75"/>
    <w:rsid w:val="007F2EAF"/>
    <w:rsid w:val="007F323C"/>
    <w:rsid w:val="007F3487"/>
    <w:rsid w:val="007F352C"/>
    <w:rsid w:val="007F356B"/>
    <w:rsid w:val="007F38A0"/>
    <w:rsid w:val="007F4250"/>
    <w:rsid w:val="007F4A8A"/>
    <w:rsid w:val="007F5D66"/>
    <w:rsid w:val="007F5E48"/>
    <w:rsid w:val="007F7064"/>
    <w:rsid w:val="007F71A0"/>
    <w:rsid w:val="007F7694"/>
    <w:rsid w:val="007F7B1B"/>
    <w:rsid w:val="007F7B90"/>
    <w:rsid w:val="007F7ECD"/>
    <w:rsid w:val="00800D3C"/>
    <w:rsid w:val="00800EEE"/>
    <w:rsid w:val="008010D0"/>
    <w:rsid w:val="00802A37"/>
    <w:rsid w:val="00803163"/>
    <w:rsid w:val="00803193"/>
    <w:rsid w:val="008034BF"/>
    <w:rsid w:val="008035D8"/>
    <w:rsid w:val="00803778"/>
    <w:rsid w:val="00803B55"/>
    <w:rsid w:val="00803BAE"/>
    <w:rsid w:val="00803CC2"/>
    <w:rsid w:val="008044A7"/>
    <w:rsid w:val="008049E8"/>
    <w:rsid w:val="00804B85"/>
    <w:rsid w:val="00804E22"/>
    <w:rsid w:val="0080521D"/>
    <w:rsid w:val="008059B1"/>
    <w:rsid w:val="00805C78"/>
    <w:rsid w:val="00806033"/>
    <w:rsid w:val="008062DC"/>
    <w:rsid w:val="00807B5D"/>
    <w:rsid w:val="0081004C"/>
    <w:rsid w:val="00810B31"/>
    <w:rsid w:val="00810D75"/>
    <w:rsid w:val="00812409"/>
    <w:rsid w:val="00812536"/>
    <w:rsid w:val="00812762"/>
    <w:rsid w:val="0081331D"/>
    <w:rsid w:val="0081358E"/>
    <w:rsid w:val="008137A3"/>
    <w:rsid w:val="008137ED"/>
    <w:rsid w:val="00813AA9"/>
    <w:rsid w:val="00813ABD"/>
    <w:rsid w:val="00814607"/>
    <w:rsid w:val="008163B7"/>
    <w:rsid w:val="008164C5"/>
    <w:rsid w:val="00816600"/>
    <w:rsid w:val="00816BE9"/>
    <w:rsid w:val="0081707B"/>
    <w:rsid w:val="00817691"/>
    <w:rsid w:val="008176EE"/>
    <w:rsid w:val="00817B3A"/>
    <w:rsid w:val="008208C4"/>
    <w:rsid w:val="00820A63"/>
    <w:rsid w:val="00820BB1"/>
    <w:rsid w:val="00821778"/>
    <w:rsid w:val="00821860"/>
    <w:rsid w:val="0082249F"/>
    <w:rsid w:val="00823CAF"/>
    <w:rsid w:val="00824053"/>
    <w:rsid w:val="008245DE"/>
    <w:rsid w:val="008254C0"/>
    <w:rsid w:val="00825DB2"/>
    <w:rsid w:val="00826615"/>
    <w:rsid w:val="00826E87"/>
    <w:rsid w:val="0082729C"/>
    <w:rsid w:val="0082791D"/>
    <w:rsid w:val="00827B14"/>
    <w:rsid w:val="0083002F"/>
    <w:rsid w:val="00830791"/>
    <w:rsid w:val="00832420"/>
    <w:rsid w:val="00832559"/>
    <w:rsid w:val="00832AEE"/>
    <w:rsid w:val="00832D06"/>
    <w:rsid w:val="0083416A"/>
    <w:rsid w:val="008345A6"/>
    <w:rsid w:val="00834942"/>
    <w:rsid w:val="00834C73"/>
    <w:rsid w:val="008363F9"/>
    <w:rsid w:val="00837213"/>
    <w:rsid w:val="0083747F"/>
    <w:rsid w:val="00837521"/>
    <w:rsid w:val="00837F13"/>
    <w:rsid w:val="00840819"/>
    <w:rsid w:val="00840C36"/>
    <w:rsid w:val="00841125"/>
    <w:rsid w:val="0084147D"/>
    <w:rsid w:val="0084235D"/>
    <w:rsid w:val="00842715"/>
    <w:rsid w:val="00842B0C"/>
    <w:rsid w:val="00842CC3"/>
    <w:rsid w:val="008436C7"/>
    <w:rsid w:val="0084427C"/>
    <w:rsid w:val="008449E6"/>
    <w:rsid w:val="00844A76"/>
    <w:rsid w:val="00845D19"/>
    <w:rsid w:val="008468ED"/>
    <w:rsid w:val="00846A25"/>
    <w:rsid w:val="00846AF3"/>
    <w:rsid w:val="00846B3A"/>
    <w:rsid w:val="00847879"/>
    <w:rsid w:val="00850265"/>
    <w:rsid w:val="00851D72"/>
    <w:rsid w:val="00851DF8"/>
    <w:rsid w:val="0085279C"/>
    <w:rsid w:val="00853187"/>
    <w:rsid w:val="00853C17"/>
    <w:rsid w:val="00853E2D"/>
    <w:rsid w:val="00854085"/>
    <w:rsid w:val="00854933"/>
    <w:rsid w:val="00855C4B"/>
    <w:rsid w:val="0085609F"/>
    <w:rsid w:val="008561B2"/>
    <w:rsid w:val="00856349"/>
    <w:rsid w:val="008564F9"/>
    <w:rsid w:val="00856537"/>
    <w:rsid w:val="00856EB0"/>
    <w:rsid w:val="0085762E"/>
    <w:rsid w:val="00857863"/>
    <w:rsid w:val="00857FB2"/>
    <w:rsid w:val="0086040D"/>
    <w:rsid w:val="00860E57"/>
    <w:rsid w:val="008618E3"/>
    <w:rsid w:val="00861D68"/>
    <w:rsid w:val="00861EDC"/>
    <w:rsid w:val="00862017"/>
    <w:rsid w:val="0086206C"/>
    <w:rsid w:val="00862E84"/>
    <w:rsid w:val="00863776"/>
    <w:rsid w:val="00864173"/>
    <w:rsid w:val="00864360"/>
    <w:rsid w:val="008643A8"/>
    <w:rsid w:val="00865051"/>
    <w:rsid w:val="0086537E"/>
    <w:rsid w:val="00865E38"/>
    <w:rsid w:val="008661A0"/>
    <w:rsid w:val="008662C2"/>
    <w:rsid w:val="0087047A"/>
    <w:rsid w:val="00870B12"/>
    <w:rsid w:val="008719BF"/>
    <w:rsid w:val="00873D53"/>
    <w:rsid w:val="0087448F"/>
    <w:rsid w:val="00874C95"/>
    <w:rsid w:val="008752A1"/>
    <w:rsid w:val="008758BA"/>
    <w:rsid w:val="0087598A"/>
    <w:rsid w:val="00876134"/>
    <w:rsid w:val="00876CE0"/>
    <w:rsid w:val="0087784F"/>
    <w:rsid w:val="00880E0F"/>
    <w:rsid w:val="0088105A"/>
    <w:rsid w:val="008816CE"/>
    <w:rsid w:val="00881946"/>
    <w:rsid w:val="00881EFC"/>
    <w:rsid w:val="0088304C"/>
    <w:rsid w:val="0088378C"/>
    <w:rsid w:val="00884342"/>
    <w:rsid w:val="00884344"/>
    <w:rsid w:val="00884EBA"/>
    <w:rsid w:val="00885226"/>
    <w:rsid w:val="008859D4"/>
    <w:rsid w:val="00885C57"/>
    <w:rsid w:val="008861A8"/>
    <w:rsid w:val="008863AC"/>
    <w:rsid w:val="0088686A"/>
    <w:rsid w:val="008868CF"/>
    <w:rsid w:val="00886C6A"/>
    <w:rsid w:val="00886D64"/>
    <w:rsid w:val="00887DAF"/>
    <w:rsid w:val="00890C22"/>
    <w:rsid w:val="00891920"/>
    <w:rsid w:val="008919D6"/>
    <w:rsid w:val="00891A79"/>
    <w:rsid w:val="00891E26"/>
    <w:rsid w:val="00891F25"/>
    <w:rsid w:val="008923F9"/>
    <w:rsid w:val="00892A45"/>
    <w:rsid w:val="0089356A"/>
    <w:rsid w:val="00893AEC"/>
    <w:rsid w:val="00894045"/>
    <w:rsid w:val="00894FB9"/>
    <w:rsid w:val="00895095"/>
    <w:rsid w:val="0089509F"/>
    <w:rsid w:val="00895BAC"/>
    <w:rsid w:val="00895F6B"/>
    <w:rsid w:val="008962C0"/>
    <w:rsid w:val="0089679F"/>
    <w:rsid w:val="008967C0"/>
    <w:rsid w:val="00896A15"/>
    <w:rsid w:val="00896D0F"/>
    <w:rsid w:val="00896F83"/>
    <w:rsid w:val="00896FD8"/>
    <w:rsid w:val="0089761A"/>
    <w:rsid w:val="00897B7B"/>
    <w:rsid w:val="008A0715"/>
    <w:rsid w:val="008A0F94"/>
    <w:rsid w:val="008A15A3"/>
    <w:rsid w:val="008A18D1"/>
    <w:rsid w:val="008A2A9F"/>
    <w:rsid w:val="008A35F4"/>
    <w:rsid w:val="008A467C"/>
    <w:rsid w:val="008A49DB"/>
    <w:rsid w:val="008A4BBB"/>
    <w:rsid w:val="008A5047"/>
    <w:rsid w:val="008A673E"/>
    <w:rsid w:val="008A740C"/>
    <w:rsid w:val="008A765D"/>
    <w:rsid w:val="008A7867"/>
    <w:rsid w:val="008A7D3E"/>
    <w:rsid w:val="008A7D99"/>
    <w:rsid w:val="008B1130"/>
    <w:rsid w:val="008B1E0C"/>
    <w:rsid w:val="008B1E2D"/>
    <w:rsid w:val="008B2ADA"/>
    <w:rsid w:val="008B2B2A"/>
    <w:rsid w:val="008B2B4F"/>
    <w:rsid w:val="008B2BF2"/>
    <w:rsid w:val="008B4136"/>
    <w:rsid w:val="008B4CFF"/>
    <w:rsid w:val="008B57D9"/>
    <w:rsid w:val="008B65D5"/>
    <w:rsid w:val="008B674E"/>
    <w:rsid w:val="008B6A0F"/>
    <w:rsid w:val="008B6F3B"/>
    <w:rsid w:val="008B7452"/>
    <w:rsid w:val="008B7559"/>
    <w:rsid w:val="008B777E"/>
    <w:rsid w:val="008B77FF"/>
    <w:rsid w:val="008B7C95"/>
    <w:rsid w:val="008C0126"/>
    <w:rsid w:val="008C0370"/>
    <w:rsid w:val="008C03D6"/>
    <w:rsid w:val="008C0454"/>
    <w:rsid w:val="008C0617"/>
    <w:rsid w:val="008C07BA"/>
    <w:rsid w:val="008C0895"/>
    <w:rsid w:val="008C18F8"/>
    <w:rsid w:val="008C1C75"/>
    <w:rsid w:val="008C1D88"/>
    <w:rsid w:val="008C268D"/>
    <w:rsid w:val="008C3779"/>
    <w:rsid w:val="008C4B89"/>
    <w:rsid w:val="008C5D69"/>
    <w:rsid w:val="008C5F6E"/>
    <w:rsid w:val="008C73D9"/>
    <w:rsid w:val="008D0F17"/>
    <w:rsid w:val="008D0F92"/>
    <w:rsid w:val="008D1296"/>
    <w:rsid w:val="008D1428"/>
    <w:rsid w:val="008D1D03"/>
    <w:rsid w:val="008D202B"/>
    <w:rsid w:val="008D2433"/>
    <w:rsid w:val="008D2A81"/>
    <w:rsid w:val="008D2C2A"/>
    <w:rsid w:val="008D34CC"/>
    <w:rsid w:val="008D3D6E"/>
    <w:rsid w:val="008D40AD"/>
    <w:rsid w:val="008D4B39"/>
    <w:rsid w:val="008D4B49"/>
    <w:rsid w:val="008D4E22"/>
    <w:rsid w:val="008D55A8"/>
    <w:rsid w:val="008D63F0"/>
    <w:rsid w:val="008D7539"/>
    <w:rsid w:val="008D7D40"/>
    <w:rsid w:val="008E01D0"/>
    <w:rsid w:val="008E0846"/>
    <w:rsid w:val="008E1C6D"/>
    <w:rsid w:val="008E20AE"/>
    <w:rsid w:val="008E257E"/>
    <w:rsid w:val="008E35F1"/>
    <w:rsid w:val="008E3EFE"/>
    <w:rsid w:val="008E5395"/>
    <w:rsid w:val="008E5F7C"/>
    <w:rsid w:val="008E6566"/>
    <w:rsid w:val="008E6A0B"/>
    <w:rsid w:val="008E6D25"/>
    <w:rsid w:val="008E6D2D"/>
    <w:rsid w:val="008E7D1D"/>
    <w:rsid w:val="008E7DE5"/>
    <w:rsid w:val="008F0698"/>
    <w:rsid w:val="008F0A63"/>
    <w:rsid w:val="008F1086"/>
    <w:rsid w:val="008F1189"/>
    <w:rsid w:val="008F11EE"/>
    <w:rsid w:val="008F1E86"/>
    <w:rsid w:val="008F2303"/>
    <w:rsid w:val="008F255A"/>
    <w:rsid w:val="008F256E"/>
    <w:rsid w:val="008F3245"/>
    <w:rsid w:val="008F37CF"/>
    <w:rsid w:val="008F3B4E"/>
    <w:rsid w:val="008F4ECB"/>
    <w:rsid w:val="008F62F3"/>
    <w:rsid w:val="008F70D4"/>
    <w:rsid w:val="008F75F3"/>
    <w:rsid w:val="008F7725"/>
    <w:rsid w:val="008F7E11"/>
    <w:rsid w:val="009003FD"/>
    <w:rsid w:val="00900773"/>
    <w:rsid w:val="00900787"/>
    <w:rsid w:val="00900A1E"/>
    <w:rsid w:val="009011ED"/>
    <w:rsid w:val="00901974"/>
    <w:rsid w:val="00901CED"/>
    <w:rsid w:val="0090230D"/>
    <w:rsid w:val="00902B0A"/>
    <w:rsid w:val="00902DB0"/>
    <w:rsid w:val="00902F18"/>
    <w:rsid w:val="00903B02"/>
    <w:rsid w:val="0090451C"/>
    <w:rsid w:val="00904A85"/>
    <w:rsid w:val="009051B8"/>
    <w:rsid w:val="0090536A"/>
    <w:rsid w:val="00905500"/>
    <w:rsid w:val="009059B7"/>
    <w:rsid w:val="009064AA"/>
    <w:rsid w:val="00906851"/>
    <w:rsid w:val="0091049C"/>
    <w:rsid w:val="009106F8"/>
    <w:rsid w:val="00910D83"/>
    <w:rsid w:val="0091126E"/>
    <w:rsid w:val="00911BA1"/>
    <w:rsid w:val="00911CCE"/>
    <w:rsid w:val="00911FF2"/>
    <w:rsid w:val="00912A5C"/>
    <w:rsid w:val="00912BE2"/>
    <w:rsid w:val="0091316A"/>
    <w:rsid w:val="00913AF0"/>
    <w:rsid w:val="00914624"/>
    <w:rsid w:val="00914E7C"/>
    <w:rsid w:val="0091502A"/>
    <w:rsid w:val="00916D33"/>
    <w:rsid w:val="0091701B"/>
    <w:rsid w:val="009177D4"/>
    <w:rsid w:val="00917820"/>
    <w:rsid w:val="0091786E"/>
    <w:rsid w:val="00917B0F"/>
    <w:rsid w:val="00917E98"/>
    <w:rsid w:val="00921B3D"/>
    <w:rsid w:val="00921CF0"/>
    <w:rsid w:val="00921EF3"/>
    <w:rsid w:val="0092217C"/>
    <w:rsid w:val="0092258F"/>
    <w:rsid w:val="00922C27"/>
    <w:rsid w:val="00922E11"/>
    <w:rsid w:val="00923BF6"/>
    <w:rsid w:val="00926168"/>
    <w:rsid w:val="00926A00"/>
    <w:rsid w:val="009270C7"/>
    <w:rsid w:val="009279D9"/>
    <w:rsid w:val="00930490"/>
    <w:rsid w:val="00930A07"/>
    <w:rsid w:val="00930FAE"/>
    <w:rsid w:val="00931B25"/>
    <w:rsid w:val="00931C8C"/>
    <w:rsid w:val="00931EAF"/>
    <w:rsid w:val="009322BD"/>
    <w:rsid w:val="009322CA"/>
    <w:rsid w:val="00933449"/>
    <w:rsid w:val="00933B35"/>
    <w:rsid w:val="009356E4"/>
    <w:rsid w:val="00936266"/>
    <w:rsid w:val="00936685"/>
    <w:rsid w:val="0093678D"/>
    <w:rsid w:val="0093713B"/>
    <w:rsid w:val="00937395"/>
    <w:rsid w:val="00937A9A"/>
    <w:rsid w:val="00937AC4"/>
    <w:rsid w:val="00937CEC"/>
    <w:rsid w:val="00937F52"/>
    <w:rsid w:val="00937FEE"/>
    <w:rsid w:val="00940650"/>
    <w:rsid w:val="0094110E"/>
    <w:rsid w:val="00941138"/>
    <w:rsid w:val="009417A9"/>
    <w:rsid w:val="00941F34"/>
    <w:rsid w:val="00943563"/>
    <w:rsid w:val="00943DAB"/>
    <w:rsid w:val="00944A29"/>
    <w:rsid w:val="00945009"/>
    <w:rsid w:val="0094509C"/>
    <w:rsid w:val="009453EF"/>
    <w:rsid w:val="0094547C"/>
    <w:rsid w:val="009456F6"/>
    <w:rsid w:val="0094585E"/>
    <w:rsid w:val="00945896"/>
    <w:rsid w:val="00946110"/>
    <w:rsid w:val="00946CC8"/>
    <w:rsid w:val="00947FE2"/>
    <w:rsid w:val="009505CA"/>
    <w:rsid w:val="0095079E"/>
    <w:rsid w:val="00950809"/>
    <w:rsid w:val="00950D2F"/>
    <w:rsid w:val="00951044"/>
    <w:rsid w:val="009519D1"/>
    <w:rsid w:val="009529B4"/>
    <w:rsid w:val="00953132"/>
    <w:rsid w:val="009549DB"/>
    <w:rsid w:val="00954B6F"/>
    <w:rsid w:val="00954F80"/>
    <w:rsid w:val="009560BD"/>
    <w:rsid w:val="0095637E"/>
    <w:rsid w:val="00956566"/>
    <w:rsid w:val="009607B9"/>
    <w:rsid w:val="00960B19"/>
    <w:rsid w:val="00961639"/>
    <w:rsid w:val="00962496"/>
    <w:rsid w:val="009629A1"/>
    <w:rsid w:val="00962DE6"/>
    <w:rsid w:val="009641E5"/>
    <w:rsid w:val="0096617D"/>
    <w:rsid w:val="009672B2"/>
    <w:rsid w:val="00967303"/>
    <w:rsid w:val="00967375"/>
    <w:rsid w:val="00967586"/>
    <w:rsid w:val="00967599"/>
    <w:rsid w:val="00967DE0"/>
    <w:rsid w:val="00967E29"/>
    <w:rsid w:val="0097055A"/>
    <w:rsid w:val="00970677"/>
    <w:rsid w:val="009707AA"/>
    <w:rsid w:val="009708BC"/>
    <w:rsid w:val="00970D19"/>
    <w:rsid w:val="009715AB"/>
    <w:rsid w:val="00972A40"/>
    <w:rsid w:val="00972DD8"/>
    <w:rsid w:val="00972F58"/>
    <w:rsid w:val="00973380"/>
    <w:rsid w:val="009735CA"/>
    <w:rsid w:val="00973AD2"/>
    <w:rsid w:val="00973F41"/>
    <w:rsid w:val="0097414F"/>
    <w:rsid w:val="00975324"/>
    <w:rsid w:val="0097562F"/>
    <w:rsid w:val="009757B8"/>
    <w:rsid w:val="00976B42"/>
    <w:rsid w:val="00976D42"/>
    <w:rsid w:val="0097722F"/>
    <w:rsid w:val="009806E6"/>
    <w:rsid w:val="00981818"/>
    <w:rsid w:val="00982042"/>
    <w:rsid w:val="0098231F"/>
    <w:rsid w:val="00982BA0"/>
    <w:rsid w:val="00982D93"/>
    <w:rsid w:val="00983A6C"/>
    <w:rsid w:val="00983B16"/>
    <w:rsid w:val="00983CF3"/>
    <w:rsid w:val="0098409C"/>
    <w:rsid w:val="00984D23"/>
    <w:rsid w:val="00984F64"/>
    <w:rsid w:val="0098508B"/>
    <w:rsid w:val="00985E59"/>
    <w:rsid w:val="00985EAC"/>
    <w:rsid w:val="00985F65"/>
    <w:rsid w:val="0098635D"/>
    <w:rsid w:val="00987631"/>
    <w:rsid w:val="00987875"/>
    <w:rsid w:val="00987D30"/>
    <w:rsid w:val="00987FCD"/>
    <w:rsid w:val="00990222"/>
    <w:rsid w:val="00991147"/>
    <w:rsid w:val="00991964"/>
    <w:rsid w:val="00991DCE"/>
    <w:rsid w:val="00992735"/>
    <w:rsid w:val="009932A8"/>
    <w:rsid w:val="009947F3"/>
    <w:rsid w:val="00995000"/>
    <w:rsid w:val="00995C6F"/>
    <w:rsid w:val="00995EA7"/>
    <w:rsid w:val="0099708D"/>
    <w:rsid w:val="00997126"/>
    <w:rsid w:val="0099712F"/>
    <w:rsid w:val="009971C2"/>
    <w:rsid w:val="00997463"/>
    <w:rsid w:val="0099755E"/>
    <w:rsid w:val="00997C35"/>
    <w:rsid w:val="00997EDD"/>
    <w:rsid w:val="009A04ED"/>
    <w:rsid w:val="009A0D10"/>
    <w:rsid w:val="009A0FAE"/>
    <w:rsid w:val="009A1531"/>
    <w:rsid w:val="009A26D0"/>
    <w:rsid w:val="009A2CBE"/>
    <w:rsid w:val="009A2E20"/>
    <w:rsid w:val="009A324A"/>
    <w:rsid w:val="009A32FA"/>
    <w:rsid w:val="009A3993"/>
    <w:rsid w:val="009A4536"/>
    <w:rsid w:val="009A4738"/>
    <w:rsid w:val="009A513C"/>
    <w:rsid w:val="009A5B2F"/>
    <w:rsid w:val="009A5FA4"/>
    <w:rsid w:val="009A606E"/>
    <w:rsid w:val="009A61BD"/>
    <w:rsid w:val="009A69FF"/>
    <w:rsid w:val="009A7AFC"/>
    <w:rsid w:val="009B030C"/>
    <w:rsid w:val="009B04FA"/>
    <w:rsid w:val="009B1700"/>
    <w:rsid w:val="009B50D7"/>
    <w:rsid w:val="009B5182"/>
    <w:rsid w:val="009B5503"/>
    <w:rsid w:val="009B6749"/>
    <w:rsid w:val="009B691C"/>
    <w:rsid w:val="009B7230"/>
    <w:rsid w:val="009B72D8"/>
    <w:rsid w:val="009B7C66"/>
    <w:rsid w:val="009B7E57"/>
    <w:rsid w:val="009C0453"/>
    <w:rsid w:val="009C1587"/>
    <w:rsid w:val="009C2123"/>
    <w:rsid w:val="009C309F"/>
    <w:rsid w:val="009C33AE"/>
    <w:rsid w:val="009C36C4"/>
    <w:rsid w:val="009C4610"/>
    <w:rsid w:val="009C50B6"/>
    <w:rsid w:val="009C6060"/>
    <w:rsid w:val="009C6980"/>
    <w:rsid w:val="009C7333"/>
    <w:rsid w:val="009C7DD5"/>
    <w:rsid w:val="009C7E8F"/>
    <w:rsid w:val="009D07A9"/>
    <w:rsid w:val="009D07D5"/>
    <w:rsid w:val="009D084A"/>
    <w:rsid w:val="009D18C8"/>
    <w:rsid w:val="009D20E6"/>
    <w:rsid w:val="009D2294"/>
    <w:rsid w:val="009D28B1"/>
    <w:rsid w:val="009D35F0"/>
    <w:rsid w:val="009D4865"/>
    <w:rsid w:val="009D4C48"/>
    <w:rsid w:val="009D502B"/>
    <w:rsid w:val="009D5366"/>
    <w:rsid w:val="009D55CB"/>
    <w:rsid w:val="009D61D8"/>
    <w:rsid w:val="009D6E34"/>
    <w:rsid w:val="009D6F7A"/>
    <w:rsid w:val="009D76DD"/>
    <w:rsid w:val="009D78FA"/>
    <w:rsid w:val="009E018E"/>
    <w:rsid w:val="009E0626"/>
    <w:rsid w:val="009E06D8"/>
    <w:rsid w:val="009E0A03"/>
    <w:rsid w:val="009E19EE"/>
    <w:rsid w:val="009E1D03"/>
    <w:rsid w:val="009E1F7B"/>
    <w:rsid w:val="009E21AE"/>
    <w:rsid w:val="009E2267"/>
    <w:rsid w:val="009E2A80"/>
    <w:rsid w:val="009E3317"/>
    <w:rsid w:val="009E34B1"/>
    <w:rsid w:val="009E3535"/>
    <w:rsid w:val="009E3D8C"/>
    <w:rsid w:val="009E44D8"/>
    <w:rsid w:val="009E4808"/>
    <w:rsid w:val="009E52ED"/>
    <w:rsid w:val="009E58CF"/>
    <w:rsid w:val="009E5C7D"/>
    <w:rsid w:val="009E6612"/>
    <w:rsid w:val="009E693C"/>
    <w:rsid w:val="009E6C0C"/>
    <w:rsid w:val="009E7564"/>
    <w:rsid w:val="009E78D0"/>
    <w:rsid w:val="009F0BB1"/>
    <w:rsid w:val="009F0BF0"/>
    <w:rsid w:val="009F10C9"/>
    <w:rsid w:val="009F1173"/>
    <w:rsid w:val="009F199B"/>
    <w:rsid w:val="009F288F"/>
    <w:rsid w:val="009F30F5"/>
    <w:rsid w:val="009F3A36"/>
    <w:rsid w:val="009F4272"/>
    <w:rsid w:val="009F46EE"/>
    <w:rsid w:val="009F47BA"/>
    <w:rsid w:val="009F5399"/>
    <w:rsid w:val="009F6E41"/>
    <w:rsid w:val="009F72D6"/>
    <w:rsid w:val="009F741A"/>
    <w:rsid w:val="00A0150C"/>
    <w:rsid w:val="00A01924"/>
    <w:rsid w:val="00A01B3D"/>
    <w:rsid w:val="00A01DC5"/>
    <w:rsid w:val="00A02286"/>
    <w:rsid w:val="00A028BF"/>
    <w:rsid w:val="00A0374B"/>
    <w:rsid w:val="00A03CB2"/>
    <w:rsid w:val="00A04271"/>
    <w:rsid w:val="00A04879"/>
    <w:rsid w:val="00A04D71"/>
    <w:rsid w:val="00A05641"/>
    <w:rsid w:val="00A059A2"/>
    <w:rsid w:val="00A063E4"/>
    <w:rsid w:val="00A06B19"/>
    <w:rsid w:val="00A06D8B"/>
    <w:rsid w:val="00A071D2"/>
    <w:rsid w:val="00A1093F"/>
    <w:rsid w:val="00A1163B"/>
    <w:rsid w:val="00A11818"/>
    <w:rsid w:val="00A11BB8"/>
    <w:rsid w:val="00A11BE1"/>
    <w:rsid w:val="00A11DDB"/>
    <w:rsid w:val="00A11FC6"/>
    <w:rsid w:val="00A12347"/>
    <w:rsid w:val="00A136C8"/>
    <w:rsid w:val="00A1454F"/>
    <w:rsid w:val="00A14768"/>
    <w:rsid w:val="00A14A01"/>
    <w:rsid w:val="00A14C39"/>
    <w:rsid w:val="00A15478"/>
    <w:rsid w:val="00A15B7F"/>
    <w:rsid w:val="00A164BE"/>
    <w:rsid w:val="00A175F4"/>
    <w:rsid w:val="00A17C7D"/>
    <w:rsid w:val="00A20215"/>
    <w:rsid w:val="00A20837"/>
    <w:rsid w:val="00A20B18"/>
    <w:rsid w:val="00A21769"/>
    <w:rsid w:val="00A2359B"/>
    <w:rsid w:val="00A2376E"/>
    <w:rsid w:val="00A238DE"/>
    <w:rsid w:val="00A23B00"/>
    <w:rsid w:val="00A23C33"/>
    <w:rsid w:val="00A23D0B"/>
    <w:rsid w:val="00A23FB4"/>
    <w:rsid w:val="00A24135"/>
    <w:rsid w:val="00A24313"/>
    <w:rsid w:val="00A24332"/>
    <w:rsid w:val="00A24445"/>
    <w:rsid w:val="00A24D2A"/>
    <w:rsid w:val="00A2551C"/>
    <w:rsid w:val="00A25838"/>
    <w:rsid w:val="00A2650A"/>
    <w:rsid w:val="00A26C91"/>
    <w:rsid w:val="00A274D0"/>
    <w:rsid w:val="00A27B61"/>
    <w:rsid w:val="00A27C1A"/>
    <w:rsid w:val="00A3023B"/>
    <w:rsid w:val="00A30388"/>
    <w:rsid w:val="00A30C1C"/>
    <w:rsid w:val="00A30E0C"/>
    <w:rsid w:val="00A3120D"/>
    <w:rsid w:val="00A31A21"/>
    <w:rsid w:val="00A3229C"/>
    <w:rsid w:val="00A3344F"/>
    <w:rsid w:val="00A334E8"/>
    <w:rsid w:val="00A34099"/>
    <w:rsid w:val="00A34154"/>
    <w:rsid w:val="00A34964"/>
    <w:rsid w:val="00A34AAC"/>
    <w:rsid w:val="00A36310"/>
    <w:rsid w:val="00A36E0E"/>
    <w:rsid w:val="00A37394"/>
    <w:rsid w:val="00A37D26"/>
    <w:rsid w:val="00A37F3A"/>
    <w:rsid w:val="00A400B9"/>
    <w:rsid w:val="00A40B26"/>
    <w:rsid w:val="00A40D08"/>
    <w:rsid w:val="00A417ED"/>
    <w:rsid w:val="00A41A3A"/>
    <w:rsid w:val="00A41F64"/>
    <w:rsid w:val="00A4262E"/>
    <w:rsid w:val="00A426F1"/>
    <w:rsid w:val="00A42E47"/>
    <w:rsid w:val="00A42F72"/>
    <w:rsid w:val="00A4322B"/>
    <w:rsid w:val="00A43384"/>
    <w:rsid w:val="00A440D2"/>
    <w:rsid w:val="00A4621C"/>
    <w:rsid w:val="00A46397"/>
    <w:rsid w:val="00A47649"/>
    <w:rsid w:val="00A478D1"/>
    <w:rsid w:val="00A5001F"/>
    <w:rsid w:val="00A50097"/>
    <w:rsid w:val="00A504EC"/>
    <w:rsid w:val="00A5116E"/>
    <w:rsid w:val="00A52A36"/>
    <w:rsid w:val="00A52E57"/>
    <w:rsid w:val="00A536F4"/>
    <w:rsid w:val="00A5376B"/>
    <w:rsid w:val="00A537B5"/>
    <w:rsid w:val="00A53D93"/>
    <w:rsid w:val="00A545AF"/>
    <w:rsid w:val="00A54D11"/>
    <w:rsid w:val="00A54D1D"/>
    <w:rsid w:val="00A54D23"/>
    <w:rsid w:val="00A54EA0"/>
    <w:rsid w:val="00A54F9D"/>
    <w:rsid w:val="00A55F06"/>
    <w:rsid w:val="00A5658C"/>
    <w:rsid w:val="00A5675C"/>
    <w:rsid w:val="00A5690B"/>
    <w:rsid w:val="00A5768D"/>
    <w:rsid w:val="00A60460"/>
    <w:rsid w:val="00A6123F"/>
    <w:rsid w:val="00A624FA"/>
    <w:rsid w:val="00A63877"/>
    <w:rsid w:val="00A63BF3"/>
    <w:rsid w:val="00A63BF8"/>
    <w:rsid w:val="00A63FFE"/>
    <w:rsid w:val="00A642ED"/>
    <w:rsid w:val="00A6474C"/>
    <w:rsid w:val="00A65003"/>
    <w:rsid w:val="00A653B2"/>
    <w:rsid w:val="00A655FA"/>
    <w:rsid w:val="00A65A7C"/>
    <w:rsid w:val="00A663C7"/>
    <w:rsid w:val="00A6647B"/>
    <w:rsid w:val="00A664F6"/>
    <w:rsid w:val="00A6659C"/>
    <w:rsid w:val="00A66B9A"/>
    <w:rsid w:val="00A66FAF"/>
    <w:rsid w:val="00A67B8C"/>
    <w:rsid w:val="00A67F3E"/>
    <w:rsid w:val="00A700D5"/>
    <w:rsid w:val="00A70B28"/>
    <w:rsid w:val="00A70B2C"/>
    <w:rsid w:val="00A72A02"/>
    <w:rsid w:val="00A7338B"/>
    <w:rsid w:val="00A737E7"/>
    <w:rsid w:val="00A74534"/>
    <w:rsid w:val="00A75251"/>
    <w:rsid w:val="00A752A8"/>
    <w:rsid w:val="00A763A3"/>
    <w:rsid w:val="00A767BA"/>
    <w:rsid w:val="00A76D83"/>
    <w:rsid w:val="00A77115"/>
    <w:rsid w:val="00A779B7"/>
    <w:rsid w:val="00A77CA5"/>
    <w:rsid w:val="00A77E8D"/>
    <w:rsid w:val="00A807CA"/>
    <w:rsid w:val="00A81502"/>
    <w:rsid w:val="00A820F2"/>
    <w:rsid w:val="00A82ADC"/>
    <w:rsid w:val="00A82C0F"/>
    <w:rsid w:val="00A831FC"/>
    <w:rsid w:val="00A8355F"/>
    <w:rsid w:val="00A84C9C"/>
    <w:rsid w:val="00A85364"/>
    <w:rsid w:val="00A856AE"/>
    <w:rsid w:val="00A86260"/>
    <w:rsid w:val="00A86C0D"/>
    <w:rsid w:val="00A86CD8"/>
    <w:rsid w:val="00A87012"/>
    <w:rsid w:val="00A87BAF"/>
    <w:rsid w:val="00A87EDC"/>
    <w:rsid w:val="00A87FEF"/>
    <w:rsid w:val="00A90F77"/>
    <w:rsid w:val="00A90F98"/>
    <w:rsid w:val="00A9196D"/>
    <w:rsid w:val="00A924EA"/>
    <w:rsid w:val="00A92A6F"/>
    <w:rsid w:val="00A93660"/>
    <w:rsid w:val="00A93CCC"/>
    <w:rsid w:val="00A93D2D"/>
    <w:rsid w:val="00A943D5"/>
    <w:rsid w:val="00A96100"/>
    <w:rsid w:val="00A961DF"/>
    <w:rsid w:val="00A96778"/>
    <w:rsid w:val="00A96D9D"/>
    <w:rsid w:val="00AA05A9"/>
    <w:rsid w:val="00AA06EC"/>
    <w:rsid w:val="00AA083E"/>
    <w:rsid w:val="00AA0925"/>
    <w:rsid w:val="00AA0CC9"/>
    <w:rsid w:val="00AA0CD5"/>
    <w:rsid w:val="00AA0D9F"/>
    <w:rsid w:val="00AA0E56"/>
    <w:rsid w:val="00AA1D94"/>
    <w:rsid w:val="00AA37DF"/>
    <w:rsid w:val="00AA3D8C"/>
    <w:rsid w:val="00AA42AF"/>
    <w:rsid w:val="00AA5415"/>
    <w:rsid w:val="00AA58B2"/>
    <w:rsid w:val="00AA62F8"/>
    <w:rsid w:val="00AA6ED8"/>
    <w:rsid w:val="00AB0658"/>
    <w:rsid w:val="00AB157B"/>
    <w:rsid w:val="00AB1A49"/>
    <w:rsid w:val="00AB1D68"/>
    <w:rsid w:val="00AB1FBA"/>
    <w:rsid w:val="00AB2A21"/>
    <w:rsid w:val="00AB2F05"/>
    <w:rsid w:val="00AB336D"/>
    <w:rsid w:val="00AB3E81"/>
    <w:rsid w:val="00AB428F"/>
    <w:rsid w:val="00AB4771"/>
    <w:rsid w:val="00AB508D"/>
    <w:rsid w:val="00AB554F"/>
    <w:rsid w:val="00AB55AA"/>
    <w:rsid w:val="00AB5F4A"/>
    <w:rsid w:val="00AB6578"/>
    <w:rsid w:val="00AB68F3"/>
    <w:rsid w:val="00AB6C73"/>
    <w:rsid w:val="00AB6EC9"/>
    <w:rsid w:val="00AB6ED5"/>
    <w:rsid w:val="00AB758A"/>
    <w:rsid w:val="00AB7C3C"/>
    <w:rsid w:val="00AB7F31"/>
    <w:rsid w:val="00AC16F6"/>
    <w:rsid w:val="00AC1B81"/>
    <w:rsid w:val="00AC2188"/>
    <w:rsid w:val="00AC23F7"/>
    <w:rsid w:val="00AC2C4E"/>
    <w:rsid w:val="00AC2EA0"/>
    <w:rsid w:val="00AC3512"/>
    <w:rsid w:val="00AC3F26"/>
    <w:rsid w:val="00AC3F93"/>
    <w:rsid w:val="00AC418C"/>
    <w:rsid w:val="00AC4A7F"/>
    <w:rsid w:val="00AC4DAA"/>
    <w:rsid w:val="00AC4EA2"/>
    <w:rsid w:val="00AC55F2"/>
    <w:rsid w:val="00AC5B5A"/>
    <w:rsid w:val="00AC642D"/>
    <w:rsid w:val="00AC6BF5"/>
    <w:rsid w:val="00AC6E15"/>
    <w:rsid w:val="00AC7176"/>
    <w:rsid w:val="00AD039F"/>
    <w:rsid w:val="00AD0D60"/>
    <w:rsid w:val="00AD0D70"/>
    <w:rsid w:val="00AD0DBF"/>
    <w:rsid w:val="00AD1964"/>
    <w:rsid w:val="00AD1AC9"/>
    <w:rsid w:val="00AD2ABD"/>
    <w:rsid w:val="00AD2BBC"/>
    <w:rsid w:val="00AD2F30"/>
    <w:rsid w:val="00AD30C7"/>
    <w:rsid w:val="00AD3FE4"/>
    <w:rsid w:val="00AD4596"/>
    <w:rsid w:val="00AD592A"/>
    <w:rsid w:val="00AD5AA6"/>
    <w:rsid w:val="00AD7320"/>
    <w:rsid w:val="00AD7AF9"/>
    <w:rsid w:val="00AE11C7"/>
    <w:rsid w:val="00AE1466"/>
    <w:rsid w:val="00AE209C"/>
    <w:rsid w:val="00AE2424"/>
    <w:rsid w:val="00AE2551"/>
    <w:rsid w:val="00AE2555"/>
    <w:rsid w:val="00AE2BFD"/>
    <w:rsid w:val="00AE2EEF"/>
    <w:rsid w:val="00AE3055"/>
    <w:rsid w:val="00AE3B89"/>
    <w:rsid w:val="00AE3E4C"/>
    <w:rsid w:val="00AE462E"/>
    <w:rsid w:val="00AE469D"/>
    <w:rsid w:val="00AE4E45"/>
    <w:rsid w:val="00AE4FF0"/>
    <w:rsid w:val="00AE53B4"/>
    <w:rsid w:val="00AE57BD"/>
    <w:rsid w:val="00AE5CE1"/>
    <w:rsid w:val="00AE6361"/>
    <w:rsid w:val="00AE6655"/>
    <w:rsid w:val="00AE6F3F"/>
    <w:rsid w:val="00AF1738"/>
    <w:rsid w:val="00AF18AA"/>
    <w:rsid w:val="00AF19B2"/>
    <w:rsid w:val="00AF209F"/>
    <w:rsid w:val="00AF2E22"/>
    <w:rsid w:val="00AF3316"/>
    <w:rsid w:val="00AF36AE"/>
    <w:rsid w:val="00AF54C1"/>
    <w:rsid w:val="00AF5E7F"/>
    <w:rsid w:val="00AF5EBD"/>
    <w:rsid w:val="00AF737C"/>
    <w:rsid w:val="00AF7EB8"/>
    <w:rsid w:val="00B00A78"/>
    <w:rsid w:val="00B00EB8"/>
    <w:rsid w:val="00B00F07"/>
    <w:rsid w:val="00B00F15"/>
    <w:rsid w:val="00B01ACB"/>
    <w:rsid w:val="00B0231F"/>
    <w:rsid w:val="00B0266C"/>
    <w:rsid w:val="00B02B50"/>
    <w:rsid w:val="00B03077"/>
    <w:rsid w:val="00B04782"/>
    <w:rsid w:val="00B05B21"/>
    <w:rsid w:val="00B05DBF"/>
    <w:rsid w:val="00B06258"/>
    <w:rsid w:val="00B0776F"/>
    <w:rsid w:val="00B07900"/>
    <w:rsid w:val="00B07B64"/>
    <w:rsid w:val="00B07D97"/>
    <w:rsid w:val="00B07E4D"/>
    <w:rsid w:val="00B10078"/>
    <w:rsid w:val="00B10186"/>
    <w:rsid w:val="00B1040A"/>
    <w:rsid w:val="00B104B9"/>
    <w:rsid w:val="00B108C5"/>
    <w:rsid w:val="00B10F19"/>
    <w:rsid w:val="00B130AB"/>
    <w:rsid w:val="00B137E2"/>
    <w:rsid w:val="00B138AB"/>
    <w:rsid w:val="00B13E0E"/>
    <w:rsid w:val="00B13ED5"/>
    <w:rsid w:val="00B14036"/>
    <w:rsid w:val="00B144A6"/>
    <w:rsid w:val="00B14D42"/>
    <w:rsid w:val="00B15B39"/>
    <w:rsid w:val="00B161DC"/>
    <w:rsid w:val="00B163D0"/>
    <w:rsid w:val="00B16833"/>
    <w:rsid w:val="00B16B79"/>
    <w:rsid w:val="00B170CB"/>
    <w:rsid w:val="00B17591"/>
    <w:rsid w:val="00B17BF2"/>
    <w:rsid w:val="00B17ECA"/>
    <w:rsid w:val="00B20E3D"/>
    <w:rsid w:val="00B22B44"/>
    <w:rsid w:val="00B22D55"/>
    <w:rsid w:val="00B2301D"/>
    <w:rsid w:val="00B23829"/>
    <w:rsid w:val="00B23DA5"/>
    <w:rsid w:val="00B241AC"/>
    <w:rsid w:val="00B242BF"/>
    <w:rsid w:val="00B264E9"/>
    <w:rsid w:val="00B276AD"/>
    <w:rsid w:val="00B279F8"/>
    <w:rsid w:val="00B30434"/>
    <w:rsid w:val="00B306EF"/>
    <w:rsid w:val="00B30802"/>
    <w:rsid w:val="00B30E1C"/>
    <w:rsid w:val="00B31685"/>
    <w:rsid w:val="00B316AF"/>
    <w:rsid w:val="00B31F98"/>
    <w:rsid w:val="00B32191"/>
    <w:rsid w:val="00B322F1"/>
    <w:rsid w:val="00B3285B"/>
    <w:rsid w:val="00B330F5"/>
    <w:rsid w:val="00B33749"/>
    <w:rsid w:val="00B3393D"/>
    <w:rsid w:val="00B34BF2"/>
    <w:rsid w:val="00B35728"/>
    <w:rsid w:val="00B3587D"/>
    <w:rsid w:val="00B35A3F"/>
    <w:rsid w:val="00B36E29"/>
    <w:rsid w:val="00B370DD"/>
    <w:rsid w:val="00B37690"/>
    <w:rsid w:val="00B379DB"/>
    <w:rsid w:val="00B37F01"/>
    <w:rsid w:val="00B403D0"/>
    <w:rsid w:val="00B4071F"/>
    <w:rsid w:val="00B40957"/>
    <w:rsid w:val="00B40D3B"/>
    <w:rsid w:val="00B40D57"/>
    <w:rsid w:val="00B40D83"/>
    <w:rsid w:val="00B41816"/>
    <w:rsid w:val="00B41BEF"/>
    <w:rsid w:val="00B41BF2"/>
    <w:rsid w:val="00B42707"/>
    <w:rsid w:val="00B43653"/>
    <w:rsid w:val="00B43C72"/>
    <w:rsid w:val="00B441C2"/>
    <w:rsid w:val="00B44237"/>
    <w:rsid w:val="00B447D9"/>
    <w:rsid w:val="00B44A20"/>
    <w:rsid w:val="00B44E51"/>
    <w:rsid w:val="00B455A1"/>
    <w:rsid w:val="00B4567A"/>
    <w:rsid w:val="00B45DD1"/>
    <w:rsid w:val="00B460CA"/>
    <w:rsid w:val="00B46602"/>
    <w:rsid w:val="00B46B1E"/>
    <w:rsid w:val="00B4734B"/>
    <w:rsid w:val="00B4772E"/>
    <w:rsid w:val="00B47A22"/>
    <w:rsid w:val="00B47AF4"/>
    <w:rsid w:val="00B47E22"/>
    <w:rsid w:val="00B47F0C"/>
    <w:rsid w:val="00B5034F"/>
    <w:rsid w:val="00B50BF6"/>
    <w:rsid w:val="00B50EE2"/>
    <w:rsid w:val="00B52CFE"/>
    <w:rsid w:val="00B52D55"/>
    <w:rsid w:val="00B53D03"/>
    <w:rsid w:val="00B54BC2"/>
    <w:rsid w:val="00B566CE"/>
    <w:rsid w:val="00B569CB"/>
    <w:rsid w:val="00B57E54"/>
    <w:rsid w:val="00B6049D"/>
    <w:rsid w:val="00B60B0B"/>
    <w:rsid w:val="00B60FF4"/>
    <w:rsid w:val="00B6183A"/>
    <w:rsid w:val="00B61B2B"/>
    <w:rsid w:val="00B622A2"/>
    <w:rsid w:val="00B62631"/>
    <w:rsid w:val="00B626CC"/>
    <w:rsid w:val="00B632D9"/>
    <w:rsid w:val="00B63331"/>
    <w:rsid w:val="00B638CD"/>
    <w:rsid w:val="00B63A22"/>
    <w:rsid w:val="00B64865"/>
    <w:rsid w:val="00B64B0A"/>
    <w:rsid w:val="00B656A7"/>
    <w:rsid w:val="00B66165"/>
    <w:rsid w:val="00B66B9C"/>
    <w:rsid w:val="00B66EC9"/>
    <w:rsid w:val="00B701B5"/>
    <w:rsid w:val="00B7026B"/>
    <w:rsid w:val="00B708DC"/>
    <w:rsid w:val="00B71A56"/>
    <w:rsid w:val="00B72729"/>
    <w:rsid w:val="00B72D9E"/>
    <w:rsid w:val="00B72E66"/>
    <w:rsid w:val="00B72E96"/>
    <w:rsid w:val="00B72F58"/>
    <w:rsid w:val="00B7399C"/>
    <w:rsid w:val="00B73CE6"/>
    <w:rsid w:val="00B73FB6"/>
    <w:rsid w:val="00B74374"/>
    <w:rsid w:val="00B75CC0"/>
    <w:rsid w:val="00B75FC3"/>
    <w:rsid w:val="00B76C0E"/>
    <w:rsid w:val="00B77D6B"/>
    <w:rsid w:val="00B803B4"/>
    <w:rsid w:val="00B81245"/>
    <w:rsid w:val="00B8153B"/>
    <w:rsid w:val="00B81C1F"/>
    <w:rsid w:val="00B82590"/>
    <w:rsid w:val="00B856CF"/>
    <w:rsid w:val="00B85C11"/>
    <w:rsid w:val="00B85C7D"/>
    <w:rsid w:val="00B85E3D"/>
    <w:rsid w:val="00B85F90"/>
    <w:rsid w:val="00B86066"/>
    <w:rsid w:val="00B86A70"/>
    <w:rsid w:val="00B86ECA"/>
    <w:rsid w:val="00B877A0"/>
    <w:rsid w:val="00B90654"/>
    <w:rsid w:val="00B90999"/>
    <w:rsid w:val="00B90F3C"/>
    <w:rsid w:val="00B910F1"/>
    <w:rsid w:val="00B919AE"/>
    <w:rsid w:val="00B9222F"/>
    <w:rsid w:val="00B92B44"/>
    <w:rsid w:val="00B93ECC"/>
    <w:rsid w:val="00B9420B"/>
    <w:rsid w:val="00B94ECD"/>
    <w:rsid w:val="00B95254"/>
    <w:rsid w:val="00B9527E"/>
    <w:rsid w:val="00B9666E"/>
    <w:rsid w:val="00B9687D"/>
    <w:rsid w:val="00B96A35"/>
    <w:rsid w:val="00B97AB6"/>
    <w:rsid w:val="00B97D3A"/>
    <w:rsid w:val="00BA087E"/>
    <w:rsid w:val="00BA1326"/>
    <w:rsid w:val="00BA17EF"/>
    <w:rsid w:val="00BA1EE8"/>
    <w:rsid w:val="00BA276C"/>
    <w:rsid w:val="00BA3057"/>
    <w:rsid w:val="00BA345A"/>
    <w:rsid w:val="00BA381A"/>
    <w:rsid w:val="00BA5B33"/>
    <w:rsid w:val="00BA5DFA"/>
    <w:rsid w:val="00BA63C7"/>
    <w:rsid w:val="00BA65F0"/>
    <w:rsid w:val="00BA7603"/>
    <w:rsid w:val="00BA7AB2"/>
    <w:rsid w:val="00BB03DA"/>
    <w:rsid w:val="00BB126C"/>
    <w:rsid w:val="00BB1667"/>
    <w:rsid w:val="00BB2247"/>
    <w:rsid w:val="00BB27C9"/>
    <w:rsid w:val="00BB3376"/>
    <w:rsid w:val="00BB3CB2"/>
    <w:rsid w:val="00BB4E0D"/>
    <w:rsid w:val="00BB594D"/>
    <w:rsid w:val="00BB5A09"/>
    <w:rsid w:val="00BB70C9"/>
    <w:rsid w:val="00BB7279"/>
    <w:rsid w:val="00BB7A60"/>
    <w:rsid w:val="00BC01AF"/>
    <w:rsid w:val="00BC0CE6"/>
    <w:rsid w:val="00BC0E35"/>
    <w:rsid w:val="00BC1331"/>
    <w:rsid w:val="00BC14A6"/>
    <w:rsid w:val="00BC1500"/>
    <w:rsid w:val="00BC1DF4"/>
    <w:rsid w:val="00BC2007"/>
    <w:rsid w:val="00BC2064"/>
    <w:rsid w:val="00BC21C3"/>
    <w:rsid w:val="00BC2336"/>
    <w:rsid w:val="00BC2620"/>
    <w:rsid w:val="00BC2961"/>
    <w:rsid w:val="00BC35CB"/>
    <w:rsid w:val="00BC4CA3"/>
    <w:rsid w:val="00BC57EE"/>
    <w:rsid w:val="00BC5BE1"/>
    <w:rsid w:val="00BC5C13"/>
    <w:rsid w:val="00BC5C81"/>
    <w:rsid w:val="00BC5F17"/>
    <w:rsid w:val="00BC605C"/>
    <w:rsid w:val="00BC640E"/>
    <w:rsid w:val="00BC6478"/>
    <w:rsid w:val="00BC69F6"/>
    <w:rsid w:val="00BC73FC"/>
    <w:rsid w:val="00BC77F7"/>
    <w:rsid w:val="00BD020A"/>
    <w:rsid w:val="00BD085B"/>
    <w:rsid w:val="00BD0873"/>
    <w:rsid w:val="00BD191C"/>
    <w:rsid w:val="00BD20EA"/>
    <w:rsid w:val="00BD2A97"/>
    <w:rsid w:val="00BD30FF"/>
    <w:rsid w:val="00BD325C"/>
    <w:rsid w:val="00BD4273"/>
    <w:rsid w:val="00BD4F05"/>
    <w:rsid w:val="00BD5466"/>
    <w:rsid w:val="00BD54D6"/>
    <w:rsid w:val="00BD5BD4"/>
    <w:rsid w:val="00BD6107"/>
    <w:rsid w:val="00BD6876"/>
    <w:rsid w:val="00BD7513"/>
    <w:rsid w:val="00BD78F6"/>
    <w:rsid w:val="00BE0342"/>
    <w:rsid w:val="00BE03EB"/>
    <w:rsid w:val="00BE06AB"/>
    <w:rsid w:val="00BE2657"/>
    <w:rsid w:val="00BE372C"/>
    <w:rsid w:val="00BE3B67"/>
    <w:rsid w:val="00BE44D5"/>
    <w:rsid w:val="00BE473C"/>
    <w:rsid w:val="00BE672E"/>
    <w:rsid w:val="00BE67AE"/>
    <w:rsid w:val="00BE711D"/>
    <w:rsid w:val="00BF06D4"/>
    <w:rsid w:val="00BF0F19"/>
    <w:rsid w:val="00BF0FBC"/>
    <w:rsid w:val="00BF2342"/>
    <w:rsid w:val="00BF27F8"/>
    <w:rsid w:val="00BF44A2"/>
    <w:rsid w:val="00BF562B"/>
    <w:rsid w:val="00BF643D"/>
    <w:rsid w:val="00BF6857"/>
    <w:rsid w:val="00BF6A03"/>
    <w:rsid w:val="00BF6DF7"/>
    <w:rsid w:val="00BF7BBB"/>
    <w:rsid w:val="00C0018D"/>
    <w:rsid w:val="00C00A1B"/>
    <w:rsid w:val="00C02179"/>
    <w:rsid w:val="00C02A76"/>
    <w:rsid w:val="00C044DB"/>
    <w:rsid w:val="00C063E4"/>
    <w:rsid w:val="00C065A3"/>
    <w:rsid w:val="00C0667C"/>
    <w:rsid w:val="00C06831"/>
    <w:rsid w:val="00C068EB"/>
    <w:rsid w:val="00C0707E"/>
    <w:rsid w:val="00C071DF"/>
    <w:rsid w:val="00C1046C"/>
    <w:rsid w:val="00C11B2E"/>
    <w:rsid w:val="00C12B16"/>
    <w:rsid w:val="00C12BBB"/>
    <w:rsid w:val="00C12C1E"/>
    <w:rsid w:val="00C12E35"/>
    <w:rsid w:val="00C131D8"/>
    <w:rsid w:val="00C140E5"/>
    <w:rsid w:val="00C162FF"/>
    <w:rsid w:val="00C17D08"/>
    <w:rsid w:val="00C209E4"/>
    <w:rsid w:val="00C20A77"/>
    <w:rsid w:val="00C20D54"/>
    <w:rsid w:val="00C21406"/>
    <w:rsid w:val="00C226A1"/>
    <w:rsid w:val="00C2271E"/>
    <w:rsid w:val="00C22D46"/>
    <w:rsid w:val="00C2348A"/>
    <w:rsid w:val="00C236B9"/>
    <w:rsid w:val="00C24EB4"/>
    <w:rsid w:val="00C25015"/>
    <w:rsid w:val="00C25568"/>
    <w:rsid w:val="00C25572"/>
    <w:rsid w:val="00C257DF"/>
    <w:rsid w:val="00C258FD"/>
    <w:rsid w:val="00C25F43"/>
    <w:rsid w:val="00C25FE0"/>
    <w:rsid w:val="00C26025"/>
    <w:rsid w:val="00C26852"/>
    <w:rsid w:val="00C26AAF"/>
    <w:rsid w:val="00C26D2F"/>
    <w:rsid w:val="00C27055"/>
    <w:rsid w:val="00C27862"/>
    <w:rsid w:val="00C2791C"/>
    <w:rsid w:val="00C27A0B"/>
    <w:rsid w:val="00C30361"/>
    <w:rsid w:val="00C30625"/>
    <w:rsid w:val="00C30681"/>
    <w:rsid w:val="00C30CA8"/>
    <w:rsid w:val="00C30D9B"/>
    <w:rsid w:val="00C31EE4"/>
    <w:rsid w:val="00C320C3"/>
    <w:rsid w:val="00C3224E"/>
    <w:rsid w:val="00C3263B"/>
    <w:rsid w:val="00C32E00"/>
    <w:rsid w:val="00C333D1"/>
    <w:rsid w:val="00C33477"/>
    <w:rsid w:val="00C33652"/>
    <w:rsid w:val="00C34084"/>
    <w:rsid w:val="00C34BE2"/>
    <w:rsid w:val="00C34E02"/>
    <w:rsid w:val="00C353BD"/>
    <w:rsid w:val="00C3548D"/>
    <w:rsid w:val="00C35653"/>
    <w:rsid w:val="00C36E1B"/>
    <w:rsid w:val="00C36F95"/>
    <w:rsid w:val="00C3707C"/>
    <w:rsid w:val="00C37637"/>
    <w:rsid w:val="00C377D1"/>
    <w:rsid w:val="00C37B3E"/>
    <w:rsid w:val="00C40648"/>
    <w:rsid w:val="00C40737"/>
    <w:rsid w:val="00C40B1D"/>
    <w:rsid w:val="00C40B5B"/>
    <w:rsid w:val="00C41A67"/>
    <w:rsid w:val="00C41C3D"/>
    <w:rsid w:val="00C426AB"/>
    <w:rsid w:val="00C43E42"/>
    <w:rsid w:val="00C44E61"/>
    <w:rsid w:val="00C44F0C"/>
    <w:rsid w:val="00C453B5"/>
    <w:rsid w:val="00C4562E"/>
    <w:rsid w:val="00C45A7C"/>
    <w:rsid w:val="00C45C0F"/>
    <w:rsid w:val="00C45CE3"/>
    <w:rsid w:val="00C46733"/>
    <w:rsid w:val="00C46D9C"/>
    <w:rsid w:val="00C47A10"/>
    <w:rsid w:val="00C5067D"/>
    <w:rsid w:val="00C512CF"/>
    <w:rsid w:val="00C51733"/>
    <w:rsid w:val="00C51D73"/>
    <w:rsid w:val="00C51DF3"/>
    <w:rsid w:val="00C52B34"/>
    <w:rsid w:val="00C52B8B"/>
    <w:rsid w:val="00C544A9"/>
    <w:rsid w:val="00C54B34"/>
    <w:rsid w:val="00C553F6"/>
    <w:rsid w:val="00C554B0"/>
    <w:rsid w:val="00C5581B"/>
    <w:rsid w:val="00C55820"/>
    <w:rsid w:val="00C55A68"/>
    <w:rsid w:val="00C55E6F"/>
    <w:rsid w:val="00C5668C"/>
    <w:rsid w:val="00C566BF"/>
    <w:rsid w:val="00C56939"/>
    <w:rsid w:val="00C57176"/>
    <w:rsid w:val="00C57261"/>
    <w:rsid w:val="00C60F41"/>
    <w:rsid w:val="00C614FB"/>
    <w:rsid w:val="00C6214E"/>
    <w:rsid w:val="00C62B6D"/>
    <w:rsid w:val="00C62BBF"/>
    <w:rsid w:val="00C638A0"/>
    <w:rsid w:val="00C63B0F"/>
    <w:rsid w:val="00C65160"/>
    <w:rsid w:val="00C65326"/>
    <w:rsid w:val="00C65477"/>
    <w:rsid w:val="00C65BFD"/>
    <w:rsid w:val="00C65ED7"/>
    <w:rsid w:val="00C66BE4"/>
    <w:rsid w:val="00C66ECF"/>
    <w:rsid w:val="00C67551"/>
    <w:rsid w:val="00C67DAE"/>
    <w:rsid w:val="00C67ED2"/>
    <w:rsid w:val="00C702FB"/>
    <w:rsid w:val="00C7081C"/>
    <w:rsid w:val="00C709FB"/>
    <w:rsid w:val="00C70B26"/>
    <w:rsid w:val="00C714E4"/>
    <w:rsid w:val="00C719A4"/>
    <w:rsid w:val="00C71C0B"/>
    <w:rsid w:val="00C71D9C"/>
    <w:rsid w:val="00C736EF"/>
    <w:rsid w:val="00C73ADB"/>
    <w:rsid w:val="00C73FB5"/>
    <w:rsid w:val="00C74555"/>
    <w:rsid w:val="00C74A3D"/>
    <w:rsid w:val="00C74BA8"/>
    <w:rsid w:val="00C75292"/>
    <w:rsid w:val="00C75DD0"/>
    <w:rsid w:val="00C76B41"/>
    <w:rsid w:val="00C7709B"/>
    <w:rsid w:val="00C77D31"/>
    <w:rsid w:val="00C77E44"/>
    <w:rsid w:val="00C77FE4"/>
    <w:rsid w:val="00C80125"/>
    <w:rsid w:val="00C802C4"/>
    <w:rsid w:val="00C81C75"/>
    <w:rsid w:val="00C82FD3"/>
    <w:rsid w:val="00C836EE"/>
    <w:rsid w:val="00C83903"/>
    <w:rsid w:val="00C83917"/>
    <w:rsid w:val="00C848E3"/>
    <w:rsid w:val="00C84BBC"/>
    <w:rsid w:val="00C84DBD"/>
    <w:rsid w:val="00C852C1"/>
    <w:rsid w:val="00C85500"/>
    <w:rsid w:val="00C856A5"/>
    <w:rsid w:val="00C8578D"/>
    <w:rsid w:val="00C85D19"/>
    <w:rsid w:val="00C865BD"/>
    <w:rsid w:val="00C86649"/>
    <w:rsid w:val="00C87310"/>
    <w:rsid w:val="00C87AD7"/>
    <w:rsid w:val="00C90106"/>
    <w:rsid w:val="00C902FA"/>
    <w:rsid w:val="00C91122"/>
    <w:rsid w:val="00C9127B"/>
    <w:rsid w:val="00C92070"/>
    <w:rsid w:val="00C92671"/>
    <w:rsid w:val="00C92C21"/>
    <w:rsid w:val="00C93A99"/>
    <w:rsid w:val="00C93D4C"/>
    <w:rsid w:val="00C93E9D"/>
    <w:rsid w:val="00C93FC5"/>
    <w:rsid w:val="00C94042"/>
    <w:rsid w:val="00C9436D"/>
    <w:rsid w:val="00C94565"/>
    <w:rsid w:val="00C94703"/>
    <w:rsid w:val="00C958DE"/>
    <w:rsid w:val="00C9606B"/>
    <w:rsid w:val="00C96AC2"/>
    <w:rsid w:val="00CA0C0B"/>
    <w:rsid w:val="00CA111B"/>
    <w:rsid w:val="00CA49A2"/>
    <w:rsid w:val="00CA5228"/>
    <w:rsid w:val="00CA56F7"/>
    <w:rsid w:val="00CA5F8F"/>
    <w:rsid w:val="00CA6F76"/>
    <w:rsid w:val="00CB18C3"/>
    <w:rsid w:val="00CB27DE"/>
    <w:rsid w:val="00CB29B9"/>
    <w:rsid w:val="00CB2A43"/>
    <w:rsid w:val="00CB2D39"/>
    <w:rsid w:val="00CB2DC4"/>
    <w:rsid w:val="00CB3114"/>
    <w:rsid w:val="00CB34F8"/>
    <w:rsid w:val="00CB3AC5"/>
    <w:rsid w:val="00CB4439"/>
    <w:rsid w:val="00CB4848"/>
    <w:rsid w:val="00CB4852"/>
    <w:rsid w:val="00CB4A33"/>
    <w:rsid w:val="00CB5B80"/>
    <w:rsid w:val="00CB6272"/>
    <w:rsid w:val="00CB6DDE"/>
    <w:rsid w:val="00CB7559"/>
    <w:rsid w:val="00CB7A36"/>
    <w:rsid w:val="00CB7E74"/>
    <w:rsid w:val="00CC08FB"/>
    <w:rsid w:val="00CC0C1A"/>
    <w:rsid w:val="00CC1730"/>
    <w:rsid w:val="00CC178F"/>
    <w:rsid w:val="00CC1894"/>
    <w:rsid w:val="00CC237C"/>
    <w:rsid w:val="00CC2DCE"/>
    <w:rsid w:val="00CC34E5"/>
    <w:rsid w:val="00CC351C"/>
    <w:rsid w:val="00CC454A"/>
    <w:rsid w:val="00CC4F46"/>
    <w:rsid w:val="00CC538C"/>
    <w:rsid w:val="00CC5620"/>
    <w:rsid w:val="00CC6886"/>
    <w:rsid w:val="00CC7053"/>
    <w:rsid w:val="00CC7220"/>
    <w:rsid w:val="00CC7664"/>
    <w:rsid w:val="00CC7CD3"/>
    <w:rsid w:val="00CC7F3C"/>
    <w:rsid w:val="00CD069F"/>
    <w:rsid w:val="00CD1490"/>
    <w:rsid w:val="00CD1BC6"/>
    <w:rsid w:val="00CD324A"/>
    <w:rsid w:val="00CD37E9"/>
    <w:rsid w:val="00CD3ACD"/>
    <w:rsid w:val="00CD4356"/>
    <w:rsid w:val="00CD4610"/>
    <w:rsid w:val="00CD4C52"/>
    <w:rsid w:val="00CD54D3"/>
    <w:rsid w:val="00CD5F55"/>
    <w:rsid w:val="00CD61A8"/>
    <w:rsid w:val="00CD6B01"/>
    <w:rsid w:val="00CD7F7C"/>
    <w:rsid w:val="00CE0EEB"/>
    <w:rsid w:val="00CE1819"/>
    <w:rsid w:val="00CE3A86"/>
    <w:rsid w:val="00CE3AF1"/>
    <w:rsid w:val="00CE3D9F"/>
    <w:rsid w:val="00CE3F0A"/>
    <w:rsid w:val="00CE3F3F"/>
    <w:rsid w:val="00CE3FB6"/>
    <w:rsid w:val="00CE4126"/>
    <w:rsid w:val="00CE4B1D"/>
    <w:rsid w:val="00CE510E"/>
    <w:rsid w:val="00CE6295"/>
    <w:rsid w:val="00CE6FB9"/>
    <w:rsid w:val="00CE701B"/>
    <w:rsid w:val="00CE791F"/>
    <w:rsid w:val="00CE7FE7"/>
    <w:rsid w:val="00CF00F8"/>
    <w:rsid w:val="00CF09B0"/>
    <w:rsid w:val="00CF0F7B"/>
    <w:rsid w:val="00CF1FA9"/>
    <w:rsid w:val="00CF25F1"/>
    <w:rsid w:val="00CF280F"/>
    <w:rsid w:val="00CF3291"/>
    <w:rsid w:val="00CF3756"/>
    <w:rsid w:val="00CF3FAA"/>
    <w:rsid w:val="00CF46D3"/>
    <w:rsid w:val="00CF4C2E"/>
    <w:rsid w:val="00CF4C4A"/>
    <w:rsid w:val="00CF50E8"/>
    <w:rsid w:val="00CF56E7"/>
    <w:rsid w:val="00CF572C"/>
    <w:rsid w:val="00CF5C65"/>
    <w:rsid w:val="00CF609C"/>
    <w:rsid w:val="00CF682E"/>
    <w:rsid w:val="00CF6F6D"/>
    <w:rsid w:val="00CF744D"/>
    <w:rsid w:val="00CF7923"/>
    <w:rsid w:val="00CF7D97"/>
    <w:rsid w:val="00D007E6"/>
    <w:rsid w:val="00D00A61"/>
    <w:rsid w:val="00D010B9"/>
    <w:rsid w:val="00D02383"/>
    <w:rsid w:val="00D024D6"/>
    <w:rsid w:val="00D03ABB"/>
    <w:rsid w:val="00D03B3E"/>
    <w:rsid w:val="00D03EC9"/>
    <w:rsid w:val="00D0422C"/>
    <w:rsid w:val="00D0444B"/>
    <w:rsid w:val="00D046E8"/>
    <w:rsid w:val="00D05630"/>
    <w:rsid w:val="00D05D1A"/>
    <w:rsid w:val="00D069DA"/>
    <w:rsid w:val="00D06A41"/>
    <w:rsid w:val="00D07D4C"/>
    <w:rsid w:val="00D1095E"/>
    <w:rsid w:val="00D1136F"/>
    <w:rsid w:val="00D113B9"/>
    <w:rsid w:val="00D11A54"/>
    <w:rsid w:val="00D11E24"/>
    <w:rsid w:val="00D11FE1"/>
    <w:rsid w:val="00D12520"/>
    <w:rsid w:val="00D12F5D"/>
    <w:rsid w:val="00D12FC5"/>
    <w:rsid w:val="00D13522"/>
    <w:rsid w:val="00D1372E"/>
    <w:rsid w:val="00D13DD9"/>
    <w:rsid w:val="00D13E6B"/>
    <w:rsid w:val="00D14411"/>
    <w:rsid w:val="00D14445"/>
    <w:rsid w:val="00D14A44"/>
    <w:rsid w:val="00D14CFE"/>
    <w:rsid w:val="00D15141"/>
    <w:rsid w:val="00D153C5"/>
    <w:rsid w:val="00D1581A"/>
    <w:rsid w:val="00D1615D"/>
    <w:rsid w:val="00D16AD6"/>
    <w:rsid w:val="00D16EAB"/>
    <w:rsid w:val="00D17721"/>
    <w:rsid w:val="00D17862"/>
    <w:rsid w:val="00D200D1"/>
    <w:rsid w:val="00D2016A"/>
    <w:rsid w:val="00D202E4"/>
    <w:rsid w:val="00D20C6C"/>
    <w:rsid w:val="00D20E5B"/>
    <w:rsid w:val="00D21FD8"/>
    <w:rsid w:val="00D2275A"/>
    <w:rsid w:val="00D22CB3"/>
    <w:rsid w:val="00D22FF2"/>
    <w:rsid w:val="00D235F5"/>
    <w:rsid w:val="00D23EAE"/>
    <w:rsid w:val="00D24D66"/>
    <w:rsid w:val="00D24F64"/>
    <w:rsid w:val="00D2585B"/>
    <w:rsid w:val="00D26607"/>
    <w:rsid w:val="00D278C6"/>
    <w:rsid w:val="00D30B53"/>
    <w:rsid w:val="00D31C1D"/>
    <w:rsid w:val="00D32542"/>
    <w:rsid w:val="00D32E45"/>
    <w:rsid w:val="00D32F0B"/>
    <w:rsid w:val="00D3300A"/>
    <w:rsid w:val="00D33712"/>
    <w:rsid w:val="00D33779"/>
    <w:rsid w:val="00D341E3"/>
    <w:rsid w:val="00D34EE3"/>
    <w:rsid w:val="00D3506D"/>
    <w:rsid w:val="00D351AC"/>
    <w:rsid w:val="00D35521"/>
    <w:rsid w:val="00D3592A"/>
    <w:rsid w:val="00D40DB4"/>
    <w:rsid w:val="00D40EB3"/>
    <w:rsid w:val="00D4145C"/>
    <w:rsid w:val="00D41FAE"/>
    <w:rsid w:val="00D42FBC"/>
    <w:rsid w:val="00D43760"/>
    <w:rsid w:val="00D43CFA"/>
    <w:rsid w:val="00D43DF2"/>
    <w:rsid w:val="00D44DE1"/>
    <w:rsid w:val="00D4576B"/>
    <w:rsid w:val="00D46079"/>
    <w:rsid w:val="00D46536"/>
    <w:rsid w:val="00D46C33"/>
    <w:rsid w:val="00D46C5C"/>
    <w:rsid w:val="00D46D11"/>
    <w:rsid w:val="00D47ACC"/>
    <w:rsid w:val="00D502A3"/>
    <w:rsid w:val="00D50606"/>
    <w:rsid w:val="00D5076F"/>
    <w:rsid w:val="00D50A8D"/>
    <w:rsid w:val="00D50C1E"/>
    <w:rsid w:val="00D50CEC"/>
    <w:rsid w:val="00D5113F"/>
    <w:rsid w:val="00D52BB6"/>
    <w:rsid w:val="00D53C0C"/>
    <w:rsid w:val="00D53F96"/>
    <w:rsid w:val="00D543FC"/>
    <w:rsid w:val="00D544E7"/>
    <w:rsid w:val="00D54631"/>
    <w:rsid w:val="00D54B19"/>
    <w:rsid w:val="00D55400"/>
    <w:rsid w:val="00D55434"/>
    <w:rsid w:val="00D555D3"/>
    <w:rsid w:val="00D558BD"/>
    <w:rsid w:val="00D56064"/>
    <w:rsid w:val="00D561D9"/>
    <w:rsid w:val="00D567C3"/>
    <w:rsid w:val="00D57519"/>
    <w:rsid w:val="00D57713"/>
    <w:rsid w:val="00D601C6"/>
    <w:rsid w:val="00D60996"/>
    <w:rsid w:val="00D611DB"/>
    <w:rsid w:val="00D61815"/>
    <w:rsid w:val="00D621D4"/>
    <w:rsid w:val="00D6299B"/>
    <w:rsid w:val="00D62DC2"/>
    <w:rsid w:val="00D63849"/>
    <w:rsid w:val="00D64061"/>
    <w:rsid w:val="00D64692"/>
    <w:rsid w:val="00D65131"/>
    <w:rsid w:val="00D65E57"/>
    <w:rsid w:val="00D661FB"/>
    <w:rsid w:val="00D665DE"/>
    <w:rsid w:val="00D6672D"/>
    <w:rsid w:val="00D6698C"/>
    <w:rsid w:val="00D66A73"/>
    <w:rsid w:val="00D701A0"/>
    <w:rsid w:val="00D70798"/>
    <w:rsid w:val="00D71081"/>
    <w:rsid w:val="00D71773"/>
    <w:rsid w:val="00D724CD"/>
    <w:rsid w:val="00D73372"/>
    <w:rsid w:val="00D74C4B"/>
    <w:rsid w:val="00D74DD5"/>
    <w:rsid w:val="00D74FAC"/>
    <w:rsid w:val="00D7597A"/>
    <w:rsid w:val="00D75B39"/>
    <w:rsid w:val="00D75C76"/>
    <w:rsid w:val="00D75FA3"/>
    <w:rsid w:val="00D76430"/>
    <w:rsid w:val="00D76B6A"/>
    <w:rsid w:val="00D7719D"/>
    <w:rsid w:val="00D8028E"/>
    <w:rsid w:val="00D80783"/>
    <w:rsid w:val="00D808F4"/>
    <w:rsid w:val="00D80C40"/>
    <w:rsid w:val="00D815E5"/>
    <w:rsid w:val="00D81810"/>
    <w:rsid w:val="00D81D9F"/>
    <w:rsid w:val="00D82AF4"/>
    <w:rsid w:val="00D82C19"/>
    <w:rsid w:val="00D82E5D"/>
    <w:rsid w:val="00D837A2"/>
    <w:rsid w:val="00D83A79"/>
    <w:rsid w:val="00D83E0C"/>
    <w:rsid w:val="00D84860"/>
    <w:rsid w:val="00D84862"/>
    <w:rsid w:val="00D8501B"/>
    <w:rsid w:val="00D860C4"/>
    <w:rsid w:val="00D86682"/>
    <w:rsid w:val="00D86DE6"/>
    <w:rsid w:val="00D875DD"/>
    <w:rsid w:val="00D876B9"/>
    <w:rsid w:val="00D901E0"/>
    <w:rsid w:val="00D9042E"/>
    <w:rsid w:val="00D911D0"/>
    <w:rsid w:val="00D91D80"/>
    <w:rsid w:val="00D92025"/>
    <w:rsid w:val="00D9266D"/>
    <w:rsid w:val="00D92792"/>
    <w:rsid w:val="00D92FC4"/>
    <w:rsid w:val="00D9305A"/>
    <w:rsid w:val="00D9363E"/>
    <w:rsid w:val="00D9428B"/>
    <w:rsid w:val="00D9464F"/>
    <w:rsid w:val="00D94A71"/>
    <w:rsid w:val="00D94CBF"/>
    <w:rsid w:val="00D94EED"/>
    <w:rsid w:val="00D952DD"/>
    <w:rsid w:val="00D958AA"/>
    <w:rsid w:val="00D96138"/>
    <w:rsid w:val="00D967E0"/>
    <w:rsid w:val="00D972A6"/>
    <w:rsid w:val="00D9740E"/>
    <w:rsid w:val="00D97856"/>
    <w:rsid w:val="00D97E19"/>
    <w:rsid w:val="00DA04AD"/>
    <w:rsid w:val="00DA09FA"/>
    <w:rsid w:val="00DA0A4B"/>
    <w:rsid w:val="00DA0E18"/>
    <w:rsid w:val="00DA0FEC"/>
    <w:rsid w:val="00DA1148"/>
    <w:rsid w:val="00DA119B"/>
    <w:rsid w:val="00DA1A47"/>
    <w:rsid w:val="00DA2205"/>
    <w:rsid w:val="00DA2C05"/>
    <w:rsid w:val="00DA3A09"/>
    <w:rsid w:val="00DA42ED"/>
    <w:rsid w:val="00DA4735"/>
    <w:rsid w:val="00DA5834"/>
    <w:rsid w:val="00DA58C1"/>
    <w:rsid w:val="00DA64B7"/>
    <w:rsid w:val="00DA69E0"/>
    <w:rsid w:val="00DA77E9"/>
    <w:rsid w:val="00DA7B7B"/>
    <w:rsid w:val="00DB097D"/>
    <w:rsid w:val="00DB0B67"/>
    <w:rsid w:val="00DB19C7"/>
    <w:rsid w:val="00DB1C2A"/>
    <w:rsid w:val="00DB21D0"/>
    <w:rsid w:val="00DB256C"/>
    <w:rsid w:val="00DB2667"/>
    <w:rsid w:val="00DB2A77"/>
    <w:rsid w:val="00DB35D1"/>
    <w:rsid w:val="00DB3E72"/>
    <w:rsid w:val="00DB3ED9"/>
    <w:rsid w:val="00DB46C8"/>
    <w:rsid w:val="00DB53A1"/>
    <w:rsid w:val="00DB53D7"/>
    <w:rsid w:val="00DB54A5"/>
    <w:rsid w:val="00DB56FD"/>
    <w:rsid w:val="00DB6B62"/>
    <w:rsid w:val="00DC093F"/>
    <w:rsid w:val="00DC14E4"/>
    <w:rsid w:val="00DC1539"/>
    <w:rsid w:val="00DC16E6"/>
    <w:rsid w:val="00DC2334"/>
    <w:rsid w:val="00DC23D7"/>
    <w:rsid w:val="00DC2605"/>
    <w:rsid w:val="00DC2FCC"/>
    <w:rsid w:val="00DC42BB"/>
    <w:rsid w:val="00DC4830"/>
    <w:rsid w:val="00DC667A"/>
    <w:rsid w:val="00DC769F"/>
    <w:rsid w:val="00DC76EB"/>
    <w:rsid w:val="00DC77F9"/>
    <w:rsid w:val="00DC7F85"/>
    <w:rsid w:val="00DD06C1"/>
    <w:rsid w:val="00DD0EC3"/>
    <w:rsid w:val="00DD10FA"/>
    <w:rsid w:val="00DD2026"/>
    <w:rsid w:val="00DD2BC5"/>
    <w:rsid w:val="00DD2C89"/>
    <w:rsid w:val="00DD2CA2"/>
    <w:rsid w:val="00DD344D"/>
    <w:rsid w:val="00DD3C2D"/>
    <w:rsid w:val="00DD3D28"/>
    <w:rsid w:val="00DD415B"/>
    <w:rsid w:val="00DD43B3"/>
    <w:rsid w:val="00DD475B"/>
    <w:rsid w:val="00DD488D"/>
    <w:rsid w:val="00DD499C"/>
    <w:rsid w:val="00DD4DA8"/>
    <w:rsid w:val="00DD57A2"/>
    <w:rsid w:val="00DD6AE2"/>
    <w:rsid w:val="00DD70A4"/>
    <w:rsid w:val="00DD78E4"/>
    <w:rsid w:val="00DD7EC3"/>
    <w:rsid w:val="00DE03E4"/>
    <w:rsid w:val="00DE0565"/>
    <w:rsid w:val="00DE0778"/>
    <w:rsid w:val="00DE10A8"/>
    <w:rsid w:val="00DE19CB"/>
    <w:rsid w:val="00DE1AC1"/>
    <w:rsid w:val="00DE28FA"/>
    <w:rsid w:val="00DE2B04"/>
    <w:rsid w:val="00DE47FF"/>
    <w:rsid w:val="00DE5203"/>
    <w:rsid w:val="00DE5259"/>
    <w:rsid w:val="00DE59BE"/>
    <w:rsid w:val="00DE5AA8"/>
    <w:rsid w:val="00DE5F57"/>
    <w:rsid w:val="00DE605D"/>
    <w:rsid w:val="00DE6207"/>
    <w:rsid w:val="00DE63C7"/>
    <w:rsid w:val="00DF00B5"/>
    <w:rsid w:val="00DF03F8"/>
    <w:rsid w:val="00DF0817"/>
    <w:rsid w:val="00DF0DCD"/>
    <w:rsid w:val="00DF1003"/>
    <w:rsid w:val="00DF17DE"/>
    <w:rsid w:val="00DF1B3D"/>
    <w:rsid w:val="00DF3335"/>
    <w:rsid w:val="00DF35BB"/>
    <w:rsid w:val="00DF36F6"/>
    <w:rsid w:val="00DF3835"/>
    <w:rsid w:val="00DF3889"/>
    <w:rsid w:val="00DF4341"/>
    <w:rsid w:val="00DF44FB"/>
    <w:rsid w:val="00DF4FE3"/>
    <w:rsid w:val="00DF526A"/>
    <w:rsid w:val="00DF53EB"/>
    <w:rsid w:val="00DF5C39"/>
    <w:rsid w:val="00DF5FEE"/>
    <w:rsid w:val="00DF61EB"/>
    <w:rsid w:val="00DF62C3"/>
    <w:rsid w:val="00DF638B"/>
    <w:rsid w:val="00DF6757"/>
    <w:rsid w:val="00DF7B3E"/>
    <w:rsid w:val="00E002B7"/>
    <w:rsid w:val="00E01AF8"/>
    <w:rsid w:val="00E026E4"/>
    <w:rsid w:val="00E029E6"/>
    <w:rsid w:val="00E02B17"/>
    <w:rsid w:val="00E03317"/>
    <w:rsid w:val="00E04C26"/>
    <w:rsid w:val="00E04FE9"/>
    <w:rsid w:val="00E0507C"/>
    <w:rsid w:val="00E06983"/>
    <w:rsid w:val="00E06D3E"/>
    <w:rsid w:val="00E06F50"/>
    <w:rsid w:val="00E0775F"/>
    <w:rsid w:val="00E10CB6"/>
    <w:rsid w:val="00E10CFF"/>
    <w:rsid w:val="00E111AE"/>
    <w:rsid w:val="00E1150F"/>
    <w:rsid w:val="00E11C59"/>
    <w:rsid w:val="00E12150"/>
    <w:rsid w:val="00E135D5"/>
    <w:rsid w:val="00E14723"/>
    <w:rsid w:val="00E14821"/>
    <w:rsid w:val="00E14F34"/>
    <w:rsid w:val="00E14F49"/>
    <w:rsid w:val="00E15711"/>
    <w:rsid w:val="00E15715"/>
    <w:rsid w:val="00E1571D"/>
    <w:rsid w:val="00E159E2"/>
    <w:rsid w:val="00E15F7A"/>
    <w:rsid w:val="00E16101"/>
    <w:rsid w:val="00E17B20"/>
    <w:rsid w:val="00E17B9E"/>
    <w:rsid w:val="00E2012E"/>
    <w:rsid w:val="00E2064C"/>
    <w:rsid w:val="00E20F46"/>
    <w:rsid w:val="00E231A0"/>
    <w:rsid w:val="00E236E3"/>
    <w:rsid w:val="00E25044"/>
    <w:rsid w:val="00E25E4D"/>
    <w:rsid w:val="00E272EE"/>
    <w:rsid w:val="00E27586"/>
    <w:rsid w:val="00E27C99"/>
    <w:rsid w:val="00E31390"/>
    <w:rsid w:val="00E320A1"/>
    <w:rsid w:val="00E32853"/>
    <w:rsid w:val="00E330CF"/>
    <w:rsid w:val="00E33C69"/>
    <w:rsid w:val="00E33E15"/>
    <w:rsid w:val="00E35027"/>
    <w:rsid w:val="00E35DF1"/>
    <w:rsid w:val="00E36C9A"/>
    <w:rsid w:val="00E377E3"/>
    <w:rsid w:val="00E40339"/>
    <w:rsid w:val="00E40871"/>
    <w:rsid w:val="00E40F8E"/>
    <w:rsid w:val="00E4152D"/>
    <w:rsid w:val="00E417F6"/>
    <w:rsid w:val="00E41FE9"/>
    <w:rsid w:val="00E42262"/>
    <w:rsid w:val="00E424F9"/>
    <w:rsid w:val="00E428DA"/>
    <w:rsid w:val="00E4312E"/>
    <w:rsid w:val="00E435C9"/>
    <w:rsid w:val="00E43640"/>
    <w:rsid w:val="00E43CEF"/>
    <w:rsid w:val="00E44A15"/>
    <w:rsid w:val="00E453CE"/>
    <w:rsid w:val="00E455A4"/>
    <w:rsid w:val="00E459D8"/>
    <w:rsid w:val="00E45B36"/>
    <w:rsid w:val="00E47029"/>
    <w:rsid w:val="00E47410"/>
    <w:rsid w:val="00E474E3"/>
    <w:rsid w:val="00E47706"/>
    <w:rsid w:val="00E50120"/>
    <w:rsid w:val="00E510C2"/>
    <w:rsid w:val="00E51205"/>
    <w:rsid w:val="00E513FA"/>
    <w:rsid w:val="00E51CC5"/>
    <w:rsid w:val="00E526B7"/>
    <w:rsid w:val="00E52FDC"/>
    <w:rsid w:val="00E53270"/>
    <w:rsid w:val="00E5363F"/>
    <w:rsid w:val="00E537E7"/>
    <w:rsid w:val="00E5414B"/>
    <w:rsid w:val="00E54207"/>
    <w:rsid w:val="00E54826"/>
    <w:rsid w:val="00E54F6B"/>
    <w:rsid w:val="00E54F9C"/>
    <w:rsid w:val="00E55508"/>
    <w:rsid w:val="00E56489"/>
    <w:rsid w:val="00E567B9"/>
    <w:rsid w:val="00E569BA"/>
    <w:rsid w:val="00E56FB7"/>
    <w:rsid w:val="00E578EF"/>
    <w:rsid w:val="00E57F9E"/>
    <w:rsid w:val="00E601B8"/>
    <w:rsid w:val="00E60562"/>
    <w:rsid w:val="00E6111D"/>
    <w:rsid w:val="00E61FAE"/>
    <w:rsid w:val="00E63723"/>
    <w:rsid w:val="00E638F9"/>
    <w:rsid w:val="00E63D05"/>
    <w:rsid w:val="00E640D8"/>
    <w:rsid w:val="00E649A2"/>
    <w:rsid w:val="00E64F03"/>
    <w:rsid w:val="00E6509D"/>
    <w:rsid w:val="00E65948"/>
    <w:rsid w:val="00E65A82"/>
    <w:rsid w:val="00E65EB6"/>
    <w:rsid w:val="00E66027"/>
    <w:rsid w:val="00E66179"/>
    <w:rsid w:val="00E663D3"/>
    <w:rsid w:val="00E669F2"/>
    <w:rsid w:val="00E67415"/>
    <w:rsid w:val="00E700BC"/>
    <w:rsid w:val="00E719EE"/>
    <w:rsid w:val="00E71A55"/>
    <w:rsid w:val="00E722C0"/>
    <w:rsid w:val="00E723D3"/>
    <w:rsid w:val="00E731D1"/>
    <w:rsid w:val="00E739C2"/>
    <w:rsid w:val="00E73B56"/>
    <w:rsid w:val="00E748DA"/>
    <w:rsid w:val="00E74C92"/>
    <w:rsid w:val="00E76775"/>
    <w:rsid w:val="00E768A7"/>
    <w:rsid w:val="00E7732C"/>
    <w:rsid w:val="00E805E4"/>
    <w:rsid w:val="00E80808"/>
    <w:rsid w:val="00E80BD8"/>
    <w:rsid w:val="00E80F5B"/>
    <w:rsid w:val="00E81117"/>
    <w:rsid w:val="00E81740"/>
    <w:rsid w:val="00E8214A"/>
    <w:rsid w:val="00E824EA"/>
    <w:rsid w:val="00E82C9F"/>
    <w:rsid w:val="00E83DF4"/>
    <w:rsid w:val="00E841B6"/>
    <w:rsid w:val="00E846E9"/>
    <w:rsid w:val="00E847F5"/>
    <w:rsid w:val="00E85F44"/>
    <w:rsid w:val="00E86C13"/>
    <w:rsid w:val="00E86C50"/>
    <w:rsid w:val="00E902FA"/>
    <w:rsid w:val="00E91BB1"/>
    <w:rsid w:val="00E91FCC"/>
    <w:rsid w:val="00E92276"/>
    <w:rsid w:val="00E9245E"/>
    <w:rsid w:val="00E92A26"/>
    <w:rsid w:val="00E92A4C"/>
    <w:rsid w:val="00E92B03"/>
    <w:rsid w:val="00E93B45"/>
    <w:rsid w:val="00E9487B"/>
    <w:rsid w:val="00E956BA"/>
    <w:rsid w:val="00E95D1F"/>
    <w:rsid w:val="00E968AB"/>
    <w:rsid w:val="00E968EA"/>
    <w:rsid w:val="00E978EF"/>
    <w:rsid w:val="00E97C7E"/>
    <w:rsid w:val="00EA0D08"/>
    <w:rsid w:val="00EA0D70"/>
    <w:rsid w:val="00EA1223"/>
    <w:rsid w:val="00EA1431"/>
    <w:rsid w:val="00EA2FAE"/>
    <w:rsid w:val="00EA32C3"/>
    <w:rsid w:val="00EA3790"/>
    <w:rsid w:val="00EA42E5"/>
    <w:rsid w:val="00EA4534"/>
    <w:rsid w:val="00EA47F7"/>
    <w:rsid w:val="00EA4D86"/>
    <w:rsid w:val="00EA4FA5"/>
    <w:rsid w:val="00EA5505"/>
    <w:rsid w:val="00EA5C78"/>
    <w:rsid w:val="00EA629F"/>
    <w:rsid w:val="00EA63EC"/>
    <w:rsid w:val="00EA7054"/>
    <w:rsid w:val="00EA72B7"/>
    <w:rsid w:val="00EA76F2"/>
    <w:rsid w:val="00EB1C3E"/>
    <w:rsid w:val="00EB283D"/>
    <w:rsid w:val="00EB2D57"/>
    <w:rsid w:val="00EB2D6E"/>
    <w:rsid w:val="00EB2F07"/>
    <w:rsid w:val="00EB2F44"/>
    <w:rsid w:val="00EB3E9E"/>
    <w:rsid w:val="00EB3EAD"/>
    <w:rsid w:val="00EB47EC"/>
    <w:rsid w:val="00EB4858"/>
    <w:rsid w:val="00EB49EF"/>
    <w:rsid w:val="00EB4E33"/>
    <w:rsid w:val="00EB55D9"/>
    <w:rsid w:val="00EB58FA"/>
    <w:rsid w:val="00EB5B29"/>
    <w:rsid w:val="00EB5FEE"/>
    <w:rsid w:val="00EB678A"/>
    <w:rsid w:val="00EB6D7F"/>
    <w:rsid w:val="00EB71F0"/>
    <w:rsid w:val="00EB74BD"/>
    <w:rsid w:val="00EB7E59"/>
    <w:rsid w:val="00EC068E"/>
    <w:rsid w:val="00EC1DAF"/>
    <w:rsid w:val="00EC2248"/>
    <w:rsid w:val="00EC2504"/>
    <w:rsid w:val="00EC2D2A"/>
    <w:rsid w:val="00EC3092"/>
    <w:rsid w:val="00EC3A21"/>
    <w:rsid w:val="00EC3D9F"/>
    <w:rsid w:val="00EC4008"/>
    <w:rsid w:val="00EC4375"/>
    <w:rsid w:val="00EC48A9"/>
    <w:rsid w:val="00EC5180"/>
    <w:rsid w:val="00EC5313"/>
    <w:rsid w:val="00EC5CCC"/>
    <w:rsid w:val="00EC622F"/>
    <w:rsid w:val="00EC6615"/>
    <w:rsid w:val="00EC696C"/>
    <w:rsid w:val="00EC72CF"/>
    <w:rsid w:val="00EC7592"/>
    <w:rsid w:val="00EC7899"/>
    <w:rsid w:val="00EC7986"/>
    <w:rsid w:val="00EC7BA5"/>
    <w:rsid w:val="00EC7F6B"/>
    <w:rsid w:val="00ED0505"/>
    <w:rsid w:val="00ED1184"/>
    <w:rsid w:val="00ED1195"/>
    <w:rsid w:val="00ED1498"/>
    <w:rsid w:val="00ED14E5"/>
    <w:rsid w:val="00ED15A0"/>
    <w:rsid w:val="00ED2045"/>
    <w:rsid w:val="00ED21FB"/>
    <w:rsid w:val="00ED2393"/>
    <w:rsid w:val="00ED27C9"/>
    <w:rsid w:val="00ED2B69"/>
    <w:rsid w:val="00ED2F93"/>
    <w:rsid w:val="00ED32B2"/>
    <w:rsid w:val="00ED39CE"/>
    <w:rsid w:val="00ED3A59"/>
    <w:rsid w:val="00ED420C"/>
    <w:rsid w:val="00ED442E"/>
    <w:rsid w:val="00ED45C5"/>
    <w:rsid w:val="00ED5251"/>
    <w:rsid w:val="00ED5725"/>
    <w:rsid w:val="00ED5B39"/>
    <w:rsid w:val="00ED5F0E"/>
    <w:rsid w:val="00ED6393"/>
    <w:rsid w:val="00ED6EEA"/>
    <w:rsid w:val="00ED722D"/>
    <w:rsid w:val="00ED7241"/>
    <w:rsid w:val="00ED7273"/>
    <w:rsid w:val="00ED790B"/>
    <w:rsid w:val="00ED7CCD"/>
    <w:rsid w:val="00ED7E1E"/>
    <w:rsid w:val="00ED7E79"/>
    <w:rsid w:val="00EE0112"/>
    <w:rsid w:val="00EE04AB"/>
    <w:rsid w:val="00EE1352"/>
    <w:rsid w:val="00EE139F"/>
    <w:rsid w:val="00EE242C"/>
    <w:rsid w:val="00EE2A97"/>
    <w:rsid w:val="00EE2EBA"/>
    <w:rsid w:val="00EE36FD"/>
    <w:rsid w:val="00EE45FC"/>
    <w:rsid w:val="00EE56AE"/>
    <w:rsid w:val="00EE6AEA"/>
    <w:rsid w:val="00EE7857"/>
    <w:rsid w:val="00EE7858"/>
    <w:rsid w:val="00EF0ADC"/>
    <w:rsid w:val="00EF1263"/>
    <w:rsid w:val="00EF12C9"/>
    <w:rsid w:val="00EF1A2D"/>
    <w:rsid w:val="00EF1BB3"/>
    <w:rsid w:val="00EF2137"/>
    <w:rsid w:val="00EF2B20"/>
    <w:rsid w:val="00EF2F37"/>
    <w:rsid w:val="00EF3161"/>
    <w:rsid w:val="00EF436D"/>
    <w:rsid w:val="00EF4803"/>
    <w:rsid w:val="00EF4824"/>
    <w:rsid w:val="00EF5775"/>
    <w:rsid w:val="00EF587B"/>
    <w:rsid w:val="00EF64E4"/>
    <w:rsid w:val="00EF6673"/>
    <w:rsid w:val="00F00843"/>
    <w:rsid w:val="00F00EB9"/>
    <w:rsid w:val="00F01362"/>
    <w:rsid w:val="00F019A8"/>
    <w:rsid w:val="00F01F34"/>
    <w:rsid w:val="00F020EC"/>
    <w:rsid w:val="00F021CE"/>
    <w:rsid w:val="00F02572"/>
    <w:rsid w:val="00F0347C"/>
    <w:rsid w:val="00F03500"/>
    <w:rsid w:val="00F04FE0"/>
    <w:rsid w:val="00F05197"/>
    <w:rsid w:val="00F051F8"/>
    <w:rsid w:val="00F05ADD"/>
    <w:rsid w:val="00F063A9"/>
    <w:rsid w:val="00F0717D"/>
    <w:rsid w:val="00F0723E"/>
    <w:rsid w:val="00F07890"/>
    <w:rsid w:val="00F07974"/>
    <w:rsid w:val="00F10875"/>
    <w:rsid w:val="00F10A81"/>
    <w:rsid w:val="00F11336"/>
    <w:rsid w:val="00F11380"/>
    <w:rsid w:val="00F1198F"/>
    <w:rsid w:val="00F11D32"/>
    <w:rsid w:val="00F124C5"/>
    <w:rsid w:val="00F1269E"/>
    <w:rsid w:val="00F12ADD"/>
    <w:rsid w:val="00F13B52"/>
    <w:rsid w:val="00F146E9"/>
    <w:rsid w:val="00F1486D"/>
    <w:rsid w:val="00F14EA1"/>
    <w:rsid w:val="00F14F02"/>
    <w:rsid w:val="00F14F07"/>
    <w:rsid w:val="00F15406"/>
    <w:rsid w:val="00F15A96"/>
    <w:rsid w:val="00F15DB7"/>
    <w:rsid w:val="00F15E9B"/>
    <w:rsid w:val="00F165A1"/>
    <w:rsid w:val="00F16809"/>
    <w:rsid w:val="00F17853"/>
    <w:rsid w:val="00F17B77"/>
    <w:rsid w:val="00F17DAA"/>
    <w:rsid w:val="00F17F38"/>
    <w:rsid w:val="00F21BBE"/>
    <w:rsid w:val="00F21DA8"/>
    <w:rsid w:val="00F21DC7"/>
    <w:rsid w:val="00F2253E"/>
    <w:rsid w:val="00F22D46"/>
    <w:rsid w:val="00F24282"/>
    <w:rsid w:val="00F2430E"/>
    <w:rsid w:val="00F2476D"/>
    <w:rsid w:val="00F249DB"/>
    <w:rsid w:val="00F24CAB"/>
    <w:rsid w:val="00F2554D"/>
    <w:rsid w:val="00F25B6B"/>
    <w:rsid w:val="00F25F6B"/>
    <w:rsid w:val="00F26123"/>
    <w:rsid w:val="00F27ABA"/>
    <w:rsid w:val="00F3023F"/>
    <w:rsid w:val="00F30354"/>
    <w:rsid w:val="00F30605"/>
    <w:rsid w:val="00F30B7F"/>
    <w:rsid w:val="00F315EE"/>
    <w:rsid w:val="00F3193A"/>
    <w:rsid w:val="00F31B1B"/>
    <w:rsid w:val="00F321DF"/>
    <w:rsid w:val="00F3257E"/>
    <w:rsid w:val="00F328E3"/>
    <w:rsid w:val="00F33270"/>
    <w:rsid w:val="00F33D17"/>
    <w:rsid w:val="00F33E89"/>
    <w:rsid w:val="00F341D9"/>
    <w:rsid w:val="00F3433F"/>
    <w:rsid w:val="00F36013"/>
    <w:rsid w:val="00F365DB"/>
    <w:rsid w:val="00F36C15"/>
    <w:rsid w:val="00F375E1"/>
    <w:rsid w:val="00F37CCE"/>
    <w:rsid w:val="00F40B66"/>
    <w:rsid w:val="00F40BF5"/>
    <w:rsid w:val="00F4158A"/>
    <w:rsid w:val="00F41A13"/>
    <w:rsid w:val="00F41A50"/>
    <w:rsid w:val="00F41E3D"/>
    <w:rsid w:val="00F41FAA"/>
    <w:rsid w:val="00F42431"/>
    <w:rsid w:val="00F425C6"/>
    <w:rsid w:val="00F427EC"/>
    <w:rsid w:val="00F437CC"/>
    <w:rsid w:val="00F43B24"/>
    <w:rsid w:val="00F43E18"/>
    <w:rsid w:val="00F442EE"/>
    <w:rsid w:val="00F44550"/>
    <w:rsid w:val="00F44B29"/>
    <w:rsid w:val="00F45AF6"/>
    <w:rsid w:val="00F45B7D"/>
    <w:rsid w:val="00F45DA9"/>
    <w:rsid w:val="00F47275"/>
    <w:rsid w:val="00F47C66"/>
    <w:rsid w:val="00F500E7"/>
    <w:rsid w:val="00F50346"/>
    <w:rsid w:val="00F5067B"/>
    <w:rsid w:val="00F51108"/>
    <w:rsid w:val="00F5308A"/>
    <w:rsid w:val="00F530A0"/>
    <w:rsid w:val="00F5371A"/>
    <w:rsid w:val="00F545E4"/>
    <w:rsid w:val="00F54C87"/>
    <w:rsid w:val="00F56292"/>
    <w:rsid w:val="00F56457"/>
    <w:rsid w:val="00F574AA"/>
    <w:rsid w:val="00F574F3"/>
    <w:rsid w:val="00F57E49"/>
    <w:rsid w:val="00F60100"/>
    <w:rsid w:val="00F607DD"/>
    <w:rsid w:val="00F61218"/>
    <w:rsid w:val="00F62820"/>
    <w:rsid w:val="00F6286C"/>
    <w:rsid w:val="00F62CDE"/>
    <w:rsid w:val="00F62D5B"/>
    <w:rsid w:val="00F62E90"/>
    <w:rsid w:val="00F62EE6"/>
    <w:rsid w:val="00F6323C"/>
    <w:rsid w:val="00F63D92"/>
    <w:rsid w:val="00F643B2"/>
    <w:rsid w:val="00F643C6"/>
    <w:rsid w:val="00F643F2"/>
    <w:rsid w:val="00F64BFB"/>
    <w:rsid w:val="00F65097"/>
    <w:rsid w:val="00F65BAB"/>
    <w:rsid w:val="00F65F0A"/>
    <w:rsid w:val="00F66C8B"/>
    <w:rsid w:val="00F66CB5"/>
    <w:rsid w:val="00F670DC"/>
    <w:rsid w:val="00F67395"/>
    <w:rsid w:val="00F6760C"/>
    <w:rsid w:val="00F67A73"/>
    <w:rsid w:val="00F70189"/>
    <w:rsid w:val="00F702DB"/>
    <w:rsid w:val="00F70739"/>
    <w:rsid w:val="00F727FC"/>
    <w:rsid w:val="00F72873"/>
    <w:rsid w:val="00F7292C"/>
    <w:rsid w:val="00F73203"/>
    <w:rsid w:val="00F73BE8"/>
    <w:rsid w:val="00F73EDA"/>
    <w:rsid w:val="00F73FF5"/>
    <w:rsid w:val="00F74140"/>
    <w:rsid w:val="00F747A7"/>
    <w:rsid w:val="00F7492A"/>
    <w:rsid w:val="00F753F8"/>
    <w:rsid w:val="00F76612"/>
    <w:rsid w:val="00F76830"/>
    <w:rsid w:val="00F76D85"/>
    <w:rsid w:val="00F8029A"/>
    <w:rsid w:val="00F8144B"/>
    <w:rsid w:val="00F82933"/>
    <w:rsid w:val="00F831A7"/>
    <w:rsid w:val="00F845B1"/>
    <w:rsid w:val="00F84CC0"/>
    <w:rsid w:val="00F84D75"/>
    <w:rsid w:val="00F90DC4"/>
    <w:rsid w:val="00F91D71"/>
    <w:rsid w:val="00F91DF0"/>
    <w:rsid w:val="00F92802"/>
    <w:rsid w:val="00F92EDF"/>
    <w:rsid w:val="00F93231"/>
    <w:rsid w:val="00F93448"/>
    <w:rsid w:val="00F93C64"/>
    <w:rsid w:val="00F94BB5"/>
    <w:rsid w:val="00F9532F"/>
    <w:rsid w:val="00F95A8A"/>
    <w:rsid w:val="00F95E29"/>
    <w:rsid w:val="00F95E53"/>
    <w:rsid w:val="00F96F38"/>
    <w:rsid w:val="00FA0E1D"/>
    <w:rsid w:val="00FA0E5D"/>
    <w:rsid w:val="00FA1864"/>
    <w:rsid w:val="00FA1C22"/>
    <w:rsid w:val="00FA2FF3"/>
    <w:rsid w:val="00FA31AA"/>
    <w:rsid w:val="00FA36A2"/>
    <w:rsid w:val="00FA3CD2"/>
    <w:rsid w:val="00FA3EF0"/>
    <w:rsid w:val="00FA5200"/>
    <w:rsid w:val="00FA56CB"/>
    <w:rsid w:val="00FA5FF0"/>
    <w:rsid w:val="00FA6491"/>
    <w:rsid w:val="00FA6493"/>
    <w:rsid w:val="00FA678D"/>
    <w:rsid w:val="00FA6D01"/>
    <w:rsid w:val="00FA77D6"/>
    <w:rsid w:val="00FA7CF0"/>
    <w:rsid w:val="00FB02C1"/>
    <w:rsid w:val="00FB0456"/>
    <w:rsid w:val="00FB0974"/>
    <w:rsid w:val="00FB19C4"/>
    <w:rsid w:val="00FB1A70"/>
    <w:rsid w:val="00FB1F5D"/>
    <w:rsid w:val="00FB25BD"/>
    <w:rsid w:val="00FB2BEB"/>
    <w:rsid w:val="00FB2BF4"/>
    <w:rsid w:val="00FB2DAA"/>
    <w:rsid w:val="00FB3C0A"/>
    <w:rsid w:val="00FB4000"/>
    <w:rsid w:val="00FB405E"/>
    <w:rsid w:val="00FB4D5D"/>
    <w:rsid w:val="00FB5A92"/>
    <w:rsid w:val="00FB60B0"/>
    <w:rsid w:val="00FB69CF"/>
    <w:rsid w:val="00FB69FB"/>
    <w:rsid w:val="00FB6BE4"/>
    <w:rsid w:val="00FB6DC2"/>
    <w:rsid w:val="00FB6F77"/>
    <w:rsid w:val="00FB6FBC"/>
    <w:rsid w:val="00FB7426"/>
    <w:rsid w:val="00FB7BF6"/>
    <w:rsid w:val="00FB7D10"/>
    <w:rsid w:val="00FC046C"/>
    <w:rsid w:val="00FC165D"/>
    <w:rsid w:val="00FC1D5D"/>
    <w:rsid w:val="00FC237A"/>
    <w:rsid w:val="00FC30A0"/>
    <w:rsid w:val="00FC353F"/>
    <w:rsid w:val="00FC3FE2"/>
    <w:rsid w:val="00FC405A"/>
    <w:rsid w:val="00FC45DB"/>
    <w:rsid w:val="00FC4AAA"/>
    <w:rsid w:val="00FC4E6E"/>
    <w:rsid w:val="00FC510D"/>
    <w:rsid w:val="00FC5F1F"/>
    <w:rsid w:val="00FC6958"/>
    <w:rsid w:val="00FC6D0F"/>
    <w:rsid w:val="00FD10A4"/>
    <w:rsid w:val="00FD1B14"/>
    <w:rsid w:val="00FD1D3E"/>
    <w:rsid w:val="00FD2211"/>
    <w:rsid w:val="00FD36A4"/>
    <w:rsid w:val="00FD378E"/>
    <w:rsid w:val="00FD3856"/>
    <w:rsid w:val="00FD3BC7"/>
    <w:rsid w:val="00FD419E"/>
    <w:rsid w:val="00FD4367"/>
    <w:rsid w:val="00FD54FE"/>
    <w:rsid w:val="00FD5DBF"/>
    <w:rsid w:val="00FD6509"/>
    <w:rsid w:val="00FD667C"/>
    <w:rsid w:val="00FD7301"/>
    <w:rsid w:val="00FD7E13"/>
    <w:rsid w:val="00FE0473"/>
    <w:rsid w:val="00FE0478"/>
    <w:rsid w:val="00FE12BA"/>
    <w:rsid w:val="00FE1F35"/>
    <w:rsid w:val="00FE31F5"/>
    <w:rsid w:val="00FE422B"/>
    <w:rsid w:val="00FE4B81"/>
    <w:rsid w:val="00FE5176"/>
    <w:rsid w:val="00FE55C6"/>
    <w:rsid w:val="00FE643B"/>
    <w:rsid w:val="00FE6B4B"/>
    <w:rsid w:val="00FE7212"/>
    <w:rsid w:val="00FE7655"/>
    <w:rsid w:val="00FE7E95"/>
    <w:rsid w:val="00FE7F34"/>
    <w:rsid w:val="00FF0AE0"/>
    <w:rsid w:val="00FF0C93"/>
    <w:rsid w:val="00FF22AD"/>
    <w:rsid w:val="00FF348D"/>
    <w:rsid w:val="00FF3809"/>
    <w:rsid w:val="00FF3D28"/>
    <w:rsid w:val="00FF52DD"/>
    <w:rsid w:val="00FF5344"/>
    <w:rsid w:val="00FF5AD6"/>
    <w:rsid w:val="00FF5B09"/>
    <w:rsid w:val="00FF5B51"/>
    <w:rsid w:val="00FF5D87"/>
    <w:rsid w:val="00FF5F4C"/>
    <w:rsid w:val="00FF6026"/>
    <w:rsid w:val="00FF626F"/>
    <w:rsid w:val="00FF71B3"/>
    <w:rsid w:val="00FF79DD"/>
    <w:rsid w:val="00FF7E0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0C4F18-9DE4-4AFA-9CA0-24FC1B797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E018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17B77"/>
    <w:pPr>
      <w:ind w:left="720"/>
      <w:contextualSpacing/>
    </w:pPr>
  </w:style>
  <w:style w:type="paragraph" w:styleId="Testofumetto">
    <w:name w:val="Balloon Text"/>
    <w:basedOn w:val="Normale"/>
    <w:link w:val="TestofumettoCarattere"/>
    <w:uiPriority w:val="99"/>
    <w:semiHidden/>
    <w:unhideWhenUsed/>
    <w:rsid w:val="00F73BE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73BE8"/>
    <w:rPr>
      <w:rFonts w:ascii="Segoe UI" w:hAnsi="Segoe UI" w:cs="Segoe UI"/>
      <w:sz w:val="18"/>
      <w:szCs w:val="18"/>
    </w:rPr>
  </w:style>
  <w:style w:type="character" w:styleId="Rimandocommento">
    <w:name w:val="annotation reference"/>
    <w:basedOn w:val="Carpredefinitoparagrafo"/>
    <w:uiPriority w:val="99"/>
    <w:semiHidden/>
    <w:unhideWhenUsed/>
    <w:rsid w:val="007D4088"/>
    <w:rPr>
      <w:sz w:val="16"/>
      <w:szCs w:val="16"/>
    </w:rPr>
  </w:style>
  <w:style w:type="paragraph" w:styleId="Testocommento">
    <w:name w:val="annotation text"/>
    <w:basedOn w:val="Normale"/>
    <w:link w:val="TestocommentoCarattere"/>
    <w:uiPriority w:val="99"/>
    <w:unhideWhenUsed/>
    <w:rsid w:val="007D4088"/>
    <w:pPr>
      <w:spacing w:line="240" w:lineRule="auto"/>
    </w:pPr>
    <w:rPr>
      <w:sz w:val="20"/>
      <w:szCs w:val="20"/>
    </w:rPr>
  </w:style>
  <w:style w:type="character" w:customStyle="1" w:styleId="TestocommentoCarattere">
    <w:name w:val="Testo commento Carattere"/>
    <w:basedOn w:val="Carpredefinitoparagrafo"/>
    <w:link w:val="Testocommento"/>
    <w:uiPriority w:val="99"/>
    <w:rsid w:val="007D4088"/>
    <w:rPr>
      <w:sz w:val="20"/>
      <w:szCs w:val="20"/>
    </w:rPr>
  </w:style>
  <w:style w:type="paragraph" w:styleId="Soggettocommento">
    <w:name w:val="annotation subject"/>
    <w:basedOn w:val="Testocommento"/>
    <w:next w:val="Testocommento"/>
    <w:link w:val="SoggettocommentoCarattere"/>
    <w:uiPriority w:val="99"/>
    <w:semiHidden/>
    <w:unhideWhenUsed/>
    <w:rsid w:val="007D4088"/>
    <w:rPr>
      <w:b/>
      <w:bCs/>
    </w:rPr>
  </w:style>
  <w:style w:type="character" w:customStyle="1" w:styleId="SoggettocommentoCarattere">
    <w:name w:val="Soggetto commento Carattere"/>
    <w:basedOn w:val="TestocommentoCarattere"/>
    <w:link w:val="Soggettocommento"/>
    <w:uiPriority w:val="99"/>
    <w:semiHidden/>
    <w:rsid w:val="007D4088"/>
    <w:rPr>
      <w:b/>
      <w:bCs/>
      <w:sz w:val="20"/>
      <w:szCs w:val="20"/>
    </w:rPr>
  </w:style>
  <w:style w:type="character" w:styleId="Collegamentoipertestuale">
    <w:name w:val="Hyperlink"/>
    <w:basedOn w:val="Carpredefinitoparagrafo"/>
    <w:uiPriority w:val="99"/>
    <w:unhideWhenUsed/>
    <w:rsid w:val="00115E64"/>
    <w:rPr>
      <w:color w:val="0563C1" w:themeColor="hyperlink"/>
      <w:u w:val="single"/>
    </w:rPr>
  </w:style>
  <w:style w:type="paragraph" w:styleId="Pidipagina">
    <w:name w:val="footer"/>
    <w:basedOn w:val="Normale"/>
    <w:link w:val="PidipaginaCarattere"/>
    <w:uiPriority w:val="99"/>
    <w:unhideWhenUsed/>
    <w:rsid w:val="00115E64"/>
    <w:pPr>
      <w:tabs>
        <w:tab w:val="center" w:pos="4819"/>
        <w:tab w:val="right" w:pos="9638"/>
      </w:tabs>
      <w:spacing w:after="0" w:line="240" w:lineRule="auto"/>
    </w:pPr>
    <w:rPr>
      <w:rFonts w:eastAsiaTheme="minorEastAsia"/>
      <w:lang w:eastAsia="it-IT"/>
    </w:rPr>
  </w:style>
  <w:style w:type="character" w:customStyle="1" w:styleId="PidipaginaCarattere">
    <w:name w:val="Piè di pagina Carattere"/>
    <w:basedOn w:val="Carpredefinitoparagrafo"/>
    <w:link w:val="Pidipagina"/>
    <w:uiPriority w:val="99"/>
    <w:rsid w:val="00115E64"/>
    <w:rPr>
      <w:rFonts w:eastAsiaTheme="minorEastAsia"/>
      <w:lang w:eastAsia="it-IT"/>
    </w:rPr>
  </w:style>
  <w:style w:type="character" w:customStyle="1" w:styleId="Menzionenonrisolta1">
    <w:name w:val="Menzione non risolta1"/>
    <w:basedOn w:val="Carpredefinitoparagrafo"/>
    <w:uiPriority w:val="99"/>
    <w:semiHidden/>
    <w:unhideWhenUsed/>
    <w:rsid w:val="00D03B3E"/>
    <w:rPr>
      <w:color w:val="605E5C"/>
      <w:shd w:val="clear" w:color="auto" w:fill="E1DFDD"/>
    </w:rPr>
  </w:style>
  <w:style w:type="paragraph" w:styleId="Intestazione">
    <w:name w:val="header"/>
    <w:basedOn w:val="Normale"/>
    <w:link w:val="IntestazioneCarattere"/>
    <w:uiPriority w:val="99"/>
    <w:unhideWhenUsed/>
    <w:rsid w:val="00FA2FF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A2FF3"/>
  </w:style>
  <w:style w:type="character" w:customStyle="1" w:styleId="Menzionenonrisolta2">
    <w:name w:val="Menzione non risolta2"/>
    <w:basedOn w:val="Carpredefinitoparagrafo"/>
    <w:uiPriority w:val="99"/>
    <w:semiHidden/>
    <w:unhideWhenUsed/>
    <w:rsid w:val="00535C52"/>
    <w:rPr>
      <w:color w:val="605E5C"/>
      <w:shd w:val="clear" w:color="auto" w:fill="E1DFDD"/>
    </w:rPr>
  </w:style>
  <w:style w:type="character" w:styleId="Collegamentovisitato">
    <w:name w:val="FollowedHyperlink"/>
    <w:basedOn w:val="Carpredefinitoparagrafo"/>
    <w:uiPriority w:val="99"/>
    <w:semiHidden/>
    <w:unhideWhenUsed/>
    <w:rsid w:val="008B2BF2"/>
    <w:rPr>
      <w:color w:val="954F72" w:themeColor="followedHyperlink"/>
      <w:u w:val="single"/>
    </w:rPr>
  </w:style>
  <w:style w:type="character" w:customStyle="1" w:styleId="Menzionenonrisolta3">
    <w:name w:val="Menzione non risolta3"/>
    <w:basedOn w:val="Carpredefinitoparagrafo"/>
    <w:uiPriority w:val="99"/>
    <w:semiHidden/>
    <w:unhideWhenUsed/>
    <w:rsid w:val="006D64ED"/>
    <w:rPr>
      <w:color w:val="605E5C"/>
      <w:shd w:val="clear" w:color="auto" w:fill="E1DFDD"/>
    </w:rPr>
  </w:style>
  <w:style w:type="character" w:styleId="Rimandonotaapidipagina">
    <w:name w:val="footnote reference"/>
    <w:basedOn w:val="Carpredefinitoparagrafo"/>
    <w:uiPriority w:val="99"/>
    <w:semiHidden/>
    <w:unhideWhenUsed/>
    <w:rsid w:val="00AB6578"/>
    <w:rPr>
      <w:vertAlign w:val="superscript"/>
    </w:rPr>
  </w:style>
  <w:style w:type="paragraph" w:styleId="Testonotaapidipagina">
    <w:name w:val="footnote text"/>
    <w:basedOn w:val="Normale"/>
    <w:link w:val="TestonotaapidipaginaCarattere"/>
    <w:uiPriority w:val="99"/>
    <w:semiHidden/>
    <w:unhideWhenUsed/>
    <w:rsid w:val="0099746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97463"/>
    <w:rPr>
      <w:sz w:val="20"/>
      <w:szCs w:val="20"/>
    </w:rPr>
  </w:style>
  <w:style w:type="character" w:customStyle="1" w:styleId="Menzionenonrisolta4">
    <w:name w:val="Menzione non risolta4"/>
    <w:basedOn w:val="Carpredefinitoparagrafo"/>
    <w:uiPriority w:val="99"/>
    <w:semiHidden/>
    <w:unhideWhenUsed/>
    <w:rsid w:val="007B7159"/>
    <w:rPr>
      <w:color w:val="605E5C"/>
      <w:shd w:val="clear" w:color="auto" w:fill="E1DFDD"/>
    </w:rPr>
  </w:style>
  <w:style w:type="character" w:customStyle="1" w:styleId="Menzionenonrisolta5">
    <w:name w:val="Menzione non risolta5"/>
    <w:basedOn w:val="Carpredefinitoparagrafo"/>
    <w:uiPriority w:val="99"/>
    <w:semiHidden/>
    <w:unhideWhenUsed/>
    <w:rsid w:val="00F62E90"/>
    <w:rPr>
      <w:color w:val="605E5C"/>
      <w:shd w:val="clear" w:color="auto" w:fill="E1DFDD"/>
    </w:rPr>
  </w:style>
  <w:style w:type="paragraph" w:styleId="Testonormale">
    <w:name w:val="Plain Text"/>
    <w:basedOn w:val="Normale"/>
    <w:link w:val="TestonormaleCarattere"/>
    <w:uiPriority w:val="99"/>
    <w:semiHidden/>
    <w:unhideWhenUsed/>
    <w:rsid w:val="001019D5"/>
    <w:pPr>
      <w:spacing w:after="0" w:line="240" w:lineRule="auto"/>
    </w:pPr>
    <w:rPr>
      <w:rFonts w:ascii="Calibri" w:hAnsi="Calibri"/>
      <w:color w:val="00457D"/>
      <w:szCs w:val="21"/>
    </w:rPr>
  </w:style>
  <w:style w:type="character" w:customStyle="1" w:styleId="TestonormaleCarattere">
    <w:name w:val="Testo normale Carattere"/>
    <w:basedOn w:val="Carpredefinitoparagrafo"/>
    <w:link w:val="Testonormale"/>
    <w:uiPriority w:val="99"/>
    <w:semiHidden/>
    <w:rsid w:val="001019D5"/>
    <w:rPr>
      <w:rFonts w:ascii="Calibri" w:hAnsi="Calibri"/>
      <w:color w:val="00457D"/>
      <w:szCs w:val="21"/>
    </w:rPr>
  </w:style>
  <w:style w:type="paragraph" w:styleId="Revisione">
    <w:name w:val="Revision"/>
    <w:hidden/>
    <w:uiPriority w:val="99"/>
    <w:semiHidden/>
    <w:rsid w:val="001019D5"/>
    <w:pPr>
      <w:spacing w:after="0" w:line="240" w:lineRule="auto"/>
    </w:pPr>
  </w:style>
  <w:style w:type="character" w:customStyle="1" w:styleId="Menzionenonrisolta6">
    <w:name w:val="Menzione non risolta6"/>
    <w:basedOn w:val="Carpredefinitoparagrafo"/>
    <w:uiPriority w:val="99"/>
    <w:semiHidden/>
    <w:unhideWhenUsed/>
    <w:rsid w:val="005D2DA6"/>
    <w:rPr>
      <w:color w:val="605E5C"/>
      <w:shd w:val="clear" w:color="auto" w:fill="E1DFDD"/>
    </w:rPr>
  </w:style>
  <w:style w:type="character" w:customStyle="1" w:styleId="Menzionenonrisolta7">
    <w:name w:val="Menzione non risolta7"/>
    <w:basedOn w:val="Carpredefinitoparagrafo"/>
    <w:uiPriority w:val="99"/>
    <w:semiHidden/>
    <w:unhideWhenUsed/>
    <w:rsid w:val="00D05630"/>
    <w:rPr>
      <w:color w:val="605E5C"/>
      <w:shd w:val="clear" w:color="auto" w:fill="E1DFDD"/>
    </w:rPr>
  </w:style>
  <w:style w:type="character" w:customStyle="1" w:styleId="Menzionenonrisolta8">
    <w:name w:val="Menzione non risolta8"/>
    <w:basedOn w:val="Carpredefinitoparagrafo"/>
    <w:uiPriority w:val="99"/>
    <w:semiHidden/>
    <w:unhideWhenUsed/>
    <w:rsid w:val="00741440"/>
    <w:rPr>
      <w:color w:val="605E5C"/>
      <w:shd w:val="clear" w:color="auto" w:fill="E1DFDD"/>
    </w:rPr>
  </w:style>
  <w:style w:type="table" w:styleId="Grigliatabella">
    <w:name w:val="Table Grid"/>
    <w:basedOn w:val="Tabellanormale"/>
    <w:uiPriority w:val="39"/>
    <w:rsid w:val="00563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91049C"/>
    <w:pPr>
      <w:spacing w:after="0" w:line="240" w:lineRule="auto"/>
    </w:pPr>
  </w:style>
  <w:style w:type="character" w:customStyle="1" w:styleId="Menzionenonrisolta9">
    <w:name w:val="Menzione non risolta9"/>
    <w:basedOn w:val="Carpredefinitoparagrafo"/>
    <w:uiPriority w:val="99"/>
    <w:semiHidden/>
    <w:unhideWhenUsed/>
    <w:rsid w:val="00B10F19"/>
    <w:rPr>
      <w:color w:val="605E5C"/>
      <w:shd w:val="clear" w:color="auto" w:fill="E1DFDD"/>
    </w:rPr>
  </w:style>
  <w:style w:type="paragraph" w:customStyle="1" w:styleId="xmsonormal">
    <w:name w:val="x_msonormal"/>
    <w:basedOn w:val="Normale"/>
    <w:uiPriority w:val="99"/>
    <w:rsid w:val="004E29B1"/>
    <w:pPr>
      <w:spacing w:after="0" w:line="240" w:lineRule="auto"/>
    </w:pPr>
    <w:rPr>
      <w:rFonts w:ascii="Times New Roman" w:hAnsi="Times New Roman" w:cs="Times New Roman"/>
      <w:sz w:val="24"/>
      <w:szCs w:val="24"/>
      <w:lang w:eastAsia="it-IT"/>
    </w:rPr>
  </w:style>
  <w:style w:type="character" w:customStyle="1" w:styleId="Menzionenonrisolta10">
    <w:name w:val="Menzione non risolta10"/>
    <w:basedOn w:val="Carpredefinitoparagrafo"/>
    <w:uiPriority w:val="99"/>
    <w:semiHidden/>
    <w:unhideWhenUsed/>
    <w:rsid w:val="009A7AFC"/>
    <w:rPr>
      <w:color w:val="605E5C"/>
      <w:shd w:val="clear" w:color="auto" w:fill="E1DFDD"/>
    </w:rPr>
  </w:style>
  <w:style w:type="character" w:customStyle="1" w:styleId="Menzionenonrisolta11">
    <w:name w:val="Menzione non risolta11"/>
    <w:basedOn w:val="Carpredefinitoparagrafo"/>
    <w:uiPriority w:val="99"/>
    <w:semiHidden/>
    <w:unhideWhenUsed/>
    <w:rsid w:val="00596E06"/>
    <w:rPr>
      <w:color w:val="605E5C"/>
      <w:shd w:val="clear" w:color="auto" w:fill="E1DFDD"/>
    </w:rPr>
  </w:style>
  <w:style w:type="character" w:styleId="Enfasigrassetto">
    <w:name w:val="Strong"/>
    <w:basedOn w:val="Carpredefinitoparagrafo"/>
    <w:uiPriority w:val="22"/>
    <w:qFormat/>
    <w:rsid w:val="006F5D5E"/>
    <w:rPr>
      <w:b/>
      <w:bCs/>
    </w:rPr>
  </w:style>
  <w:style w:type="character" w:customStyle="1" w:styleId="Menzionenonrisolta12">
    <w:name w:val="Menzione non risolta12"/>
    <w:basedOn w:val="Carpredefinitoparagrafo"/>
    <w:uiPriority w:val="99"/>
    <w:semiHidden/>
    <w:unhideWhenUsed/>
    <w:rsid w:val="0058341A"/>
    <w:rPr>
      <w:color w:val="605E5C"/>
      <w:shd w:val="clear" w:color="auto" w:fill="E1DFDD"/>
    </w:rPr>
  </w:style>
  <w:style w:type="character" w:customStyle="1" w:styleId="Menzionenonrisolta13">
    <w:name w:val="Menzione non risolta13"/>
    <w:basedOn w:val="Carpredefinitoparagrafo"/>
    <w:uiPriority w:val="99"/>
    <w:semiHidden/>
    <w:unhideWhenUsed/>
    <w:rsid w:val="007E009A"/>
    <w:rPr>
      <w:color w:val="605E5C"/>
      <w:shd w:val="clear" w:color="auto" w:fill="E1DFDD"/>
    </w:rPr>
  </w:style>
  <w:style w:type="character" w:customStyle="1" w:styleId="Menzionenonrisolta14">
    <w:name w:val="Menzione non risolta14"/>
    <w:basedOn w:val="Carpredefinitoparagrafo"/>
    <w:uiPriority w:val="99"/>
    <w:semiHidden/>
    <w:unhideWhenUsed/>
    <w:rsid w:val="00746052"/>
    <w:rPr>
      <w:color w:val="605E5C"/>
      <w:shd w:val="clear" w:color="auto" w:fill="E1DFDD"/>
    </w:rPr>
  </w:style>
  <w:style w:type="character" w:customStyle="1" w:styleId="Menzionenonrisolta15">
    <w:name w:val="Menzione non risolta15"/>
    <w:basedOn w:val="Carpredefinitoparagrafo"/>
    <w:uiPriority w:val="99"/>
    <w:semiHidden/>
    <w:unhideWhenUsed/>
    <w:rsid w:val="006E0696"/>
    <w:rPr>
      <w:color w:val="605E5C"/>
      <w:shd w:val="clear" w:color="auto" w:fill="E1DFDD"/>
    </w:rPr>
  </w:style>
  <w:style w:type="character" w:customStyle="1" w:styleId="Menzionenonrisolta16">
    <w:name w:val="Menzione non risolta16"/>
    <w:basedOn w:val="Carpredefinitoparagrafo"/>
    <w:uiPriority w:val="99"/>
    <w:semiHidden/>
    <w:unhideWhenUsed/>
    <w:rsid w:val="004F782A"/>
    <w:rPr>
      <w:color w:val="605E5C"/>
      <w:shd w:val="clear" w:color="auto" w:fill="E1DFDD"/>
    </w:rPr>
  </w:style>
  <w:style w:type="character" w:customStyle="1" w:styleId="Menzionenonrisolta17">
    <w:name w:val="Menzione non risolta17"/>
    <w:basedOn w:val="Carpredefinitoparagrafo"/>
    <w:uiPriority w:val="99"/>
    <w:semiHidden/>
    <w:unhideWhenUsed/>
    <w:rsid w:val="00A93CCC"/>
    <w:rPr>
      <w:color w:val="605E5C"/>
      <w:shd w:val="clear" w:color="auto" w:fill="E1DFDD"/>
    </w:rPr>
  </w:style>
  <w:style w:type="character" w:customStyle="1" w:styleId="Menzionenonrisolta18">
    <w:name w:val="Menzione non risolta18"/>
    <w:basedOn w:val="Carpredefinitoparagrafo"/>
    <w:uiPriority w:val="99"/>
    <w:semiHidden/>
    <w:unhideWhenUsed/>
    <w:rsid w:val="00F31B1B"/>
    <w:rPr>
      <w:color w:val="605E5C"/>
      <w:shd w:val="clear" w:color="auto" w:fill="E1DFDD"/>
    </w:rPr>
  </w:style>
  <w:style w:type="character" w:customStyle="1" w:styleId="Menzionenonrisolta19">
    <w:name w:val="Menzione non risolta19"/>
    <w:basedOn w:val="Carpredefinitoparagrafo"/>
    <w:uiPriority w:val="99"/>
    <w:semiHidden/>
    <w:unhideWhenUsed/>
    <w:rsid w:val="00281B28"/>
    <w:rPr>
      <w:color w:val="605E5C"/>
      <w:shd w:val="clear" w:color="auto" w:fill="E1DFDD"/>
    </w:rPr>
  </w:style>
  <w:style w:type="character" w:customStyle="1" w:styleId="Menzionenonrisolta20">
    <w:name w:val="Menzione non risolta20"/>
    <w:basedOn w:val="Carpredefinitoparagrafo"/>
    <w:uiPriority w:val="99"/>
    <w:semiHidden/>
    <w:unhideWhenUsed/>
    <w:rsid w:val="00BB3376"/>
    <w:rPr>
      <w:color w:val="605E5C"/>
      <w:shd w:val="clear" w:color="auto" w:fill="E1DFDD"/>
    </w:rPr>
  </w:style>
  <w:style w:type="character" w:customStyle="1" w:styleId="Menzionenonrisolta21">
    <w:name w:val="Menzione non risolta21"/>
    <w:basedOn w:val="Carpredefinitoparagrafo"/>
    <w:uiPriority w:val="99"/>
    <w:semiHidden/>
    <w:unhideWhenUsed/>
    <w:rsid w:val="00593D14"/>
    <w:rPr>
      <w:color w:val="605E5C"/>
      <w:shd w:val="clear" w:color="auto" w:fill="E1DFDD"/>
    </w:rPr>
  </w:style>
  <w:style w:type="paragraph" w:customStyle="1" w:styleId="Default">
    <w:name w:val="Default"/>
    <w:rsid w:val="00D71773"/>
    <w:pPr>
      <w:autoSpaceDE w:val="0"/>
      <w:autoSpaceDN w:val="0"/>
      <w:adjustRightInd w:val="0"/>
      <w:spacing w:after="0" w:line="240" w:lineRule="auto"/>
    </w:pPr>
    <w:rPr>
      <w:rFonts w:ascii="Raleway" w:hAnsi="Raleway" w:cs="Raleway"/>
      <w:color w:val="000000"/>
      <w:sz w:val="24"/>
      <w:szCs w:val="24"/>
    </w:rPr>
  </w:style>
  <w:style w:type="character" w:customStyle="1" w:styleId="Menzionenonrisolta22">
    <w:name w:val="Menzione non risolta22"/>
    <w:basedOn w:val="Carpredefinitoparagrafo"/>
    <w:uiPriority w:val="99"/>
    <w:semiHidden/>
    <w:unhideWhenUsed/>
    <w:rsid w:val="0028654B"/>
    <w:rPr>
      <w:color w:val="605E5C"/>
      <w:shd w:val="clear" w:color="auto" w:fill="E1DFDD"/>
    </w:rPr>
  </w:style>
  <w:style w:type="character" w:customStyle="1" w:styleId="Menzionenonrisolta23">
    <w:name w:val="Menzione non risolta23"/>
    <w:basedOn w:val="Carpredefinitoparagrafo"/>
    <w:uiPriority w:val="99"/>
    <w:semiHidden/>
    <w:unhideWhenUsed/>
    <w:rsid w:val="00DB097D"/>
    <w:rPr>
      <w:color w:val="605E5C"/>
      <w:shd w:val="clear" w:color="auto" w:fill="E1DFDD"/>
    </w:rPr>
  </w:style>
  <w:style w:type="character" w:customStyle="1" w:styleId="iss-card-par">
    <w:name w:val="iss-card-par"/>
    <w:basedOn w:val="Carpredefinitoparagrafo"/>
    <w:rsid w:val="0059075D"/>
  </w:style>
  <w:style w:type="character" w:customStyle="1" w:styleId="Menzionenonrisolta24">
    <w:name w:val="Menzione non risolta24"/>
    <w:basedOn w:val="Carpredefinitoparagrafo"/>
    <w:uiPriority w:val="99"/>
    <w:semiHidden/>
    <w:unhideWhenUsed/>
    <w:rsid w:val="00973380"/>
    <w:rPr>
      <w:color w:val="605E5C"/>
      <w:shd w:val="clear" w:color="auto" w:fill="E1DFDD"/>
    </w:rPr>
  </w:style>
  <w:style w:type="character" w:customStyle="1" w:styleId="Menzionenonrisolta25">
    <w:name w:val="Menzione non risolta25"/>
    <w:basedOn w:val="Carpredefinitoparagrafo"/>
    <w:uiPriority w:val="99"/>
    <w:semiHidden/>
    <w:unhideWhenUsed/>
    <w:rsid w:val="00407CC4"/>
    <w:rPr>
      <w:color w:val="605E5C"/>
      <w:shd w:val="clear" w:color="auto" w:fill="E1DFDD"/>
    </w:rPr>
  </w:style>
  <w:style w:type="character" w:customStyle="1" w:styleId="Menzionenonrisolta26">
    <w:name w:val="Menzione non risolta26"/>
    <w:basedOn w:val="Carpredefinitoparagrafo"/>
    <w:uiPriority w:val="99"/>
    <w:semiHidden/>
    <w:unhideWhenUsed/>
    <w:rsid w:val="00492C3C"/>
    <w:rPr>
      <w:color w:val="605E5C"/>
      <w:shd w:val="clear" w:color="auto" w:fill="E1DFDD"/>
    </w:rPr>
  </w:style>
  <w:style w:type="character" w:customStyle="1" w:styleId="Menzionenonrisolta27">
    <w:name w:val="Menzione non risolta27"/>
    <w:basedOn w:val="Carpredefinitoparagrafo"/>
    <w:uiPriority w:val="99"/>
    <w:semiHidden/>
    <w:unhideWhenUsed/>
    <w:rsid w:val="00FB2BEB"/>
    <w:rPr>
      <w:color w:val="605E5C"/>
      <w:shd w:val="clear" w:color="auto" w:fill="E1DFDD"/>
    </w:rPr>
  </w:style>
  <w:style w:type="character" w:customStyle="1" w:styleId="Menzionenonrisolta28">
    <w:name w:val="Menzione non risolta28"/>
    <w:basedOn w:val="Carpredefinitoparagrafo"/>
    <w:uiPriority w:val="99"/>
    <w:semiHidden/>
    <w:unhideWhenUsed/>
    <w:rsid w:val="00D30B53"/>
    <w:rPr>
      <w:color w:val="605E5C"/>
      <w:shd w:val="clear" w:color="auto" w:fill="E1DFDD"/>
    </w:rPr>
  </w:style>
  <w:style w:type="character" w:customStyle="1" w:styleId="Menzionenonrisolta29">
    <w:name w:val="Menzione non risolta29"/>
    <w:basedOn w:val="Carpredefinitoparagrafo"/>
    <w:uiPriority w:val="99"/>
    <w:semiHidden/>
    <w:unhideWhenUsed/>
    <w:rsid w:val="00087852"/>
    <w:rPr>
      <w:color w:val="605E5C"/>
      <w:shd w:val="clear" w:color="auto" w:fill="E1DFDD"/>
    </w:rPr>
  </w:style>
  <w:style w:type="character" w:customStyle="1" w:styleId="Menzionenonrisolta30">
    <w:name w:val="Menzione non risolta30"/>
    <w:basedOn w:val="Carpredefinitoparagrafo"/>
    <w:uiPriority w:val="99"/>
    <w:semiHidden/>
    <w:unhideWhenUsed/>
    <w:rsid w:val="0021257B"/>
    <w:rPr>
      <w:color w:val="605E5C"/>
      <w:shd w:val="clear" w:color="auto" w:fill="E1DFDD"/>
    </w:rPr>
  </w:style>
  <w:style w:type="character" w:customStyle="1" w:styleId="Menzionenonrisolta31">
    <w:name w:val="Menzione non risolta31"/>
    <w:basedOn w:val="Carpredefinitoparagrafo"/>
    <w:uiPriority w:val="99"/>
    <w:semiHidden/>
    <w:unhideWhenUsed/>
    <w:rsid w:val="009E3317"/>
    <w:rPr>
      <w:color w:val="605E5C"/>
      <w:shd w:val="clear" w:color="auto" w:fill="E1DFDD"/>
    </w:rPr>
  </w:style>
  <w:style w:type="character" w:customStyle="1" w:styleId="Menzionenonrisolta32">
    <w:name w:val="Menzione non risolta32"/>
    <w:basedOn w:val="Carpredefinitoparagrafo"/>
    <w:uiPriority w:val="99"/>
    <w:semiHidden/>
    <w:unhideWhenUsed/>
    <w:rsid w:val="001C1D3F"/>
    <w:rPr>
      <w:color w:val="605E5C"/>
      <w:shd w:val="clear" w:color="auto" w:fill="E1DFDD"/>
    </w:rPr>
  </w:style>
  <w:style w:type="character" w:customStyle="1" w:styleId="Menzionenonrisolta33">
    <w:name w:val="Menzione non risolta33"/>
    <w:basedOn w:val="Carpredefinitoparagrafo"/>
    <w:uiPriority w:val="99"/>
    <w:semiHidden/>
    <w:unhideWhenUsed/>
    <w:rsid w:val="003B236B"/>
    <w:rPr>
      <w:color w:val="605E5C"/>
      <w:shd w:val="clear" w:color="auto" w:fill="E1DFDD"/>
    </w:rPr>
  </w:style>
  <w:style w:type="character" w:customStyle="1" w:styleId="Menzionenonrisolta34">
    <w:name w:val="Menzione non risolta34"/>
    <w:basedOn w:val="Carpredefinitoparagrafo"/>
    <w:uiPriority w:val="99"/>
    <w:semiHidden/>
    <w:unhideWhenUsed/>
    <w:rsid w:val="00094243"/>
    <w:rPr>
      <w:color w:val="605E5C"/>
      <w:shd w:val="clear" w:color="auto" w:fill="E1DFDD"/>
    </w:rPr>
  </w:style>
  <w:style w:type="character" w:customStyle="1" w:styleId="Menzionenonrisolta35">
    <w:name w:val="Menzione non risolta35"/>
    <w:basedOn w:val="Carpredefinitoparagrafo"/>
    <w:uiPriority w:val="99"/>
    <w:semiHidden/>
    <w:unhideWhenUsed/>
    <w:rsid w:val="00741CDC"/>
    <w:rPr>
      <w:color w:val="605E5C"/>
      <w:shd w:val="clear" w:color="auto" w:fill="E1DFDD"/>
    </w:rPr>
  </w:style>
  <w:style w:type="character" w:customStyle="1" w:styleId="Menzionenonrisolta36">
    <w:name w:val="Menzione non risolta36"/>
    <w:basedOn w:val="Carpredefinitoparagrafo"/>
    <w:uiPriority w:val="99"/>
    <w:semiHidden/>
    <w:unhideWhenUsed/>
    <w:rsid w:val="002B2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8743">
      <w:bodyDiv w:val="1"/>
      <w:marLeft w:val="0"/>
      <w:marRight w:val="0"/>
      <w:marTop w:val="0"/>
      <w:marBottom w:val="0"/>
      <w:divBdr>
        <w:top w:val="none" w:sz="0" w:space="0" w:color="auto"/>
        <w:left w:val="none" w:sz="0" w:space="0" w:color="auto"/>
        <w:bottom w:val="none" w:sz="0" w:space="0" w:color="auto"/>
        <w:right w:val="none" w:sz="0" w:space="0" w:color="auto"/>
      </w:divBdr>
    </w:div>
    <w:div w:id="21134816">
      <w:bodyDiv w:val="1"/>
      <w:marLeft w:val="0"/>
      <w:marRight w:val="0"/>
      <w:marTop w:val="0"/>
      <w:marBottom w:val="0"/>
      <w:divBdr>
        <w:top w:val="none" w:sz="0" w:space="0" w:color="auto"/>
        <w:left w:val="none" w:sz="0" w:space="0" w:color="auto"/>
        <w:bottom w:val="none" w:sz="0" w:space="0" w:color="auto"/>
        <w:right w:val="none" w:sz="0" w:space="0" w:color="auto"/>
      </w:divBdr>
    </w:div>
    <w:div w:id="25329426">
      <w:bodyDiv w:val="1"/>
      <w:marLeft w:val="0"/>
      <w:marRight w:val="0"/>
      <w:marTop w:val="0"/>
      <w:marBottom w:val="0"/>
      <w:divBdr>
        <w:top w:val="none" w:sz="0" w:space="0" w:color="auto"/>
        <w:left w:val="none" w:sz="0" w:space="0" w:color="auto"/>
        <w:bottom w:val="none" w:sz="0" w:space="0" w:color="auto"/>
        <w:right w:val="none" w:sz="0" w:space="0" w:color="auto"/>
      </w:divBdr>
    </w:div>
    <w:div w:id="97146269">
      <w:bodyDiv w:val="1"/>
      <w:marLeft w:val="0"/>
      <w:marRight w:val="0"/>
      <w:marTop w:val="0"/>
      <w:marBottom w:val="0"/>
      <w:divBdr>
        <w:top w:val="none" w:sz="0" w:space="0" w:color="auto"/>
        <w:left w:val="none" w:sz="0" w:space="0" w:color="auto"/>
        <w:bottom w:val="none" w:sz="0" w:space="0" w:color="auto"/>
        <w:right w:val="none" w:sz="0" w:space="0" w:color="auto"/>
      </w:divBdr>
    </w:div>
    <w:div w:id="105782398">
      <w:bodyDiv w:val="1"/>
      <w:marLeft w:val="0"/>
      <w:marRight w:val="0"/>
      <w:marTop w:val="0"/>
      <w:marBottom w:val="0"/>
      <w:divBdr>
        <w:top w:val="none" w:sz="0" w:space="0" w:color="auto"/>
        <w:left w:val="none" w:sz="0" w:space="0" w:color="auto"/>
        <w:bottom w:val="none" w:sz="0" w:space="0" w:color="auto"/>
        <w:right w:val="none" w:sz="0" w:space="0" w:color="auto"/>
      </w:divBdr>
    </w:div>
    <w:div w:id="128136451">
      <w:bodyDiv w:val="1"/>
      <w:marLeft w:val="0"/>
      <w:marRight w:val="0"/>
      <w:marTop w:val="0"/>
      <w:marBottom w:val="0"/>
      <w:divBdr>
        <w:top w:val="none" w:sz="0" w:space="0" w:color="auto"/>
        <w:left w:val="none" w:sz="0" w:space="0" w:color="auto"/>
        <w:bottom w:val="none" w:sz="0" w:space="0" w:color="auto"/>
        <w:right w:val="none" w:sz="0" w:space="0" w:color="auto"/>
      </w:divBdr>
    </w:div>
    <w:div w:id="133184978">
      <w:bodyDiv w:val="1"/>
      <w:marLeft w:val="0"/>
      <w:marRight w:val="0"/>
      <w:marTop w:val="0"/>
      <w:marBottom w:val="0"/>
      <w:divBdr>
        <w:top w:val="none" w:sz="0" w:space="0" w:color="auto"/>
        <w:left w:val="none" w:sz="0" w:space="0" w:color="auto"/>
        <w:bottom w:val="none" w:sz="0" w:space="0" w:color="auto"/>
        <w:right w:val="none" w:sz="0" w:space="0" w:color="auto"/>
      </w:divBdr>
    </w:div>
    <w:div w:id="133646094">
      <w:bodyDiv w:val="1"/>
      <w:marLeft w:val="0"/>
      <w:marRight w:val="0"/>
      <w:marTop w:val="0"/>
      <w:marBottom w:val="0"/>
      <w:divBdr>
        <w:top w:val="none" w:sz="0" w:space="0" w:color="auto"/>
        <w:left w:val="none" w:sz="0" w:space="0" w:color="auto"/>
        <w:bottom w:val="none" w:sz="0" w:space="0" w:color="auto"/>
        <w:right w:val="none" w:sz="0" w:space="0" w:color="auto"/>
      </w:divBdr>
      <w:divsChild>
        <w:div w:id="795485497">
          <w:marLeft w:val="0"/>
          <w:marRight w:val="0"/>
          <w:marTop w:val="0"/>
          <w:marBottom w:val="0"/>
          <w:divBdr>
            <w:top w:val="none" w:sz="0" w:space="0" w:color="auto"/>
            <w:left w:val="none" w:sz="0" w:space="0" w:color="auto"/>
            <w:bottom w:val="none" w:sz="0" w:space="0" w:color="auto"/>
            <w:right w:val="none" w:sz="0" w:space="0" w:color="auto"/>
          </w:divBdr>
        </w:div>
      </w:divsChild>
    </w:div>
    <w:div w:id="152070208">
      <w:bodyDiv w:val="1"/>
      <w:marLeft w:val="0"/>
      <w:marRight w:val="0"/>
      <w:marTop w:val="0"/>
      <w:marBottom w:val="0"/>
      <w:divBdr>
        <w:top w:val="none" w:sz="0" w:space="0" w:color="auto"/>
        <w:left w:val="none" w:sz="0" w:space="0" w:color="auto"/>
        <w:bottom w:val="none" w:sz="0" w:space="0" w:color="auto"/>
        <w:right w:val="none" w:sz="0" w:space="0" w:color="auto"/>
      </w:divBdr>
    </w:div>
    <w:div w:id="164322423">
      <w:bodyDiv w:val="1"/>
      <w:marLeft w:val="0"/>
      <w:marRight w:val="0"/>
      <w:marTop w:val="0"/>
      <w:marBottom w:val="0"/>
      <w:divBdr>
        <w:top w:val="none" w:sz="0" w:space="0" w:color="auto"/>
        <w:left w:val="none" w:sz="0" w:space="0" w:color="auto"/>
        <w:bottom w:val="none" w:sz="0" w:space="0" w:color="auto"/>
        <w:right w:val="none" w:sz="0" w:space="0" w:color="auto"/>
      </w:divBdr>
    </w:div>
    <w:div w:id="198009528">
      <w:bodyDiv w:val="1"/>
      <w:marLeft w:val="0"/>
      <w:marRight w:val="0"/>
      <w:marTop w:val="0"/>
      <w:marBottom w:val="0"/>
      <w:divBdr>
        <w:top w:val="none" w:sz="0" w:space="0" w:color="auto"/>
        <w:left w:val="none" w:sz="0" w:space="0" w:color="auto"/>
        <w:bottom w:val="none" w:sz="0" w:space="0" w:color="auto"/>
        <w:right w:val="none" w:sz="0" w:space="0" w:color="auto"/>
      </w:divBdr>
      <w:divsChild>
        <w:div w:id="409540500">
          <w:marLeft w:val="0"/>
          <w:marRight w:val="0"/>
          <w:marTop w:val="0"/>
          <w:marBottom w:val="0"/>
          <w:divBdr>
            <w:top w:val="none" w:sz="0" w:space="0" w:color="auto"/>
            <w:left w:val="none" w:sz="0" w:space="0" w:color="auto"/>
            <w:bottom w:val="none" w:sz="0" w:space="0" w:color="auto"/>
            <w:right w:val="none" w:sz="0" w:space="0" w:color="auto"/>
          </w:divBdr>
        </w:div>
      </w:divsChild>
    </w:div>
    <w:div w:id="199784710">
      <w:bodyDiv w:val="1"/>
      <w:marLeft w:val="0"/>
      <w:marRight w:val="0"/>
      <w:marTop w:val="0"/>
      <w:marBottom w:val="0"/>
      <w:divBdr>
        <w:top w:val="none" w:sz="0" w:space="0" w:color="auto"/>
        <w:left w:val="none" w:sz="0" w:space="0" w:color="auto"/>
        <w:bottom w:val="none" w:sz="0" w:space="0" w:color="auto"/>
        <w:right w:val="none" w:sz="0" w:space="0" w:color="auto"/>
      </w:divBdr>
    </w:div>
    <w:div w:id="201134921">
      <w:bodyDiv w:val="1"/>
      <w:marLeft w:val="0"/>
      <w:marRight w:val="0"/>
      <w:marTop w:val="0"/>
      <w:marBottom w:val="0"/>
      <w:divBdr>
        <w:top w:val="none" w:sz="0" w:space="0" w:color="auto"/>
        <w:left w:val="none" w:sz="0" w:space="0" w:color="auto"/>
        <w:bottom w:val="none" w:sz="0" w:space="0" w:color="auto"/>
        <w:right w:val="none" w:sz="0" w:space="0" w:color="auto"/>
      </w:divBdr>
    </w:div>
    <w:div w:id="224803426">
      <w:bodyDiv w:val="1"/>
      <w:marLeft w:val="0"/>
      <w:marRight w:val="0"/>
      <w:marTop w:val="0"/>
      <w:marBottom w:val="0"/>
      <w:divBdr>
        <w:top w:val="none" w:sz="0" w:space="0" w:color="auto"/>
        <w:left w:val="none" w:sz="0" w:space="0" w:color="auto"/>
        <w:bottom w:val="none" w:sz="0" w:space="0" w:color="auto"/>
        <w:right w:val="none" w:sz="0" w:space="0" w:color="auto"/>
      </w:divBdr>
    </w:div>
    <w:div w:id="225527801">
      <w:bodyDiv w:val="1"/>
      <w:marLeft w:val="0"/>
      <w:marRight w:val="0"/>
      <w:marTop w:val="0"/>
      <w:marBottom w:val="0"/>
      <w:divBdr>
        <w:top w:val="none" w:sz="0" w:space="0" w:color="auto"/>
        <w:left w:val="none" w:sz="0" w:space="0" w:color="auto"/>
        <w:bottom w:val="none" w:sz="0" w:space="0" w:color="auto"/>
        <w:right w:val="none" w:sz="0" w:space="0" w:color="auto"/>
      </w:divBdr>
    </w:div>
    <w:div w:id="225577232">
      <w:bodyDiv w:val="1"/>
      <w:marLeft w:val="0"/>
      <w:marRight w:val="0"/>
      <w:marTop w:val="0"/>
      <w:marBottom w:val="0"/>
      <w:divBdr>
        <w:top w:val="none" w:sz="0" w:space="0" w:color="auto"/>
        <w:left w:val="none" w:sz="0" w:space="0" w:color="auto"/>
        <w:bottom w:val="none" w:sz="0" w:space="0" w:color="auto"/>
        <w:right w:val="none" w:sz="0" w:space="0" w:color="auto"/>
      </w:divBdr>
    </w:div>
    <w:div w:id="246885225">
      <w:bodyDiv w:val="1"/>
      <w:marLeft w:val="0"/>
      <w:marRight w:val="0"/>
      <w:marTop w:val="0"/>
      <w:marBottom w:val="0"/>
      <w:divBdr>
        <w:top w:val="none" w:sz="0" w:space="0" w:color="auto"/>
        <w:left w:val="none" w:sz="0" w:space="0" w:color="auto"/>
        <w:bottom w:val="none" w:sz="0" w:space="0" w:color="auto"/>
        <w:right w:val="none" w:sz="0" w:space="0" w:color="auto"/>
      </w:divBdr>
    </w:div>
    <w:div w:id="259993269">
      <w:bodyDiv w:val="1"/>
      <w:marLeft w:val="0"/>
      <w:marRight w:val="0"/>
      <w:marTop w:val="0"/>
      <w:marBottom w:val="0"/>
      <w:divBdr>
        <w:top w:val="none" w:sz="0" w:space="0" w:color="auto"/>
        <w:left w:val="none" w:sz="0" w:space="0" w:color="auto"/>
        <w:bottom w:val="none" w:sz="0" w:space="0" w:color="auto"/>
        <w:right w:val="none" w:sz="0" w:space="0" w:color="auto"/>
      </w:divBdr>
    </w:div>
    <w:div w:id="275797175">
      <w:bodyDiv w:val="1"/>
      <w:marLeft w:val="0"/>
      <w:marRight w:val="0"/>
      <w:marTop w:val="0"/>
      <w:marBottom w:val="0"/>
      <w:divBdr>
        <w:top w:val="none" w:sz="0" w:space="0" w:color="auto"/>
        <w:left w:val="none" w:sz="0" w:space="0" w:color="auto"/>
        <w:bottom w:val="none" w:sz="0" w:space="0" w:color="auto"/>
        <w:right w:val="none" w:sz="0" w:space="0" w:color="auto"/>
      </w:divBdr>
      <w:divsChild>
        <w:div w:id="784693560">
          <w:marLeft w:val="0"/>
          <w:marRight w:val="0"/>
          <w:marTop w:val="0"/>
          <w:marBottom w:val="0"/>
          <w:divBdr>
            <w:top w:val="none" w:sz="0" w:space="0" w:color="auto"/>
            <w:left w:val="none" w:sz="0" w:space="0" w:color="auto"/>
            <w:bottom w:val="none" w:sz="0" w:space="0" w:color="auto"/>
            <w:right w:val="none" w:sz="0" w:space="0" w:color="auto"/>
          </w:divBdr>
        </w:div>
      </w:divsChild>
    </w:div>
    <w:div w:id="279144412">
      <w:bodyDiv w:val="1"/>
      <w:marLeft w:val="0"/>
      <w:marRight w:val="0"/>
      <w:marTop w:val="0"/>
      <w:marBottom w:val="0"/>
      <w:divBdr>
        <w:top w:val="none" w:sz="0" w:space="0" w:color="auto"/>
        <w:left w:val="none" w:sz="0" w:space="0" w:color="auto"/>
        <w:bottom w:val="none" w:sz="0" w:space="0" w:color="auto"/>
        <w:right w:val="none" w:sz="0" w:space="0" w:color="auto"/>
      </w:divBdr>
    </w:div>
    <w:div w:id="300618764">
      <w:bodyDiv w:val="1"/>
      <w:marLeft w:val="0"/>
      <w:marRight w:val="0"/>
      <w:marTop w:val="0"/>
      <w:marBottom w:val="0"/>
      <w:divBdr>
        <w:top w:val="none" w:sz="0" w:space="0" w:color="auto"/>
        <w:left w:val="none" w:sz="0" w:space="0" w:color="auto"/>
        <w:bottom w:val="none" w:sz="0" w:space="0" w:color="auto"/>
        <w:right w:val="none" w:sz="0" w:space="0" w:color="auto"/>
      </w:divBdr>
    </w:div>
    <w:div w:id="333655997">
      <w:bodyDiv w:val="1"/>
      <w:marLeft w:val="0"/>
      <w:marRight w:val="0"/>
      <w:marTop w:val="0"/>
      <w:marBottom w:val="0"/>
      <w:divBdr>
        <w:top w:val="none" w:sz="0" w:space="0" w:color="auto"/>
        <w:left w:val="none" w:sz="0" w:space="0" w:color="auto"/>
        <w:bottom w:val="none" w:sz="0" w:space="0" w:color="auto"/>
        <w:right w:val="none" w:sz="0" w:space="0" w:color="auto"/>
      </w:divBdr>
    </w:div>
    <w:div w:id="347759257">
      <w:bodyDiv w:val="1"/>
      <w:marLeft w:val="0"/>
      <w:marRight w:val="0"/>
      <w:marTop w:val="0"/>
      <w:marBottom w:val="0"/>
      <w:divBdr>
        <w:top w:val="none" w:sz="0" w:space="0" w:color="auto"/>
        <w:left w:val="none" w:sz="0" w:space="0" w:color="auto"/>
        <w:bottom w:val="none" w:sz="0" w:space="0" w:color="auto"/>
        <w:right w:val="none" w:sz="0" w:space="0" w:color="auto"/>
      </w:divBdr>
    </w:div>
    <w:div w:id="364909094">
      <w:bodyDiv w:val="1"/>
      <w:marLeft w:val="0"/>
      <w:marRight w:val="0"/>
      <w:marTop w:val="0"/>
      <w:marBottom w:val="0"/>
      <w:divBdr>
        <w:top w:val="none" w:sz="0" w:space="0" w:color="auto"/>
        <w:left w:val="none" w:sz="0" w:space="0" w:color="auto"/>
        <w:bottom w:val="none" w:sz="0" w:space="0" w:color="auto"/>
        <w:right w:val="none" w:sz="0" w:space="0" w:color="auto"/>
      </w:divBdr>
    </w:div>
    <w:div w:id="374081856">
      <w:bodyDiv w:val="1"/>
      <w:marLeft w:val="0"/>
      <w:marRight w:val="0"/>
      <w:marTop w:val="0"/>
      <w:marBottom w:val="0"/>
      <w:divBdr>
        <w:top w:val="none" w:sz="0" w:space="0" w:color="auto"/>
        <w:left w:val="none" w:sz="0" w:space="0" w:color="auto"/>
        <w:bottom w:val="none" w:sz="0" w:space="0" w:color="auto"/>
        <w:right w:val="none" w:sz="0" w:space="0" w:color="auto"/>
      </w:divBdr>
    </w:div>
    <w:div w:id="377753063">
      <w:bodyDiv w:val="1"/>
      <w:marLeft w:val="0"/>
      <w:marRight w:val="0"/>
      <w:marTop w:val="0"/>
      <w:marBottom w:val="0"/>
      <w:divBdr>
        <w:top w:val="none" w:sz="0" w:space="0" w:color="auto"/>
        <w:left w:val="none" w:sz="0" w:space="0" w:color="auto"/>
        <w:bottom w:val="none" w:sz="0" w:space="0" w:color="auto"/>
        <w:right w:val="none" w:sz="0" w:space="0" w:color="auto"/>
      </w:divBdr>
      <w:divsChild>
        <w:div w:id="172108997">
          <w:marLeft w:val="0"/>
          <w:marRight w:val="0"/>
          <w:marTop w:val="0"/>
          <w:marBottom w:val="0"/>
          <w:divBdr>
            <w:top w:val="none" w:sz="0" w:space="0" w:color="auto"/>
            <w:left w:val="none" w:sz="0" w:space="0" w:color="auto"/>
            <w:bottom w:val="none" w:sz="0" w:space="0" w:color="auto"/>
            <w:right w:val="none" w:sz="0" w:space="0" w:color="auto"/>
          </w:divBdr>
        </w:div>
      </w:divsChild>
    </w:div>
    <w:div w:id="389884444">
      <w:bodyDiv w:val="1"/>
      <w:marLeft w:val="0"/>
      <w:marRight w:val="0"/>
      <w:marTop w:val="0"/>
      <w:marBottom w:val="0"/>
      <w:divBdr>
        <w:top w:val="none" w:sz="0" w:space="0" w:color="auto"/>
        <w:left w:val="none" w:sz="0" w:space="0" w:color="auto"/>
        <w:bottom w:val="none" w:sz="0" w:space="0" w:color="auto"/>
        <w:right w:val="none" w:sz="0" w:space="0" w:color="auto"/>
      </w:divBdr>
    </w:div>
    <w:div w:id="427510921">
      <w:bodyDiv w:val="1"/>
      <w:marLeft w:val="0"/>
      <w:marRight w:val="0"/>
      <w:marTop w:val="0"/>
      <w:marBottom w:val="0"/>
      <w:divBdr>
        <w:top w:val="none" w:sz="0" w:space="0" w:color="auto"/>
        <w:left w:val="none" w:sz="0" w:space="0" w:color="auto"/>
        <w:bottom w:val="none" w:sz="0" w:space="0" w:color="auto"/>
        <w:right w:val="none" w:sz="0" w:space="0" w:color="auto"/>
      </w:divBdr>
    </w:div>
    <w:div w:id="448743075">
      <w:bodyDiv w:val="1"/>
      <w:marLeft w:val="0"/>
      <w:marRight w:val="0"/>
      <w:marTop w:val="0"/>
      <w:marBottom w:val="0"/>
      <w:divBdr>
        <w:top w:val="none" w:sz="0" w:space="0" w:color="auto"/>
        <w:left w:val="none" w:sz="0" w:space="0" w:color="auto"/>
        <w:bottom w:val="none" w:sz="0" w:space="0" w:color="auto"/>
        <w:right w:val="none" w:sz="0" w:space="0" w:color="auto"/>
      </w:divBdr>
    </w:div>
    <w:div w:id="460806866">
      <w:bodyDiv w:val="1"/>
      <w:marLeft w:val="0"/>
      <w:marRight w:val="0"/>
      <w:marTop w:val="0"/>
      <w:marBottom w:val="0"/>
      <w:divBdr>
        <w:top w:val="none" w:sz="0" w:space="0" w:color="auto"/>
        <w:left w:val="none" w:sz="0" w:space="0" w:color="auto"/>
        <w:bottom w:val="none" w:sz="0" w:space="0" w:color="auto"/>
        <w:right w:val="none" w:sz="0" w:space="0" w:color="auto"/>
      </w:divBdr>
    </w:div>
    <w:div w:id="473986805">
      <w:bodyDiv w:val="1"/>
      <w:marLeft w:val="0"/>
      <w:marRight w:val="0"/>
      <w:marTop w:val="0"/>
      <w:marBottom w:val="0"/>
      <w:divBdr>
        <w:top w:val="none" w:sz="0" w:space="0" w:color="auto"/>
        <w:left w:val="none" w:sz="0" w:space="0" w:color="auto"/>
        <w:bottom w:val="none" w:sz="0" w:space="0" w:color="auto"/>
        <w:right w:val="none" w:sz="0" w:space="0" w:color="auto"/>
      </w:divBdr>
    </w:div>
    <w:div w:id="475419277">
      <w:bodyDiv w:val="1"/>
      <w:marLeft w:val="0"/>
      <w:marRight w:val="0"/>
      <w:marTop w:val="0"/>
      <w:marBottom w:val="0"/>
      <w:divBdr>
        <w:top w:val="none" w:sz="0" w:space="0" w:color="auto"/>
        <w:left w:val="none" w:sz="0" w:space="0" w:color="auto"/>
        <w:bottom w:val="none" w:sz="0" w:space="0" w:color="auto"/>
        <w:right w:val="none" w:sz="0" w:space="0" w:color="auto"/>
      </w:divBdr>
    </w:div>
    <w:div w:id="493690872">
      <w:bodyDiv w:val="1"/>
      <w:marLeft w:val="0"/>
      <w:marRight w:val="0"/>
      <w:marTop w:val="0"/>
      <w:marBottom w:val="0"/>
      <w:divBdr>
        <w:top w:val="none" w:sz="0" w:space="0" w:color="auto"/>
        <w:left w:val="none" w:sz="0" w:space="0" w:color="auto"/>
        <w:bottom w:val="none" w:sz="0" w:space="0" w:color="auto"/>
        <w:right w:val="none" w:sz="0" w:space="0" w:color="auto"/>
      </w:divBdr>
    </w:div>
    <w:div w:id="496505950">
      <w:bodyDiv w:val="1"/>
      <w:marLeft w:val="0"/>
      <w:marRight w:val="0"/>
      <w:marTop w:val="0"/>
      <w:marBottom w:val="0"/>
      <w:divBdr>
        <w:top w:val="none" w:sz="0" w:space="0" w:color="auto"/>
        <w:left w:val="none" w:sz="0" w:space="0" w:color="auto"/>
        <w:bottom w:val="none" w:sz="0" w:space="0" w:color="auto"/>
        <w:right w:val="none" w:sz="0" w:space="0" w:color="auto"/>
      </w:divBdr>
    </w:div>
    <w:div w:id="501048672">
      <w:bodyDiv w:val="1"/>
      <w:marLeft w:val="0"/>
      <w:marRight w:val="0"/>
      <w:marTop w:val="0"/>
      <w:marBottom w:val="0"/>
      <w:divBdr>
        <w:top w:val="none" w:sz="0" w:space="0" w:color="auto"/>
        <w:left w:val="none" w:sz="0" w:space="0" w:color="auto"/>
        <w:bottom w:val="none" w:sz="0" w:space="0" w:color="auto"/>
        <w:right w:val="none" w:sz="0" w:space="0" w:color="auto"/>
      </w:divBdr>
    </w:div>
    <w:div w:id="509569527">
      <w:bodyDiv w:val="1"/>
      <w:marLeft w:val="0"/>
      <w:marRight w:val="0"/>
      <w:marTop w:val="0"/>
      <w:marBottom w:val="0"/>
      <w:divBdr>
        <w:top w:val="none" w:sz="0" w:space="0" w:color="auto"/>
        <w:left w:val="none" w:sz="0" w:space="0" w:color="auto"/>
        <w:bottom w:val="none" w:sz="0" w:space="0" w:color="auto"/>
        <w:right w:val="none" w:sz="0" w:space="0" w:color="auto"/>
      </w:divBdr>
    </w:div>
    <w:div w:id="528683921">
      <w:bodyDiv w:val="1"/>
      <w:marLeft w:val="0"/>
      <w:marRight w:val="0"/>
      <w:marTop w:val="0"/>
      <w:marBottom w:val="0"/>
      <w:divBdr>
        <w:top w:val="none" w:sz="0" w:space="0" w:color="auto"/>
        <w:left w:val="none" w:sz="0" w:space="0" w:color="auto"/>
        <w:bottom w:val="none" w:sz="0" w:space="0" w:color="auto"/>
        <w:right w:val="none" w:sz="0" w:space="0" w:color="auto"/>
      </w:divBdr>
    </w:div>
    <w:div w:id="539363549">
      <w:bodyDiv w:val="1"/>
      <w:marLeft w:val="0"/>
      <w:marRight w:val="0"/>
      <w:marTop w:val="0"/>
      <w:marBottom w:val="0"/>
      <w:divBdr>
        <w:top w:val="none" w:sz="0" w:space="0" w:color="auto"/>
        <w:left w:val="none" w:sz="0" w:space="0" w:color="auto"/>
        <w:bottom w:val="none" w:sz="0" w:space="0" w:color="auto"/>
        <w:right w:val="none" w:sz="0" w:space="0" w:color="auto"/>
      </w:divBdr>
    </w:div>
    <w:div w:id="539712219">
      <w:bodyDiv w:val="1"/>
      <w:marLeft w:val="0"/>
      <w:marRight w:val="0"/>
      <w:marTop w:val="0"/>
      <w:marBottom w:val="0"/>
      <w:divBdr>
        <w:top w:val="none" w:sz="0" w:space="0" w:color="auto"/>
        <w:left w:val="none" w:sz="0" w:space="0" w:color="auto"/>
        <w:bottom w:val="none" w:sz="0" w:space="0" w:color="auto"/>
        <w:right w:val="none" w:sz="0" w:space="0" w:color="auto"/>
      </w:divBdr>
    </w:div>
    <w:div w:id="541985779">
      <w:bodyDiv w:val="1"/>
      <w:marLeft w:val="0"/>
      <w:marRight w:val="0"/>
      <w:marTop w:val="0"/>
      <w:marBottom w:val="0"/>
      <w:divBdr>
        <w:top w:val="none" w:sz="0" w:space="0" w:color="auto"/>
        <w:left w:val="none" w:sz="0" w:space="0" w:color="auto"/>
        <w:bottom w:val="none" w:sz="0" w:space="0" w:color="auto"/>
        <w:right w:val="none" w:sz="0" w:space="0" w:color="auto"/>
      </w:divBdr>
    </w:div>
    <w:div w:id="565067602">
      <w:bodyDiv w:val="1"/>
      <w:marLeft w:val="0"/>
      <w:marRight w:val="0"/>
      <w:marTop w:val="0"/>
      <w:marBottom w:val="0"/>
      <w:divBdr>
        <w:top w:val="none" w:sz="0" w:space="0" w:color="auto"/>
        <w:left w:val="none" w:sz="0" w:space="0" w:color="auto"/>
        <w:bottom w:val="none" w:sz="0" w:space="0" w:color="auto"/>
        <w:right w:val="none" w:sz="0" w:space="0" w:color="auto"/>
      </w:divBdr>
    </w:div>
    <w:div w:id="575363145">
      <w:bodyDiv w:val="1"/>
      <w:marLeft w:val="0"/>
      <w:marRight w:val="0"/>
      <w:marTop w:val="0"/>
      <w:marBottom w:val="0"/>
      <w:divBdr>
        <w:top w:val="none" w:sz="0" w:space="0" w:color="auto"/>
        <w:left w:val="none" w:sz="0" w:space="0" w:color="auto"/>
        <w:bottom w:val="none" w:sz="0" w:space="0" w:color="auto"/>
        <w:right w:val="none" w:sz="0" w:space="0" w:color="auto"/>
      </w:divBdr>
    </w:div>
    <w:div w:id="582447632">
      <w:bodyDiv w:val="1"/>
      <w:marLeft w:val="0"/>
      <w:marRight w:val="0"/>
      <w:marTop w:val="0"/>
      <w:marBottom w:val="0"/>
      <w:divBdr>
        <w:top w:val="none" w:sz="0" w:space="0" w:color="auto"/>
        <w:left w:val="none" w:sz="0" w:space="0" w:color="auto"/>
        <w:bottom w:val="none" w:sz="0" w:space="0" w:color="auto"/>
        <w:right w:val="none" w:sz="0" w:space="0" w:color="auto"/>
      </w:divBdr>
    </w:div>
    <w:div w:id="583800552">
      <w:bodyDiv w:val="1"/>
      <w:marLeft w:val="0"/>
      <w:marRight w:val="0"/>
      <w:marTop w:val="0"/>
      <w:marBottom w:val="0"/>
      <w:divBdr>
        <w:top w:val="none" w:sz="0" w:space="0" w:color="auto"/>
        <w:left w:val="none" w:sz="0" w:space="0" w:color="auto"/>
        <w:bottom w:val="none" w:sz="0" w:space="0" w:color="auto"/>
        <w:right w:val="none" w:sz="0" w:space="0" w:color="auto"/>
      </w:divBdr>
    </w:div>
    <w:div w:id="600113896">
      <w:bodyDiv w:val="1"/>
      <w:marLeft w:val="0"/>
      <w:marRight w:val="0"/>
      <w:marTop w:val="0"/>
      <w:marBottom w:val="0"/>
      <w:divBdr>
        <w:top w:val="none" w:sz="0" w:space="0" w:color="auto"/>
        <w:left w:val="none" w:sz="0" w:space="0" w:color="auto"/>
        <w:bottom w:val="none" w:sz="0" w:space="0" w:color="auto"/>
        <w:right w:val="none" w:sz="0" w:space="0" w:color="auto"/>
      </w:divBdr>
    </w:div>
    <w:div w:id="620265025">
      <w:bodyDiv w:val="1"/>
      <w:marLeft w:val="0"/>
      <w:marRight w:val="0"/>
      <w:marTop w:val="0"/>
      <w:marBottom w:val="0"/>
      <w:divBdr>
        <w:top w:val="none" w:sz="0" w:space="0" w:color="auto"/>
        <w:left w:val="none" w:sz="0" w:space="0" w:color="auto"/>
        <w:bottom w:val="none" w:sz="0" w:space="0" w:color="auto"/>
        <w:right w:val="none" w:sz="0" w:space="0" w:color="auto"/>
      </w:divBdr>
    </w:div>
    <w:div w:id="636641326">
      <w:bodyDiv w:val="1"/>
      <w:marLeft w:val="0"/>
      <w:marRight w:val="0"/>
      <w:marTop w:val="0"/>
      <w:marBottom w:val="0"/>
      <w:divBdr>
        <w:top w:val="none" w:sz="0" w:space="0" w:color="auto"/>
        <w:left w:val="none" w:sz="0" w:space="0" w:color="auto"/>
        <w:bottom w:val="none" w:sz="0" w:space="0" w:color="auto"/>
        <w:right w:val="none" w:sz="0" w:space="0" w:color="auto"/>
      </w:divBdr>
    </w:div>
    <w:div w:id="639460070">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
    <w:div w:id="666637601">
      <w:bodyDiv w:val="1"/>
      <w:marLeft w:val="0"/>
      <w:marRight w:val="0"/>
      <w:marTop w:val="0"/>
      <w:marBottom w:val="0"/>
      <w:divBdr>
        <w:top w:val="none" w:sz="0" w:space="0" w:color="auto"/>
        <w:left w:val="none" w:sz="0" w:space="0" w:color="auto"/>
        <w:bottom w:val="none" w:sz="0" w:space="0" w:color="auto"/>
        <w:right w:val="none" w:sz="0" w:space="0" w:color="auto"/>
      </w:divBdr>
    </w:div>
    <w:div w:id="676348674">
      <w:bodyDiv w:val="1"/>
      <w:marLeft w:val="0"/>
      <w:marRight w:val="0"/>
      <w:marTop w:val="0"/>
      <w:marBottom w:val="0"/>
      <w:divBdr>
        <w:top w:val="none" w:sz="0" w:space="0" w:color="auto"/>
        <w:left w:val="none" w:sz="0" w:space="0" w:color="auto"/>
        <w:bottom w:val="none" w:sz="0" w:space="0" w:color="auto"/>
        <w:right w:val="none" w:sz="0" w:space="0" w:color="auto"/>
      </w:divBdr>
    </w:div>
    <w:div w:id="691608377">
      <w:bodyDiv w:val="1"/>
      <w:marLeft w:val="0"/>
      <w:marRight w:val="0"/>
      <w:marTop w:val="0"/>
      <w:marBottom w:val="0"/>
      <w:divBdr>
        <w:top w:val="none" w:sz="0" w:space="0" w:color="auto"/>
        <w:left w:val="none" w:sz="0" w:space="0" w:color="auto"/>
        <w:bottom w:val="none" w:sz="0" w:space="0" w:color="auto"/>
        <w:right w:val="none" w:sz="0" w:space="0" w:color="auto"/>
      </w:divBdr>
    </w:div>
    <w:div w:id="716440731">
      <w:bodyDiv w:val="1"/>
      <w:marLeft w:val="0"/>
      <w:marRight w:val="0"/>
      <w:marTop w:val="0"/>
      <w:marBottom w:val="0"/>
      <w:divBdr>
        <w:top w:val="none" w:sz="0" w:space="0" w:color="auto"/>
        <w:left w:val="none" w:sz="0" w:space="0" w:color="auto"/>
        <w:bottom w:val="none" w:sz="0" w:space="0" w:color="auto"/>
        <w:right w:val="none" w:sz="0" w:space="0" w:color="auto"/>
      </w:divBdr>
      <w:divsChild>
        <w:div w:id="333531309">
          <w:marLeft w:val="0"/>
          <w:marRight w:val="0"/>
          <w:marTop w:val="0"/>
          <w:marBottom w:val="0"/>
          <w:divBdr>
            <w:top w:val="none" w:sz="0" w:space="0" w:color="auto"/>
            <w:left w:val="none" w:sz="0" w:space="0" w:color="auto"/>
            <w:bottom w:val="none" w:sz="0" w:space="0" w:color="auto"/>
            <w:right w:val="none" w:sz="0" w:space="0" w:color="auto"/>
          </w:divBdr>
        </w:div>
      </w:divsChild>
    </w:div>
    <w:div w:id="721638930">
      <w:bodyDiv w:val="1"/>
      <w:marLeft w:val="0"/>
      <w:marRight w:val="0"/>
      <w:marTop w:val="0"/>
      <w:marBottom w:val="0"/>
      <w:divBdr>
        <w:top w:val="none" w:sz="0" w:space="0" w:color="auto"/>
        <w:left w:val="none" w:sz="0" w:space="0" w:color="auto"/>
        <w:bottom w:val="none" w:sz="0" w:space="0" w:color="auto"/>
        <w:right w:val="none" w:sz="0" w:space="0" w:color="auto"/>
      </w:divBdr>
    </w:div>
    <w:div w:id="724136230">
      <w:bodyDiv w:val="1"/>
      <w:marLeft w:val="0"/>
      <w:marRight w:val="0"/>
      <w:marTop w:val="0"/>
      <w:marBottom w:val="0"/>
      <w:divBdr>
        <w:top w:val="none" w:sz="0" w:space="0" w:color="auto"/>
        <w:left w:val="none" w:sz="0" w:space="0" w:color="auto"/>
        <w:bottom w:val="none" w:sz="0" w:space="0" w:color="auto"/>
        <w:right w:val="none" w:sz="0" w:space="0" w:color="auto"/>
      </w:divBdr>
    </w:div>
    <w:div w:id="744304522">
      <w:bodyDiv w:val="1"/>
      <w:marLeft w:val="0"/>
      <w:marRight w:val="0"/>
      <w:marTop w:val="0"/>
      <w:marBottom w:val="0"/>
      <w:divBdr>
        <w:top w:val="none" w:sz="0" w:space="0" w:color="auto"/>
        <w:left w:val="none" w:sz="0" w:space="0" w:color="auto"/>
        <w:bottom w:val="none" w:sz="0" w:space="0" w:color="auto"/>
        <w:right w:val="none" w:sz="0" w:space="0" w:color="auto"/>
      </w:divBdr>
    </w:div>
    <w:div w:id="745037819">
      <w:bodyDiv w:val="1"/>
      <w:marLeft w:val="0"/>
      <w:marRight w:val="0"/>
      <w:marTop w:val="0"/>
      <w:marBottom w:val="0"/>
      <w:divBdr>
        <w:top w:val="none" w:sz="0" w:space="0" w:color="auto"/>
        <w:left w:val="none" w:sz="0" w:space="0" w:color="auto"/>
        <w:bottom w:val="none" w:sz="0" w:space="0" w:color="auto"/>
        <w:right w:val="none" w:sz="0" w:space="0" w:color="auto"/>
      </w:divBdr>
    </w:div>
    <w:div w:id="783815048">
      <w:bodyDiv w:val="1"/>
      <w:marLeft w:val="0"/>
      <w:marRight w:val="0"/>
      <w:marTop w:val="0"/>
      <w:marBottom w:val="0"/>
      <w:divBdr>
        <w:top w:val="none" w:sz="0" w:space="0" w:color="auto"/>
        <w:left w:val="none" w:sz="0" w:space="0" w:color="auto"/>
        <w:bottom w:val="none" w:sz="0" w:space="0" w:color="auto"/>
        <w:right w:val="none" w:sz="0" w:space="0" w:color="auto"/>
      </w:divBdr>
    </w:div>
    <w:div w:id="784301946">
      <w:bodyDiv w:val="1"/>
      <w:marLeft w:val="0"/>
      <w:marRight w:val="0"/>
      <w:marTop w:val="0"/>
      <w:marBottom w:val="0"/>
      <w:divBdr>
        <w:top w:val="none" w:sz="0" w:space="0" w:color="auto"/>
        <w:left w:val="none" w:sz="0" w:space="0" w:color="auto"/>
        <w:bottom w:val="none" w:sz="0" w:space="0" w:color="auto"/>
        <w:right w:val="none" w:sz="0" w:space="0" w:color="auto"/>
      </w:divBdr>
    </w:div>
    <w:div w:id="792401360">
      <w:bodyDiv w:val="1"/>
      <w:marLeft w:val="0"/>
      <w:marRight w:val="0"/>
      <w:marTop w:val="0"/>
      <w:marBottom w:val="0"/>
      <w:divBdr>
        <w:top w:val="none" w:sz="0" w:space="0" w:color="auto"/>
        <w:left w:val="none" w:sz="0" w:space="0" w:color="auto"/>
        <w:bottom w:val="none" w:sz="0" w:space="0" w:color="auto"/>
        <w:right w:val="none" w:sz="0" w:space="0" w:color="auto"/>
      </w:divBdr>
      <w:divsChild>
        <w:div w:id="2054113063">
          <w:marLeft w:val="0"/>
          <w:marRight w:val="0"/>
          <w:marTop w:val="0"/>
          <w:marBottom w:val="0"/>
          <w:divBdr>
            <w:top w:val="none" w:sz="0" w:space="0" w:color="auto"/>
            <w:left w:val="none" w:sz="0" w:space="0" w:color="auto"/>
            <w:bottom w:val="none" w:sz="0" w:space="0" w:color="auto"/>
            <w:right w:val="none" w:sz="0" w:space="0" w:color="auto"/>
          </w:divBdr>
        </w:div>
      </w:divsChild>
    </w:div>
    <w:div w:id="794566776">
      <w:bodyDiv w:val="1"/>
      <w:marLeft w:val="0"/>
      <w:marRight w:val="0"/>
      <w:marTop w:val="0"/>
      <w:marBottom w:val="0"/>
      <w:divBdr>
        <w:top w:val="none" w:sz="0" w:space="0" w:color="auto"/>
        <w:left w:val="none" w:sz="0" w:space="0" w:color="auto"/>
        <w:bottom w:val="none" w:sz="0" w:space="0" w:color="auto"/>
        <w:right w:val="none" w:sz="0" w:space="0" w:color="auto"/>
      </w:divBdr>
    </w:div>
    <w:div w:id="858855196">
      <w:bodyDiv w:val="1"/>
      <w:marLeft w:val="0"/>
      <w:marRight w:val="0"/>
      <w:marTop w:val="0"/>
      <w:marBottom w:val="0"/>
      <w:divBdr>
        <w:top w:val="none" w:sz="0" w:space="0" w:color="auto"/>
        <w:left w:val="none" w:sz="0" w:space="0" w:color="auto"/>
        <w:bottom w:val="none" w:sz="0" w:space="0" w:color="auto"/>
        <w:right w:val="none" w:sz="0" w:space="0" w:color="auto"/>
      </w:divBdr>
    </w:div>
    <w:div w:id="869031908">
      <w:bodyDiv w:val="1"/>
      <w:marLeft w:val="0"/>
      <w:marRight w:val="0"/>
      <w:marTop w:val="0"/>
      <w:marBottom w:val="0"/>
      <w:divBdr>
        <w:top w:val="none" w:sz="0" w:space="0" w:color="auto"/>
        <w:left w:val="none" w:sz="0" w:space="0" w:color="auto"/>
        <w:bottom w:val="none" w:sz="0" w:space="0" w:color="auto"/>
        <w:right w:val="none" w:sz="0" w:space="0" w:color="auto"/>
      </w:divBdr>
    </w:div>
    <w:div w:id="895241672">
      <w:bodyDiv w:val="1"/>
      <w:marLeft w:val="0"/>
      <w:marRight w:val="0"/>
      <w:marTop w:val="0"/>
      <w:marBottom w:val="0"/>
      <w:divBdr>
        <w:top w:val="none" w:sz="0" w:space="0" w:color="auto"/>
        <w:left w:val="none" w:sz="0" w:space="0" w:color="auto"/>
        <w:bottom w:val="none" w:sz="0" w:space="0" w:color="auto"/>
        <w:right w:val="none" w:sz="0" w:space="0" w:color="auto"/>
      </w:divBdr>
    </w:div>
    <w:div w:id="935552932">
      <w:bodyDiv w:val="1"/>
      <w:marLeft w:val="0"/>
      <w:marRight w:val="0"/>
      <w:marTop w:val="0"/>
      <w:marBottom w:val="0"/>
      <w:divBdr>
        <w:top w:val="none" w:sz="0" w:space="0" w:color="auto"/>
        <w:left w:val="none" w:sz="0" w:space="0" w:color="auto"/>
        <w:bottom w:val="none" w:sz="0" w:space="0" w:color="auto"/>
        <w:right w:val="none" w:sz="0" w:space="0" w:color="auto"/>
      </w:divBdr>
    </w:div>
    <w:div w:id="938875436">
      <w:bodyDiv w:val="1"/>
      <w:marLeft w:val="0"/>
      <w:marRight w:val="0"/>
      <w:marTop w:val="0"/>
      <w:marBottom w:val="0"/>
      <w:divBdr>
        <w:top w:val="none" w:sz="0" w:space="0" w:color="auto"/>
        <w:left w:val="none" w:sz="0" w:space="0" w:color="auto"/>
        <w:bottom w:val="none" w:sz="0" w:space="0" w:color="auto"/>
        <w:right w:val="none" w:sz="0" w:space="0" w:color="auto"/>
      </w:divBdr>
    </w:div>
    <w:div w:id="960762818">
      <w:bodyDiv w:val="1"/>
      <w:marLeft w:val="0"/>
      <w:marRight w:val="0"/>
      <w:marTop w:val="0"/>
      <w:marBottom w:val="0"/>
      <w:divBdr>
        <w:top w:val="none" w:sz="0" w:space="0" w:color="auto"/>
        <w:left w:val="none" w:sz="0" w:space="0" w:color="auto"/>
        <w:bottom w:val="none" w:sz="0" w:space="0" w:color="auto"/>
        <w:right w:val="none" w:sz="0" w:space="0" w:color="auto"/>
      </w:divBdr>
    </w:div>
    <w:div w:id="974410586">
      <w:bodyDiv w:val="1"/>
      <w:marLeft w:val="0"/>
      <w:marRight w:val="0"/>
      <w:marTop w:val="0"/>
      <w:marBottom w:val="0"/>
      <w:divBdr>
        <w:top w:val="none" w:sz="0" w:space="0" w:color="auto"/>
        <w:left w:val="none" w:sz="0" w:space="0" w:color="auto"/>
        <w:bottom w:val="none" w:sz="0" w:space="0" w:color="auto"/>
        <w:right w:val="none" w:sz="0" w:space="0" w:color="auto"/>
      </w:divBdr>
    </w:div>
    <w:div w:id="975141687">
      <w:bodyDiv w:val="1"/>
      <w:marLeft w:val="0"/>
      <w:marRight w:val="0"/>
      <w:marTop w:val="0"/>
      <w:marBottom w:val="0"/>
      <w:divBdr>
        <w:top w:val="none" w:sz="0" w:space="0" w:color="auto"/>
        <w:left w:val="none" w:sz="0" w:space="0" w:color="auto"/>
        <w:bottom w:val="none" w:sz="0" w:space="0" w:color="auto"/>
        <w:right w:val="none" w:sz="0" w:space="0" w:color="auto"/>
      </w:divBdr>
    </w:div>
    <w:div w:id="980689444">
      <w:bodyDiv w:val="1"/>
      <w:marLeft w:val="0"/>
      <w:marRight w:val="0"/>
      <w:marTop w:val="0"/>
      <w:marBottom w:val="0"/>
      <w:divBdr>
        <w:top w:val="none" w:sz="0" w:space="0" w:color="auto"/>
        <w:left w:val="none" w:sz="0" w:space="0" w:color="auto"/>
        <w:bottom w:val="none" w:sz="0" w:space="0" w:color="auto"/>
        <w:right w:val="none" w:sz="0" w:space="0" w:color="auto"/>
      </w:divBdr>
    </w:div>
    <w:div w:id="981272540">
      <w:bodyDiv w:val="1"/>
      <w:marLeft w:val="0"/>
      <w:marRight w:val="0"/>
      <w:marTop w:val="0"/>
      <w:marBottom w:val="0"/>
      <w:divBdr>
        <w:top w:val="none" w:sz="0" w:space="0" w:color="auto"/>
        <w:left w:val="none" w:sz="0" w:space="0" w:color="auto"/>
        <w:bottom w:val="none" w:sz="0" w:space="0" w:color="auto"/>
        <w:right w:val="none" w:sz="0" w:space="0" w:color="auto"/>
      </w:divBdr>
    </w:div>
    <w:div w:id="992828543">
      <w:bodyDiv w:val="1"/>
      <w:marLeft w:val="0"/>
      <w:marRight w:val="0"/>
      <w:marTop w:val="0"/>
      <w:marBottom w:val="0"/>
      <w:divBdr>
        <w:top w:val="none" w:sz="0" w:space="0" w:color="auto"/>
        <w:left w:val="none" w:sz="0" w:space="0" w:color="auto"/>
        <w:bottom w:val="none" w:sz="0" w:space="0" w:color="auto"/>
        <w:right w:val="none" w:sz="0" w:space="0" w:color="auto"/>
      </w:divBdr>
    </w:div>
    <w:div w:id="1001472034">
      <w:bodyDiv w:val="1"/>
      <w:marLeft w:val="0"/>
      <w:marRight w:val="0"/>
      <w:marTop w:val="0"/>
      <w:marBottom w:val="0"/>
      <w:divBdr>
        <w:top w:val="none" w:sz="0" w:space="0" w:color="auto"/>
        <w:left w:val="none" w:sz="0" w:space="0" w:color="auto"/>
        <w:bottom w:val="none" w:sz="0" w:space="0" w:color="auto"/>
        <w:right w:val="none" w:sz="0" w:space="0" w:color="auto"/>
      </w:divBdr>
    </w:div>
    <w:div w:id="1017273227">
      <w:bodyDiv w:val="1"/>
      <w:marLeft w:val="0"/>
      <w:marRight w:val="0"/>
      <w:marTop w:val="0"/>
      <w:marBottom w:val="0"/>
      <w:divBdr>
        <w:top w:val="none" w:sz="0" w:space="0" w:color="auto"/>
        <w:left w:val="none" w:sz="0" w:space="0" w:color="auto"/>
        <w:bottom w:val="none" w:sz="0" w:space="0" w:color="auto"/>
        <w:right w:val="none" w:sz="0" w:space="0" w:color="auto"/>
      </w:divBdr>
    </w:div>
    <w:div w:id="1019696754">
      <w:bodyDiv w:val="1"/>
      <w:marLeft w:val="0"/>
      <w:marRight w:val="0"/>
      <w:marTop w:val="0"/>
      <w:marBottom w:val="0"/>
      <w:divBdr>
        <w:top w:val="none" w:sz="0" w:space="0" w:color="auto"/>
        <w:left w:val="none" w:sz="0" w:space="0" w:color="auto"/>
        <w:bottom w:val="none" w:sz="0" w:space="0" w:color="auto"/>
        <w:right w:val="none" w:sz="0" w:space="0" w:color="auto"/>
      </w:divBdr>
    </w:div>
    <w:div w:id="1023363786">
      <w:bodyDiv w:val="1"/>
      <w:marLeft w:val="0"/>
      <w:marRight w:val="0"/>
      <w:marTop w:val="0"/>
      <w:marBottom w:val="0"/>
      <w:divBdr>
        <w:top w:val="none" w:sz="0" w:space="0" w:color="auto"/>
        <w:left w:val="none" w:sz="0" w:space="0" w:color="auto"/>
        <w:bottom w:val="none" w:sz="0" w:space="0" w:color="auto"/>
        <w:right w:val="none" w:sz="0" w:space="0" w:color="auto"/>
      </w:divBdr>
    </w:div>
    <w:div w:id="1072120335">
      <w:bodyDiv w:val="1"/>
      <w:marLeft w:val="0"/>
      <w:marRight w:val="0"/>
      <w:marTop w:val="0"/>
      <w:marBottom w:val="0"/>
      <w:divBdr>
        <w:top w:val="none" w:sz="0" w:space="0" w:color="auto"/>
        <w:left w:val="none" w:sz="0" w:space="0" w:color="auto"/>
        <w:bottom w:val="none" w:sz="0" w:space="0" w:color="auto"/>
        <w:right w:val="none" w:sz="0" w:space="0" w:color="auto"/>
      </w:divBdr>
    </w:div>
    <w:div w:id="1086923779">
      <w:bodyDiv w:val="1"/>
      <w:marLeft w:val="0"/>
      <w:marRight w:val="0"/>
      <w:marTop w:val="0"/>
      <w:marBottom w:val="0"/>
      <w:divBdr>
        <w:top w:val="none" w:sz="0" w:space="0" w:color="auto"/>
        <w:left w:val="none" w:sz="0" w:space="0" w:color="auto"/>
        <w:bottom w:val="none" w:sz="0" w:space="0" w:color="auto"/>
        <w:right w:val="none" w:sz="0" w:space="0" w:color="auto"/>
      </w:divBdr>
    </w:div>
    <w:div w:id="1087264456">
      <w:bodyDiv w:val="1"/>
      <w:marLeft w:val="0"/>
      <w:marRight w:val="0"/>
      <w:marTop w:val="0"/>
      <w:marBottom w:val="0"/>
      <w:divBdr>
        <w:top w:val="none" w:sz="0" w:space="0" w:color="auto"/>
        <w:left w:val="none" w:sz="0" w:space="0" w:color="auto"/>
        <w:bottom w:val="none" w:sz="0" w:space="0" w:color="auto"/>
        <w:right w:val="none" w:sz="0" w:space="0" w:color="auto"/>
      </w:divBdr>
    </w:div>
    <w:div w:id="1108548882">
      <w:bodyDiv w:val="1"/>
      <w:marLeft w:val="0"/>
      <w:marRight w:val="0"/>
      <w:marTop w:val="0"/>
      <w:marBottom w:val="0"/>
      <w:divBdr>
        <w:top w:val="none" w:sz="0" w:space="0" w:color="auto"/>
        <w:left w:val="none" w:sz="0" w:space="0" w:color="auto"/>
        <w:bottom w:val="none" w:sz="0" w:space="0" w:color="auto"/>
        <w:right w:val="none" w:sz="0" w:space="0" w:color="auto"/>
      </w:divBdr>
    </w:div>
    <w:div w:id="1124926404">
      <w:bodyDiv w:val="1"/>
      <w:marLeft w:val="0"/>
      <w:marRight w:val="0"/>
      <w:marTop w:val="0"/>
      <w:marBottom w:val="0"/>
      <w:divBdr>
        <w:top w:val="none" w:sz="0" w:space="0" w:color="auto"/>
        <w:left w:val="none" w:sz="0" w:space="0" w:color="auto"/>
        <w:bottom w:val="none" w:sz="0" w:space="0" w:color="auto"/>
        <w:right w:val="none" w:sz="0" w:space="0" w:color="auto"/>
      </w:divBdr>
    </w:div>
    <w:div w:id="1131903176">
      <w:bodyDiv w:val="1"/>
      <w:marLeft w:val="0"/>
      <w:marRight w:val="0"/>
      <w:marTop w:val="0"/>
      <w:marBottom w:val="0"/>
      <w:divBdr>
        <w:top w:val="none" w:sz="0" w:space="0" w:color="auto"/>
        <w:left w:val="none" w:sz="0" w:space="0" w:color="auto"/>
        <w:bottom w:val="none" w:sz="0" w:space="0" w:color="auto"/>
        <w:right w:val="none" w:sz="0" w:space="0" w:color="auto"/>
      </w:divBdr>
    </w:div>
    <w:div w:id="1150094754">
      <w:bodyDiv w:val="1"/>
      <w:marLeft w:val="0"/>
      <w:marRight w:val="0"/>
      <w:marTop w:val="0"/>
      <w:marBottom w:val="0"/>
      <w:divBdr>
        <w:top w:val="none" w:sz="0" w:space="0" w:color="auto"/>
        <w:left w:val="none" w:sz="0" w:space="0" w:color="auto"/>
        <w:bottom w:val="none" w:sz="0" w:space="0" w:color="auto"/>
        <w:right w:val="none" w:sz="0" w:space="0" w:color="auto"/>
      </w:divBdr>
    </w:div>
    <w:div w:id="1170943203">
      <w:bodyDiv w:val="1"/>
      <w:marLeft w:val="0"/>
      <w:marRight w:val="0"/>
      <w:marTop w:val="0"/>
      <w:marBottom w:val="0"/>
      <w:divBdr>
        <w:top w:val="none" w:sz="0" w:space="0" w:color="auto"/>
        <w:left w:val="none" w:sz="0" w:space="0" w:color="auto"/>
        <w:bottom w:val="none" w:sz="0" w:space="0" w:color="auto"/>
        <w:right w:val="none" w:sz="0" w:space="0" w:color="auto"/>
      </w:divBdr>
    </w:div>
    <w:div w:id="1186748929">
      <w:bodyDiv w:val="1"/>
      <w:marLeft w:val="0"/>
      <w:marRight w:val="0"/>
      <w:marTop w:val="0"/>
      <w:marBottom w:val="0"/>
      <w:divBdr>
        <w:top w:val="none" w:sz="0" w:space="0" w:color="auto"/>
        <w:left w:val="none" w:sz="0" w:space="0" w:color="auto"/>
        <w:bottom w:val="none" w:sz="0" w:space="0" w:color="auto"/>
        <w:right w:val="none" w:sz="0" w:space="0" w:color="auto"/>
      </w:divBdr>
    </w:div>
    <w:div w:id="1186868147">
      <w:bodyDiv w:val="1"/>
      <w:marLeft w:val="0"/>
      <w:marRight w:val="0"/>
      <w:marTop w:val="0"/>
      <w:marBottom w:val="0"/>
      <w:divBdr>
        <w:top w:val="none" w:sz="0" w:space="0" w:color="auto"/>
        <w:left w:val="none" w:sz="0" w:space="0" w:color="auto"/>
        <w:bottom w:val="none" w:sz="0" w:space="0" w:color="auto"/>
        <w:right w:val="none" w:sz="0" w:space="0" w:color="auto"/>
      </w:divBdr>
    </w:div>
    <w:div w:id="1191800072">
      <w:bodyDiv w:val="1"/>
      <w:marLeft w:val="0"/>
      <w:marRight w:val="0"/>
      <w:marTop w:val="0"/>
      <w:marBottom w:val="0"/>
      <w:divBdr>
        <w:top w:val="none" w:sz="0" w:space="0" w:color="auto"/>
        <w:left w:val="none" w:sz="0" w:space="0" w:color="auto"/>
        <w:bottom w:val="none" w:sz="0" w:space="0" w:color="auto"/>
        <w:right w:val="none" w:sz="0" w:space="0" w:color="auto"/>
      </w:divBdr>
    </w:div>
    <w:div w:id="1195509127">
      <w:bodyDiv w:val="1"/>
      <w:marLeft w:val="0"/>
      <w:marRight w:val="0"/>
      <w:marTop w:val="0"/>
      <w:marBottom w:val="0"/>
      <w:divBdr>
        <w:top w:val="none" w:sz="0" w:space="0" w:color="auto"/>
        <w:left w:val="none" w:sz="0" w:space="0" w:color="auto"/>
        <w:bottom w:val="none" w:sz="0" w:space="0" w:color="auto"/>
        <w:right w:val="none" w:sz="0" w:space="0" w:color="auto"/>
      </w:divBdr>
    </w:div>
    <w:div w:id="1209298668">
      <w:bodyDiv w:val="1"/>
      <w:marLeft w:val="0"/>
      <w:marRight w:val="0"/>
      <w:marTop w:val="0"/>
      <w:marBottom w:val="0"/>
      <w:divBdr>
        <w:top w:val="none" w:sz="0" w:space="0" w:color="auto"/>
        <w:left w:val="none" w:sz="0" w:space="0" w:color="auto"/>
        <w:bottom w:val="none" w:sz="0" w:space="0" w:color="auto"/>
        <w:right w:val="none" w:sz="0" w:space="0" w:color="auto"/>
      </w:divBdr>
    </w:div>
    <w:div w:id="1239749546">
      <w:bodyDiv w:val="1"/>
      <w:marLeft w:val="0"/>
      <w:marRight w:val="0"/>
      <w:marTop w:val="0"/>
      <w:marBottom w:val="0"/>
      <w:divBdr>
        <w:top w:val="none" w:sz="0" w:space="0" w:color="auto"/>
        <w:left w:val="none" w:sz="0" w:space="0" w:color="auto"/>
        <w:bottom w:val="none" w:sz="0" w:space="0" w:color="auto"/>
        <w:right w:val="none" w:sz="0" w:space="0" w:color="auto"/>
      </w:divBdr>
    </w:div>
    <w:div w:id="1245992847">
      <w:bodyDiv w:val="1"/>
      <w:marLeft w:val="0"/>
      <w:marRight w:val="0"/>
      <w:marTop w:val="0"/>
      <w:marBottom w:val="0"/>
      <w:divBdr>
        <w:top w:val="none" w:sz="0" w:space="0" w:color="auto"/>
        <w:left w:val="none" w:sz="0" w:space="0" w:color="auto"/>
        <w:bottom w:val="none" w:sz="0" w:space="0" w:color="auto"/>
        <w:right w:val="none" w:sz="0" w:space="0" w:color="auto"/>
      </w:divBdr>
    </w:div>
    <w:div w:id="1294171762">
      <w:bodyDiv w:val="1"/>
      <w:marLeft w:val="0"/>
      <w:marRight w:val="0"/>
      <w:marTop w:val="0"/>
      <w:marBottom w:val="0"/>
      <w:divBdr>
        <w:top w:val="none" w:sz="0" w:space="0" w:color="auto"/>
        <w:left w:val="none" w:sz="0" w:space="0" w:color="auto"/>
        <w:bottom w:val="none" w:sz="0" w:space="0" w:color="auto"/>
        <w:right w:val="none" w:sz="0" w:space="0" w:color="auto"/>
      </w:divBdr>
    </w:div>
    <w:div w:id="1295915529">
      <w:bodyDiv w:val="1"/>
      <w:marLeft w:val="0"/>
      <w:marRight w:val="0"/>
      <w:marTop w:val="0"/>
      <w:marBottom w:val="0"/>
      <w:divBdr>
        <w:top w:val="none" w:sz="0" w:space="0" w:color="auto"/>
        <w:left w:val="none" w:sz="0" w:space="0" w:color="auto"/>
        <w:bottom w:val="none" w:sz="0" w:space="0" w:color="auto"/>
        <w:right w:val="none" w:sz="0" w:space="0" w:color="auto"/>
      </w:divBdr>
    </w:div>
    <w:div w:id="1301497569">
      <w:bodyDiv w:val="1"/>
      <w:marLeft w:val="0"/>
      <w:marRight w:val="0"/>
      <w:marTop w:val="0"/>
      <w:marBottom w:val="0"/>
      <w:divBdr>
        <w:top w:val="none" w:sz="0" w:space="0" w:color="auto"/>
        <w:left w:val="none" w:sz="0" w:space="0" w:color="auto"/>
        <w:bottom w:val="none" w:sz="0" w:space="0" w:color="auto"/>
        <w:right w:val="none" w:sz="0" w:space="0" w:color="auto"/>
      </w:divBdr>
    </w:div>
    <w:div w:id="1311211078">
      <w:bodyDiv w:val="1"/>
      <w:marLeft w:val="0"/>
      <w:marRight w:val="0"/>
      <w:marTop w:val="0"/>
      <w:marBottom w:val="0"/>
      <w:divBdr>
        <w:top w:val="none" w:sz="0" w:space="0" w:color="auto"/>
        <w:left w:val="none" w:sz="0" w:space="0" w:color="auto"/>
        <w:bottom w:val="none" w:sz="0" w:space="0" w:color="auto"/>
        <w:right w:val="none" w:sz="0" w:space="0" w:color="auto"/>
      </w:divBdr>
    </w:div>
    <w:div w:id="1317874823">
      <w:bodyDiv w:val="1"/>
      <w:marLeft w:val="0"/>
      <w:marRight w:val="0"/>
      <w:marTop w:val="0"/>
      <w:marBottom w:val="0"/>
      <w:divBdr>
        <w:top w:val="none" w:sz="0" w:space="0" w:color="auto"/>
        <w:left w:val="none" w:sz="0" w:space="0" w:color="auto"/>
        <w:bottom w:val="none" w:sz="0" w:space="0" w:color="auto"/>
        <w:right w:val="none" w:sz="0" w:space="0" w:color="auto"/>
      </w:divBdr>
    </w:div>
    <w:div w:id="1335643605">
      <w:bodyDiv w:val="1"/>
      <w:marLeft w:val="0"/>
      <w:marRight w:val="0"/>
      <w:marTop w:val="0"/>
      <w:marBottom w:val="0"/>
      <w:divBdr>
        <w:top w:val="none" w:sz="0" w:space="0" w:color="auto"/>
        <w:left w:val="none" w:sz="0" w:space="0" w:color="auto"/>
        <w:bottom w:val="none" w:sz="0" w:space="0" w:color="auto"/>
        <w:right w:val="none" w:sz="0" w:space="0" w:color="auto"/>
      </w:divBdr>
    </w:div>
    <w:div w:id="1339431595">
      <w:bodyDiv w:val="1"/>
      <w:marLeft w:val="0"/>
      <w:marRight w:val="0"/>
      <w:marTop w:val="0"/>
      <w:marBottom w:val="0"/>
      <w:divBdr>
        <w:top w:val="none" w:sz="0" w:space="0" w:color="auto"/>
        <w:left w:val="none" w:sz="0" w:space="0" w:color="auto"/>
        <w:bottom w:val="none" w:sz="0" w:space="0" w:color="auto"/>
        <w:right w:val="none" w:sz="0" w:space="0" w:color="auto"/>
      </w:divBdr>
    </w:div>
    <w:div w:id="1339887644">
      <w:bodyDiv w:val="1"/>
      <w:marLeft w:val="0"/>
      <w:marRight w:val="0"/>
      <w:marTop w:val="0"/>
      <w:marBottom w:val="0"/>
      <w:divBdr>
        <w:top w:val="none" w:sz="0" w:space="0" w:color="auto"/>
        <w:left w:val="none" w:sz="0" w:space="0" w:color="auto"/>
        <w:bottom w:val="none" w:sz="0" w:space="0" w:color="auto"/>
        <w:right w:val="none" w:sz="0" w:space="0" w:color="auto"/>
      </w:divBdr>
      <w:divsChild>
        <w:div w:id="667439452">
          <w:marLeft w:val="0"/>
          <w:marRight w:val="0"/>
          <w:marTop w:val="0"/>
          <w:marBottom w:val="0"/>
          <w:divBdr>
            <w:top w:val="none" w:sz="0" w:space="0" w:color="auto"/>
            <w:left w:val="none" w:sz="0" w:space="0" w:color="auto"/>
            <w:bottom w:val="none" w:sz="0" w:space="0" w:color="auto"/>
            <w:right w:val="none" w:sz="0" w:space="0" w:color="auto"/>
          </w:divBdr>
        </w:div>
      </w:divsChild>
    </w:div>
    <w:div w:id="1357534973">
      <w:bodyDiv w:val="1"/>
      <w:marLeft w:val="0"/>
      <w:marRight w:val="0"/>
      <w:marTop w:val="0"/>
      <w:marBottom w:val="0"/>
      <w:divBdr>
        <w:top w:val="none" w:sz="0" w:space="0" w:color="auto"/>
        <w:left w:val="none" w:sz="0" w:space="0" w:color="auto"/>
        <w:bottom w:val="none" w:sz="0" w:space="0" w:color="auto"/>
        <w:right w:val="none" w:sz="0" w:space="0" w:color="auto"/>
      </w:divBdr>
    </w:div>
    <w:div w:id="1357996917">
      <w:bodyDiv w:val="1"/>
      <w:marLeft w:val="0"/>
      <w:marRight w:val="0"/>
      <w:marTop w:val="0"/>
      <w:marBottom w:val="0"/>
      <w:divBdr>
        <w:top w:val="none" w:sz="0" w:space="0" w:color="auto"/>
        <w:left w:val="none" w:sz="0" w:space="0" w:color="auto"/>
        <w:bottom w:val="none" w:sz="0" w:space="0" w:color="auto"/>
        <w:right w:val="none" w:sz="0" w:space="0" w:color="auto"/>
      </w:divBdr>
    </w:div>
    <w:div w:id="1364751281">
      <w:bodyDiv w:val="1"/>
      <w:marLeft w:val="0"/>
      <w:marRight w:val="0"/>
      <w:marTop w:val="0"/>
      <w:marBottom w:val="0"/>
      <w:divBdr>
        <w:top w:val="none" w:sz="0" w:space="0" w:color="auto"/>
        <w:left w:val="none" w:sz="0" w:space="0" w:color="auto"/>
        <w:bottom w:val="none" w:sz="0" w:space="0" w:color="auto"/>
        <w:right w:val="none" w:sz="0" w:space="0" w:color="auto"/>
      </w:divBdr>
      <w:divsChild>
        <w:div w:id="443615198">
          <w:marLeft w:val="0"/>
          <w:marRight w:val="0"/>
          <w:marTop w:val="0"/>
          <w:marBottom w:val="0"/>
          <w:divBdr>
            <w:top w:val="none" w:sz="0" w:space="0" w:color="auto"/>
            <w:left w:val="none" w:sz="0" w:space="0" w:color="auto"/>
            <w:bottom w:val="none" w:sz="0" w:space="0" w:color="auto"/>
            <w:right w:val="none" w:sz="0" w:space="0" w:color="auto"/>
          </w:divBdr>
        </w:div>
      </w:divsChild>
    </w:div>
    <w:div w:id="1379933901">
      <w:bodyDiv w:val="1"/>
      <w:marLeft w:val="0"/>
      <w:marRight w:val="0"/>
      <w:marTop w:val="0"/>
      <w:marBottom w:val="0"/>
      <w:divBdr>
        <w:top w:val="none" w:sz="0" w:space="0" w:color="auto"/>
        <w:left w:val="none" w:sz="0" w:space="0" w:color="auto"/>
        <w:bottom w:val="none" w:sz="0" w:space="0" w:color="auto"/>
        <w:right w:val="none" w:sz="0" w:space="0" w:color="auto"/>
      </w:divBdr>
    </w:div>
    <w:div w:id="1389643351">
      <w:bodyDiv w:val="1"/>
      <w:marLeft w:val="0"/>
      <w:marRight w:val="0"/>
      <w:marTop w:val="0"/>
      <w:marBottom w:val="0"/>
      <w:divBdr>
        <w:top w:val="none" w:sz="0" w:space="0" w:color="auto"/>
        <w:left w:val="none" w:sz="0" w:space="0" w:color="auto"/>
        <w:bottom w:val="none" w:sz="0" w:space="0" w:color="auto"/>
        <w:right w:val="none" w:sz="0" w:space="0" w:color="auto"/>
      </w:divBdr>
    </w:div>
    <w:div w:id="1404445437">
      <w:bodyDiv w:val="1"/>
      <w:marLeft w:val="0"/>
      <w:marRight w:val="0"/>
      <w:marTop w:val="0"/>
      <w:marBottom w:val="0"/>
      <w:divBdr>
        <w:top w:val="none" w:sz="0" w:space="0" w:color="auto"/>
        <w:left w:val="none" w:sz="0" w:space="0" w:color="auto"/>
        <w:bottom w:val="none" w:sz="0" w:space="0" w:color="auto"/>
        <w:right w:val="none" w:sz="0" w:space="0" w:color="auto"/>
      </w:divBdr>
      <w:divsChild>
        <w:div w:id="1041899107">
          <w:marLeft w:val="0"/>
          <w:marRight w:val="0"/>
          <w:marTop w:val="0"/>
          <w:marBottom w:val="0"/>
          <w:divBdr>
            <w:top w:val="none" w:sz="0" w:space="0" w:color="auto"/>
            <w:left w:val="none" w:sz="0" w:space="0" w:color="auto"/>
            <w:bottom w:val="none" w:sz="0" w:space="0" w:color="auto"/>
            <w:right w:val="none" w:sz="0" w:space="0" w:color="auto"/>
          </w:divBdr>
        </w:div>
      </w:divsChild>
    </w:div>
    <w:div w:id="1415978627">
      <w:bodyDiv w:val="1"/>
      <w:marLeft w:val="0"/>
      <w:marRight w:val="0"/>
      <w:marTop w:val="0"/>
      <w:marBottom w:val="0"/>
      <w:divBdr>
        <w:top w:val="none" w:sz="0" w:space="0" w:color="auto"/>
        <w:left w:val="none" w:sz="0" w:space="0" w:color="auto"/>
        <w:bottom w:val="none" w:sz="0" w:space="0" w:color="auto"/>
        <w:right w:val="none" w:sz="0" w:space="0" w:color="auto"/>
      </w:divBdr>
    </w:div>
    <w:div w:id="1426685603">
      <w:bodyDiv w:val="1"/>
      <w:marLeft w:val="0"/>
      <w:marRight w:val="0"/>
      <w:marTop w:val="0"/>
      <w:marBottom w:val="0"/>
      <w:divBdr>
        <w:top w:val="none" w:sz="0" w:space="0" w:color="auto"/>
        <w:left w:val="none" w:sz="0" w:space="0" w:color="auto"/>
        <w:bottom w:val="none" w:sz="0" w:space="0" w:color="auto"/>
        <w:right w:val="none" w:sz="0" w:space="0" w:color="auto"/>
      </w:divBdr>
    </w:div>
    <w:div w:id="1427851070">
      <w:bodyDiv w:val="1"/>
      <w:marLeft w:val="0"/>
      <w:marRight w:val="0"/>
      <w:marTop w:val="0"/>
      <w:marBottom w:val="0"/>
      <w:divBdr>
        <w:top w:val="none" w:sz="0" w:space="0" w:color="auto"/>
        <w:left w:val="none" w:sz="0" w:space="0" w:color="auto"/>
        <w:bottom w:val="none" w:sz="0" w:space="0" w:color="auto"/>
        <w:right w:val="none" w:sz="0" w:space="0" w:color="auto"/>
      </w:divBdr>
    </w:div>
    <w:div w:id="1428966217">
      <w:bodyDiv w:val="1"/>
      <w:marLeft w:val="0"/>
      <w:marRight w:val="0"/>
      <w:marTop w:val="0"/>
      <w:marBottom w:val="0"/>
      <w:divBdr>
        <w:top w:val="none" w:sz="0" w:space="0" w:color="auto"/>
        <w:left w:val="none" w:sz="0" w:space="0" w:color="auto"/>
        <w:bottom w:val="none" w:sz="0" w:space="0" w:color="auto"/>
        <w:right w:val="none" w:sz="0" w:space="0" w:color="auto"/>
      </w:divBdr>
    </w:div>
    <w:div w:id="1439594457">
      <w:bodyDiv w:val="1"/>
      <w:marLeft w:val="0"/>
      <w:marRight w:val="0"/>
      <w:marTop w:val="0"/>
      <w:marBottom w:val="0"/>
      <w:divBdr>
        <w:top w:val="none" w:sz="0" w:space="0" w:color="auto"/>
        <w:left w:val="none" w:sz="0" w:space="0" w:color="auto"/>
        <w:bottom w:val="none" w:sz="0" w:space="0" w:color="auto"/>
        <w:right w:val="none" w:sz="0" w:space="0" w:color="auto"/>
      </w:divBdr>
    </w:div>
    <w:div w:id="1452244165">
      <w:bodyDiv w:val="1"/>
      <w:marLeft w:val="0"/>
      <w:marRight w:val="0"/>
      <w:marTop w:val="0"/>
      <w:marBottom w:val="0"/>
      <w:divBdr>
        <w:top w:val="none" w:sz="0" w:space="0" w:color="auto"/>
        <w:left w:val="none" w:sz="0" w:space="0" w:color="auto"/>
        <w:bottom w:val="none" w:sz="0" w:space="0" w:color="auto"/>
        <w:right w:val="none" w:sz="0" w:space="0" w:color="auto"/>
      </w:divBdr>
    </w:div>
    <w:div w:id="1465807776">
      <w:bodyDiv w:val="1"/>
      <w:marLeft w:val="0"/>
      <w:marRight w:val="0"/>
      <w:marTop w:val="0"/>
      <w:marBottom w:val="0"/>
      <w:divBdr>
        <w:top w:val="none" w:sz="0" w:space="0" w:color="auto"/>
        <w:left w:val="none" w:sz="0" w:space="0" w:color="auto"/>
        <w:bottom w:val="none" w:sz="0" w:space="0" w:color="auto"/>
        <w:right w:val="none" w:sz="0" w:space="0" w:color="auto"/>
      </w:divBdr>
      <w:divsChild>
        <w:div w:id="1371492109">
          <w:marLeft w:val="0"/>
          <w:marRight w:val="0"/>
          <w:marTop w:val="0"/>
          <w:marBottom w:val="0"/>
          <w:divBdr>
            <w:top w:val="none" w:sz="0" w:space="0" w:color="auto"/>
            <w:left w:val="none" w:sz="0" w:space="0" w:color="auto"/>
            <w:bottom w:val="none" w:sz="0" w:space="0" w:color="auto"/>
            <w:right w:val="none" w:sz="0" w:space="0" w:color="auto"/>
          </w:divBdr>
        </w:div>
      </w:divsChild>
    </w:div>
    <w:div w:id="1487630440">
      <w:bodyDiv w:val="1"/>
      <w:marLeft w:val="0"/>
      <w:marRight w:val="0"/>
      <w:marTop w:val="0"/>
      <w:marBottom w:val="0"/>
      <w:divBdr>
        <w:top w:val="none" w:sz="0" w:space="0" w:color="auto"/>
        <w:left w:val="none" w:sz="0" w:space="0" w:color="auto"/>
        <w:bottom w:val="none" w:sz="0" w:space="0" w:color="auto"/>
        <w:right w:val="none" w:sz="0" w:space="0" w:color="auto"/>
      </w:divBdr>
    </w:div>
    <w:div w:id="1519663652">
      <w:bodyDiv w:val="1"/>
      <w:marLeft w:val="0"/>
      <w:marRight w:val="0"/>
      <w:marTop w:val="0"/>
      <w:marBottom w:val="0"/>
      <w:divBdr>
        <w:top w:val="none" w:sz="0" w:space="0" w:color="auto"/>
        <w:left w:val="none" w:sz="0" w:space="0" w:color="auto"/>
        <w:bottom w:val="none" w:sz="0" w:space="0" w:color="auto"/>
        <w:right w:val="none" w:sz="0" w:space="0" w:color="auto"/>
      </w:divBdr>
    </w:div>
    <w:div w:id="1530873707">
      <w:bodyDiv w:val="1"/>
      <w:marLeft w:val="0"/>
      <w:marRight w:val="0"/>
      <w:marTop w:val="0"/>
      <w:marBottom w:val="0"/>
      <w:divBdr>
        <w:top w:val="none" w:sz="0" w:space="0" w:color="auto"/>
        <w:left w:val="none" w:sz="0" w:space="0" w:color="auto"/>
        <w:bottom w:val="none" w:sz="0" w:space="0" w:color="auto"/>
        <w:right w:val="none" w:sz="0" w:space="0" w:color="auto"/>
      </w:divBdr>
    </w:div>
    <w:div w:id="1531265109">
      <w:bodyDiv w:val="1"/>
      <w:marLeft w:val="0"/>
      <w:marRight w:val="0"/>
      <w:marTop w:val="0"/>
      <w:marBottom w:val="0"/>
      <w:divBdr>
        <w:top w:val="none" w:sz="0" w:space="0" w:color="auto"/>
        <w:left w:val="none" w:sz="0" w:space="0" w:color="auto"/>
        <w:bottom w:val="none" w:sz="0" w:space="0" w:color="auto"/>
        <w:right w:val="none" w:sz="0" w:space="0" w:color="auto"/>
      </w:divBdr>
    </w:div>
    <w:div w:id="1533346557">
      <w:bodyDiv w:val="1"/>
      <w:marLeft w:val="0"/>
      <w:marRight w:val="0"/>
      <w:marTop w:val="0"/>
      <w:marBottom w:val="0"/>
      <w:divBdr>
        <w:top w:val="none" w:sz="0" w:space="0" w:color="auto"/>
        <w:left w:val="none" w:sz="0" w:space="0" w:color="auto"/>
        <w:bottom w:val="none" w:sz="0" w:space="0" w:color="auto"/>
        <w:right w:val="none" w:sz="0" w:space="0" w:color="auto"/>
      </w:divBdr>
    </w:div>
    <w:div w:id="1541360408">
      <w:bodyDiv w:val="1"/>
      <w:marLeft w:val="0"/>
      <w:marRight w:val="0"/>
      <w:marTop w:val="0"/>
      <w:marBottom w:val="0"/>
      <w:divBdr>
        <w:top w:val="none" w:sz="0" w:space="0" w:color="auto"/>
        <w:left w:val="none" w:sz="0" w:space="0" w:color="auto"/>
        <w:bottom w:val="none" w:sz="0" w:space="0" w:color="auto"/>
        <w:right w:val="none" w:sz="0" w:space="0" w:color="auto"/>
      </w:divBdr>
      <w:divsChild>
        <w:div w:id="1013536079">
          <w:marLeft w:val="0"/>
          <w:marRight w:val="0"/>
          <w:marTop w:val="0"/>
          <w:marBottom w:val="0"/>
          <w:divBdr>
            <w:top w:val="none" w:sz="0" w:space="0" w:color="auto"/>
            <w:left w:val="none" w:sz="0" w:space="0" w:color="auto"/>
            <w:bottom w:val="none" w:sz="0" w:space="0" w:color="auto"/>
            <w:right w:val="none" w:sz="0" w:space="0" w:color="auto"/>
          </w:divBdr>
          <w:divsChild>
            <w:div w:id="69785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09862">
      <w:bodyDiv w:val="1"/>
      <w:marLeft w:val="0"/>
      <w:marRight w:val="0"/>
      <w:marTop w:val="0"/>
      <w:marBottom w:val="0"/>
      <w:divBdr>
        <w:top w:val="none" w:sz="0" w:space="0" w:color="auto"/>
        <w:left w:val="none" w:sz="0" w:space="0" w:color="auto"/>
        <w:bottom w:val="none" w:sz="0" w:space="0" w:color="auto"/>
        <w:right w:val="none" w:sz="0" w:space="0" w:color="auto"/>
      </w:divBdr>
    </w:div>
    <w:div w:id="1606158186">
      <w:bodyDiv w:val="1"/>
      <w:marLeft w:val="0"/>
      <w:marRight w:val="0"/>
      <w:marTop w:val="0"/>
      <w:marBottom w:val="0"/>
      <w:divBdr>
        <w:top w:val="none" w:sz="0" w:space="0" w:color="auto"/>
        <w:left w:val="none" w:sz="0" w:space="0" w:color="auto"/>
        <w:bottom w:val="none" w:sz="0" w:space="0" w:color="auto"/>
        <w:right w:val="none" w:sz="0" w:space="0" w:color="auto"/>
      </w:divBdr>
    </w:div>
    <w:div w:id="1615556879">
      <w:bodyDiv w:val="1"/>
      <w:marLeft w:val="0"/>
      <w:marRight w:val="0"/>
      <w:marTop w:val="0"/>
      <w:marBottom w:val="0"/>
      <w:divBdr>
        <w:top w:val="none" w:sz="0" w:space="0" w:color="auto"/>
        <w:left w:val="none" w:sz="0" w:space="0" w:color="auto"/>
        <w:bottom w:val="none" w:sz="0" w:space="0" w:color="auto"/>
        <w:right w:val="none" w:sz="0" w:space="0" w:color="auto"/>
      </w:divBdr>
    </w:div>
    <w:div w:id="1622343775">
      <w:bodyDiv w:val="1"/>
      <w:marLeft w:val="0"/>
      <w:marRight w:val="0"/>
      <w:marTop w:val="0"/>
      <w:marBottom w:val="0"/>
      <w:divBdr>
        <w:top w:val="none" w:sz="0" w:space="0" w:color="auto"/>
        <w:left w:val="none" w:sz="0" w:space="0" w:color="auto"/>
        <w:bottom w:val="none" w:sz="0" w:space="0" w:color="auto"/>
        <w:right w:val="none" w:sz="0" w:space="0" w:color="auto"/>
      </w:divBdr>
    </w:div>
    <w:div w:id="1624072128">
      <w:bodyDiv w:val="1"/>
      <w:marLeft w:val="0"/>
      <w:marRight w:val="0"/>
      <w:marTop w:val="0"/>
      <w:marBottom w:val="0"/>
      <w:divBdr>
        <w:top w:val="none" w:sz="0" w:space="0" w:color="auto"/>
        <w:left w:val="none" w:sz="0" w:space="0" w:color="auto"/>
        <w:bottom w:val="none" w:sz="0" w:space="0" w:color="auto"/>
        <w:right w:val="none" w:sz="0" w:space="0" w:color="auto"/>
      </w:divBdr>
    </w:div>
    <w:div w:id="1647052232">
      <w:bodyDiv w:val="1"/>
      <w:marLeft w:val="0"/>
      <w:marRight w:val="0"/>
      <w:marTop w:val="0"/>
      <w:marBottom w:val="0"/>
      <w:divBdr>
        <w:top w:val="none" w:sz="0" w:space="0" w:color="auto"/>
        <w:left w:val="none" w:sz="0" w:space="0" w:color="auto"/>
        <w:bottom w:val="none" w:sz="0" w:space="0" w:color="auto"/>
        <w:right w:val="none" w:sz="0" w:space="0" w:color="auto"/>
      </w:divBdr>
    </w:div>
    <w:div w:id="1666476888">
      <w:bodyDiv w:val="1"/>
      <w:marLeft w:val="0"/>
      <w:marRight w:val="0"/>
      <w:marTop w:val="0"/>
      <w:marBottom w:val="0"/>
      <w:divBdr>
        <w:top w:val="none" w:sz="0" w:space="0" w:color="auto"/>
        <w:left w:val="none" w:sz="0" w:space="0" w:color="auto"/>
        <w:bottom w:val="none" w:sz="0" w:space="0" w:color="auto"/>
        <w:right w:val="none" w:sz="0" w:space="0" w:color="auto"/>
      </w:divBdr>
    </w:div>
    <w:div w:id="1708404662">
      <w:bodyDiv w:val="1"/>
      <w:marLeft w:val="0"/>
      <w:marRight w:val="0"/>
      <w:marTop w:val="0"/>
      <w:marBottom w:val="0"/>
      <w:divBdr>
        <w:top w:val="none" w:sz="0" w:space="0" w:color="auto"/>
        <w:left w:val="none" w:sz="0" w:space="0" w:color="auto"/>
        <w:bottom w:val="none" w:sz="0" w:space="0" w:color="auto"/>
        <w:right w:val="none" w:sz="0" w:space="0" w:color="auto"/>
      </w:divBdr>
    </w:div>
    <w:div w:id="1733582631">
      <w:bodyDiv w:val="1"/>
      <w:marLeft w:val="0"/>
      <w:marRight w:val="0"/>
      <w:marTop w:val="0"/>
      <w:marBottom w:val="0"/>
      <w:divBdr>
        <w:top w:val="none" w:sz="0" w:space="0" w:color="auto"/>
        <w:left w:val="none" w:sz="0" w:space="0" w:color="auto"/>
        <w:bottom w:val="none" w:sz="0" w:space="0" w:color="auto"/>
        <w:right w:val="none" w:sz="0" w:space="0" w:color="auto"/>
      </w:divBdr>
      <w:divsChild>
        <w:div w:id="1335717415">
          <w:marLeft w:val="0"/>
          <w:marRight w:val="0"/>
          <w:marTop w:val="0"/>
          <w:marBottom w:val="0"/>
          <w:divBdr>
            <w:top w:val="none" w:sz="0" w:space="0" w:color="auto"/>
            <w:left w:val="none" w:sz="0" w:space="0" w:color="auto"/>
            <w:bottom w:val="none" w:sz="0" w:space="0" w:color="auto"/>
            <w:right w:val="none" w:sz="0" w:space="0" w:color="auto"/>
          </w:divBdr>
        </w:div>
      </w:divsChild>
    </w:div>
    <w:div w:id="1740395519">
      <w:bodyDiv w:val="1"/>
      <w:marLeft w:val="0"/>
      <w:marRight w:val="0"/>
      <w:marTop w:val="0"/>
      <w:marBottom w:val="0"/>
      <w:divBdr>
        <w:top w:val="none" w:sz="0" w:space="0" w:color="auto"/>
        <w:left w:val="none" w:sz="0" w:space="0" w:color="auto"/>
        <w:bottom w:val="none" w:sz="0" w:space="0" w:color="auto"/>
        <w:right w:val="none" w:sz="0" w:space="0" w:color="auto"/>
      </w:divBdr>
    </w:div>
    <w:div w:id="1761637037">
      <w:bodyDiv w:val="1"/>
      <w:marLeft w:val="0"/>
      <w:marRight w:val="0"/>
      <w:marTop w:val="0"/>
      <w:marBottom w:val="0"/>
      <w:divBdr>
        <w:top w:val="none" w:sz="0" w:space="0" w:color="auto"/>
        <w:left w:val="none" w:sz="0" w:space="0" w:color="auto"/>
        <w:bottom w:val="none" w:sz="0" w:space="0" w:color="auto"/>
        <w:right w:val="none" w:sz="0" w:space="0" w:color="auto"/>
      </w:divBdr>
    </w:div>
    <w:div w:id="1801024046">
      <w:bodyDiv w:val="1"/>
      <w:marLeft w:val="0"/>
      <w:marRight w:val="0"/>
      <w:marTop w:val="0"/>
      <w:marBottom w:val="0"/>
      <w:divBdr>
        <w:top w:val="none" w:sz="0" w:space="0" w:color="auto"/>
        <w:left w:val="none" w:sz="0" w:space="0" w:color="auto"/>
        <w:bottom w:val="none" w:sz="0" w:space="0" w:color="auto"/>
        <w:right w:val="none" w:sz="0" w:space="0" w:color="auto"/>
      </w:divBdr>
    </w:div>
    <w:div w:id="1803885548">
      <w:bodyDiv w:val="1"/>
      <w:marLeft w:val="0"/>
      <w:marRight w:val="0"/>
      <w:marTop w:val="0"/>
      <w:marBottom w:val="0"/>
      <w:divBdr>
        <w:top w:val="none" w:sz="0" w:space="0" w:color="auto"/>
        <w:left w:val="none" w:sz="0" w:space="0" w:color="auto"/>
        <w:bottom w:val="none" w:sz="0" w:space="0" w:color="auto"/>
        <w:right w:val="none" w:sz="0" w:space="0" w:color="auto"/>
      </w:divBdr>
    </w:div>
    <w:div w:id="1811364608">
      <w:bodyDiv w:val="1"/>
      <w:marLeft w:val="0"/>
      <w:marRight w:val="0"/>
      <w:marTop w:val="0"/>
      <w:marBottom w:val="0"/>
      <w:divBdr>
        <w:top w:val="none" w:sz="0" w:space="0" w:color="auto"/>
        <w:left w:val="none" w:sz="0" w:space="0" w:color="auto"/>
        <w:bottom w:val="none" w:sz="0" w:space="0" w:color="auto"/>
        <w:right w:val="none" w:sz="0" w:space="0" w:color="auto"/>
      </w:divBdr>
    </w:div>
    <w:div w:id="1811509028">
      <w:bodyDiv w:val="1"/>
      <w:marLeft w:val="0"/>
      <w:marRight w:val="0"/>
      <w:marTop w:val="0"/>
      <w:marBottom w:val="0"/>
      <w:divBdr>
        <w:top w:val="none" w:sz="0" w:space="0" w:color="auto"/>
        <w:left w:val="none" w:sz="0" w:space="0" w:color="auto"/>
        <w:bottom w:val="none" w:sz="0" w:space="0" w:color="auto"/>
        <w:right w:val="none" w:sz="0" w:space="0" w:color="auto"/>
      </w:divBdr>
    </w:div>
    <w:div w:id="1812988205">
      <w:bodyDiv w:val="1"/>
      <w:marLeft w:val="0"/>
      <w:marRight w:val="0"/>
      <w:marTop w:val="0"/>
      <w:marBottom w:val="0"/>
      <w:divBdr>
        <w:top w:val="none" w:sz="0" w:space="0" w:color="auto"/>
        <w:left w:val="none" w:sz="0" w:space="0" w:color="auto"/>
        <w:bottom w:val="none" w:sz="0" w:space="0" w:color="auto"/>
        <w:right w:val="none" w:sz="0" w:space="0" w:color="auto"/>
      </w:divBdr>
    </w:div>
    <w:div w:id="1831169375">
      <w:bodyDiv w:val="1"/>
      <w:marLeft w:val="0"/>
      <w:marRight w:val="0"/>
      <w:marTop w:val="0"/>
      <w:marBottom w:val="0"/>
      <w:divBdr>
        <w:top w:val="none" w:sz="0" w:space="0" w:color="auto"/>
        <w:left w:val="none" w:sz="0" w:space="0" w:color="auto"/>
        <w:bottom w:val="none" w:sz="0" w:space="0" w:color="auto"/>
        <w:right w:val="none" w:sz="0" w:space="0" w:color="auto"/>
      </w:divBdr>
    </w:div>
    <w:div w:id="1844541268">
      <w:bodyDiv w:val="1"/>
      <w:marLeft w:val="0"/>
      <w:marRight w:val="0"/>
      <w:marTop w:val="0"/>
      <w:marBottom w:val="0"/>
      <w:divBdr>
        <w:top w:val="none" w:sz="0" w:space="0" w:color="auto"/>
        <w:left w:val="none" w:sz="0" w:space="0" w:color="auto"/>
        <w:bottom w:val="none" w:sz="0" w:space="0" w:color="auto"/>
        <w:right w:val="none" w:sz="0" w:space="0" w:color="auto"/>
      </w:divBdr>
    </w:div>
    <w:div w:id="1869443335">
      <w:bodyDiv w:val="1"/>
      <w:marLeft w:val="0"/>
      <w:marRight w:val="0"/>
      <w:marTop w:val="0"/>
      <w:marBottom w:val="0"/>
      <w:divBdr>
        <w:top w:val="none" w:sz="0" w:space="0" w:color="auto"/>
        <w:left w:val="none" w:sz="0" w:space="0" w:color="auto"/>
        <w:bottom w:val="none" w:sz="0" w:space="0" w:color="auto"/>
        <w:right w:val="none" w:sz="0" w:space="0" w:color="auto"/>
      </w:divBdr>
    </w:div>
    <w:div w:id="1877697829">
      <w:bodyDiv w:val="1"/>
      <w:marLeft w:val="0"/>
      <w:marRight w:val="0"/>
      <w:marTop w:val="0"/>
      <w:marBottom w:val="0"/>
      <w:divBdr>
        <w:top w:val="none" w:sz="0" w:space="0" w:color="auto"/>
        <w:left w:val="none" w:sz="0" w:space="0" w:color="auto"/>
        <w:bottom w:val="none" w:sz="0" w:space="0" w:color="auto"/>
        <w:right w:val="none" w:sz="0" w:space="0" w:color="auto"/>
      </w:divBdr>
    </w:div>
    <w:div w:id="1894805698">
      <w:bodyDiv w:val="1"/>
      <w:marLeft w:val="0"/>
      <w:marRight w:val="0"/>
      <w:marTop w:val="0"/>
      <w:marBottom w:val="0"/>
      <w:divBdr>
        <w:top w:val="none" w:sz="0" w:space="0" w:color="auto"/>
        <w:left w:val="none" w:sz="0" w:space="0" w:color="auto"/>
        <w:bottom w:val="none" w:sz="0" w:space="0" w:color="auto"/>
        <w:right w:val="none" w:sz="0" w:space="0" w:color="auto"/>
      </w:divBdr>
    </w:div>
    <w:div w:id="1901205651">
      <w:bodyDiv w:val="1"/>
      <w:marLeft w:val="0"/>
      <w:marRight w:val="0"/>
      <w:marTop w:val="0"/>
      <w:marBottom w:val="0"/>
      <w:divBdr>
        <w:top w:val="none" w:sz="0" w:space="0" w:color="auto"/>
        <w:left w:val="none" w:sz="0" w:space="0" w:color="auto"/>
        <w:bottom w:val="none" w:sz="0" w:space="0" w:color="auto"/>
        <w:right w:val="none" w:sz="0" w:space="0" w:color="auto"/>
      </w:divBdr>
    </w:div>
    <w:div w:id="1903127677">
      <w:bodyDiv w:val="1"/>
      <w:marLeft w:val="0"/>
      <w:marRight w:val="0"/>
      <w:marTop w:val="0"/>
      <w:marBottom w:val="0"/>
      <w:divBdr>
        <w:top w:val="none" w:sz="0" w:space="0" w:color="auto"/>
        <w:left w:val="none" w:sz="0" w:space="0" w:color="auto"/>
        <w:bottom w:val="none" w:sz="0" w:space="0" w:color="auto"/>
        <w:right w:val="none" w:sz="0" w:space="0" w:color="auto"/>
      </w:divBdr>
      <w:divsChild>
        <w:div w:id="1348869311">
          <w:marLeft w:val="0"/>
          <w:marRight w:val="0"/>
          <w:marTop w:val="0"/>
          <w:marBottom w:val="0"/>
          <w:divBdr>
            <w:top w:val="none" w:sz="0" w:space="0" w:color="auto"/>
            <w:left w:val="none" w:sz="0" w:space="0" w:color="auto"/>
            <w:bottom w:val="none" w:sz="0" w:space="0" w:color="auto"/>
            <w:right w:val="none" w:sz="0" w:space="0" w:color="auto"/>
          </w:divBdr>
          <w:divsChild>
            <w:div w:id="108861363">
              <w:marLeft w:val="0"/>
              <w:marRight w:val="0"/>
              <w:marTop w:val="0"/>
              <w:marBottom w:val="180"/>
              <w:divBdr>
                <w:top w:val="none" w:sz="0" w:space="0" w:color="auto"/>
                <w:left w:val="none" w:sz="0" w:space="0" w:color="auto"/>
                <w:bottom w:val="none" w:sz="0" w:space="0" w:color="auto"/>
                <w:right w:val="none" w:sz="0" w:space="0" w:color="auto"/>
              </w:divBdr>
              <w:divsChild>
                <w:div w:id="930967310">
                  <w:marLeft w:val="0"/>
                  <w:marRight w:val="0"/>
                  <w:marTop w:val="0"/>
                  <w:marBottom w:val="0"/>
                  <w:divBdr>
                    <w:top w:val="none" w:sz="0" w:space="0" w:color="auto"/>
                    <w:left w:val="none" w:sz="0" w:space="0" w:color="auto"/>
                    <w:bottom w:val="none" w:sz="0" w:space="0" w:color="auto"/>
                    <w:right w:val="none" w:sz="0" w:space="0" w:color="auto"/>
                  </w:divBdr>
                  <w:divsChild>
                    <w:div w:id="4615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3310">
              <w:marLeft w:val="0"/>
              <w:marRight w:val="0"/>
              <w:marTop w:val="0"/>
              <w:marBottom w:val="0"/>
              <w:divBdr>
                <w:top w:val="none" w:sz="0" w:space="0" w:color="auto"/>
                <w:left w:val="none" w:sz="0" w:space="0" w:color="auto"/>
                <w:bottom w:val="none" w:sz="0" w:space="0" w:color="auto"/>
                <w:right w:val="none" w:sz="0" w:space="0" w:color="auto"/>
              </w:divBdr>
              <w:divsChild>
                <w:div w:id="1973904704">
                  <w:marLeft w:val="0"/>
                  <w:marRight w:val="0"/>
                  <w:marTop w:val="0"/>
                  <w:marBottom w:val="0"/>
                  <w:divBdr>
                    <w:top w:val="none" w:sz="0" w:space="0" w:color="auto"/>
                    <w:left w:val="none" w:sz="0" w:space="0" w:color="auto"/>
                    <w:bottom w:val="none" w:sz="0" w:space="0" w:color="auto"/>
                    <w:right w:val="none" w:sz="0" w:space="0" w:color="auto"/>
                  </w:divBdr>
                  <w:divsChild>
                    <w:div w:id="52772474">
                      <w:marLeft w:val="0"/>
                      <w:marRight w:val="0"/>
                      <w:marTop w:val="0"/>
                      <w:marBottom w:val="0"/>
                      <w:divBdr>
                        <w:top w:val="none" w:sz="0" w:space="0" w:color="auto"/>
                        <w:left w:val="none" w:sz="0" w:space="0" w:color="auto"/>
                        <w:bottom w:val="none" w:sz="0" w:space="0" w:color="auto"/>
                        <w:right w:val="none" w:sz="0" w:space="0" w:color="auto"/>
                      </w:divBdr>
                      <w:divsChild>
                        <w:div w:id="2094472915">
                          <w:marLeft w:val="0"/>
                          <w:marRight w:val="0"/>
                          <w:marTop w:val="0"/>
                          <w:marBottom w:val="0"/>
                          <w:divBdr>
                            <w:top w:val="none" w:sz="0" w:space="0" w:color="auto"/>
                            <w:left w:val="none" w:sz="0" w:space="0" w:color="auto"/>
                            <w:bottom w:val="none" w:sz="0" w:space="0" w:color="auto"/>
                            <w:right w:val="none" w:sz="0" w:space="0" w:color="auto"/>
                          </w:divBdr>
                          <w:divsChild>
                            <w:div w:id="201676019">
                              <w:marLeft w:val="0"/>
                              <w:marRight w:val="0"/>
                              <w:marTop w:val="0"/>
                              <w:marBottom w:val="0"/>
                              <w:divBdr>
                                <w:top w:val="none" w:sz="0" w:space="0" w:color="auto"/>
                                <w:left w:val="none" w:sz="0" w:space="0" w:color="auto"/>
                                <w:bottom w:val="none" w:sz="0" w:space="0" w:color="auto"/>
                                <w:right w:val="none" w:sz="0" w:space="0" w:color="auto"/>
                              </w:divBdr>
                              <w:divsChild>
                                <w:div w:id="229578620">
                                  <w:marLeft w:val="0"/>
                                  <w:marRight w:val="0"/>
                                  <w:marTop w:val="0"/>
                                  <w:marBottom w:val="0"/>
                                  <w:divBdr>
                                    <w:top w:val="none" w:sz="0" w:space="0" w:color="auto"/>
                                    <w:left w:val="none" w:sz="0" w:space="0" w:color="auto"/>
                                    <w:bottom w:val="none" w:sz="0" w:space="0" w:color="auto"/>
                                    <w:right w:val="none" w:sz="0" w:space="0" w:color="auto"/>
                                  </w:divBdr>
                                  <w:divsChild>
                                    <w:div w:id="1943607885">
                                      <w:marLeft w:val="0"/>
                                      <w:marRight w:val="0"/>
                                      <w:marTop w:val="0"/>
                                      <w:marBottom w:val="0"/>
                                      <w:divBdr>
                                        <w:top w:val="none" w:sz="0" w:space="0" w:color="auto"/>
                                        <w:left w:val="none" w:sz="0" w:space="0" w:color="auto"/>
                                        <w:bottom w:val="none" w:sz="0" w:space="0" w:color="auto"/>
                                        <w:right w:val="none" w:sz="0" w:space="0" w:color="auto"/>
                                      </w:divBdr>
                                      <w:divsChild>
                                        <w:div w:id="859009869">
                                          <w:marLeft w:val="0"/>
                                          <w:marRight w:val="0"/>
                                          <w:marTop w:val="0"/>
                                          <w:marBottom w:val="0"/>
                                          <w:divBdr>
                                            <w:top w:val="none" w:sz="0" w:space="0" w:color="auto"/>
                                            <w:left w:val="none" w:sz="0" w:space="0" w:color="auto"/>
                                            <w:bottom w:val="none" w:sz="0" w:space="0" w:color="auto"/>
                                            <w:right w:val="none" w:sz="0" w:space="0" w:color="auto"/>
                                          </w:divBdr>
                                          <w:divsChild>
                                            <w:div w:id="155731825">
                                              <w:marLeft w:val="0"/>
                                              <w:marRight w:val="0"/>
                                              <w:marTop w:val="0"/>
                                              <w:marBottom w:val="0"/>
                                              <w:divBdr>
                                                <w:top w:val="none" w:sz="0" w:space="0" w:color="auto"/>
                                                <w:left w:val="none" w:sz="0" w:space="0" w:color="auto"/>
                                                <w:bottom w:val="none" w:sz="0" w:space="0" w:color="auto"/>
                                                <w:right w:val="none" w:sz="0" w:space="0" w:color="auto"/>
                                              </w:divBdr>
                                              <w:divsChild>
                                                <w:div w:id="517277270">
                                                  <w:marLeft w:val="0"/>
                                                  <w:marRight w:val="0"/>
                                                  <w:marTop w:val="0"/>
                                                  <w:marBottom w:val="0"/>
                                                  <w:divBdr>
                                                    <w:top w:val="none" w:sz="0" w:space="0" w:color="auto"/>
                                                    <w:left w:val="none" w:sz="0" w:space="0" w:color="auto"/>
                                                    <w:bottom w:val="none" w:sz="0" w:space="0" w:color="auto"/>
                                                    <w:right w:val="none" w:sz="0" w:space="0" w:color="auto"/>
                                                  </w:divBdr>
                                                  <w:divsChild>
                                                    <w:div w:id="193006220">
                                                      <w:marLeft w:val="0"/>
                                                      <w:marRight w:val="0"/>
                                                      <w:marTop w:val="0"/>
                                                      <w:marBottom w:val="0"/>
                                                      <w:divBdr>
                                                        <w:top w:val="none" w:sz="0" w:space="0" w:color="auto"/>
                                                        <w:left w:val="none" w:sz="0" w:space="0" w:color="auto"/>
                                                        <w:bottom w:val="none" w:sz="0" w:space="0" w:color="auto"/>
                                                        <w:right w:val="none" w:sz="0" w:space="0" w:color="auto"/>
                                                      </w:divBdr>
                                                      <w:divsChild>
                                                        <w:div w:id="194387772">
                                                          <w:marLeft w:val="0"/>
                                                          <w:marRight w:val="0"/>
                                                          <w:marTop w:val="0"/>
                                                          <w:marBottom w:val="0"/>
                                                          <w:divBdr>
                                                            <w:top w:val="none" w:sz="0" w:space="0" w:color="auto"/>
                                                            <w:left w:val="none" w:sz="0" w:space="0" w:color="auto"/>
                                                            <w:bottom w:val="none" w:sz="0" w:space="0" w:color="auto"/>
                                                            <w:right w:val="none" w:sz="0" w:space="0" w:color="auto"/>
                                                          </w:divBdr>
                                                        </w:div>
                                                        <w:div w:id="5768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6838">
                                              <w:marLeft w:val="0"/>
                                              <w:marRight w:val="0"/>
                                              <w:marTop w:val="0"/>
                                              <w:marBottom w:val="0"/>
                                              <w:divBdr>
                                                <w:top w:val="none" w:sz="0" w:space="0" w:color="auto"/>
                                                <w:left w:val="none" w:sz="0" w:space="0" w:color="auto"/>
                                                <w:bottom w:val="none" w:sz="0" w:space="0" w:color="auto"/>
                                                <w:right w:val="none" w:sz="0" w:space="0" w:color="auto"/>
                                              </w:divBdr>
                                              <w:divsChild>
                                                <w:div w:id="106434609">
                                                  <w:marLeft w:val="0"/>
                                                  <w:marRight w:val="0"/>
                                                  <w:marTop w:val="0"/>
                                                  <w:marBottom w:val="0"/>
                                                  <w:divBdr>
                                                    <w:top w:val="none" w:sz="0" w:space="0" w:color="auto"/>
                                                    <w:left w:val="none" w:sz="0" w:space="0" w:color="auto"/>
                                                    <w:bottom w:val="none" w:sz="0" w:space="0" w:color="auto"/>
                                                    <w:right w:val="none" w:sz="0" w:space="0" w:color="auto"/>
                                                  </w:divBdr>
                                                  <w:divsChild>
                                                    <w:div w:id="1048991904">
                                                      <w:marLeft w:val="0"/>
                                                      <w:marRight w:val="0"/>
                                                      <w:marTop w:val="0"/>
                                                      <w:marBottom w:val="0"/>
                                                      <w:divBdr>
                                                        <w:top w:val="none" w:sz="0" w:space="0" w:color="auto"/>
                                                        <w:left w:val="none" w:sz="0" w:space="0" w:color="auto"/>
                                                        <w:bottom w:val="none" w:sz="0" w:space="0" w:color="auto"/>
                                                        <w:right w:val="none" w:sz="0" w:space="0" w:color="auto"/>
                                                      </w:divBdr>
                                                      <w:divsChild>
                                                        <w:div w:id="1442650548">
                                                          <w:marLeft w:val="0"/>
                                                          <w:marRight w:val="0"/>
                                                          <w:marTop w:val="0"/>
                                                          <w:marBottom w:val="0"/>
                                                          <w:divBdr>
                                                            <w:top w:val="none" w:sz="0" w:space="0" w:color="auto"/>
                                                            <w:left w:val="none" w:sz="0" w:space="0" w:color="auto"/>
                                                            <w:bottom w:val="none" w:sz="0" w:space="0" w:color="auto"/>
                                                            <w:right w:val="none" w:sz="0" w:space="0" w:color="auto"/>
                                                          </w:divBdr>
                                                        </w:div>
                                                        <w:div w:id="7536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1648">
                                              <w:marLeft w:val="0"/>
                                              <w:marRight w:val="0"/>
                                              <w:marTop w:val="0"/>
                                              <w:marBottom w:val="0"/>
                                              <w:divBdr>
                                                <w:top w:val="none" w:sz="0" w:space="0" w:color="auto"/>
                                                <w:left w:val="none" w:sz="0" w:space="0" w:color="auto"/>
                                                <w:bottom w:val="none" w:sz="0" w:space="0" w:color="auto"/>
                                                <w:right w:val="none" w:sz="0" w:space="0" w:color="auto"/>
                                              </w:divBdr>
                                              <w:divsChild>
                                                <w:div w:id="873661747">
                                                  <w:marLeft w:val="0"/>
                                                  <w:marRight w:val="0"/>
                                                  <w:marTop w:val="0"/>
                                                  <w:marBottom w:val="0"/>
                                                  <w:divBdr>
                                                    <w:top w:val="none" w:sz="0" w:space="0" w:color="auto"/>
                                                    <w:left w:val="none" w:sz="0" w:space="0" w:color="auto"/>
                                                    <w:bottom w:val="none" w:sz="0" w:space="0" w:color="auto"/>
                                                    <w:right w:val="none" w:sz="0" w:space="0" w:color="auto"/>
                                                  </w:divBdr>
                                                  <w:divsChild>
                                                    <w:div w:id="724649033">
                                                      <w:marLeft w:val="0"/>
                                                      <w:marRight w:val="0"/>
                                                      <w:marTop w:val="0"/>
                                                      <w:marBottom w:val="0"/>
                                                      <w:divBdr>
                                                        <w:top w:val="none" w:sz="0" w:space="0" w:color="auto"/>
                                                        <w:left w:val="none" w:sz="0" w:space="0" w:color="auto"/>
                                                        <w:bottom w:val="none" w:sz="0" w:space="0" w:color="auto"/>
                                                        <w:right w:val="none" w:sz="0" w:space="0" w:color="auto"/>
                                                      </w:divBdr>
                                                      <w:divsChild>
                                                        <w:div w:id="1481342201">
                                                          <w:marLeft w:val="0"/>
                                                          <w:marRight w:val="0"/>
                                                          <w:marTop w:val="0"/>
                                                          <w:marBottom w:val="0"/>
                                                          <w:divBdr>
                                                            <w:top w:val="none" w:sz="0" w:space="0" w:color="auto"/>
                                                            <w:left w:val="none" w:sz="0" w:space="0" w:color="auto"/>
                                                            <w:bottom w:val="none" w:sz="0" w:space="0" w:color="auto"/>
                                                            <w:right w:val="none" w:sz="0" w:space="0" w:color="auto"/>
                                                          </w:divBdr>
                                                        </w:div>
                                                        <w:div w:id="12696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60020">
                                              <w:marLeft w:val="0"/>
                                              <w:marRight w:val="0"/>
                                              <w:marTop w:val="0"/>
                                              <w:marBottom w:val="0"/>
                                              <w:divBdr>
                                                <w:top w:val="none" w:sz="0" w:space="0" w:color="auto"/>
                                                <w:left w:val="none" w:sz="0" w:space="0" w:color="auto"/>
                                                <w:bottom w:val="none" w:sz="0" w:space="0" w:color="auto"/>
                                                <w:right w:val="none" w:sz="0" w:space="0" w:color="auto"/>
                                              </w:divBdr>
                                              <w:divsChild>
                                                <w:div w:id="1700816173">
                                                  <w:marLeft w:val="0"/>
                                                  <w:marRight w:val="0"/>
                                                  <w:marTop w:val="0"/>
                                                  <w:marBottom w:val="0"/>
                                                  <w:divBdr>
                                                    <w:top w:val="none" w:sz="0" w:space="0" w:color="auto"/>
                                                    <w:left w:val="none" w:sz="0" w:space="0" w:color="auto"/>
                                                    <w:bottom w:val="none" w:sz="0" w:space="0" w:color="auto"/>
                                                    <w:right w:val="none" w:sz="0" w:space="0" w:color="auto"/>
                                                  </w:divBdr>
                                                  <w:divsChild>
                                                    <w:div w:id="2112504325">
                                                      <w:marLeft w:val="0"/>
                                                      <w:marRight w:val="0"/>
                                                      <w:marTop w:val="0"/>
                                                      <w:marBottom w:val="0"/>
                                                      <w:divBdr>
                                                        <w:top w:val="none" w:sz="0" w:space="0" w:color="auto"/>
                                                        <w:left w:val="none" w:sz="0" w:space="0" w:color="auto"/>
                                                        <w:bottom w:val="none" w:sz="0" w:space="0" w:color="auto"/>
                                                        <w:right w:val="none" w:sz="0" w:space="0" w:color="auto"/>
                                                      </w:divBdr>
                                                      <w:divsChild>
                                                        <w:div w:id="1380589690">
                                                          <w:marLeft w:val="0"/>
                                                          <w:marRight w:val="0"/>
                                                          <w:marTop w:val="0"/>
                                                          <w:marBottom w:val="0"/>
                                                          <w:divBdr>
                                                            <w:top w:val="none" w:sz="0" w:space="0" w:color="auto"/>
                                                            <w:left w:val="none" w:sz="0" w:space="0" w:color="auto"/>
                                                            <w:bottom w:val="none" w:sz="0" w:space="0" w:color="auto"/>
                                                            <w:right w:val="none" w:sz="0" w:space="0" w:color="auto"/>
                                                          </w:divBdr>
                                                          <w:divsChild>
                                                            <w:div w:id="1034115313">
                                                              <w:marLeft w:val="0"/>
                                                              <w:marRight w:val="0"/>
                                                              <w:marTop w:val="0"/>
                                                              <w:marBottom w:val="0"/>
                                                              <w:divBdr>
                                                                <w:top w:val="none" w:sz="0" w:space="0" w:color="auto"/>
                                                                <w:left w:val="none" w:sz="0" w:space="0" w:color="auto"/>
                                                                <w:bottom w:val="none" w:sz="0" w:space="0" w:color="auto"/>
                                                                <w:right w:val="none" w:sz="0" w:space="0" w:color="auto"/>
                                                              </w:divBdr>
                                                            </w:div>
                                                            <w:div w:id="1534221174">
                                                              <w:marLeft w:val="0"/>
                                                              <w:marRight w:val="0"/>
                                                              <w:marTop w:val="0"/>
                                                              <w:marBottom w:val="0"/>
                                                              <w:divBdr>
                                                                <w:top w:val="none" w:sz="0" w:space="0" w:color="auto"/>
                                                                <w:left w:val="none" w:sz="0" w:space="0" w:color="auto"/>
                                                                <w:bottom w:val="none" w:sz="0" w:space="0" w:color="auto"/>
                                                                <w:right w:val="none" w:sz="0" w:space="0" w:color="auto"/>
                                                              </w:divBdr>
                                                              <w:divsChild>
                                                                <w:div w:id="1706557643">
                                                                  <w:marLeft w:val="0"/>
                                                                  <w:marRight w:val="0"/>
                                                                  <w:marTop w:val="0"/>
                                                                  <w:marBottom w:val="120"/>
                                                                  <w:divBdr>
                                                                    <w:top w:val="none" w:sz="0" w:space="0" w:color="auto"/>
                                                                    <w:left w:val="none" w:sz="0" w:space="0" w:color="auto"/>
                                                                    <w:bottom w:val="none" w:sz="0" w:space="0" w:color="auto"/>
                                                                    <w:right w:val="none" w:sz="0" w:space="0" w:color="auto"/>
                                                                  </w:divBdr>
                                                                </w:div>
                                                                <w:div w:id="2115057067">
                                                                  <w:marLeft w:val="0"/>
                                                                  <w:marRight w:val="0"/>
                                                                  <w:marTop w:val="0"/>
                                                                  <w:marBottom w:val="0"/>
                                                                  <w:divBdr>
                                                                    <w:top w:val="none" w:sz="0" w:space="0" w:color="auto"/>
                                                                    <w:left w:val="none" w:sz="0" w:space="0" w:color="auto"/>
                                                                    <w:bottom w:val="none" w:sz="0" w:space="0" w:color="auto"/>
                                                                    <w:right w:val="none" w:sz="0" w:space="0" w:color="auto"/>
                                                                  </w:divBdr>
                                                                </w:div>
                                                                <w:div w:id="11105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601194">
                                              <w:marLeft w:val="0"/>
                                              <w:marRight w:val="0"/>
                                              <w:marTop w:val="0"/>
                                              <w:marBottom w:val="0"/>
                                              <w:divBdr>
                                                <w:top w:val="none" w:sz="0" w:space="0" w:color="auto"/>
                                                <w:left w:val="none" w:sz="0" w:space="0" w:color="auto"/>
                                                <w:bottom w:val="none" w:sz="0" w:space="0" w:color="auto"/>
                                                <w:right w:val="none" w:sz="0" w:space="0" w:color="auto"/>
                                              </w:divBdr>
                                              <w:divsChild>
                                                <w:div w:id="2084985998">
                                                  <w:marLeft w:val="0"/>
                                                  <w:marRight w:val="0"/>
                                                  <w:marTop w:val="0"/>
                                                  <w:marBottom w:val="0"/>
                                                  <w:divBdr>
                                                    <w:top w:val="none" w:sz="0" w:space="0" w:color="auto"/>
                                                    <w:left w:val="none" w:sz="0" w:space="0" w:color="auto"/>
                                                    <w:bottom w:val="none" w:sz="0" w:space="0" w:color="auto"/>
                                                    <w:right w:val="none" w:sz="0" w:space="0" w:color="auto"/>
                                                  </w:divBdr>
                                                  <w:divsChild>
                                                    <w:div w:id="401103411">
                                                      <w:marLeft w:val="0"/>
                                                      <w:marRight w:val="0"/>
                                                      <w:marTop w:val="0"/>
                                                      <w:marBottom w:val="0"/>
                                                      <w:divBdr>
                                                        <w:top w:val="none" w:sz="0" w:space="0" w:color="auto"/>
                                                        <w:left w:val="none" w:sz="0" w:space="0" w:color="auto"/>
                                                        <w:bottom w:val="none" w:sz="0" w:space="0" w:color="auto"/>
                                                        <w:right w:val="none" w:sz="0" w:space="0" w:color="auto"/>
                                                      </w:divBdr>
                                                      <w:divsChild>
                                                        <w:div w:id="1445686480">
                                                          <w:marLeft w:val="0"/>
                                                          <w:marRight w:val="0"/>
                                                          <w:marTop w:val="0"/>
                                                          <w:marBottom w:val="0"/>
                                                          <w:divBdr>
                                                            <w:top w:val="none" w:sz="0" w:space="0" w:color="auto"/>
                                                            <w:left w:val="none" w:sz="0" w:space="0" w:color="auto"/>
                                                            <w:bottom w:val="none" w:sz="0" w:space="0" w:color="auto"/>
                                                            <w:right w:val="none" w:sz="0" w:space="0" w:color="auto"/>
                                                          </w:divBdr>
                                                          <w:divsChild>
                                                            <w:div w:id="1150055083">
                                                              <w:marLeft w:val="0"/>
                                                              <w:marRight w:val="0"/>
                                                              <w:marTop w:val="0"/>
                                                              <w:marBottom w:val="0"/>
                                                              <w:divBdr>
                                                                <w:top w:val="none" w:sz="0" w:space="0" w:color="auto"/>
                                                                <w:left w:val="none" w:sz="0" w:space="0" w:color="auto"/>
                                                                <w:bottom w:val="none" w:sz="0" w:space="0" w:color="auto"/>
                                                                <w:right w:val="none" w:sz="0" w:space="0" w:color="auto"/>
                                                              </w:divBdr>
                                                            </w:div>
                                                            <w:div w:id="1520704896">
                                                              <w:marLeft w:val="0"/>
                                                              <w:marRight w:val="0"/>
                                                              <w:marTop w:val="0"/>
                                                              <w:marBottom w:val="0"/>
                                                              <w:divBdr>
                                                                <w:top w:val="none" w:sz="0" w:space="0" w:color="auto"/>
                                                                <w:left w:val="none" w:sz="0" w:space="0" w:color="auto"/>
                                                                <w:bottom w:val="none" w:sz="0" w:space="0" w:color="auto"/>
                                                                <w:right w:val="none" w:sz="0" w:space="0" w:color="auto"/>
                                                              </w:divBdr>
                                                              <w:divsChild>
                                                                <w:div w:id="1920557983">
                                                                  <w:marLeft w:val="0"/>
                                                                  <w:marRight w:val="0"/>
                                                                  <w:marTop w:val="0"/>
                                                                  <w:marBottom w:val="120"/>
                                                                  <w:divBdr>
                                                                    <w:top w:val="none" w:sz="0" w:space="0" w:color="auto"/>
                                                                    <w:left w:val="none" w:sz="0" w:space="0" w:color="auto"/>
                                                                    <w:bottom w:val="none" w:sz="0" w:space="0" w:color="auto"/>
                                                                    <w:right w:val="none" w:sz="0" w:space="0" w:color="auto"/>
                                                                  </w:divBdr>
                                                                </w:div>
                                                                <w:div w:id="393814921">
                                                                  <w:marLeft w:val="0"/>
                                                                  <w:marRight w:val="0"/>
                                                                  <w:marTop w:val="0"/>
                                                                  <w:marBottom w:val="0"/>
                                                                  <w:divBdr>
                                                                    <w:top w:val="none" w:sz="0" w:space="0" w:color="auto"/>
                                                                    <w:left w:val="none" w:sz="0" w:space="0" w:color="auto"/>
                                                                    <w:bottom w:val="none" w:sz="0" w:space="0" w:color="auto"/>
                                                                    <w:right w:val="none" w:sz="0" w:space="0" w:color="auto"/>
                                                                  </w:divBdr>
                                                                </w:div>
                                                                <w:div w:id="181541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064904">
                                              <w:marLeft w:val="0"/>
                                              <w:marRight w:val="0"/>
                                              <w:marTop w:val="0"/>
                                              <w:marBottom w:val="0"/>
                                              <w:divBdr>
                                                <w:top w:val="none" w:sz="0" w:space="0" w:color="auto"/>
                                                <w:left w:val="none" w:sz="0" w:space="0" w:color="auto"/>
                                                <w:bottom w:val="none" w:sz="0" w:space="0" w:color="auto"/>
                                                <w:right w:val="none" w:sz="0" w:space="0" w:color="auto"/>
                                              </w:divBdr>
                                              <w:divsChild>
                                                <w:div w:id="997415024">
                                                  <w:marLeft w:val="0"/>
                                                  <w:marRight w:val="0"/>
                                                  <w:marTop w:val="0"/>
                                                  <w:marBottom w:val="0"/>
                                                  <w:divBdr>
                                                    <w:top w:val="none" w:sz="0" w:space="0" w:color="auto"/>
                                                    <w:left w:val="none" w:sz="0" w:space="0" w:color="auto"/>
                                                    <w:bottom w:val="none" w:sz="0" w:space="0" w:color="auto"/>
                                                    <w:right w:val="none" w:sz="0" w:space="0" w:color="auto"/>
                                                  </w:divBdr>
                                                  <w:divsChild>
                                                    <w:div w:id="1189761164">
                                                      <w:marLeft w:val="0"/>
                                                      <w:marRight w:val="0"/>
                                                      <w:marTop w:val="0"/>
                                                      <w:marBottom w:val="0"/>
                                                      <w:divBdr>
                                                        <w:top w:val="none" w:sz="0" w:space="0" w:color="auto"/>
                                                        <w:left w:val="none" w:sz="0" w:space="0" w:color="auto"/>
                                                        <w:bottom w:val="none" w:sz="0" w:space="0" w:color="auto"/>
                                                        <w:right w:val="none" w:sz="0" w:space="0" w:color="auto"/>
                                                      </w:divBdr>
                                                      <w:divsChild>
                                                        <w:div w:id="1713919584">
                                                          <w:marLeft w:val="0"/>
                                                          <w:marRight w:val="0"/>
                                                          <w:marTop w:val="0"/>
                                                          <w:marBottom w:val="0"/>
                                                          <w:divBdr>
                                                            <w:top w:val="none" w:sz="0" w:space="0" w:color="auto"/>
                                                            <w:left w:val="none" w:sz="0" w:space="0" w:color="auto"/>
                                                            <w:bottom w:val="none" w:sz="0" w:space="0" w:color="auto"/>
                                                            <w:right w:val="none" w:sz="0" w:space="0" w:color="auto"/>
                                                          </w:divBdr>
                                                          <w:divsChild>
                                                            <w:div w:id="387456442">
                                                              <w:marLeft w:val="0"/>
                                                              <w:marRight w:val="0"/>
                                                              <w:marTop w:val="0"/>
                                                              <w:marBottom w:val="0"/>
                                                              <w:divBdr>
                                                                <w:top w:val="none" w:sz="0" w:space="0" w:color="auto"/>
                                                                <w:left w:val="none" w:sz="0" w:space="0" w:color="auto"/>
                                                                <w:bottom w:val="none" w:sz="0" w:space="0" w:color="auto"/>
                                                                <w:right w:val="none" w:sz="0" w:space="0" w:color="auto"/>
                                                              </w:divBdr>
                                                            </w:div>
                                                            <w:div w:id="734594631">
                                                              <w:marLeft w:val="0"/>
                                                              <w:marRight w:val="0"/>
                                                              <w:marTop w:val="0"/>
                                                              <w:marBottom w:val="0"/>
                                                              <w:divBdr>
                                                                <w:top w:val="none" w:sz="0" w:space="0" w:color="auto"/>
                                                                <w:left w:val="none" w:sz="0" w:space="0" w:color="auto"/>
                                                                <w:bottom w:val="none" w:sz="0" w:space="0" w:color="auto"/>
                                                                <w:right w:val="none" w:sz="0" w:space="0" w:color="auto"/>
                                                              </w:divBdr>
                                                              <w:divsChild>
                                                                <w:div w:id="940377888">
                                                                  <w:marLeft w:val="0"/>
                                                                  <w:marRight w:val="0"/>
                                                                  <w:marTop w:val="0"/>
                                                                  <w:marBottom w:val="120"/>
                                                                  <w:divBdr>
                                                                    <w:top w:val="none" w:sz="0" w:space="0" w:color="auto"/>
                                                                    <w:left w:val="none" w:sz="0" w:space="0" w:color="auto"/>
                                                                    <w:bottom w:val="none" w:sz="0" w:space="0" w:color="auto"/>
                                                                    <w:right w:val="none" w:sz="0" w:space="0" w:color="auto"/>
                                                                  </w:divBdr>
                                                                </w:div>
                                                                <w:div w:id="1699894704">
                                                                  <w:marLeft w:val="0"/>
                                                                  <w:marRight w:val="0"/>
                                                                  <w:marTop w:val="0"/>
                                                                  <w:marBottom w:val="0"/>
                                                                  <w:divBdr>
                                                                    <w:top w:val="none" w:sz="0" w:space="0" w:color="auto"/>
                                                                    <w:left w:val="none" w:sz="0" w:space="0" w:color="auto"/>
                                                                    <w:bottom w:val="none" w:sz="0" w:space="0" w:color="auto"/>
                                                                    <w:right w:val="none" w:sz="0" w:space="0" w:color="auto"/>
                                                                  </w:divBdr>
                                                                </w:div>
                                                                <w:div w:id="1603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5568">
                                              <w:marLeft w:val="0"/>
                                              <w:marRight w:val="0"/>
                                              <w:marTop w:val="0"/>
                                              <w:marBottom w:val="0"/>
                                              <w:divBdr>
                                                <w:top w:val="none" w:sz="0" w:space="0" w:color="auto"/>
                                                <w:left w:val="none" w:sz="0" w:space="0" w:color="auto"/>
                                                <w:bottom w:val="none" w:sz="0" w:space="0" w:color="auto"/>
                                                <w:right w:val="none" w:sz="0" w:space="0" w:color="auto"/>
                                              </w:divBdr>
                                              <w:divsChild>
                                                <w:div w:id="549851335">
                                                  <w:marLeft w:val="0"/>
                                                  <w:marRight w:val="0"/>
                                                  <w:marTop w:val="0"/>
                                                  <w:marBottom w:val="0"/>
                                                  <w:divBdr>
                                                    <w:top w:val="none" w:sz="0" w:space="0" w:color="auto"/>
                                                    <w:left w:val="none" w:sz="0" w:space="0" w:color="auto"/>
                                                    <w:bottom w:val="none" w:sz="0" w:space="0" w:color="auto"/>
                                                    <w:right w:val="none" w:sz="0" w:space="0" w:color="auto"/>
                                                  </w:divBdr>
                                                  <w:divsChild>
                                                    <w:div w:id="103615650">
                                                      <w:marLeft w:val="0"/>
                                                      <w:marRight w:val="0"/>
                                                      <w:marTop w:val="0"/>
                                                      <w:marBottom w:val="0"/>
                                                      <w:divBdr>
                                                        <w:top w:val="none" w:sz="0" w:space="0" w:color="auto"/>
                                                        <w:left w:val="none" w:sz="0" w:space="0" w:color="auto"/>
                                                        <w:bottom w:val="none" w:sz="0" w:space="0" w:color="auto"/>
                                                        <w:right w:val="none" w:sz="0" w:space="0" w:color="auto"/>
                                                      </w:divBdr>
                                                      <w:divsChild>
                                                        <w:div w:id="639963344">
                                                          <w:marLeft w:val="0"/>
                                                          <w:marRight w:val="0"/>
                                                          <w:marTop w:val="0"/>
                                                          <w:marBottom w:val="0"/>
                                                          <w:divBdr>
                                                            <w:top w:val="none" w:sz="0" w:space="0" w:color="auto"/>
                                                            <w:left w:val="none" w:sz="0" w:space="0" w:color="auto"/>
                                                            <w:bottom w:val="none" w:sz="0" w:space="0" w:color="auto"/>
                                                            <w:right w:val="none" w:sz="0" w:space="0" w:color="auto"/>
                                                          </w:divBdr>
                                                          <w:divsChild>
                                                            <w:div w:id="476918745">
                                                              <w:marLeft w:val="0"/>
                                                              <w:marRight w:val="0"/>
                                                              <w:marTop w:val="0"/>
                                                              <w:marBottom w:val="0"/>
                                                              <w:divBdr>
                                                                <w:top w:val="none" w:sz="0" w:space="0" w:color="auto"/>
                                                                <w:left w:val="none" w:sz="0" w:space="0" w:color="auto"/>
                                                                <w:bottom w:val="none" w:sz="0" w:space="0" w:color="auto"/>
                                                                <w:right w:val="none" w:sz="0" w:space="0" w:color="auto"/>
                                                              </w:divBdr>
                                                            </w:div>
                                                            <w:div w:id="100145642">
                                                              <w:marLeft w:val="0"/>
                                                              <w:marRight w:val="0"/>
                                                              <w:marTop w:val="0"/>
                                                              <w:marBottom w:val="0"/>
                                                              <w:divBdr>
                                                                <w:top w:val="none" w:sz="0" w:space="0" w:color="auto"/>
                                                                <w:left w:val="none" w:sz="0" w:space="0" w:color="auto"/>
                                                                <w:bottom w:val="none" w:sz="0" w:space="0" w:color="auto"/>
                                                                <w:right w:val="none" w:sz="0" w:space="0" w:color="auto"/>
                                                              </w:divBdr>
                                                              <w:divsChild>
                                                                <w:div w:id="1335567583">
                                                                  <w:marLeft w:val="0"/>
                                                                  <w:marRight w:val="0"/>
                                                                  <w:marTop w:val="0"/>
                                                                  <w:marBottom w:val="120"/>
                                                                  <w:divBdr>
                                                                    <w:top w:val="none" w:sz="0" w:space="0" w:color="auto"/>
                                                                    <w:left w:val="none" w:sz="0" w:space="0" w:color="auto"/>
                                                                    <w:bottom w:val="none" w:sz="0" w:space="0" w:color="auto"/>
                                                                    <w:right w:val="none" w:sz="0" w:space="0" w:color="auto"/>
                                                                  </w:divBdr>
                                                                </w:div>
                                                                <w:div w:id="35081035">
                                                                  <w:marLeft w:val="0"/>
                                                                  <w:marRight w:val="0"/>
                                                                  <w:marTop w:val="0"/>
                                                                  <w:marBottom w:val="0"/>
                                                                  <w:divBdr>
                                                                    <w:top w:val="none" w:sz="0" w:space="0" w:color="auto"/>
                                                                    <w:left w:val="none" w:sz="0" w:space="0" w:color="auto"/>
                                                                    <w:bottom w:val="none" w:sz="0" w:space="0" w:color="auto"/>
                                                                    <w:right w:val="none" w:sz="0" w:space="0" w:color="auto"/>
                                                                  </w:divBdr>
                                                                </w:div>
                                                                <w:div w:id="15837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586077">
                                              <w:marLeft w:val="0"/>
                                              <w:marRight w:val="0"/>
                                              <w:marTop w:val="0"/>
                                              <w:marBottom w:val="0"/>
                                              <w:divBdr>
                                                <w:top w:val="none" w:sz="0" w:space="0" w:color="auto"/>
                                                <w:left w:val="none" w:sz="0" w:space="0" w:color="auto"/>
                                                <w:bottom w:val="none" w:sz="0" w:space="0" w:color="auto"/>
                                                <w:right w:val="none" w:sz="0" w:space="0" w:color="auto"/>
                                              </w:divBdr>
                                              <w:divsChild>
                                                <w:div w:id="124977450">
                                                  <w:marLeft w:val="0"/>
                                                  <w:marRight w:val="0"/>
                                                  <w:marTop w:val="0"/>
                                                  <w:marBottom w:val="0"/>
                                                  <w:divBdr>
                                                    <w:top w:val="none" w:sz="0" w:space="0" w:color="auto"/>
                                                    <w:left w:val="none" w:sz="0" w:space="0" w:color="auto"/>
                                                    <w:bottom w:val="none" w:sz="0" w:space="0" w:color="auto"/>
                                                    <w:right w:val="none" w:sz="0" w:space="0" w:color="auto"/>
                                                  </w:divBdr>
                                                  <w:divsChild>
                                                    <w:div w:id="1884635841">
                                                      <w:marLeft w:val="0"/>
                                                      <w:marRight w:val="0"/>
                                                      <w:marTop w:val="0"/>
                                                      <w:marBottom w:val="0"/>
                                                      <w:divBdr>
                                                        <w:top w:val="none" w:sz="0" w:space="0" w:color="auto"/>
                                                        <w:left w:val="none" w:sz="0" w:space="0" w:color="auto"/>
                                                        <w:bottom w:val="none" w:sz="0" w:space="0" w:color="auto"/>
                                                        <w:right w:val="none" w:sz="0" w:space="0" w:color="auto"/>
                                                      </w:divBdr>
                                                      <w:divsChild>
                                                        <w:div w:id="301472082">
                                                          <w:marLeft w:val="0"/>
                                                          <w:marRight w:val="0"/>
                                                          <w:marTop w:val="0"/>
                                                          <w:marBottom w:val="0"/>
                                                          <w:divBdr>
                                                            <w:top w:val="none" w:sz="0" w:space="0" w:color="auto"/>
                                                            <w:left w:val="none" w:sz="0" w:space="0" w:color="auto"/>
                                                            <w:bottom w:val="none" w:sz="0" w:space="0" w:color="auto"/>
                                                            <w:right w:val="none" w:sz="0" w:space="0" w:color="auto"/>
                                                          </w:divBdr>
                                                          <w:divsChild>
                                                            <w:div w:id="789054761">
                                                              <w:marLeft w:val="0"/>
                                                              <w:marRight w:val="0"/>
                                                              <w:marTop w:val="0"/>
                                                              <w:marBottom w:val="0"/>
                                                              <w:divBdr>
                                                                <w:top w:val="none" w:sz="0" w:space="0" w:color="auto"/>
                                                                <w:left w:val="none" w:sz="0" w:space="0" w:color="auto"/>
                                                                <w:bottom w:val="none" w:sz="0" w:space="0" w:color="auto"/>
                                                                <w:right w:val="none" w:sz="0" w:space="0" w:color="auto"/>
                                                              </w:divBdr>
                                                            </w:div>
                                                            <w:div w:id="1715499160">
                                                              <w:marLeft w:val="0"/>
                                                              <w:marRight w:val="0"/>
                                                              <w:marTop w:val="0"/>
                                                              <w:marBottom w:val="0"/>
                                                              <w:divBdr>
                                                                <w:top w:val="none" w:sz="0" w:space="0" w:color="auto"/>
                                                                <w:left w:val="none" w:sz="0" w:space="0" w:color="auto"/>
                                                                <w:bottom w:val="none" w:sz="0" w:space="0" w:color="auto"/>
                                                                <w:right w:val="none" w:sz="0" w:space="0" w:color="auto"/>
                                                              </w:divBdr>
                                                              <w:divsChild>
                                                                <w:div w:id="1807235172">
                                                                  <w:marLeft w:val="0"/>
                                                                  <w:marRight w:val="0"/>
                                                                  <w:marTop w:val="0"/>
                                                                  <w:marBottom w:val="120"/>
                                                                  <w:divBdr>
                                                                    <w:top w:val="none" w:sz="0" w:space="0" w:color="auto"/>
                                                                    <w:left w:val="none" w:sz="0" w:space="0" w:color="auto"/>
                                                                    <w:bottom w:val="none" w:sz="0" w:space="0" w:color="auto"/>
                                                                    <w:right w:val="none" w:sz="0" w:space="0" w:color="auto"/>
                                                                  </w:divBdr>
                                                                </w:div>
                                                                <w:div w:id="1178351967">
                                                                  <w:marLeft w:val="0"/>
                                                                  <w:marRight w:val="0"/>
                                                                  <w:marTop w:val="0"/>
                                                                  <w:marBottom w:val="0"/>
                                                                  <w:divBdr>
                                                                    <w:top w:val="none" w:sz="0" w:space="0" w:color="auto"/>
                                                                    <w:left w:val="none" w:sz="0" w:space="0" w:color="auto"/>
                                                                    <w:bottom w:val="none" w:sz="0" w:space="0" w:color="auto"/>
                                                                    <w:right w:val="none" w:sz="0" w:space="0" w:color="auto"/>
                                                                  </w:divBdr>
                                                                </w:div>
                                                                <w:div w:id="19791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453735">
                                              <w:marLeft w:val="0"/>
                                              <w:marRight w:val="0"/>
                                              <w:marTop w:val="0"/>
                                              <w:marBottom w:val="0"/>
                                              <w:divBdr>
                                                <w:top w:val="none" w:sz="0" w:space="0" w:color="auto"/>
                                                <w:left w:val="none" w:sz="0" w:space="0" w:color="auto"/>
                                                <w:bottom w:val="none" w:sz="0" w:space="0" w:color="auto"/>
                                                <w:right w:val="none" w:sz="0" w:space="0" w:color="auto"/>
                                              </w:divBdr>
                                              <w:divsChild>
                                                <w:div w:id="1181166840">
                                                  <w:marLeft w:val="0"/>
                                                  <w:marRight w:val="0"/>
                                                  <w:marTop w:val="0"/>
                                                  <w:marBottom w:val="0"/>
                                                  <w:divBdr>
                                                    <w:top w:val="none" w:sz="0" w:space="0" w:color="auto"/>
                                                    <w:left w:val="none" w:sz="0" w:space="0" w:color="auto"/>
                                                    <w:bottom w:val="none" w:sz="0" w:space="0" w:color="auto"/>
                                                    <w:right w:val="none" w:sz="0" w:space="0" w:color="auto"/>
                                                  </w:divBdr>
                                                  <w:divsChild>
                                                    <w:div w:id="1958444142">
                                                      <w:marLeft w:val="0"/>
                                                      <w:marRight w:val="0"/>
                                                      <w:marTop w:val="0"/>
                                                      <w:marBottom w:val="0"/>
                                                      <w:divBdr>
                                                        <w:top w:val="none" w:sz="0" w:space="0" w:color="auto"/>
                                                        <w:left w:val="none" w:sz="0" w:space="0" w:color="auto"/>
                                                        <w:bottom w:val="none" w:sz="0" w:space="0" w:color="auto"/>
                                                        <w:right w:val="none" w:sz="0" w:space="0" w:color="auto"/>
                                                      </w:divBdr>
                                                      <w:divsChild>
                                                        <w:div w:id="1579749487">
                                                          <w:marLeft w:val="0"/>
                                                          <w:marRight w:val="0"/>
                                                          <w:marTop w:val="0"/>
                                                          <w:marBottom w:val="0"/>
                                                          <w:divBdr>
                                                            <w:top w:val="none" w:sz="0" w:space="0" w:color="auto"/>
                                                            <w:left w:val="none" w:sz="0" w:space="0" w:color="auto"/>
                                                            <w:bottom w:val="none" w:sz="0" w:space="0" w:color="auto"/>
                                                            <w:right w:val="none" w:sz="0" w:space="0" w:color="auto"/>
                                                          </w:divBdr>
                                                          <w:divsChild>
                                                            <w:div w:id="266351863">
                                                              <w:marLeft w:val="0"/>
                                                              <w:marRight w:val="0"/>
                                                              <w:marTop w:val="0"/>
                                                              <w:marBottom w:val="0"/>
                                                              <w:divBdr>
                                                                <w:top w:val="none" w:sz="0" w:space="0" w:color="auto"/>
                                                                <w:left w:val="none" w:sz="0" w:space="0" w:color="auto"/>
                                                                <w:bottom w:val="none" w:sz="0" w:space="0" w:color="auto"/>
                                                                <w:right w:val="none" w:sz="0" w:space="0" w:color="auto"/>
                                                              </w:divBdr>
                                                            </w:div>
                                                            <w:div w:id="1940284989">
                                                              <w:marLeft w:val="0"/>
                                                              <w:marRight w:val="0"/>
                                                              <w:marTop w:val="0"/>
                                                              <w:marBottom w:val="0"/>
                                                              <w:divBdr>
                                                                <w:top w:val="none" w:sz="0" w:space="0" w:color="auto"/>
                                                                <w:left w:val="none" w:sz="0" w:space="0" w:color="auto"/>
                                                                <w:bottom w:val="none" w:sz="0" w:space="0" w:color="auto"/>
                                                                <w:right w:val="none" w:sz="0" w:space="0" w:color="auto"/>
                                                              </w:divBdr>
                                                              <w:divsChild>
                                                                <w:div w:id="1251964367">
                                                                  <w:marLeft w:val="0"/>
                                                                  <w:marRight w:val="0"/>
                                                                  <w:marTop w:val="0"/>
                                                                  <w:marBottom w:val="120"/>
                                                                  <w:divBdr>
                                                                    <w:top w:val="none" w:sz="0" w:space="0" w:color="auto"/>
                                                                    <w:left w:val="none" w:sz="0" w:space="0" w:color="auto"/>
                                                                    <w:bottom w:val="none" w:sz="0" w:space="0" w:color="auto"/>
                                                                    <w:right w:val="none" w:sz="0" w:space="0" w:color="auto"/>
                                                                  </w:divBdr>
                                                                </w:div>
                                                                <w:div w:id="1812401409">
                                                                  <w:marLeft w:val="0"/>
                                                                  <w:marRight w:val="0"/>
                                                                  <w:marTop w:val="0"/>
                                                                  <w:marBottom w:val="0"/>
                                                                  <w:divBdr>
                                                                    <w:top w:val="none" w:sz="0" w:space="0" w:color="auto"/>
                                                                    <w:left w:val="none" w:sz="0" w:space="0" w:color="auto"/>
                                                                    <w:bottom w:val="none" w:sz="0" w:space="0" w:color="auto"/>
                                                                    <w:right w:val="none" w:sz="0" w:space="0" w:color="auto"/>
                                                                  </w:divBdr>
                                                                </w:div>
                                                                <w:div w:id="3298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182832">
                                              <w:marLeft w:val="0"/>
                                              <w:marRight w:val="0"/>
                                              <w:marTop w:val="0"/>
                                              <w:marBottom w:val="0"/>
                                              <w:divBdr>
                                                <w:top w:val="none" w:sz="0" w:space="0" w:color="auto"/>
                                                <w:left w:val="none" w:sz="0" w:space="0" w:color="auto"/>
                                                <w:bottom w:val="none" w:sz="0" w:space="0" w:color="auto"/>
                                                <w:right w:val="none" w:sz="0" w:space="0" w:color="auto"/>
                                              </w:divBdr>
                                              <w:divsChild>
                                                <w:div w:id="942803875">
                                                  <w:marLeft w:val="0"/>
                                                  <w:marRight w:val="0"/>
                                                  <w:marTop w:val="0"/>
                                                  <w:marBottom w:val="0"/>
                                                  <w:divBdr>
                                                    <w:top w:val="none" w:sz="0" w:space="0" w:color="auto"/>
                                                    <w:left w:val="none" w:sz="0" w:space="0" w:color="auto"/>
                                                    <w:bottom w:val="none" w:sz="0" w:space="0" w:color="auto"/>
                                                    <w:right w:val="none" w:sz="0" w:space="0" w:color="auto"/>
                                                  </w:divBdr>
                                                  <w:divsChild>
                                                    <w:div w:id="437796413">
                                                      <w:marLeft w:val="0"/>
                                                      <w:marRight w:val="0"/>
                                                      <w:marTop w:val="0"/>
                                                      <w:marBottom w:val="0"/>
                                                      <w:divBdr>
                                                        <w:top w:val="none" w:sz="0" w:space="0" w:color="auto"/>
                                                        <w:left w:val="none" w:sz="0" w:space="0" w:color="auto"/>
                                                        <w:bottom w:val="none" w:sz="0" w:space="0" w:color="auto"/>
                                                        <w:right w:val="none" w:sz="0" w:space="0" w:color="auto"/>
                                                      </w:divBdr>
                                                      <w:divsChild>
                                                        <w:div w:id="1843860328">
                                                          <w:marLeft w:val="0"/>
                                                          <w:marRight w:val="0"/>
                                                          <w:marTop w:val="0"/>
                                                          <w:marBottom w:val="0"/>
                                                          <w:divBdr>
                                                            <w:top w:val="none" w:sz="0" w:space="0" w:color="auto"/>
                                                            <w:left w:val="none" w:sz="0" w:space="0" w:color="auto"/>
                                                            <w:bottom w:val="none" w:sz="0" w:space="0" w:color="auto"/>
                                                            <w:right w:val="none" w:sz="0" w:space="0" w:color="auto"/>
                                                          </w:divBdr>
                                                          <w:divsChild>
                                                            <w:div w:id="93405177">
                                                              <w:marLeft w:val="0"/>
                                                              <w:marRight w:val="0"/>
                                                              <w:marTop w:val="0"/>
                                                              <w:marBottom w:val="0"/>
                                                              <w:divBdr>
                                                                <w:top w:val="none" w:sz="0" w:space="0" w:color="auto"/>
                                                                <w:left w:val="none" w:sz="0" w:space="0" w:color="auto"/>
                                                                <w:bottom w:val="none" w:sz="0" w:space="0" w:color="auto"/>
                                                                <w:right w:val="none" w:sz="0" w:space="0" w:color="auto"/>
                                                              </w:divBdr>
                                                            </w:div>
                                                            <w:div w:id="1617786534">
                                                              <w:marLeft w:val="0"/>
                                                              <w:marRight w:val="0"/>
                                                              <w:marTop w:val="0"/>
                                                              <w:marBottom w:val="0"/>
                                                              <w:divBdr>
                                                                <w:top w:val="none" w:sz="0" w:space="0" w:color="auto"/>
                                                                <w:left w:val="none" w:sz="0" w:space="0" w:color="auto"/>
                                                                <w:bottom w:val="none" w:sz="0" w:space="0" w:color="auto"/>
                                                                <w:right w:val="none" w:sz="0" w:space="0" w:color="auto"/>
                                                              </w:divBdr>
                                                              <w:divsChild>
                                                                <w:div w:id="2091854525">
                                                                  <w:marLeft w:val="0"/>
                                                                  <w:marRight w:val="0"/>
                                                                  <w:marTop w:val="0"/>
                                                                  <w:marBottom w:val="120"/>
                                                                  <w:divBdr>
                                                                    <w:top w:val="none" w:sz="0" w:space="0" w:color="auto"/>
                                                                    <w:left w:val="none" w:sz="0" w:space="0" w:color="auto"/>
                                                                    <w:bottom w:val="none" w:sz="0" w:space="0" w:color="auto"/>
                                                                    <w:right w:val="none" w:sz="0" w:space="0" w:color="auto"/>
                                                                  </w:divBdr>
                                                                </w:div>
                                                                <w:div w:id="420488069">
                                                                  <w:marLeft w:val="0"/>
                                                                  <w:marRight w:val="0"/>
                                                                  <w:marTop w:val="0"/>
                                                                  <w:marBottom w:val="0"/>
                                                                  <w:divBdr>
                                                                    <w:top w:val="none" w:sz="0" w:space="0" w:color="auto"/>
                                                                    <w:left w:val="none" w:sz="0" w:space="0" w:color="auto"/>
                                                                    <w:bottom w:val="none" w:sz="0" w:space="0" w:color="auto"/>
                                                                    <w:right w:val="none" w:sz="0" w:space="0" w:color="auto"/>
                                                                  </w:divBdr>
                                                                </w:div>
                                                                <w:div w:id="20189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9658952">
          <w:marLeft w:val="0"/>
          <w:marRight w:val="0"/>
          <w:marTop w:val="420"/>
          <w:marBottom w:val="0"/>
          <w:divBdr>
            <w:top w:val="none" w:sz="0" w:space="0" w:color="auto"/>
            <w:left w:val="none" w:sz="0" w:space="0" w:color="auto"/>
            <w:bottom w:val="none" w:sz="0" w:space="0" w:color="auto"/>
            <w:right w:val="none" w:sz="0" w:space="0" w:color="auto"/>
          </w:divBdr>
          <w:divsChild>
            <w:div w:id="310642021">
              <w:marLeft w:val="0"/>
              <w:marRight w:val="0"/>
              <w:marTop w:val="0"/>
              <w:marBottom w:val="180"/>
              <w:divBdr>
                <w:top w:val="none" w:sz="0" w:space="0" w:color="auto"/>
                <w:left w:val="none" w:sz="0" w:space="0" w:color="auto"/>
                <w:bottom w:val="single" w:sz="6" w:space="9" w:color="DFE1E5"/>
                <w:right w:val="none" w:sz="0" w:space="0" w:color="auto"/>
              </w:divBdr>
              <w:divsChild>
                <w:div w:id="1506748970">
                  <w:marLeft w:val="0"/>
                  <w:marRight w:val="0"/>
                  <w:marTop w:val="0"/>
                  <w:marBottom w:val="0"/>
                  <w:divBdr>
                    <w:top w:val="none" w:sz="0" w:space="0" w:color="auto"/>
                    <w:left w:val="none" w:sz="0" w:space="0" w:color="auto"/>
                    <w:bottom w:val="none" w:sz="0" w:space="0" w:color="auto"/>
                    <w:right w:val="none" w:sz="0" w:space="0" w:color="auto"/>
                  </w:divBdr>
                  <w:divsChild>
                    <w:div w:id="124939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6548">
              <w:marLeft w:val="0"/>
              <w:marRight w:val="0"/>
              <w:marTop w:val="0"/>
              <w:marBottom w:val="0"/>
              <w:divBdr>
                <w:top w:val="none" w:sz="0" w:space="0" w:color="auto"/>
                <w:left w:val="none" w:sz="0" w:space="0" w:color="auto"/>
                <w:bottom w:val="none" w:sz="0" w:space="0" w:color="auto"/>
                <w:right w:val="none" w:sz="0" w:space="0" w:color="auto"/>
              </w:divBdr>
              <w:divsChild>
                <w:div w:id="904560310">
                  <w:marLeft w:val="0"/>
                  <w:marRight w:val="0"/>
                  <w:marTop w:val="0"/>
                  <w:marBottom w:val="0"/>
                  <w:divBdr>
                    <w:top w:val="none" w:sz="0" w:space="0" w:color="auto"/>
                    <w:left w:val="none" w:sz="0" w:space="0" w:color="auto"/>
                    <w:bottom w:val="none" w:sz="0" w:space="0" w:color="auto"/>
                    <w:right w:val="none" w:sz="0" w:space="0" w:color="auto"/>
                  </w:divBdr>
                  <w:divsChild>
                    <w:div w:id="826479772">
                      <w:marLeft w:val="0"/>
                      <w:marRight w:val="0"/>
                      <w:marTop w:val="0"/>
                      <w:marBottom w:val="0"/>
                      <w:divBdr>
                        <w:top w:val="none" w:sz="0" w:space="0" w:color="auto"/>
                        <w:left w:val="none" w:sz="0" w:space="0" w:color="auto"/>
                        <w:bottom w:val="none" w:sz="0" w:space="0" w:color="auto"/>
                        <w:right w:val="none" w:sz="0" w:space="0" w:color="auto"/>
                      </w:divBdr>
                      <w:divsChild>
                        <w:div w:id="277874346">
                          <w:marLeft w:val="0"/>
                          <w:marRight w:val="0"/>
                          <w:marTop w:val="0"/>
                          <w:marBottom w:val="0"/>
                          <w:divBdr>
                            <w:top w:val="none" w:sz="0" w:space="0" w:color="auto"/>
                            <w:left w:val="none" w:sz="0" w:space="0" w:color="auto"/>
                            <w:bottom w:val="none" w:sz="0" w:space="0" w:color="auto"/>
                            <w:right w:val="none" w:sz="0" w:space="0" w:color="auto"/>
                          </w:divBdr>
                          <w:divsChild>
                            <w:div w:id="497960081">
                              <w:marLeft w:val="0"/>
                              <w:marRight w:val="0"/>
                              <w:marTop w:val="0"/>
                              <w:marBottom w:val="0"/>
                              <w:divBdr>
                                <w:top w:val="none" w:sz="0" w:space="0" w:color="auto"/>
                                <w:left w:val="none" w:sz="0" w:space="0" w:color="auto"/>
                                <w:bottom w:val="none" w:sz="0" w:space="0" w:color="auto"/>
                                <w:right w:val="none" w:sz="0" w:space="0" w:color="auto"/>
                              </w:divBdr>
                              <w:divsChild>
                                <w:div w:id="1997756049">
                                  <w:marLeft w:val="0"/>
                                  <w:marRight w:val="0"/>
                                  <w:marTop w:val="0"/>
                                  <w:marBottom w:val="420"/>
                                  <w:divBdr>
                                    <w:top w:val="none" w:sz="0" w:space="0" w:color="auto"/>
                                    <w:left w:val="none" w:sz="0" w:space="0" w:color="auto"/>
                                    <w:bottom w:val="none" w:sz="0" w:space="0" w:color="auto"/>
                                    <w:right w:val="none" w:sz="0" w:space="0" w:color="auto"/>
                                  </w:divBdr>
                                  <w:divsChild>
                                    <w:div w:id="619804470">
                                      <w:marLeft w:val="0"/>
                                      <w:marRight w:val="0"/>
                                      <w:marTop w:val="0"/>
                                      <w:marBottom w:val="0"/>
                                      <w:divBdr>
                                        <w:top w:val="none" w:sz="0" w:space="0" w:color="auto"/>
                                        <w:left w:val="none" w:sz="0" w:space="0" w:color="auto"/>
                                        <w:bottom w:val="none" w:sz="0" w:space="0" w:color="auto"/>
                                        <w:right w:val="none" w:sz="0" w:space="0" w:color="auto"/>
                                      </w:divBdr>
                                      <w:divsChild>
                                        <w:div w:id="19250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203892">
      <w:bodyDiv w:val="1"/>
      <w:marLeft w:val="0"/>
      <w:marRight w:val="0"/>
      <w:marTop w:val="0"/>
      <w:marBottom w:val="0"/>
      <w:divBdr>
        <w:top w:val="none" w:sz="0" w:space="0" w:color="auto"/>
        <w:left w:val="none" w:sz="0" w:space="0" w:color="auto"/>
        <w:bottom w:val="none" w:sz="0" w:space="0" w:color="auto"/>
        <w:right w:val="none" w:sz="0" w:space="0" w:color="auto"/>
      </w:divBdr>
    </w:div>
    <w:div w:id="1953126916">
      <w:bodyDiv w:val="1"/>
      <w:marLeft w:val="0"/>
      <w:marRight w:val="0"/>
      <w:marTop w:val="0"/>
      <w:marBottom w:val="0"/>
      <w:divBdr>
        <w:top w:val="none" w:sz="0" w:space="0" w:color="auto"/>
        <w:left w:val="none" w:sz="0" w:space="0" w:color="auto"/>
        <w:bottom w:val="none" w:sz="0" w:space="0" w:color="auto"/>
        <w:right w:val="none" w:sz="0" w:space="0" w:color="auto"/>
      </w:divBdr>
    </w:div>
    <w:div w:id="1960410118">
      <w:bodyDiv w:val="1"/>
      <w:marLeft w:val="0"/>
      <w:marRight w:val="0"/>
      <w:marTop w:val="0"/>
      <w:marBottom w:val="0"/>
      <w:divBdr>
        <w:top w:val="none" w:sz="0" w:space="0" w:color="auto"/>
        <w:left w:val="none" w:sz="0" w:space="0" w:color="auto"/>
        <w:bottom w:val="none" w:sz="0" w:space="0" w:color="auto"/>
        <w:right w:val="none" w:sz="0" w:space="0" w:color="auto"/>
      </w:divBdr>
    </w:div>
    <w:div w:id="1971470689">
      <w:bodyDiv w:val="1"/>
      <w:marLeft w:val="0"/>
      <w:marRight w:val="0"/>
      <w:marTop w:val="0"/>
      <w:marBottom w:val="0"/>
      <w:divBdr>
        <w:top w:val="none" w:sz="0" w:space="0" w:color="auto"/>
        <w:left w:val="none" w:sz="0" w:space="0" w:color="auto"/>
        <w:bottom w:val="none" w:sz="0" w:space="0" w:color="auto"/>
        <w:right w:val="none" w:sz="0" w:space="0" w:color="auto"/>
      </w:divBdr>
    </w:div>
    <w:div w:id="1975484074">
      <w:bodyDiv w:val="1"/>
      <w:marLeft w:val="0"/>
      <w:marRight w:val="0"/>
      <w:marTop w:val="0"/>
      <w:marBottom w:val="0"/>
      <w:divBdr>
        <w:top w:val="none" w:sz="0" w:space="0" w:color="auto"/>
        <w:left w:val="none" w:sz="0" w:space="0" w:color="auto"/>
        <w:bottom w:val="none" w:sz="0" w:space="0" w:color="auto"/>
        <w:right w:val="none" w:sz="0" w:space="0" w:color="auto"/>
      </w:divBdr>
    </w:div>
    <w:div w:id="1979068126">
      <w:bodyDiv w:val="1"/>
      <w:marLeft w:val="0"/>
      <w:marRight w:val="0"/>
      <w:marTop w:val="0"/>
      <w:marBottom w:val="0"/>
      <w:divBdr>
        <w:top w:val="none" w:sz="0" w:space="0" w:color="auto"/>
        <w:left w:val="none" w:sz="0" w:space="0" w:color="auto"/>
        <w:bottom w:val="none" w:sz="0" w:space="0" w:color="auto"/>
        <w:right w:val="none" w:sz="0" w:space="0" w:color="auto"/>
      </w:divBdr>
    </w:div>
    <w:div w:id="2000109269">
      <w:bodyDiv w:val="1"/>
      <w:marLeft w:val="0"/>
      <w:marRight w:val="0"/>
      <w:marTop w:val="0"/>
      <w:marBottom w:val="0"/>
      <w:divBdr>
        <w:top w:val="none" w:sz="0" w:space="0" w:color="auto"/>
        <w:left w:val="none" w:sz="0" w:space="0" w:color="auto"/>
        <w:bottom w:val="none" w:sz="0" w:space="0" w:color="auto"/>
        <w:right w:val="none" w:sz="0" w:space="0" w:color="auto"/>
      </w:divBdr>
    </w:div>
    <w:div w:id="2003193519">
      <w:bodyDiv w:val="1"/>
      <w:marLeft w:val="0"/>
      <w:marRight w:val="0"/>
      <w:marTop w:val="0"/>
      <w:marBottom w:val="0"/>
      <w:divBdr>
        <w:top w:val="none" w:sz="0" w:space="0" w:color="auto"/>
        <w:left w:val="none" w:sz="0" w:space="0" w:color="auto"/>
        <w:bottom w:val="none" w:sz="0" w:space="0" w:color="auto"/>
        <w:right w:val="none" w:sz="0" w:space="0" w:color="auto"/>
      </w:divBdr>
    </w:div>
    <w:div w:id="2022854893">
      <w:bodyDiv w:val="1"/>
      <w:marLeft w:val="0"/>
      <w:marRight w:val="0"/>
      <w:marTop w:val="0"/>
      <w:marBottom w:val="0"/>
      <w:divBdr>
        <w:top w:val="none" w:sz="0" w:space="0" w:color="auto"/>
        <w:left w:val="none" w:sz="0" w:space="0" w:color="auto"/>
        <w:bottom w:val="none" w:sz="0" w:space="0" w:color="auto"/>
        <w:right w:val="none" w:sz="0" w:space="0" w:color="auto"/>
      </w:divBdr>
      <w:divsChild>
        <w:div w:id="461581502">
          <w:marLeft w:val="0"/>
          <w:marRight w:val="0"/>
          <w:marTop w:val="0"/>
          <w:marBottom w:val="0"/>
          <w:divBdr>
            <w:top w:val="none" w:sz="0" w:space="0" w:color="auto"/>
            <w:left w:val="none" w:sz="0" w:space="0" w:color="auto"/>
            <w:bottom w:val="none" w:sz="0" w:space="0" w:color="auto"/>
            <w:right w:val="none" w:sz="0" w:space="0" w:color="auto"/>
          </w:divBdr>
          <w:divsChild>
            <w:div w:id="807090304">
              <w:marLeft w:val="0"/>
              <w:marRight w:val="0"/>
              <w:marTop w:val="0"/>
              <w:marBottom w:val="0"/>
              <w:divBdr>
                <w:top w:val="none" w:sz="0" w:space="0" w:color="auto"/>
                <w:left w:val="none" w:sz="0" w:space="0" w:color="auto"/>
                <w:bottom w:val="none" w:sz="0" w:space="0" w:color="auto"/>
                <w:right w:val="none" w:sz="0" w:space="0" w:color="auto"/>
              </w:divBdr>
              <w:divsChild>
                <w:div w:id="818619476">
                  <w:marLeft w:val="0"/>
                  <w:marRight w:val="0"/>
                  <w:marTop w:val="0"/>
                  <w:marBottom w:val="0"/>
                  <w:divBdr>
                    <w:top w:val="none" w:sz="0" w:space="0" w:color="auto"/>
                    <w:left w:val="none" w:sz="0" w:space="0" w:color="auto"/>
                    <w:bottom w:val="none" w:sz="0" w:space="0" w:color="auto"/>
                    <w:right w:val="none" w:sz="0" w:space="0" w:color="auto"/>
                  </w:divBdr>
                  <w:divsChild>
                    <w:div w:id="21516875">
                      <w:marLeft w:val="0"/>
                      <w:marRight w:val="0"/>
                      <w:marTop w:val="0"/>
                      <w:marBottom w:val="0"/>
                      <w:divBdr>
                        <w:top w:val="none" w:sz="0" w:space="0" w:color="auto"/>
                        <w:left w:val="none" w:sz="0" w:space="0" w:color="auto"/>
                        <w:bottom w:val="none" w:sz="0" w:space="0" w:color="auto"/>
                        <w:right w:val="none" w:sz="0" w:space="0" w:color="auto"/>
                      </w:divBdr>
                      <w:divsChild>
                        <w:div w:id="99179303">
                          <w:marLeft w:val="0"/>
                          <w:marRight w:val="0"/>
                          <w:marTop w:val="0"/>
                          <w:marBottom w:val="0"/>
                          <w:divBdr>
                            <w:top w:val="none" w:sz="0" w:space="0" w:color="auto"/>
                            <w:left w:val="none" w:sz="0" w:space="0" w:color="auto"/>
                            <w:bottom w:val="none" w:sz="0" w:space="0" w:color="auto"/>
                            <w:right w:val="none" w:sz="0" w:space="0" w:color="auto"/>
                          </w:divBdr>
                          <w:divsChild>
                            <w:div w:id="1061176748">
                              <w:marLeft w:val="0"/>
                              <w:marRight w:val="0"/>
                              <w:marTop w:val="0"/>
                              <w:marBottom w:val="0"/>
                              <w:divBdr>
                                <w:top w:val="none" w:sz="0" w:space="0" w:color="auto"/>
                                <w:left w:val="none" w:sz="0" w:space="0" w:color="auto"/>
                                <w:bottom w:val="none" w:sz="0" w:space="0" w:color="auto"/>
                                <w:right w:val="none" w:sz="0" w:space="0" w:color="auto"/>
                              </w:divBdr>
                              <w:divsChild>
                                <w:div w:id="71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870546">
      <w:bodyDiv w:val="1"/>
      <w:marLeft w:val="0"/>
      <w:marRight w:val="0"/>
      <w:marTop w:val="0"/>
      <w:marBottom w:val="0"/>
      <w:divBdr>
        <w:top w:val="none" w:sz="0" w:space="0" w:color="auto"/>
        <w:left w:val="none" w:sz="0" w:space="0" w:color="auto"/>
        <w:bottom w:val="none" w:sz="0" w:space="0" w:color="auto"/>
        <w:right w:val="none" w:sz="0" w:space="0" w:color="auto"/>
      </w:divBdr>
    </w:div>
    <w:div w:id="2050839795">
      <w:bodyDiv w:val="1"/>
      <w:marLeft w:val="0"/>
      <w:marRight w:val="0"/>
      <w:marTop w:val="0"/>
      <w:marBottom w:val="0"/>
      <w:divBdr>
        <w:top w:val="none" w:sz="0" w:space="0" w:color="auto"/>
        <w:left w:val="none" w:sz="0" w:space="0" w:color="auto"/>
        <w:bottom w:val="none" w:sz="0" w:space="0" w:color="auto"/>
        <w:right w:val="none" w:sz="0" w:space="0" w:color="auto"/>
      </w:divBdr>
    </w:div>
    <w:div w:id="2052612982">
      <w:bodyDiv w:val="1"/>
      <w:marLeft w:val="0"/>
      <w:marRight w:val="0"/>
      <w:marTop w:val="0"/>
      <w:marBottom w:val="0"/>
      <w:divBdr>
        <w:top w:val="none" w:sz="0" w:space="0" w:color="auto"/>
        <w:left w:val="none" w:sz="0" w:space="0" w:color="auto"/>
        <w:bottom w:val="none" w:sz="0" w:space="0" w:color="auto"/>
        <w:right w:val="none" w:sz="0" w:space="0" w:color="auto"/>
      </w:divBdr>
      <w:divsChild>
        <w:div w:id="637733268">
          <w:marLeft w:val="0"/>
          <w:marRight w:val="0"/>
          <w:marTop w:val="0"/>
          <w:marBottom w:val="0"/>
          <w:divBdr>
            <w:top w:val="none" w:sz="0" w:space="0" w:color="auto"/>
            <w:left w:val="none" w:sz="0" w:space="0" w:color="auto"/>
            <w:bottom w:val="none" w:sz="0" w:space="0" w:color="auto"/>
            <w:right w:val="none" w:sz="0" w:space="0" w:color="auto"/>
          </w:divBdr>
        </w:div>
      </w:divsChild>
    </w:div>
    <w:div w:id="2056612774">
      <w:bodyDiv w:val="1"/>
      <w:marLeft w:val="0"/>
      <w:marRight w:val="0"/>
      <w:marTop w:val="0"/>
      <w:marBottom w:val="0"/>
      <w:divBdr>
        <w:top w:val="none" w:sz="0" w:space="0" w:color="auto"/>
        <w:left w:val="none" w:sz="0" w:space="0" w:color="auto"/>
        <w:bottom w:val="none" w:sz="0" w:space="0" w:color="auto"/>
        <w:right w:val="none" w:sz="0" w:space="0" w:color="auto"/>
      </w:divBdr>
    </w:div>
    <w:div w:id="2068528199">
      <w:bodyDiv w:val="1"/>
      <w:marLeft w:val="0"/>
      <w:marRight w:val="0"/>
      <w:marTop w:val="0"/>
      <w:marBottom w:val="0"/>
      <w:divBdr>
        <w:top w:val="none" w:sz="0" w:space="0" w:color="auto"/>
        <w:left w:val="none" w:sz="0" w:space="0" w:color="auto"/>
        <w:bottom w:val="none" w:sz="0" w:space="0" w:color="auto"/>
        <w:right w:val="none" w:sz="0" w:space="0" w:color="auto"/>
      </w:divBdr>
    </w:div>
    <w:div w:id="2071994821">
      <w:bodyDiv w:val="1"/>
      <w:marLeft w:val="0"/>
      <w:marRight w:val="0"/>
      <w:marTop w:val="0"/>
      <w:marBottom w:val="0"/>
      <w:divBdr>
        <w:top w:val="none" w:sz="0" w:space="0" w:color="auto"/>
        <w:left w:val="none" w:sz="0" w:space="0" w:color="auto"/>
        <w:bottom w:val="none" w:sz="0" w:space="0" w:color="auto"/>
        <w:right w:val="none" w:sz="0" w:space="0" w:color="auto"/>
      </w:divBdr>
    </w:div>
    <w:div w:id="2084450594">
      <w:bodyDiv w:val="1"/>
      <w:marLeft w:val="0"/>
      <w:marRight w:val="0"/>
      <w:marTop w:val="0"/>
      <w:marBottom w:val="0"/>
      <w:divBdr>
        <w:top w:val="none" w:sz="0" w:space="0" w:color="auto"/>
        <w:left w:val="none" w:sz="0" w:space="0" w:color="auto"/>
        <w:bottom w:val="none" w:sz="0" w:space="0" w:color="auto"/>
        <w:right w:val="none" w:sz="0" w:space="0" w:color="auto"/>
      </w:divBdr>
      <w:divsChild>
        <w:div w:id="1286699650">
          <w:marLeft w:val="0"/>
          <w:marRight w:val="0"/>
          <w:marTop w:val="0"/>
          <w:marBottom w:val="0"/>
          <w:divBdr>
            <w:top w:val="none" w:sz="0" w:space="0" w:color="auto"/>
            <w:left w:val="none" w:sz="0" w:space="0" w:color="auto"/>
            <w:bottom w:val="none" w:sz="0" w:space="0" w:color="auto"/>
            <w:right w:val="none" w:sz="0" w:space="0" w:color="auto"/>
          </w:divBdr>
        </w:div>
      </w:divsChild>
    </w:div>
    <w:div w:id="2142654472">
      <w:bodyDiv w:val="1"/>
      <w:marLeft w:val="0"/>
      <w:marRight w:val="0"/>
      <w:marTop w:val="0"/>
      <w:marBottom w:val="0"/>
      <w:divBdr>
        <w:top w:val="none" w:sz="0" w:space="0" w:color="auto"/>
        <w:left w:val="none" w:sz="0" w:space="0" w:color="auto"/>
        <w:bottom w:val="none" w:sz="0" w:space="0" w:color="auto"/>
        <w:right w:val="none" w:sz="0" w:space="0" w:color="auto"/>
      </w:divBdr>
    </w:div>
    <w:div w:id="214631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fficio.stampa@gimbe.or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coronavirus.gimbe.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07B2B-81F6-4602-87DB-7D1D5A25F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1691</Words>
  <Characters>9644</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Gili</dc:creator>
  <cp:lastModifiedBy>Roberto Luceri</cp:lastModifiedBy>
  <cp:revision>8</cp:revision>
  <cp:lastPrinted>2021-02-16T16:57:00Z</cp:lastPrinted>
  <dcterms:created xsi:type="dcterms:W3CDTF">2021-07-01T06:02:00Z</dcterms:created>
  <dcterms:modified xsi:type="dcterms:W3CDTF">2021-07-01T07:44:00Z</dcterms:modified>
</cp:coreProperties>
</file>