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64" w:rsidRPr="00BF1EEA" w:rsidRDefault="00115E64" w:rsidP="00115E64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F323C" w:rsidRPr="0018467E" w:rsidRDefault="007F323C" w:rsidP="00523628">
      <w:pPr>
        <w:spacing w:after="120"/>
        <w:jc w:val="center"/>
        <w:rPr>
          <w:b/>
          <w:sz w:val="32"/>
          <w:szCs w:val="32"/>
        </w:rPr>
      </w:pPr>
      <w:r w:rsidRPr="007F323C">
        <w:rPr>
          <w:b/>
          <w:sz w:val="32"/>
          <w:szCs w:val="32"/>
        </w:rPr>
        <w:t>CORONAVIRUS</w:t>
      </w:r>
      <w:r w:rsidR="00C93A99">
        <w:rPr>
          <w:b/>
          <w:sz w:val="32"/>
          <w:szCs w:val="32"/>
        </w:rPr>
        <w:t xml:space="preserve">: </w:t>
      </w:r>
      <w:r w:rsidR="000764D8">
        <w:rPr>
          <w:b/>
          <w:sz w:val="32"/>
          <w:szCs w:val="32"/>
        </w:rPr>
        <w:t>PARTE LA TERZA ONDATA</w:t>
      </w:r>
      <w:r w:rsidR="00E36C9A">
        <w:rPr>
          <w:b/>
          <w:sz w:val="32"/>
          <w:szCs w:val="32"/>
        </w:rPr>
        <w:t>.</w:t>
      </w:r>
      <w:r w:rsidR="000764D8">
        <w:rPr>
          <w:b/>
          <w:sz w:val="32"/>
          <w:szCs w:val="32"/>
        </w:rPr>
        <w:br/>
      </w:r>
      <w:r w:rsidR="00C30361">
        <w:rPr>
          <w:b/>
          <w:sz w:val="32"/>
          <w:szCs w:val="32"/>
        </w:rPr>
        <w:t>ZONE ROSSE</w:t>
      </w:r>
      <w:r w:rsidR="009947F3">
        <w:rPr>
          <w:b/>
          <w:sz w:val="32"/>
          <w:szCs w:val="32"/>
        </w:rPr>
        <w:t xml:space="preserve"> </w:t>
      </w:r>
      <w:r w:rsidR="006E23F8">
        <w:rPr>
          <w:b/>
          <w:sz w:val="32"/>
          <w:szCs w:val="32"/>
        </w:rPr>
        <w:t>LOCALI</w:t>
      </w:r>
      <w:r w:rsidR="009947F3">
        <w:rPr>
          <w:b/>
          <w:sz w:val="32"/>
          <w:szCs w:val="32"/>
        </w:rPr>
        <w:t xml:space="preserve"> </w:t>
      </w:r>
      <w:r w:rsidR="00647295">
        <w:rPr>
          <w:b/>
          <w:sz w:val="32"/>
          <w:szCs w:val="32"/>
        </w:rPr>
        <w:t>IN RITARDO</w:t>
      </w:r>
      <w:r w:rsidR="000764D8">
        <w:rPr>
          <w:b/>
          <w:sz w:val="32"/>
          <w:szCs w:val="32"/>
        </w:rPr>
        <w:t xml:space="preserve"> E</w:t>
      </w:r>
      <w:r w:rsidR="004C46BF">
        <w:rPr>
          <w:b/>
          <w:sz w:val="32"/>
          <w:szCs w:val="32"/>
        </w:rPr>
        <w:br/>
      </w:r>
      <w:r w:rsidR="00684411">
        <w:rPr>
          <w:b/>
          <w:sz w:val="32"/>
          <w:szCs w:val="32"/>
        </w:rPr>
        <w:t xml:space="preserve">CAMPAGNA VACCINALE </w:t>
      </w:r>
      <w:r w:rsidR="000764D8">
        <w:rPr>
          <w:b/>
          <w:sz w:val="32"/>
          <w:szCs w:val="32"/>
        </w:rPr>
        <w:t xml:space="preserve">CHE </w:t>
      </w:r>
      <w:r w:rsidR="00C30361">
        <w:rPr>
          <w:b/>
          <w:sz w:val="32"/>
          <w:szCs w:val="32"/>
        </w:rPr>
        <w:t>NON DECOLL</w:t>
      </w:r>
      <w:bookmarkStart w:id="0" w:name="_GoBack"/>
      <w:bookmarkEnd w:id="0"/>
      <w:r w:rsidR="00C30361">
        <w:rPr>
          <w:b/>
          <w:sz w:val="32"/>
          <w:szCs w:val="32"/>
        </w:rPr>
        <w:t>A</w:t>
      </w:r>
    </w:p>
    <w:p w:rsidR="00F5371A" w:rsidRPr="00D43DF2" w:rsidRDefault="00115E64" w:rsidP="000936E0">
      <w:pPr>
        <w:spacing w:after="120"/>
        <w:jc w:val="both"/>
        <w:rPr>
          <w:b/>
          <w:sz w:val="23"/>
          <w:szCs w:val="23"/>
        </w:rPr>
      </w:pPr>
      <w:r w:rsidRPr="00D43DF2">
        <w:rPr>
          <w:b/>
          <w:sz w:val="23"/>
          <w:szCs w:val="23"/>
        </w:rPr>
        <w:t xml:space="preserve">IL MONITORAGGIO DELLA FONDAZIONE GIMBE </w:t>
      </w:r>
      <w:r w:rsidR="00930A07" w:rsidRPr="00D43DF2">
        <w:rPr>
          <w:b/>
          <w:sz w:val="23"/>
          <w:szCs w:val="23"/>
        </w:rPr>
        <w:t>REGISTRA</w:t>
      </w:r>
      <w:r w:rsidR="00684411">
        <w:rPr>
          <w:b/>
          <w:sz w:val="23"/>
          <w:szCs w:val="23"/>
        </w:rPr>
        <w:t>,</w:t>
      </w:r>
      <w:r w:rsidRPr="00D43DF2">
        <w:rPr>
          <w:b/>
          <w:sz w:val="23"/>
          <w:szCs w:val="23"/>
        </w:rPr>
        <w:t xml:space="preserve">NELLA SETTIMANA </w:t>
      </w:r>
      <w:r w:rsidR="00454850">
        <w:rPr>
          <w:b/>
          <w:sz w:val="23"/>
          <w:szCs w:val="23"/>
        </w:rPr>
        <w:t>24</w:t>
      </w:r>
      <w:r w:rsidR="008049E8" w:rsidRPr="00D43DF2">
        <w:rPr>
          <w:b/>
          <w:sz w:val="23"/>
          <w:szCs w:val="23"/>
        </w:rPr>
        <w:t xml:space="preserve"> FEBBRAIO</w:t>
      </w:r>
      <w:r w:rsidR="00454850">
        <w:rPr>
          <w:b/>
          <w:sz w:val="23"/>
          <w:szCs w:val="23"/>
        </w:rPr>
        <w:t>-2 MARZO</w:t>
      </w:r>
      <w:r w:rsidR="00684411">
        <w:rPr>
          <w:b/>
          <w:sz w:val="23"/>
          <w:szCs w:val="23"/>
        </w:rPr>
        <w:t>,</w:t>
      </w:r>
      <w:r w:rsidR="00930A07" w:rsidRPr="00D43DF2">
        <w:rPr>
          <w:b/>
          <w:sz w:val="23"/>
          <w:szCs w:val="23"/>
        </w:rPr>
        <w:t xml:space="preserve">UN </w:t>
      </w:r>
      <w:r w:rsidR="000764D8">
        <w:rPr>
          <w:b/>
          <w:sz w:val="23"/>
          <w:szCs w:val="23"/>
        </w:rPr>
        <w:t>AUMENTO DEL 33%</w:t>
      </w:r>
      <w:r w:rsidR="00930A07" w:rsidRPr="00D43DF2">
        <w:rPr>
          <w:b/>
          <w:sz w:val="23"/>
          <w:szCs w:val="23"/>
        </w:rPr>
        <w:t xml:space="preserve"> NUOVI CASI</w:t>
      </w:r>
      <w:r w:rsidR="00684411">
        <w:rPr>
          <w:b/>
          <w:sz w:val="23"/>
          <w:szCs w:val="23"/>
        </w:rPr>
        <w:t xml:space="preserve"> E NUMERI IN CRESCITA SUL FRONTE </w:t>
      </w:r>
      <w:r w:rsidR="004C46BF">
        <w:rPr>
          <w:b/>
          <w:sz w:val="23"/>
          <w:szCs w:val="23"/>
        </w:rPr>
        <w:t xml:space="preserve">DI </w:t>
      </w:r>
      <w:r w:rsidR="00684411">
        <w:rPr>
          <w:b/>
          <w:sz w:val="23"/>
          <w:szCs w:val="23"/>
        </w:rPr>
        <w:t>OSPEDALI</w:t>
      </w:r>
      <w:r w:rsidR="004C46BF">
        <w:rPr>
          <w:b/>
          <w:sz w:val="23"/>
          <w:szCs w:val="23"/>
        </w:rPr>
        <w:t xml:space="preserve"> E TERAPIE INTENSIVE</w:t>
      </w:r>
      <w:r w:rsidR="00684411">
        <w:rPr>
          <w:b/>
          <w:sz w:val="23"/>
          <w:szCs w:val="23"/>
        </w:rPr>
        <w:t xml:space="preserve">. </w:t>
      </w:r>
      <w:r w:rsidR="00E36C9A">
        <w:rPr>
          <w:b/>
          <w:sz w:val="23"/>
          <w:szCs w:val="23"/>
        </w:rPr>
        <w:t xml:space="preserve">A FRONTE DELLA VERTIGINOSA </w:t>
      </w:r>
      <w:r w:rsidR="00622554">
        <w:rPr>
          <w:b/>
          <w:sz w:val="23"/>
          <w:szCs w:val="23"/>
        </w:rPr>
        <w:t xml:space="preserve">ACCELERAZIONE IMPRESSA DALLE VARIANTI, SI </w:t>
      </w:r>
      <w:r w:rsidR="00E36C9A">
        <w:rPr>
          <w:b/>
          <w:sz w:val="23"/>
          <w:szCs w:val="23"/>
        </w:rPr>
        <w:t xml:space="preserve">CONTINUA A </w:t>
      </w:r>
      <w:r w:rsidR="00622554">
        <w:rPr>
          <w:b/>
          <w:sz w:val="23"/>
          <w:szCs w:val="23"/>
        </w:rPr>
        <w:t>TEMPOREGGIA</w:t>
      </w:r>
      <w:r w:rsidR="00E36C9A">
        <w:rPr>
          <w:b/>
          <w:sz w:val="23"/>
          <w:szCs w:val="23"/>
        </w:rPr>
        <w:t>RE</w:t>
      </w:r>
      <w:r w:rsidR="009947F3">
        <w:rPr>
          <w:b/>
          <w:sz w:val="23"/>
          <w:szCs w:val="23"/>
        </w:rPr>
        <w:t xml:space="preserve"> </w:t>
      </w:r>
      <w:r w:rsidR="00E36C9A">
        <w:rPr>
          <w:b/>
          <w:sz w:val="23"/>
          <w:szCs w:val="23"/>
        </w:rPr>
        <w:t xml:space="preserve">INUTILMENTE NELL’ISTITUIRE </w:t>
      </w:r>
      <w:r w:rsidR="00647295">
        <w:rPr>
          <w:b/>
          <w:sz w:val="23"/>
          <w:szCs w:val="23"/>
        </w:rPr>
        <w:t>ZONE ROSSE</w:t>
      </w:r>
      <w:r w:rsidR="004C46BF">
        <w:rPr>
          <w:b/>
          <w:sz w:val="23"/>
          <w:szCs w:val="23"/>
        </w:rPr>
        <w:t xml:space="preserve"> LOCALI</w:t>
      </w:r>
      <w:r w:rsidR="00647295">
        <w:rPr>
          <w:b/>
          <w:sz w:val="23"/>
          <w:szCs w:val="23"/>
        </w:rPr>
        <w:t xml:space="preserve">. </w:t>
      </w:r>
      <w:r w:rsidR="00684411">
        <w:rPr>
          <w:b/>
          <w:sz w:val="23"/>
          <w:szCs w:val="23"/>
        </w:rPr>
        <w:t xml:space="preserve">LA CAMPAGNA VACCINALE DI MASSA NON DECOLLA: </w:t>
      </w:r>
      <w:r w:rsidR="00622554">
        <w:rPr>
          <w:b/>
          <w:sz w:val="23"/>
          <w:szCs w:val="23"/>
        </w:rPr>
        <w:t xml:space="preserve">MENTRE IL DIBATTITO </w:t>
      </w:r>
      <w:r w:rsidR="006E23F8">
        <w:rPr>
          <w:b/>
          <w:sz w:val="23"/>
          <w:szCs w:val="23"/>
        </w:rPr>
        <w:t xml:space="preserve">SI </w:t>
      </w:r>
      <w:r w:rsidR="00622554">
        <w:rPr>
          <w:b/>
          <w:sz w:val="23"/>
          <w:szCs w:val="23"/>
        </w:rPr>
        <w:t>CONCENTRA SU PRODUZIONE E FORNITURE</w:t>
      </w:r>
      <w:r w:rsidR="00E36C9A">
        <w:rPr>
          <w:b/>
          <w:sz w:val="23"/>
          <w:szCs w:val="23"/>
        </w:rPr>
        <w:t>,</w:t>
      </w:r>
      <w:r w:rsidR="009947F3">
        <w:rPr>
          <w:b/>
          <w:sz w:val="23"/>
          <w:szCs w:val="23"/>
        </w:rPr>
        <w:t xml:space="preserve"> </w:t>
      </w:r>
      <w:r w:rsidR="00E36C9A">
        <w:rPr>
          <w:b/>
          <w:sz w:val="23"/>
          <w:szCs w:val="23"/>
        </w:rPr>
        <w:t>RIMANGONO NEL</w:t>
      </w:r>
      <w:r w:rsidR="00622554">
        <w:rPr>
          <w:b/>
          <w:sz w:val="23"/>
          <w:szCs w:val="23"/>
        </w:rPr>
        <w:t xml:space="preserve"> FRIGO </w:t>
      </w:r>
      <w:r w:rsidR="006E23F8">
        <w:rPr>
          <w:b/>
          <w:sz w:val="23"/>
          <w:szCs w:val="23"/>
        </w:rPr>
        <w:t>QUASI 2 MILIONI DI DOSI</w:t>
      </w:r>
      <w:r w:rsidR="00622554">
        <w:rPr>
          <w:b/>
          <w:sz w:val="23"/>
          <w:szCs w:val="23"/>
        </w:rPr>
        <w:t xml:space="preserve">, </w:t>
      </w:r>
      <w:r w:rsidR="002757FE">
        <w:rPr>
          <w:b/>
          <w:sz w:val="23"/>
          <w:szCs w:val="23"/>
        </w:rPr>
        <w:t>IL 30% DI QUELLE</w:t>
      </w:r>
      <w:r w:rsidR="009947F3">
        <w:rPr>
          <w:b/>
          <w:sz w:val="23"/>
          <w:szCs w:val="23"/>
        </w:rPr>
        <w:t xml:space="preserve"> </w:t>
      </w:r>
      <w:r w:rsidR="002757FE">
        <w:rPr>
          <w:b/>
          <w:sz w:val="23"/>
          <w:szCs w:val="23"/>
        </w:rPr>
        <w:t>CONSEGNATE</w:t>
      </w:r>
      <w:r w:rsidR="00647295">
        <w:rPr>
          <w:b/>
          <w:sz w:val="23"/>
          <w:szCs w:val="23"/>
        </w:rPr>
        <w:t xml:space="preserve">. </w:t>
      </w:r>
      <w:r w:rsidR="000764D8">
        <w:rPr>
          <w:b/>
          <w:sz w:val="23"/>
          <w:szCs w:val="23"/>
        </w:rPr>
        <w:t xml:space="preserve">NEL NUOVO DPCM </w:t>
      </w:r>
      <w:r w:rsidR="00647295">
        <w:rPr>
          <w:b/>
          <w:sz w:val="23"/>
          <w:szCs w:val="23"/>
        </w:rPr>
        <w:t xml:space="preserve">NESSUNA NUOVA STRATEGIA PER CONTENERE L’EPIDEMIA, </w:t>
      </w:r>
      <w:r w:rsidR="009051B8">
        <w:rPr>
          <w:b/>
          <w:sz w:val="23"/>
          <w:szCs w:val="23"/>
        </w:rPr>
        <w:t>ECCETTO L’</w:t>
      </w:r>
      <w:r w:rsidR="00647295">
        <w:rPr>
          <w:b/>
          <w:sz w:val="23"/>
          <w:szCs w:val="23"/>
        </w:rPr>
        <w:t>ENNESIM</w:t>
      </w:r>
      <w:r w:rsidR="009051B8">
        <w:rPr>
          <w:b/>
          <w:sz w:val="23"/>
          <w:szCs w:val="23"/>
        </w:rPr>
        <w:t>A</w:t>
      </w:r>
      <w:r w:rsidR="009947F3">
        <w:rPr>
          <w:b/>
          <w:sz w:val="23"/>
          <w:szCs w:val="23"/>
        </w:rPr>
        <w:t xml:space="preserve"> </w:t>
      </w:r>
      <w:r w:rsidR="00C02A76">
        <w:rPr>
          <w:b/>
          <w:sz w:val="23"/>
          <w:szCs w:val="23"/>
        </w:rPr>
        <w:t>BATTUTA D’ARRESTO PER LA</w:t>
      </w:r>
      <w:r w:rsidR="00647295">
        <w:rPr>
          <w:b/>
          <w:sz w:val="23"/>
          <w:szCs w:val="23"/>
        </w:rPr>
        <w:t xml:space="preserve"> SCUOLA. </w:t>
      </w:r>
    </w:p>
    <w:p w:rsidR="00115E64" w:rsidRPr="005E400E" w:rsidRDefault="00454850" w:rsidP="000936E0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4 marzo</w:t>
      </w:r>
      <w:r w:rsidR="00115E64" w:rsidRPr="005E400E">
        <w:rPr>
          <w:rFonts w:ascii="Calibri" w:eastAsia="Calibri" w:hAnsi="Calibri" w:cs="Times New Roman"/>
          <w:b/>
          <w:bCs/>
          <w:sz w:val="24"/>
          <w:szCs w:val="24"/>
        </w:rPr>
        <w:t>2021 - Fondazione GIMBE, Bologna</w:t>
      </w:r>
    </w:p>
    <w:p w:rsidR="00115E64" w:rsidRPr="00C83917" w:rsidRDefault="00115E64" w:rsidP="00943563">
      <w:pPr>
        <w:spacing w:line="276" w:lineRule="auto"/>
        <w:jc w:val="both"/>
      </w:pPr>
      <w:r w:rsidRPr="00C83917">
        <w:t>Il monitoraggio indipendente della Fondazione GIMBE</w:t>
      </w:r>
      <w:r w:rsidR="002A7736" w:rsidRPr="00C83917">
        <w:t>rileva</w:t>
      </w:r>
      <w:r w:rsidRPr="00C83917">
        <w:t xml:space="preserve"> nella settimana </w:t>
      </w:r>
      <w:r w:rsidR="00454850" w:rsidRPr="00C83917">
        <w:t>24</w:t>
      </w:r>
      <w:r w:rsidR="008049E8" w:rsidRPr="00C83917">
        <w:t xml:space="preserve"> febbraio</w:t>
      </w:r>
      <w:r w:rsidR="00454850" w:rsidRPr="00C83917">
        <w:t>-2 marzo</w:t>
      </w:r>
      <w:r w:rsidRPr="00C83917">
        <w:t xml:space="preserve"> 2021, rispetto alla precedente, </w:t>
      </w:r>
      <w:r w:rsidR="00192FB7">
        <w:t xml:space="preserve">un </w:t>
      </w:r>
      <w:r w:rsidR="00192FB7" w:rsidRPr="002757FE">
        <w:t xml:space="preserve">netto </w:t>
      </w:r>
      <w:r w:rsidR="00192FB7">
        <w:t xml:space="preserve">incremento </w:t>
      </w:r>
      <w:r w:rsidRPr="00C83917">
        <w:t>d</w:t>
      </w:r>
      <w:r w:rsidR="005E400E" w:rsidRPr="00C83917">
        <w:t>e</w:t>
      </w:r>
      <w:r w:rsidRPr="00C83917">
        <w:t>i nuovi casi (</w:t>
      </w:r>
      <w:r w:rsidR="00C83917" w:rsidRPr="00C83917">
        <w:t>123.272 vs 92.571</w:t>
      </w:r>
      <w:r w:rsidRPr="00C83917">
        <w:t>)</w:t>
      </w:r>
      <w:r w:rsidR="001A0514" w:rsidRPr="00C83917">
        <w:t xml:space="preserve"> (</w:t>
      </w:r>
      <w:r w:rsidR="001A0514" w:rsidRPr="00C83917">
        <w:rPr>
          <w:highlight w:val="yellow"/>
        </w:rPr>
        <w:t>figura 1</w:t>
      </w:r>
      <w:r w:rsidR="001A0514" w:rsidRPr="00C83917">
        <w:t>)</w:t>
      </w:r>
      <w:r w:rsidR="00AB428F">
        <w:t xml:space="preserve">e un modesto </w:t>
      </w:r>
      <w:r w:rsidR="00C83917" w:rsidRPr="00C83917">
        <w:t xml:space="preserve">calo </w:t>
      </w:r>
      <w:r w:rsidR="008B6F3B" w:rsidRPr="00C83917">
        <w:t>d</w:t>
      </w:r>
      <w:r w:rsidR="00C83917" w:rsidRPr="00C83917">
        <w:t xml:space="preserve">ei </w:t>
      </w:r>
      <w:r w:rsidR="008B6F3B" w:rsidRPr="00C83917">
        <w:t>decessi (</w:t>
      </w:r>
      <w:r w:rsidR="00C83917" w:rsidRPr="00C83917">
        <w:t xml:space="preserve">1.940 vs </w:t>
      </w:r>
      <w:r w:rsidR="008B6F3B" w:rsidRPr="00C83917">
        <w:t>2.177) (</w:t>
      </w:r>
      <w:r w:rsidR="008B6F3B" w:rsidRPr="00C83917">
        <w:rPr>
          <w:highlight w:val="yellow"/>
        </w:rPr>
        <w:t>figura 2</w:t>
      </w:r>
      <w:r w:rsidR="008B6F3B" w:rsidRPr="00C83917">
        <w:t xml:space="preserve">). </w:t>
      </w:r>
      <w:r w:rsidR="005E400E" w:rsidRPr="00C83917">
        <w:t xml:space="preserve">In </w:t>
      </w:r>
      <w:r w:rsidR="007D4616" w:rsidRPr="009051B8">
        <w:t xml:space="preserve">forte </w:t>
      </w:r>
      <w:r w:rsidR="00C83917" w:rsidRPr="00C83917">
        <w:t xml:space="preserve">rialzo </w:t>
      </w:r>
      <w:r w:rsidR="007919D2" w:rsidRPr="00C83917">
        <w:t>i</w:t>
      </w:r>
      <w:r w:rsidRPr="00C83917">
        <w:t>casi attualmente positivi (</w:t>
      </w:r>
      <w:r w:rsidR="00C83917" w:rsidRPr="00C83917">
        <w:t xml:space="preserve">430.996 vs </w:t>
      </w:r>
      <w:r w:rsidR="005E400E" w:rsidRPr="00C83917">
        <w:t>387.948</w:t>
      </w:r>
      <w:r w:rsidRPr="00C83917">
        <w:t>)</w:t>
      </w:r>
      <w:r w:rsidR="005E400E" w:rsidRPr="00C83917">
        <w:t xml:space="preserve">, </w:t>
      </w:r>
      <w:r w:rsidR="001A0514" w:rsidRPr="00C83917">
        <w:t>le persone in isolamento domiciliare (</w:t>
      </w:r>
      <w:r w:rsidR="00C83917" w:rsidRPr="00C83917">
        <w:t xml:space="preserve">409.099 vs </w:t>
      </w:r>
      <w:r w:rsidR="005E400E" w:rsidRPr="00C83917">
        <w:t>367.507</w:t>
      </w:r>
      <w:r w:rsidR="00827B14" w:rsidRPr="00C83917">
        <w:t>)</w:t>
      </w:r>
      <w:r w:rsidR="00C83917" w:rsidRPr="00C83917">
        <w:t xml:space="preserve">, </w:t>
      </w:r>
      <w:r w:rsidR="0085279C" w:rsidRPr="00C83917">
        <w:t xml:space="preserve">i </w:t>
      </w:r>
      <w:r w:rsidRPr="00C83917">
        <w:t>ricover</w:t>
      </w:r>
      <w:r w:rsidR="00900787" w:rsidRPr="00C83917">
        <w:t xml:space="preserve">i </w:t>
      </w:r>
      <w:r w:rsidRPr="00C83917">
        <w:t>con sintomi (</w:t>
      </w:r>
      <w:r w:rsidR="00C83917" w:rsidRPr="00C83917">
        <w:t xml:space="preserve">19.570 vs </w:t>
      </w:r>
      <w:r w:rsidR="005E400E" w:rsidRPr="00C83917">
        <w:t>18.295</w:t>
      </w:r>
      <w:r w:rsidR="007919D2" w:rsidRPr="00C83917">
        <w:t>)</w:t>
      </w:r>
      <w:r w:rsidR="00C83917" w:rsidRPr="00C83917">
        <w:t xml:space="preserve"> e le </w:t>
      </w:r>
      <w:r w:rsidRPr="00C83917">
        <w:t>terapie intensive (</w:t>
      </w:r>
      <w:r w:rsidR="00C83917" w:rsidRPr="00C83917">
        <w:t xml:space="preserve">2.327 vs </w:t>
      </w:r>
      <w:r w:rsidR="005E400E" w:rsidRPr="00C83917">
        <w:t>2.146</w:t>
      </w:r>
      <w:r w:rsidR="007919D2" w:rsidRPr="00C83917">
        <w:t xml:space="preserve">) </w:t>
      </w:r>
      <w:r w:rsidR="001A0514" w:rsidRPr="00C83917">
        <w:t>(</w:t>
      </w:r>
      <w:r w:rsidR="008B6F3B" w:rsidRPr="00C83917">
        <w:rPr>
          <w:highlight w:val="yellow"/>
        </w:rPr>
        <w:t>figura 3</w:t>
      </w:r>
      <w:r w:rsidR="00B41BF2" w:rsidRPr="00C83917">
        <w:t>)</w:t>
      </w:r>
      <w:r w:rsidR="00B33749" w:rsidRPr="00C83917">
        <w:t xml:space="preserve">. </w:t>
      </w:r>
      <w:r w:rsidRPr="00C83917">
        <w:t>In dettaglio, rispetto alla settimana precedente, si registrano le seguenti variazioni:</w:t>
      </w:r>
    </w:p>
    <w:p w:rsidR="00115E64" w:rsidRPr="00C83917" w:rsidRDefault="007919D2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 xml:space="preserve">Decessi: </w:t>
      </w:r>
      <w:r w:rsidR="00C83917" w:rsidRPr="00C83917">
        <w:t>1.940</w:t>
      </w:r>
      <w:r w:rsidR="00115E64" w:rsidRPr="00C83917">
        <w:t xml:space="preserve"> (</w:t>
      </w:r>
      <w:r w:rsidR="00C83917" w:rsidRPr="00C83917">
        <w:t>-10,9</w:t>
      </w:r>
      <w:r w:rsidR="00115E64" w:rsidRPr="00C83917">
        <w:t>%)</w:t>
      </w:r>
    </w:p>
    <w:p w:rsidR="00115E64" w:rsidRPr="00C83917" w:rsidRDefault="005E400E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>Terapia intensiva: +</w:t>
      </w:r>
      <w:r w:rsidR="00C83917" w:rsidRPr="00C83917">
        <w:t>181(+8</w:t>
      </w:r>
      <w:r w:rsidR="00115E64" w:rsidRPr="00C83917">
        <w:t>,</w:t>
      </w:r>
      <w:r w:rsidR="00C83917" w:rsidRPr="00C83917">
        <w:t>4</w:t>
      </w:r>
      <w:r w:rsidR="00115E64" w:rsidRPr="00C83917">
        <w:t>%)</w:t>
      </w:r>
    </w:p>
    <w:p w:rsidR="00115E64" w:rsidRPr="00C83917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 xml:space="preserve">Ricoverati con sintomi: </w:t>
      </w:r>
      <w:r w:rsidR="00C83917" w:rsidRPr="00C83917">
        <w:t>+1.275 (+7</w:t>
      </w:r>
      <w:r w:rsidRPr="00C83917">
        <w:t>%)</w:t>
      </w:r>
    </w:p>
    <w:p w:rsidR="001A0514" w:rsidRPr="00C83917" w:rsidRDefault="00C83917" w:rsidP="001A051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>Isolamento domiciliare: +41.592</w:t>
      </w:r>
      <w:r w:rsidR="001A0514" w:rsidRPr="00C83917">
        <w:t xml:space="preserve"> (</w:t>
      </w:r>
      <w:r w:rsidRPr="00C83917">
        <w:t>11,3</w:t>
      </w:r>
      <w:r w:rsidR="001A0514" w:rsidRPr="00C83917">
        <w:t>%)</w:t>
      </w:r>
    </w:p>
    <w:p w:rsidR="00115E64" w:rsidRPr="00C83917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 xml:space="preserve">Nuovi casi: </w:t>
      </w:r>
      <w:r w:rsidR="00C83917" w:rsidRPr="00C83917">
        <w:t>123.272</w:t>
      </w:r>
      <w:r w:rsidR="00E92B03" w:rsidRPr="00C83917">
        <w:t xml:space="preserve"> (</w:t>
      </w:r>
      <w:r w:rsidR="005E400E" w:rsidRPr="00C83917">
        <w:t>+</w:t>
      </w:r>
      <w:r w:rsidR="00C83917" w:rsidRPr="00C83917">
        <w:t>33</w:t>
      </w:r>
      <w:r w:rsidR="005E400E" w:rsidRPr="00C83917">
        <w:t>,</w:t>
      </w:r>
      <w:r w:rsidR="00C83917" w:rsidRPr="00C83917">
        <w:t>2</w:t>
      </w:r>
      <w:r w:rsidR="007919D2" w:rsidRPr="00C83917">
        <w:t>%)</w:t>
      </w:r>
    </w:p>
    <w:p w:rsidR="00115E64" w:rsidRPr="00C83917" w:rsidRDefault="00C83917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83917">
        <w:t>Casi attualmente positivi: +43.048(+11,1</w:t>
      </w:r>
      <w:r w:rsidR="00115E64" w:rsidRPr="00C83917">
        <w:t>%)</w:t>
      </w:r>
    </w:p>
    <w:p w:rsidR="00D43760" w:rsidRDefault="00115E64" w:rsidP="00803193">
      <w:pPr>
        <w:spacing w:line="276" w:lineRule="auto"/>
        <w:jc w:val="both"/>
      </w:pPr>
      <w:r w:rsidRPr="00F47275">
        <w:t>«</w:t>
      </w:r>
      <w:r w:rsidR="00F47275" w:rsidRPr="00F47275">
        <w:t xml:space="preserve">Per la seconda settimana consecutiva </w:t>
      </w:r>
      <w:r w:rsidR="00B74374" w:rsidRPr="00F47275">
        <w:t>– afferma Nino Cartabellotta, Presidente della Fondazione GIMBE –</w:t>
      </w:r>
      <w:r w:rsidR="00192FB7">
        <w:t xml:space="preserve">si registraun </w:t>
      </w:r>
      <w:r w:rsidR="00192FB7" w:rsidRPr="00F47275">
        <w:t xml:space="preserve">incremento </w:t>
      </w:r>
      <w:r w:rsidR="00F47275" w:rsidRPr="00F47275">
        <w:t xml:space="preserve">dei nuovi casi che </w:t>
      </w:r>
      <w:r w:rsidR="006E23F8">
        <w:t xml:space="preserve">negli ultimi 7 giorni </w:t>
      </w:r>
      <w:r w:rsidR="00F47275" w:rsidRPr="00F47275">
        <w:t xml:space="preserve">supera il 33%, </w:t>
      </w:r>
      <w:r w:rsidR="00D14A44">
        <w:t>segnando l’inizio</w:t>
      </w:r>
      <w:r w:rsidR="00F30605" w:rsidRPr="00F47275">
        <w:t xml:space="preserve"> del</w:t>
      </w:r>
      <w:r w:rsidR="009051B8">
        <w:t>la</w:t>
      </w:r>
      <w:r w:rsidR="00D14A44">
        <w:t xml:space="preserve"> terza ondata</w:t>
      </w:r>
      <w:r w:rsidR="00B74374" w:rsidRPr="00F47275">
        <w:t>».</w:t>
      </w:r>
      <w:r w:rsidR="004C4E94" w:rsidRPr="00F47275">
        <w:t>R</w:t>
      </w:r>
      <w:r w:rsidR="00A6659C" w:rsidRPr="00F47275">
        <w:t>ispetto alla settimana precedente</w:t>
      </w:r>
      <w:r w:rsidR="004C4E94" w:rsidRPr="00F47275">
        <w:t xml:space="preserve">, </w:t>
      </w:r>
      <w:r w:rsidR="00A6659C" w:rsidRPr="00F47275">
        <w:t xml:space="preserve">in </w:t>
      </w:r>
      <w:r w:rsidR="00A274D0" w:rsidRPr="002C009A">
        <w:t>1</w:t>
      </w:r>
      <w:r w:rsidR="00A274D0">
        <w:t>6</w:t>
      </w:r>
      <w:r w:rsidR="00A6659C" w:rsidRPr="002C009A">
        <w:t>Regioni</w:t>
      </w:r>
      <w:r w:rsidR="00A274D0">
        <w:t xml:space="preserve"> e nella P</w:t>
      </w:r>
      <w:r w:rsidR="00C26852">
        <w:t>.</w:t>
      </w:r>
      <w:r w:rsidR="00A274D0">
        <w:t>A</w:t>
      </w:r>
      <w:r w:rsidR="00C26852">
        <w:t>.</w:t>
      </w:r>
      <w:r w:rsidR="00A274D0">
        <w:t xml:space="preserve"> di Trento</w:t>
      </w:r>
      <w:r w:rsidR="00A6659C" w:rsidRPr="00F47275">
        <w:t>aumentano i casi attualmente positivi per 100.000 abitanti</w:t>
      </w:r>
      <w:r w:rsidR="00A274D0">
        <w:t xml:space="preserve">ein </w:t>
      </w:r>
      <w:r w:rsidR="00E36C9A">
        <w:t>tutto il Paese sale</w:t>
      </w:r>
      <w:r w:rsidR="00F47275" w:rsidRPr="00F47275">
        <w:t xml:space="preserve">l’incremento percentuale dei </w:t>
      </w:r>
      <w:r w:rsidR="00F47275">
        <w:t xml:space="preserve">nuovi </w:t>
      </w:r>
      <w:r w:rsidR="00F47275" w:rsidRPr="00F47275">
        <w:t>casi</w:t>
      </w:r>
      <w:r w:rsidR="00A274D0">
        <w:t xml:space="preserve">ad eccezione </w:t>
      </w:r>
      <w:r w:rsidR="00C26852">
        <w:t xml:space="preserve">della </w:t>
      </w:r>
      <w:r w:rsidR="00A274D0">
        <w:t>P</w:t>
      </w:r>
      <w:r w:rsidR="00C26852">
        <w:t>.</w:t>
      </w:r>
      <w:r w:rsidR="00A274D0">
        <w:t>A</w:t>
      </w:r>
      <w:r w:rsidR="00C26852">
        <w:t>.</w:t>
      </w:r>
      <w:r w:rsidR="00695FF6">
        <w:t>di Bolzano</w:t>
      </w:r>
      <w:r w:rsidR="00F47275">
        <w:t xml:space="preserve">, Umbria e Molise </w:t>
      </w:r>
      <w:r w:rsidR="00803193">
        <w:t xml:space="preserve">già sottoposte a severe misure restrittive </w:t>
      </w:r>
      <w:r w:rsidR="004C4E94" w:rsidRPr="00F47275">
        <w:t>(</w:t>
      </w:r>
      <w:r w:rsidR="004C4E94" w:rsidRPr="00F47275">
        <w:rPr>
          <w:highlight w:val="yellow"/>
        </w:rPr>
        <w:t>tabella 1</w:t>
      </w:r>
      <w:r w:rsidR="004C4E94" w:rsidRPr="00F47275">
        <w:t>)</w:t>
      </w:r>
      <w:r w:rsidR="00A6659C" w:rsidRPr="00F47275">
        <w:t xml:space="preserve">. </w:t>
      </w:r>
      <w:r w:rsidR="008C268D" w:rsidRPr="00F47275">
        <w:t xml:space="preserve">Sul fronte ospedaliero, l’occupazione da parte di pazienti COVID supera </w:t>
      </w:r>
      <w:r w:rsidR="008C268D" w:rsidRPr="002C009A">
        <w:t xml:space="preserve">in </w:t>
      </w:r>
      <w:r w:rsidR="002C009A" w:rsidRPr="002C009A">
        <w:t>5</w:t>
      </w:r>
      <w:r w:rsidR="008C268D" w:rsidRPr="002C009A">
        <w:t xml:space="preserve">Regioni la soglia del 40% in area medica e in </w:t>
      </w:r>
      <w:r w:rsidR="002C009A" w:rsidRPr="002C009A">
        <w:t>9</w:t>
      </w:r>
      <w:r w:rsidR="008C268D" w:rsidRPr="002C009A">
        <w:t xml:space="preserve">Regioni quella </w:t>
      </w:r>
      <w:r w:rsidR="00B41BF2" w:rsidRPr="002C009A">
        <w:t>del 30% delle terapie intensive</w:t>
      </w:r>
      <w:r w:rsidR="00227FF4" w:rsidRPr="00F47275">
        <w:t>.</w:t>
      </w:r>
    </w:p>
    <w:p w:rsidR="00C3548D" w:rsidRPr="00805C78" w:rsidRDefault="0086537E" w:rsidP="00800D3C">
      <w:pPr>
        <w:jc w:val="both"/>
      </w:pPr>
      <w:r w:rsidRPr="0086537E">
        <w:rPr>
          <w:b/>
        </w:rPr>
        <w:t>Controllo delle varianti</w:t>
      </w:r>
      <w:r>
        <w:t xml:space="preserve">. </w:t>
      </w:r>
      <w:hyperlink r:id="rId8" w:history="1">
        <w:r w:rsidRPr="0086537E">
          <w:rPr>
            <w:rStyle w:val="Collegamentoipertestuale"/>
          </w:rPr>
          <w:t>L’indagine dell’Istituto Superiore di Sanità</w:t>
        </w:r>
      </w:hyperlink>
      <w:r>
        <w:t xml:space="preserve"> ha stimato, al 18 febbraio, la prevalenza della variante inglese al 54% </w:t>
      </w:r>
      <w:r w:rsidR="00D14A44">
        <w:t>(range: 0</w:t>
      </w:r>
      <w:r w:rsidRPr="00E768A7">
        <w:t>-93,3%)</w:t>
      </w:r>
      <w:r>
        <w:t xml:space="preserve">, </w:t>
      </w:r>
      <w:r w:rsidR="006B436F">
        <w:t xml:space="preserve">di quella </w:t>
      </w:r>
      <w:r>
        <w:t xml:space="preserve">brasiliana al 4,3% </w:t>
      </w:r>
      <w:r w:rsidR="00D14A44">
        <w:t>(range: 0</w:t>
      </w:r>
      <w:r w:rsidRPr="00E768A7">
        <w:t>-36,2%)</w:t>
      </w:r>
      <w:r>
        <w:t xml:space="preserve"> e di quella sudafricana allo 0,4% </w:t>
      </w:r>
      <w:r w:rsidR="00D14A44">
        <w:t>(range: 0</w:t>
      </w:r>
      <w:r w:rsidRPr="00E768A7">
        <w:t>-2,9%)</w:t>
      </w:r>
      <w:r>
        <w:t xml:space="preserve">. </w:t>
      </w:r>
      <w:r w:rsidRPr="00F47275">
        <w:t>«</w:t>
      </w:r>
      <w:r>
        <w:t>Con</w:t>
      </w:r>
      <w:r w:rsidR="00D14A44">
        <w:t xml:space="preserve"> la </w:t>
      </w:r>
      <w:r>
        <w:t xml:space="preserve">situazione epidemiologica in rapida evoluzione </w:t>
      </w:r>
      <w:r w:rsidRPr="0086537E">
        <w:t xml:space="preserve">– commenta Renata Gili, Responsabile Ricerca sui Servizi Sanitari della Fondazione GIMBE – </w:t>
      </w:r>
      <w:r>
        <w:t xml:space="preserve">la diffusione attuale è sicuramente maggiore ed è pertanto fondamentale essere </w:t>
      </w:r>
      <w:r w:rsidR="00C0707E">
        <w:t xml:space="preserve">realmente </w:t>
      </w:r>
      <w:r>
        <w:t xml:space="preserve">tempestivi </w:t>
      </w:r>
      <w:r w:rsidR="00D875DD">
        <w:t xml:space="preserve">nell’istituzione </w:t>
      </w:r>
      <w:r>
        <w:t>delle zone rosse</w:t>
      </w:r>
      <w:r w:rsidR="00805C78">
        <w:t xml:space="preserve"> a livello </w:t>
      </w:r>
      <w:r w:rsidR="00AB6C73">
        <w:t>comunale e provinciale</w:t>
      </w:r>
      <w:r>
        <w:t xml:space="preserve">». </w:t>
      </w:r>
      <w:r w:rsidR="00805C78">
        <w:t xml:space="preserve">In particolare, nella settimana </w:t>
      </w:r>
      <w:r w:rsidR="00805C78" w:rsidRPr="00805C78">
        <w:t>24 febbraio-2 marzo</w:t>
      </w:r>
      <w:r w:rsidR="004343F2">
        <w:t>,</w:t>
      </w:r>
      <w:r w:rsidR="0018467E" w:rsidRPr="00330F76">
        <w:t>in</w:t>
      </w:r>
      <w:r w:rsidR="002C009A">
        <w:t>94</w:t>
      </w:r>
      <w:r w:rsidR="00C40648" w:rsidRPr="00330F76">
        <w:t>/10</w:t>
      </w:r>
      <w:r w:rsidR="00800D3C" w:rsidRPr="00330F76">
        <w:t>7</w:t>
      </w:r>
      <w:r w:rsidR="00C40648" w:rsidRPr="00330F76">
        <w:t>P</w:t>
      </w:r>
      <w:r w:rsidR="0018467E" w:rsidRPr="00330F76">
        <w:t>rovince (</w:t>
      </w:r>
      <w:r w:rsidR="002C009A">
        <w:t>87</w:t>
      </w:r>
      <w:r w:rsidR="00800D3C" w:rsidRPr="00330F76">
        <w:t>,</w:t>
      </w:r>
      <w:r w:rsidR="002C009A">
        <w:t>6</w:t>
      </w:r>
      <w:r w:rsidR="00C40648" w:rsidRPr="00330F76">
        <w:t>%</w:t>
      </w:r>
      <w:r w:rsidR="0018467E" w:rsidRPr="00330F76">
        <w:t>) si regist</w:t>
      </w:r>
      <w:r w:rsidR="0018467E" w:rsidRPr="00805C78">
        <w:t>ra un i</w:t>
      </w:r>
      <w:r w:rsidR="0018467E" w:rsidRPr="002C009A">
        <w:t>ncremento percentuale dei nuovi casi rispetto alla settimana precedente</w:t>
      </w:r>
      <w:r w:rsidR="007F1BAF" w:rsidRPr="002C009A">
        <w:t xml:space="preserve">, con valori che superano </w:t>
      </w:r>
      <w:r w:rsidR="0018467E" w:rsidRPr="002C009A">
        <w:t xml:space="preserve">il 20% in </w:t>
      </w:r>
      <w:r w:rsidR="004E6F1A">
        <w:t xml:space="preserve">ben </w:t>
      </w:r>
      <w:r w:rsidR="002C009A" w:rsidRPr="002C009A">
        <w:t>65</w:t>
      </w:r>
      <w:r w:rsidR="0018467E" w:rsidRPr="002C009A">
        <w:t xml:space="preserve"> Province (</w:t>
      </w:r>
      <w:r w:rsidR="0018467E" w:rsidRPr="002C009A">
        <w:rPr>
          <w:highlight w:val="yellow"/>
        </w:rPr>
        <w:t>tabella 2</w:t>
      </w:r>
      <w:r w:rsidR="0018467E" w:rsidRPr="002C009A">
        <w:t xml:space="preserve">). </w:t>
      </w:r>
      <w:r w:rsidR="003A227C" w:rsidRPr="002C009A">
        <w:t>«</w:t>
      </w:r>
      <w:r w:rsidR="00805C78" w:rsidRPr="002C009A">
        <w:t xml:space="preserve">Nonostante </w:t>
      </w:r>
      <w:r w:rsidR="00AB6C73">
        <w:t xml:space="preserve">l’allerta lanciata dalla Fondazione GIMBE </w:t>
      </w:r>
      <w:r w:rsidR="00D14A44">
        <w:t xml:space="preserve">già </w:t>
      </w:r>
      <w:r w:rsidR="00C0707E">
        <w:t xml:space="preserve">da </w:t>
      </w:r>
      <w:r w:rsidR="00D14A44">
        <w:t xml:space="preserve">due settimane </w:t>
      </w:r>
      <w:r w:rsidR="0018467E" w:rsidRPr="00805C78">
        <w:t>–</w:t>
      </w:r>
      <w:r w:rsidR="00D14A44">
        <w:t>continua</w:t>
      </w:r>
      <w:r w:rsidR="00805C78">
        <w:t xml:space="preserve"> il Presidente </w:t>
      </w:r>
      <w:r w:rsidR="0018467E" w:rsidRPr="00805C78">
        <w:t>–</w:t>
      </w:r>
      <w:r w:rsidR="004E6F1A">
        <w:t>gli amministratori locali continuano</w:t>
      </w:r>
      <w:r w:rsidR="00AF209F">
        <w:t>a</w:t>
      </w:r>
      <w:r w:rsidR="00805C78">
        <w:t xml:space="preserve"> ritardare le chiusure </w:t>
      </w:r>
      <w:r w:rsidR="001612AB">
        <w:t>se non davanti a</w:t>
      </w:r>
      <w:r w:rsidR="00805C78">
        <w:t xml:space="preserve"> un rilevante incremento dei nuovi casi</w:t>
      </w:r>
      <w:r w:rsidR="001612AB">
        <w:t xml:space="preserve">, quando è </w:t>
      </w:r>
      <w:r w:rsidR="00D14A44">
        <w:t xml:space="preserve">ormai </w:t>
      </w:r>
      <w:r w:rsidR="001612AB">
        <w:t>troppo tardi</w:t>
      </w:r>
      <w:r w:rsidR="00805C78">
        <w:t xml:space="preserve">. </w:t>
      </w:r>
      <w:r w:rsidR="00D14A44">
        <w:t>Infatti, in presenza di varianti più contagiose, q</w:t>
      </w:r>
      <w:r w:rsidR="00805C78">
        <w:t xml:space="preserve">uesta </w:t>
      </w:r>
      <w:r w:rsidR="00AF209F">
        <w:t>“</w:t>
      </w:r>
      <w:r w:rsidR="00805C78">
        <w:t>non strategia</w:t>
      </w:r>
      <w:r w:rsidR="00AF209F">
        <w:t>”</w:t>
      </w:r>
      <w:r w:rsidR="00805C78">
        <w:t xml:space="preserve">favorisce la </w:t>
      </w:r>
      <w:r w:rsidR="00AF209F">
        <w:t xml:space="preserve">corsa </w:t>
      </w:r>
      <w:r w:rsidR="00805C78">
        <w:t xml:space="preserve">del </w:t>
      </w:r>
      <w:r w:rsidR="00AF209F">
        <w:t xml:space="preserve">virus, </w:t>
      </w:r>
      <w:r w:rsidR="00D14A44">
        <w:t xml:space="preserve">rendendo necessarie </w:t>
      </w:r>
      <w:r w:rsidR="00805C78">
        <w:t>chiusure più estese e prolungate</w:t>
      </w:r>
      <w:r w:rsidR="003A227C" w:rsidRPr="00805C78">
        <w:t>»</w:t>
      </w:r>
      <w:r w:rsidR="0018467E" w:rsidRPr="00805C78">
        <w:t>.</w:t>
      </w:r>
    </w:p>
    <w:p w:rsidR="00286B18" w:rsidRPr="00BB27C9" w:rsidRDefault="00C140E5" w:rsidP="00C140E5">
      <w:pPr>
        <w:spacing w:line="276" w:lineRule="auto"/>
        <w:jc w:val="both"/>
      </w:pPr>
      <w:r w:rsidRPr="00563F37">
        <w:rPr>
          <w:b/>
        </w:rPr>
        <w:lastRenderedPageBreak/>
        <w:t>Vaccini: forniture</w:t>
      </w:r>
      <w:r w:rsidRPr="00396280">
        <w:t xml:space="preserve">. </w:t>
      </w:r>
      <w:r>
        <w:t>Delle dosi previste</w:t>
      </w:r>
      <w:r w:rsidRPr="00373342">
        <w:t xml:space="preserve">per il primo trimestre 2021, al 3 marzo (aggiornamento ore </w:t>
      </w:r>
      <w:r w:rsidR="002C009A">
        <w:t>10:17</w:t>
      </w:r>
      <w:r w:rsidRPr="00373342">
        <w:t xml:space="preserve">) ne sono state consegnate alle Regioni </w:t>
      </w:r>
      <w:r w:rsidR="00286B18" w:rsidRPr="002078BB">
        <w:t>6.542.260</w:t>
      </w:r>
      <w:r w:rsidRPr="00373342">
        <w:t xml:space="preserve">. </w:t>
      </w:r>
      <w:r w:rsidR="002757FE">
        <w:t xml:space="preserve">Questo significa che </w:t>
      </w:r>
      <w:r w:rsidRPr="00373342">
        <w:t xml:space="preserve">per rispettare le scadenze </w:t>
      </w:r>
      <w:r w:rsidR="00A93D2D" w:rsidRPr="00373342">
        <w:t>contrattuali fissate al 31 marzo</w:t>
      </w:r>
      <w:r w:rsidR="00286B18">
        <w:t xml:space="preserve">, nelle </w:t>
      </w:r>
      <w:r w:rsidR="003F62A0">
        <w:t xml:space="preserve">prossime </w:t>
      </w:r>
      <w:r w:rsidR="00286B18">
        <w:t>4</w:t>
      </w:r>
      <w:r w:rsidR="00803193">
        <w:t xml:space="preserve">settimane </w:t>
      </w:r>
      <w:r w:rsidRPr="00373342">
        <w:t>dovranno essere consegnate in media</w:t>
      </w:r>
      <w:r w:rsidR="00373342" w:rsidRPr="00C74BA8">
        <w:t>2,</w:t>
      </w:r>
      <w:r w:rsidR="00C74BA8" w:rsidRPr="00C74BA8">
        <w:t>3</w:t>
      </w:r>
      <w:r w:rsidRPr="00C74BA8">
        <w:t xml:space="preserve">milioni di dosi/settimana. In dettaglio: </w:t>
      </w:r>
    </w:p>
    <w:tbl>
      <w:tblPr>
        <w:tblStyle w:val="Grigliatabella"/>
        <w:tblW w:w="0" w:type="auto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ook w:val="04A0"/>
      </w:tblPr>
      <w:tblGrid>
        <w:gridCol w:w="1528"/>
        <w:gridCol w:w="1241"/>
        <w:gridCol w:w="2252"/>
        <w:gridCol w:w="2252"/>
      </w:tblGrid>
      <w:tr w:rsidR="006246B8" w:rsidRPr="006246B8" w:rsidTr="006246B8">
        <w:trPr>
          <w:jc w:val="center"/>
        </w:trPr>
        <w:tc>
          <w:tcPr>
            <w:tcW w:w="727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46B8" w:rsidRPr="006246B8" w:rsidRDefault="006246B8" w:rsidP="00E63723">
            <w:pPr>
              <w:jc w:val="center"/>
              <w:rPr>
                <w:b/>
                <w:color w:val="44546A" w:themeColor="text2"/>
                <w:sz w:val="20"/>
              </w:rPr>
            </w:pPr>
            <w:r w:rsidRPr="006246B8">
              <w:rPr>
                <w:b/>
                <w:color w:val="00457D"/>
                <w:sz w:val="20"/>
              </w:rPr>
              <w:t>Dosi di vaccino 1° trimestre 2021</w:t>
            </w:r>
          </w:p>
        </w:tc>
      </w:tr>
      <w:tr w:rsidR="00302C76" w:rsidRPr="002757FE" w:rsidTr="00BB27C9">
        <w:trPr>
          <w:jc w:val="center"/>
        </w:trPr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2757FE" w:rsidRDefault="00DD70A4" w:rsidP="00563F37">
            <w:pPr>
              <w:rPr>
                <w:b/>
                <w:sz w:val="20"/>
                <w:szCs w:val="20"/>
              </w:rPr>
            </w:pPr>
            <w:r w:rsidRPr="002757FE">
              <w:rPr>
                <w:b/>
                <w:sz w:val="20"/>
                <w:szCs w:val="20"/>
              </w:rPr>
              <w:t>Vaccino</w:t>
            </w:r>
          </w:p>
        </w:tc>
        <w:tc>
          <w:tcPr>
            <w:tcW w:w="12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2757FE" w:rsidRDefault="00302C76" w:rsidP="00563F37">
            <w:pPr>
              <w:jc w:val="center"/>
              <w:rPr>
                <w:b/>
                <w:sz w:val="20"/>
                <w:szCs w:val="20"/>
              </w:rPr>
            </w:pPr>
            <w:r w:rsidRPr="002757FE">
              <w:rPr>
                <w:b/>
                <w:sz w:val="20"/>
                <w:szCs w:val="20"/>
              </w:rPr>
              <w:t xml:space="preserve">Dosi </w:t>
            </w:r>
            <w:r w:rsidRPr="002757FE">
              <w:rPr>
                <w:b/>
                <w:sz w:val="20"/>
                <w:szCs w:val="20"/>
              </w:rPr>
              <w:br/>
              <w:t xml:space="preserve">previste 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2757FE" w:rsidRDefault="00302C76" w:rsidP="00E63723">
            <w:pPr>
              <w:jc w:val="center"/>
              <w:rPr>
                <w:b/>
                <w:sz w:val="20"/>
                <w:szCs w:val="20"/>
              </w:rPr>
            </w:pPr>
            <w:r w:rsidRPr="002757FE">
              <w:rPr>
                <w:b/>
                <w:sz w:val="20"/>
                <w:szCs w:val="20"/>
              </w:rPr>
              <w:t>Dosiconsegnate</w:t>
            </w:r>
            <w:r w:rsidR="00C40648" w:rsidRPr="002757FE">
              <w:rPr>
                <w:b/>
                <w:sz w:val="20"/>
                <w:szCs w:val="20"/>
              </w:rPr>
              <w:br/>
            </w:r>
            <w:r w:rsidRPr="002757FE">
              <w:rPr>
                <w:b/>
                <w:sz w:val="20"/>
                <w:szCs w:val="20"/>
              </w:rPr>
              <w:t>(% su dosi previste)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2757FE" w:rsidRDefault="00302C76" w:rsidP="00E63723">
            <w:pPr>
              <w:jc w:val="center"/>
              <w:rPr>
                <w:b/>
                <w:sz w:val="20"/>
                <w:szCs w:val="20"/>
              </w:rPr>
            </w:pPr>
            <w:r w:rsidRPr="002757FE">
              <w:rPr>
                <w:b/>
                <w:sz w:val="20"/>
                <w:szCs w:val="20"/>
              </w:rPr>
              <w:t>Dosi somministrate</w:t>
            </w:r>
            <w:r w:rsidR="00C40648" w:rsidRPr="002757FE">
              <w:rPr>
                <w:b/>
                <w:sz w:val="20"/>
                <w:szCs w:val="20"/>
              </w:rPr>
              <w:br/>
            </w:r>
            <w:r w:rsidRPr="002757FE">
              <w:rPr>
                <w:b/>
                <w:sz w:val="20"/>
                <w:szCs w:val="20"/>
              </w:rPr>
              <w:t>(% su dosi consegnate)</w:t>
            </w:r>
          </w:p>
        </w:tc>
      </w:tr>
      <w:tr w:rsidR="002C009A" w:rsidRPr="002757FE" w:rsidTr="002C009A">
        <w:trPr>
          <w:trHeight w:val="340"/>
          <w:jc w:val="center"/>
        </w:trPr>
        <w:tc>
          <w:tcPr>
            <w:tcW w:w="0" w:type="auto"/>
            <w:vAlign w:val="center"/>
          </w:tcPr>
          <w:p w:rsidR="002C009A" w:rsidRPr="002757FE" w:rsidRDefault="002C009A" w:rsidP="002C009A">
            <w:pPr>
              <w:spacing w:line="276" w:lineRule="auto"/>
              <w:rPr>
                <w:sz w:val="20"/>
                <w:szCs w:val="20"/>
              </w:rPr>
            </w:pPr>
            <w:r w:rsidRPr="002757FE">
              <w:rPr>
                <w:sz w:val="20"/>
                <w:szCs w:val="20"/>
              </w:rPr>
              <w:t>Pfizer/BioNTech</w:t>
            </w:r>
          </w:p>
        </w:tc>
        <w:tc>
          <w:tcPr>
            <w:tcW w:w="1241" w:type="dxa"/>
            <w:vAlign w:val="center"/>
          </w:tcPr>
          <w:p w:rsidR="002C009A" w:rsidRPr="002757FE" w:rsidRDefault="002C009A" w:rsidP="002C009A">
            <w:pPr>
              <w:spacing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757FE">
              <w:rPr>
                <w:rFonts w:ascii="Calibri" w:hAnsi="Calibri" w:cs="Calibri"/>
                <w:sz w:val="20"/>
                <w:szCs w:val="20"/>
              </w:rPr>
              <w:t>9.012.748</w:t>
            </w:r>
          </w:p>
        </w:tc>
        <w:tc>
          <w:tcPr>
            <w:tcW w:w="2252" w:type="dxa"/>
            <w:vAlign w:val="center"/>
          </w:tcPr>
          <w:p w:rsidR="002C009A" w:rsidRPr="002757FE" w:rsidRDefault="002C009A" w:rsidP="002C009A">
            <w:pPr>
              <w:spacing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757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4.537.260 (50,3%)</w:t>
            </w:r>
          </w:p>
        </w:tc>
        <w:tc>
          <w:tcPr>
            <w:tcW w:w="2252" w:type="dxa"/>
            <w:vAlign w:val="center"/>
          </w:tcPr>
          <w:p w:rsidR="002C009A" w:rsidRPr="002757FE" w:rsidRDefault="002C009A" w:rsidP="002C009A">
            <w:pPr>
              <w:jc w:val="right"/>
              <w:rPr>
                <w:sz w:val="20"/>
                <w:szCs w:val="20"/>
              </w:rPr>
            </w:pPr>
            <w:r w:rsidRPr="002757FE">
              <w:rPr>
                <w:sz w:val="20"/>
                <w:szCs w:val="20"/>
              </w:rPr>
              <w:t>4.036.879 (89,0%)</w:t>
            </w:r>
          </w:p>
        </w:tc>
      </w:tr>
      <w:tr w:rsidR="002C009A" w:rsidRPr="002757FE" w:rsidTr="002C009A">
        <w:trPr>
          <w:trHeight w:val="340"/>
          <w:jc w:val="center"/>
        </w:trPr>
        <w:tc>
          <w:tcPr>
            <w:tcW w:w="0" w:type="auto"/>
            <w:vAlign w:val="center"/>
          </w:tcPr>
          <w:p w:rsidR="002C009A" w:rsidRPr="002757FE" w:rsidRDefault="002C009A" w:rsidP="002C009A">
            <w:pPr>
              <w:spacing w:line="276" w:lineRule="auto"/>
              <w:rPr>
                <w:sz w:val="20"/>
                <w:szCs w:val="20"/>
              </w:rPr>
            </w:pPr>
            <w:r w:rsidRPr="002757FE">
              <w:rPr>
                <w:sz w:val="20"/>
                <w:szCs w:val="20"/>
              </w:rPr>
              <w:t>Moderna</w:t>
            </w:r>
          </w:p>
        </w:tc>
        <w:tc>
          <w:tcPr>
            <w:tcW w:w="1241" w:type="dxa"/>
            <w:vAlign w:val="center"/>
          </w:tcPr>
          <w:p w:rsidR="002C009A" w:rsidRPr="002757FE" w:rsidRDefault="002C009A" w:rsidP="002C009A">
            <w:pPr>
              <w:spacing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757FE">
              <w:rPr>
                <w:rFonts w:ascii="Calibri" w:hAnsi="Calibri" w:cs="Calibri"/>
                <w:sz w:val="20"/>
                <w:szCs w:val="20"/>
              </w:rPr>
              <w:t>1.330.000</w:t>
            </w:r>
          </w:p>
        </w:tc>
        <w:tc>
          <w:tcPr>
            <w:tcW w:w="2252" w:type="dxa"/>
            <w:vAlign w:val="center"/>
          </w:tcPr>
          <w:p w:rsidR="002C009A" w:rsidRPr="002757FE" w:rsidRDefault="002C009A" w:rsidP="002C009A">
            <w:pPr>
              <w:spacing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757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493.000 (37,1%)</w:t>
            </w:r>
          </w:p>
        </w:tc>
        <w:tc>
          <w:tcPr>
            <w:tcW w:w="2252" w:type="dxa"/>
            <w:vAlign w:val="center"/>
          </w:tcPr>
          <w:p w:rsidR="002C009A" w:rsidRPr="002757FE" w:rsidRDefault="002C009A" w:rsidP="002C009A">
            <w:pPr>
              <w:jc w:val="right"/>
              <w:rPr>
                <w:sz w:val="20"/>
                <w:szCs w:val="20"/>
              </w:rPr>
            </w:pPr>
            <w:r w:rsidRPr="002757FE">
              <w:rPr>
                <w:sz w:val="20"/>
                <w:szCs w:val="20"/>
              </w:rPr>
              <w:t>143.491 (29,1%)</w:t>
            </w:r>
          </w:p>
        </w:tc>
      </w:tr>
      <w:tr w:rsidR="002C009A" w:rsidRPr="002757FE" w:rsidTr="002C009A">
        <w:trPr>
          <w:trHeight w:val="340"/>
          <w:jc w:val="center"/>
        </w:trPr>
        <w:tc>
          <w:tcPr>
            <w:tcW w:w="0" w:type="auto"/>
            <w:tcBorders>
              <w:bottom w:val="single" w:sz="4" w:space="0" w:color="00457D"/>
            </w:tcBorders>
            <w:vAlign w:val="center"/>
          </w:tcPr>
          <w:p w:rsidR="002C009A" w:rsidRPr="002757FE" w:rsidRDefault="002C009A" w:rsidP="002C009A">
            <w:pPr>
              <w:spacing w:line="276" w:lineRule="auto"/>
              <w:rPr>
                <w:sz w:val="20"/>
                <w:szCs w:val="20"/>
              </w:rPr>
            </w:pPr>
            <w:r w:rsidRPr="002757FE">
              <w:rPr>
                <w:sz w:val="20"/>
                <w:szCs w:val="20"/>
              </w:rPr>
              <w:t>AstraZeneca</w:t>
            </w:r>
          </w:p>
        </w:tc>
        <w:tc>
          <w:tcPr>
            <w:tcW w:w="1241" w:type="dxa"/>
            <w:tcBorders>
              <w:bottom w:val="single" w:sz="4" w:space="0" w:color="00457D"/>
            </w:tcBorders>
            <w:vAlign w:val="center"/>
          </w:tcPr>
          <w:p w:rsidR="002C009A" w:rsidRPr="002757FE" w:rsidRDefault="002C009A" w:rsidP="002C009A">
            <w:pPr>
              <w:spacing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757FE">
              <w:rPr>
                <w:rFonts w:ascii="Calibri" w:hAnsi="Calibri" w:cs="Calibri"/>
                <w:sz w:val="20"/>
                <w:szCs w:val="20"/>
              </w:rPr>
              <w:t>5.352.250</w:t>
            </w:r>
          </w:p>
        </w:tc>
        <w:tc>
          <w:tcPr>
            <w:tcW w:w="2252" w:type="dxa"/>
            <w:tcBorders>
              <w:bottom w:val="single" w:sz="4" w:space="0" w:color="00457D"/>
            </w:tcBorders>
            <w:vAlign w:val="center"/>
          </w:tcPr>
          <w:p w:rsidR="002C009A" w:rsidRPr="002757FE" w:rsidRDefault="002C009A" w:rsidP="002C009A">
            <w:pPr>
              <w:spacing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757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1.512.000 (28,2%)</w:t>
            </w:r>
          </w:p>
        </w:tc>
        <w:tc>
          <w:tcPr>
            <w:tcW w:w="2252" w:type="dxa"/>
            <w:tcBorders>
              <w:bottom w:val="single" w:sz="4" w:space="0" w:color="00457D"/>
            </w:tcBorders>
            <w:vAlign w:val="center"/>
          </w:tcPr>
          <w:p w:rsidR="002C009A" w:rsidRPr="002757FE" w:rsidRDefault="002C009A" w:rsidP="002C009A">
            <w:pPr>
              <w:jc w:val="right"/>
              <w:rPr>
                <w:sz w:val="20"/>
                <w:szCs w:val="20"/>
              </w:rPr>
            </w:pPr>
            <w:r w:rsidRPr="002757FE">
              <w:rPr>
                <w:sz w:val="20"/>
                <w:szCs w:val="20"/>
              </w:rPr>
              <w:t>407.195 (26,9%)</w:t>
            </w:r>
          </w:p>
        </w:tc>
      </w:tr>
      <w:tr w:rsidR="002C009A" w:rsidRPr="002757FE" w:rsidTr="002C009A">
        <w:trPr>
          <w:trHeight w:val="340"/>
          <w:jc w:val="center"/>
        </w:trPr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2C009A" w:rsidRPr="002757FE" w:rsidRDefault="002C009A" w:rsidP="002C009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757FE">
              <w:rPr>
                <w:b/>
                <w:color w:val="FFFFFF" w:themeColor="background1"/>
                <w:sz w:val="20"/>
                <w:szCs w:val="20"/>
              </w:rPr>
              <w:t>TOTALE</w:t>
            </w:r>
          </w:p>
        </w:tc>
        <w:tc>
          <w:tcPr>
            <w:tcW w:w="12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2C009A" w:rsidRPr="002757FE" w:rsidRDefault="002C009A" w:rsidP="002C009A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2757FE">
              <w:rPr>
                <w:b/>
                <w:color w:val="FFFFFF" w:themeColor="background1"/>
                <w:sz w:val="20"/>
                <w:szCs w:val="20"/>
              </w:rPr>
              <w:t>15.694.998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2C009A" w:rsidRPr="002757FE" w:rsidRDefault="002C009A" w:rsidP="002C009A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2757F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6.542.260 (41,7%)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</w:tcPr>
          <w:p w:rsidR="002C009A" w:rsidRPr="002757FE" w:rsidRDefault="002C009A" w:rsidP="002C009A">
            <w:pPr>
              <w:jc w:val="right"/>
              <w:rPr>
                <w:b/>
                <w:sz w:val="20"/>
                <w:szCs w:val="20"/>
              </w:rPr>
            </w:pPr>
            <w:r w:rsidRPr="002757FE">
              <w:rPr>
                <w:b/>
                <w:sz w:val="20"/>
                <w:szCs w:val="20"/>
              </w:rPr>
              <w:t>4.587.565 (70,1%)</w:t>
            </w:r>
          </w:p>
        </w:tc>
      </w:tr>
    </w:tbl>
    <w:p w:rsidR="00333902" w:rsidRDefault="00333902" w:rsidP="00943563">
      <w:pPr>
        <w:spacing w:after="120" w:line="276" w:lineRule="auto"/>
        <w:rPr>
          <w:rFonts w:cstheme="minorHAnsi"/>
          <w:i/>
        </w:rPr>
      </w:pPr>
    </w:p>
    <w:p w:rsidR="0059450B" w:rsidRDefault="00BC35CB" w:rsidP="00805C78">
      <w:pPr>
        <w:jc w:val="both"/>
      </w:pPr>
      <w:r w:rsidRPr="00D9363E">
        <w:rPr>
          <w:b/>
        </w:rPr>
        <w:t>Vaccini: somministrazioni.</w:t>
      </w:r>
      <w:r w:rsidRPr="00D9363E">
        <w:t xml:space="preserve"> Al </w:t>
      </w:r>
      <w:r>
        <w:t xml:space="preserve">3 marzo(aggiornamento </w:t>
      </w:r>
      <w:r w:rsidRPr="00563F37">
        <w:t xml:space="preserve">ore </w:t>
      </w:r>
      <w:r w:rsidR="002C009A">
        <w:t>10:17</w:t>
      </w:r>
      <w:r w:rsidRPr="00563F37">
        <w:t>)</w:t>
      </w:r>
      <w:r w:rsidRPr="00D9363E">
        <w:t xml:space="preserve"> hanno completato il ciclo vaccinale con la seconda dose </w:t>
      </w:r>
      <w:r w:rsidR="002C009A" w:rsidRPr="002C009A">
        <w:t>1.454.503</w:t>
      </w:r>
      <w:r>
        <w:t>milioni di</w:t>
      </w:r>
      <w:r w:rsidRPr="00D9363E">
        <w:t xml:space="preserve"> persone (</w:t>
      </w:r>
      <w:r w:rsidR="0091049C">
        <w:t>2,4</w:t>
      </w:r>
      <w:r w:rsidR="002C009A">
        <w:t>4</w:t>
      </w:r>
      <w:r>
        <w:t>%</w:t>
      </w:r>
      <w:r w:rsidRPr="00D9363E">
        <w:t xml:space="preserve"> della popolazione), con marcate differenze regionali: dal </w:t>
      </w:r>
      <w:r w:rsidR="0091049C">
        <w:t>4,18</w:t>
      </w:r>
      <w:r w:rsidRPr="00D9363E">
        <w:t>%</w:t>
      </w:r>
      <w:r w:rsidR="0091049C">
        <w:t xml:space="preserve"> della </w:t>
      </w:r>
      <w:r w:rsidR="00F25F6B">
        <w:t>PA</w:t>
      </w:r>
      <w:r w:rsidR="0091049C">
        <w:t xml:space="preserve"> di Bolzano all’1,72% dell’Umbria</w:t>
      </w:r>
      <w:r w:rsidR="00894045">
        <w:t xml:space="preserve"> (</w:t>
      </w:r>
      <w:r w:rsidR="00894045" w:rsidRPr="00894045">
        <w:rPr>
          <w:highlight w:val="yellow"/>
        </w:rPr>
        <w:t>figura 4</w:t>
      </w:r>
      <w:r w:rsidR="00894045">
        <w:t>)</w:t>
      </w:r>
      <w:r>
        <w:t xml:space="preserve">. </w:t>
      </w:r>
      <w:r w:rsidR="00803193" w:rsidRPr="00803193">
        <w:t xml:space="preserve">«L’avvio della campagna vaccinale fuori da ospedali e RSA – commenta Gili – ha determinato una frenata sul fronte delle somministrazioni, con </w:t>
      </w:r>
      <w:r w:rsidR="00803193">
        <w:t xml:space="preserve">quasi 2 milioni di </w:t>
      </w:r>
      <w:r w:rsidR="00803193" w:rsidRPr="00803193">
        <w:t xml:space="preserve">dosi </w:t>
      </w:r>
      <w:r w:rsidR="00803193">
        <w:t>(</w:t>
      </w:r>
      <w:r w:rsidR="00A85364">
        <w:t xml:space="preserve">pari al </w:t>
      </w:r>
      <w:r w:rsidR="00803193">
        <w:t>30%</w:t>
      </w:r>
      <w:r w:rsidR="00A85364">
        <w:t xml:space="preserve"> delle consegne</w:t>
      </w:r>
      <w:r w:rsidR="00803193">
        <w:t xml:space="preserve">) </w:t>
      </w:r>
      <w:r w:rsidR="00803193" w:rsidRPr="00803193">
        <w:t xml:space="preserve">ancora </w:t>
      </w:r>
      <w:r w:rsidR="009B691C" w:rsidRPr="00803193">
        <w:t>inutilizzate</w:t>
      </w:r>
      <w:r w:rsidR="00803193" w:rsidRPr="00803193">
        <w:t>».</w:t>
      </w:r>
      <w:r w:rsidR="00A779B7">
        <w:t xml:space="preserve">Si rilevano inoltre rilevanti differenze tra i diversi vaccini </w:t>
      </w:r>
      <w:r w:rsidR="00662E10" w:rsidRPr="00662E10">
        <w:t>(</w:t>
      </w:r>
      <w:r w:rsidR="00662E10" w:rsidRPr="00662E10">
        <w:rPr>
          <w:highlight w:val="yellow"/>
        </w:rPr>
        <w:t>figura 5</w:t>
      </w:r>
      <w:r w:rsidR="00662E10" w:rsidRPr="00662E10">
        <w:t>)</w:t>
      </w:r>
      <w:r w:rsidR="00804B85">
        <w:t>: mentre</w:t>
      </w:r>
      <w:r w:rsidR="00662E10" w:rsidRPr="00662E10">
        <w:t xml:space="preserve">le somministrazioni di Pfizer si attestano all’89% delle dosi consegnate, quelle di Moderna e AstraZeneca stanno </w:t>
      </w:r>
      <w:r w:rsidR="000A4DBA">
        <w:t xml:space="preserve">infatti </w:t>
      </w:r>
      <w:r w:rsidR="00662E10" w:rsidRPr="00662E10">
        <w:t xml:space="preserve">procedendo più lentamente. </w:t>
      </w:r>
      <w:r w:rsidR="00662E10">
        <w:t xml:space="preserve">Tuttavia, se il 29,1% di Moderna è condizionato </w:t>
      </w:r>
      <w:r w:rsidR="00D14A44">
        <w:t xml:space="preserve">al ribasso </w:t>
      </w:r>
      <w:r w:rsidR="00662E10">
        <w:t>da</w:t>
      </w:r>
      <w:r w:rsidR="00D14A44">
        <w:t xml:space="preserve">lla recente </w:t>
      </w:r>
      <w:r w:rsidR="00662E10">
        <w:t xml:space="preserve">consegna </w:t>
      </w:r>
      <w:r w:rsidR="000A4DBA">
        <w:t>della metà</w:t>
      </w:r>
      <w:r w:rsidR="00662E10" w:rsidRPr="00662E10">
        <w:t xml:space="preserve"> delle dosi</w:t>
      </w:r>
      <w:r w:rsidR="00662E10">
        <w:t xml:space="preserve">, per AstraZeneca </w:t>
      </w:r>
      <w:r w:rsidR="000A4DBA">
        <w:t>le somministrazioni si attestano al</w:t>
      </w:r>
      <w:r w:rsidR="00662E10" w:rsidRPr="00662E10">
        <w:t xml:space="preserve"> 26,9%, spia di problemi organizzativi nella vaccinazione di massa, </w:t>
      </w:r>
      <w:r w:rsidR="00F00EB9">
        <w:t xml:space="preserve">anche se non si possono escludere </w:t>
      </w:r>
      <w:r w:rsidR="00662E10" w:rsidRPr="00662E10">
        <w:t>possibili rinunce selettive a questo vaccino o ritardi nella rendi</w:t>
      </w:r>
      <w:r w:rsidR="00F00EB9">
        <w:t>contazione dei dati.</w:t>
      </w:r>
      <w:r w:rsidR="0059450B" w:rsidRPr="00805C78">
        <w:t>«</w:t>
      </w:r>
      <w:r w:rsidR="0059450B">
        <w:t xml:space="preserve">Peraltro </w:t>
      </w:r>
      <w:r w:rsidR="00FC45DB" w:rsidRPr="00286B18">
        <w:t xml:space="preserve">a differenza dei vaccini di Pfizer e Moderna </w:t>
      </w:r>
      <w:r w:rsidR="0059450B" w:rsidRPr="00286B18">
        <w:t xml:space="preserve">– </w:t>
      </w:r>
      <w:r w:rsidR="0059450B">
        <w:t xml:space="preserve">spiega Cartabellotta </w:t>
      </w:r>
      <w:r w:rsidR="0059450B" w:rsidRPr="00286B18">
        <w:t>–</w:t>
      </w:r>
      <w:r w:rsidR="00297217">
        <w:t>per i quali</w:t>
      </w:r>
      <w:r w:rsidR="00286B18" w:rsidRPr="00286B18">
        <w:t xml:space="preserve">, visti i ritardi nelle forniture, è </w:t>
      </w:r>
      <w:r w:rsidR="0059450B">
        <w:t>pruden</w:t>
      </w:r>
      <w:r w:rsidR="00330F76">
        <w:t xml:space="preserve">te mettere da parte </w:t>
      </w:r>
      <w:r w:rsidR="00662E10">
        <w:t xml:space="preserve">le </w:t>
      </w:r>
      <w:r w:rsidR="00286B18" w:rsidRPr="00286B18">
        <w:t>per il richiamo</w:t>
      </w:r>
      <w:r w:rsidR="00FC45DB">
        <w:t xml:space="preserve"> previsto rispettivamente a 3 </w:t>
      </w:r>
      <w:r w:rsidR="0049694D">
        <w:t>e</w:t>
      </w:r>
      <w:r w:rsidR="00FC45DB">
        <w:t xml:space="preserve"> 4 settimane</w:t>
      </w:r>
      <w:r w:rsidR="00286B18" w:rsidRPr="00286B18">
        <w:t xml:space="preserve">, per AstraZeneca </w:t>
      </w:r>
      <w:r w:rsidR="0059450B">
        <w:t>è possibile somministrare la seconda dose sino a 12 settimane</w:t>
      </w:r>
      <w:r w:rsidR="00297217">
        <w:t>:</w:t>
      </w:r>
      <w:r w:rsidR="0059450B">
        <w:t xml:space="preserve"> non </w:t>
      </w:r>
      <w:r w:rsidR="00297217">
        <w:t xml:space="preserve">esiste </w:t>
      </w:r>
      <w:r w:rsidR="0049694D">
        <w:t xml:space="preserve">quindi </w:t>
      </w:r>
      <w:r w:rsidR="0059450B">
        <w:t xml:space="preserve">alcuna ragione </w:t>
      </w:r>
      <w:r w:rsidR="00297217">
        <w:t xml:space="preserve">per </w:t>
      </w:r>
      <w:r w:rsidR="00330F76">
        <w:t xml:space="preserve">accantonare le dosi, </w:t>
      </w:r>
      <w:r w:rsidR="0059450B">
        <w:t xml:space="preserve">ma bisogna </w:t>
      </w:r>
      <w:r w:rsidR="00662E10">
        <w:t xml:space="preserve">invece </w:t>
      </w:r>
      <w:r w:rsidR="0059450B">
        <w:t>velocizzare le somministrazioni</w:t>
      </w:r>
      <w:r w:rsidR="0059450B" w:rsidRPr="00805C78">
        <w:t>».</w:t>
      </w:r>
      <w:r w:rsidR="00330F76">
        <w:t xml:space="preserve"> Infine, rispetto alla protezione de</w:t>
      </w:r>
      <w:r w:rsidR="00F00EB9">
        <w:t>i più fragili</w:t>
      </w:r>
      <w:r w:rsidR="00330F76">
        <w:t>, d</w:t>
      </w:r>
      <w:r w:rsidR="00A54D23">
        <w:t xml:space="preserve">egli </w:t>
      </w:r>
      <w:r w:rsidR="000854F3">
        <w:t xml:space="preserve">oltre 4,4 milioni di </w:t>
      </w:r>
      <w:r w:rsidR="00A54D23">
        <w:t>over80</w:t>
      </w:r>
      <w:r w:rsidR="000854F3">
        <w:t>,</w:t>
      </w:r>
      <w:r w:rsidR="0091049C">
        <w:t>7</w:t>
      </w:r>
      <w:r w:rsidR="00C74BA8">
        <w:t>62</w:t>
      </w:r>
      <w:r w:rsidR="0091049C">
        <w:t>.</w:t>
      </w:r>
      <w:r w:rsidR="00C74BA8">
        <w:t>271</w:t>
      </w:r>
      <w:r w:rsidRPr="00841125">
        <w:t>(</w:t>
      </w:r>
      <w:r w:rsidR="0091049C">
        <w:t>17,</w:t>
      </w:r>
      <w:r w:rsidR="00C74BA8">
        <w:t>2</w:t>
      </w:r>
      <w:r w:rsidRPr="00841125">
        <w:t>%) ha</w:t>
      </w:r>
      <w:r>
        <w:t>nno</w:t>
      </w:r>
      <w:r w:rsidRPr="00841125">
        <w:t xml:space="preserve"> ricevuto </w:t>
      </w:r>
      <w:r w:rsidR="0091049C">
        <w:t>solo la</w:t>
      </w:r>
      <w:r w:rsidRPr="00841125">
        <w:t xml:space="preserve"> prima dose di vaccino e </w:t>
      </w:r>
      <w:r w:rsidR="00A54D23">
        <w:t xml:space="preserve">solo </w:t>
      </w:r>
      <w:r w:rsidR="0091049C">
        <w:t>149.</w:t>
      </w:r>
      <w:r w:rsidR="00C74BA8">
        <w:t>620</w:t>
      </w:r>
      <w:r w:rsidRPr="00841125">
        <w:t>(</w:t>
      </w:r>
      <w:r w:rsidR="0091049C">
        <w:t>3,4</w:t>
      </w:r>
      <w:r w:rsidRPr="00841125">
        <w:t xml:space="preserve">%) </w:t>
      </w:r>
      <w:r>
        <w:t xml:space="preserve">hanno </w:t>
      </w:r>
      <w:r w:rsidRPr="00841125">
        <w:t>completato il ciclo vaccinale</w:t>
      </w:r>
      <w:r>
        <w:t xml:space="preserve">, </w:t>
      </w:r>
      <w:r w:rsidR="0059450B">
        <w:t xml:space="preserve">anche qui </w:t>
      </w:r>
      <w:r>
        <w:t xml:space="preserve">con </w:t>
      </w:r>
      <w:r w:rsidR="00A54D23">
        <w:t>rilevanti</w:t>
      </w:r>
      <w:r>
        <w:t xml:space="preserve"> differenze regionali (</w:t>
      </w:r>
      <w:r w:rsidRPr="0045106D">
        <w:rPr>
          <w:highlight w:val="yellow"/>
        </w:rPr>
        <w:t>figura</w:t>
      </w:r>
      <w:r w:rsidR="00D14A44">
        <w:rPr>
          <w:highlight w:val="yellow"/>
        </w:rPr>
        <w:t>6</w:t>
      </w:r>
      <w:r w:rsidR="0059450B">
        <w:t>).</w:t>
      </w:r>
    </w:p>
    <w:p w:rsidR="002757FE" w:rsidRDefault="00FF52DD" w:rsidP="00805C78">
      <w:pPr>
        <w:jc w:val="both"/>
      </w:pPr>
      <w:r w:rsidRPr="00805C78">
        <w:t>«</w:t>
      </w:r>
      <w:r w:rsidR="00497201">
        <w:t>Tuttavia l</w:t>
      </w:r>
      <w:r w:rsidR="00874C95">
        <w:t xml:space="preserve">a strada per accelerare la campagna vaccinale </w:t>
      </w:r>
      <w:r w:rsidRPr="00286B18">
        <w:t xml:space="preserve">– </w:t>
      </w:r>
      <w:r w:rsidR="00F3433F">
        <w:t xml:space="preserve">puntualizza </w:t>
      </w:r>
      <w:r>
        <w:t xml:space="preserve">il Presidente </w:t>
      </w:r>
      <w:r w:rsidRPr="00286B18">
        <w:t>–</w:t>
      </w:r>
      <w:r w:rsidR="00874C95">
        <w:t xml:space="preserve">non </w:t>
      </w:r>
      <w:r w:rsidR="00497201">
        <w:t>deve certo portare ad</w:t>
      </w:r>
      <w:r>
        <w:t xml:space="preserve"> avventurarsi in rischiosi azzardi, </w:t>
      </w:r>
      <w:r w:rsidR="00F3433F">
        <w:t xml:space="preserve">come </w:t>
      </w:r>
      <w:r w:rsidR="002757FE">
        <w:t xml:space="preserve">l’ipotesi di </w:t>
      </w:r>
      <w:r>
        <w:t xml:space="preserve">somministrare un’unica dose di vaccino Pfizer o Moderna. </w:t>
      </w:r>
      <w:r w:rsidR="00F3433F">
        <w:t>In assenza di robuste</w:t>
      </w:r>
      <w:r>
        <w:t xml:space="preserve"> evidenze scientifiche che permettano alle agenzie regolatorie di </w:t>
      </w:r>
      <w:r w:rsidRPr="00FF52DD">
        <w:t>modificare le modalità d</w:t>
      </w:r>
      <w:r>
        <w:t>i somministrazione del prodotto si tratterebbe di un uso off-label del vaccino, con risvolti sul consenso informato e sulle responsabilità medico-legali</w:t>
      </w:r>
      <w:r w:rsidR="002757FE">
        <w:t>»</w:t>
      </w:r>
      <w:r w:rsidR="00497201">
        <w:t>.</w:t>
      </w:r>
    </w:p>
    <w:p w:rsidR="0059450B" w:rsidRDefault="00803193" w:rsidP="00805C78">
      <w:pPr>
        <w:jc w:val="both"/>
      </w:pPr>
      <w:r w:rsidRPr="00803193">
        <w:t>«</w:t>
      </w:r>
      <w:r w:rsidR="00622554">
        <w:t xml:space="preserve">La Fondazione GIMBE </w:t>
      </w:r>
      <w:r w:rsidRPr="00803193">
        <w:t>– conclude Cartabellotta –</w:t>
      </w:r>
      <w:r w:rsidR="00622554">
        <w:t xml:space="preserve"> già da settimane segnala le spie rosse di un’aumentata circolazione del virus, </w:t>
      </w:r>
      <w:r w:rsidR="006A046A">
        <w:t xml:space="preserve">la cui </w:t>
      </w:r>
      <w:r w:rsidR="00622554" w:rsidRPr="00803193">
        <w:t>forte accelerazione</w:t>
      </w:r>
      <w:r w:rsidR="00232016">
        <w:t>sta di fatto avviando la</w:t>
      </w:r>
      <w:r w:rsidR="006A046A">
        <w:t xml:space="preserve"> terza ondata</w:t>
      </w:r>
      <w:r w:rsidR="00622554">
        <w:t>. M</w:t>
      </w:r>
      <w:r w:rsidRPr="00803193">
        <w:t>a i tempi d</w:t>
      </w:r>
      <w:r>
        <w:t xml:space="preserve">i </w:t>
      </w:r>
      <w:r w:rsidRPr="00803193">
        <w:t xml:space="preserve">politica </w:t>
      </w:r>
      <w:r>
        <w:t xml:space="preserve">e burocrazia </w:t>
      </w:r>
      <w:r w:rsidRPr="00803193">
        <w:t xml:space="preserve">sono sempre troppo </w:t>
      </w:r>
      <w:r w:rsidR="00F315EE">
        <w:t>lunghi</w:t>
      </w:r>
      <w:r w:rsidRPr="00803193">
        <w:t xml:space="preserve">e le zone rosse locali </w:t>
      </w:r>
      <w:r>
        <w:t xml:space="preserve">arrivano </w:t>
      </w:r>
      <w:r w:rsidR="00F315EE">
        <w:t xml:space="preserve">quando la situazione ormai </w:t>
      </w:r>
      <w:r w:rsidR="002F32D4">
        <w:t xml:space="preserve">è sfuggita </w:t>
      </w:r>
      <w:r w:rsidR="00F315EE">
        <w:t>di mano</w:t>
      </w:r>
      <w:r w:rsidRPr="00803193">
        <w:t xml:space="preserve">. </w:t>
      </w:r>
      <w:r w:rsidR="00622554">
        <w:t xml:space="preserve">La </w:t>
      </w:r>
      <w:r w:rsidRPr="00803193">
        <w:t>campagna vaccinale</w:t>
      </w:r>
      <w:r w:rsidR="00622554">
        <w:t>, intanto,</w:t>
      </w:r>
      <w:r w:rsidRPr="00803193">
        <w:t xml:space="preserve"> stenta a </w:t>
      </w:r>
      <w:r w:rsidR="00FF52DD">
        <w:t xml:space="preserve">decollare non solo per i noti ritardi di </w:t>
      </w:r>
      <w:r w:rsidRPr="00803193">
        <w:t>produzione e consegna delle dosi</w:t>
      </w:r>
      <w:r w:rsidR="00FF52DD">
        <w:t xml:space="preserve">, ma anche </w:t>
      </w:r>
      <w:r w:rsidRPr="00803193">
        <w:t xml:space="preserve">per difficoltà organizzative </w:t>
      </w:r>
      <w:r w:rsidR="002F32D4">
        <w:t>di molte Regioni</w:t>
      </w:r>
      <w:r w:rsidRPr="00803193">
        <w:t>che</w:t>
      </w:r>
      <w:r w:rsidR="00232016">
        <w:t>lasciano</w:t>
      </w:r>
      <w:r w:rsidRPr="00803193">
        <w:t xml:space="preserve"> “in fresco” dosi di vaccino </w:t>
      </w:r>
      <w:r w:rsidR="00F315EE">
        <w:t>che potrebbero evitare</w:t>
      </w:r>
      <w:r w:rsidR="00FF52DD">
        <w:t xml:space="preserve"> ricoveri e </w:t>
      </w:r>
      <w:r w:rsidR="00F315EE">
        <w:t>salvare vite</w:t>
      </w:r>
      <w:r w:rsidRPr="00803193">
        <w:t xml:space="preserve">, soprattutto </w:t>
      </w:r>
      <w:r w:rsidR="00F315EE">
        <w:t>tra le</w:t>
      </w:r>
      <w:r w:rsidRPr="00803193">
        <w:t xml:space="preserve">persone più </w:t>
      </w:r>
      <w:r w:rsidR="00FF52DD">
        <w:t xml:space="preserve">a </w:t>
      </w:r>
      <w:r w:rsidRPr="00803193">
        <w:t xml:space="preserve">rischio di COVID-19 severa. </w:t>
      </w:r>
      <w:r w:rsidR="00B40D83">
        <w:t>I</w:t>
      </w:r>
      <w:r w:rsidR="00F315EE">
        <w:t xml:space="preserve">nfine, </w:t>
      </w:r>
      <w:r w:rsidRPr="00803193">
        <w:t>il primo DPCM a firma Draghi non segna affatto il cambio di passo auspic</w:t>
      </w:r>
      <w:r w:rsidR="002757FE">
        <w:t>ato: il sistema delle R</w:t>
      </w:r>
      <w:r w:rsidRPr="00803193">
        <w:t xml:space="preserve">egioni </w:t>
      </w:r>
      <w:r w:rsidR="002757FE">
        <w:t>“</w:t>
      </w:r>
      <w:r w:rsidRPr="00803193">
        <w:t>a colori</w:t>
      </w:r>
      <w:r w:rsidR="002757FE">
        <w:t>”</w:t>
      </w:r>
      <w:r w:rsidRPr="00803193">
        <w:t xml:space="preserve"> resta </w:t>
      </w:r>
      <w:r w:rsidR="00FF52DD">
        <w:t>di fatto</w:t>
      </w:r>
      <w:r w:rsidRPr="00803193">
        <w:t xml:space="preserve"> immutato, così come le misure per la maggior parte delle at</w:t>
      </w:r>
      <w:r w:rsidR="00FF52DD">
        <w:t xml:space="preserve">tività produttive e commerciali. </w:t>
      </w:r>
      <w:r w:rsidR="00A17C7D">
        <w:t>E a pagare il conto</w:t>
      </w:r>
      <w:r w:rsidR="007C6B29">
        <w:t xml:space="preserve"> più salato</w:t>
      </w:r>
      <w:r w:rsidR="00A17C7D">
        <w:t>, come sempre,è la scuola</w:t>
      </w:r>
      <w:r w:rsidRPr="00803193">
        <w:t>».</w:t>
      </w:r>
    </w:p>
    <w:p w:rsidR="00A54D23" w:rsidRPr="00625E38" w:rsidRDefault="00A54D23" w:rsidP="00A54D23">
      <w:pPr>
        <w:spacing w:after="120" w:line="276" w:lineRule="auto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9" w:history="1">
        <w:r w:rsidRPr="00497C09">
          <w:rPr>
            <w:rStyle w:val="Collegamentoipertestuale"/>
            <w:rFonts w:cstheme="minorHAnsi"/>
            <w:i/>
          </w:rPr>
          <w:t>https://coronavirus.gimbe.org</w:t>
        </w:r>
      </w:hyperlink>
    </w:p>
    <w:p w:rsidR="00BC35CB" w:rsidRPr="00C74BA8" w:rsidRDefault="00A54D23" w:rsidP="00C74BA8">
      <w:pPr>
        <w:spacing w:after="120"/>
        <w:rPr>
          <w:rFonts w:ascii="Calibri" w:eastAsia="Calibri" w:hAnsi="Calibri" w:cs="Times New Roman"/>
          <w:color w:val="0563C1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>
        <w:rPr>
          <w:rFonts w:cstheme="minorHAnsi"/>
          <w:i/>
          <w:color w:val="0563C1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lastRenderedPageBreak/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BC35CB" w:rsidRDefault="00BC35CB" w:rsidP="00BC35CB">
      <w:pPr>
        <w:jc w:val="both"/>
      </w:pPr>
    </w:p>
    <w:p w:rsidR="00E51205" w:rsidRDefault="00D86DE6" w:rsidP="00E51205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1</w:t>
      </w:r>
    </w:p>
    <w:p w:rsidR="00E51205" w:rsidRDefault="009B1700" w:rsidP="00E51205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30335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3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DE6" w:rsidRDefault="00D86DE6" w:rsidP="00891F25">
      <w:pPr>
        <w:rPr>
          <w:b/>
          <w:color w:val="00457D"/>
          <w:sz w:val="24"/>
        </w:rPr>
      </w:pPr>
    </w:p>
    <w:p w:rsidR="0029362B" w:rsidRDefault="00DE19CB" w:rsidP="008B6F3B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2</w:t>
      </w:r>
    </w:p>
    <w:p w:rsidR="008B6F3B" w:rsidRDefault="009B1700" w:rsidP="00333902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299175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91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6F3B">
        <w:rPr>
          <w:b/>
          <w:color w:val="00457D"/>
          <w:sz w:val="24"/>
        </w:rPr>
        <w:br/>
      </w:r>
    </w:p>
    <w:p w:rsidR="003F2406" w:rsidRDefault="003F2406" w:rsidP="003F2406">
      <w:pPr>
        <w:jc w:val="center"/>
        <w:rPr>
          <w:b/>
          <w:color w:val="00457D"/>
          <w:sz w:val="24"/>
        </w:rPr>
        <w:sectPr w:rsidR="003F2406" w:rsidSect="00115E64">
          <w:footnotePr>
            <w:numFmt w:val="chicago"/>
          </w:footnotePr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  <w:r>
        <w:rPr>
          <w:b/>
          <w:color w:val="00457D"/>
          <w:sz w:val="24"/>
        </w:rPr>
        <w:br/>
      </w:r>
    </w:p>
    <w:p w:rsidR="001A0514" w:rsidRDefault="00BF6DF7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 xml:space="preserve">Figura </w:t>
      </w:r>
      <w:r w:rsidR="00DE19CB">
        <w:rPr>
          <w:b/>
          <w:color w:val="00457D"/>
          <w:sz w:val="24"/>
        </w:rPr>
        <w:t>3</w:t>
      </w:r>
    </w:p>
    <w:p w:rsidR="00E92B03" w:rsidRPr="00891F25" w:rsidRDefault="00EF2137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9360000" cy="4868302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6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F25" w:rsidRPr="00080306" w:rsidRDefault="00891F25" w:rsidP="00080306">
      <w:pPr>
        <w:spacing w:after="0" w:line="360" w:lineRule="auto"/>
        <w:jc w:val="center"/>
        <w:rPr>
          <w:b/>
          <w:color w:val="FF0000"/>
          <w:sz w:val="24"/>
        </w:rPr>
        <w:sectPr w:rsidR="00891F25" w:rsidRPr="00080306" w:rsidSect="00B76C0E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</w:p>
    <w:p w:rsidR="00F530A0" w:rsidRDefault="00F530A0" w:rsidP="00523628">
      <w:pPr>
        <w:spacing w:after="0" w:line="240" w:lineRule="auto"/>
        <w:rPr>
          <w:b/>
          <w:color w:val="00457D"/>
          <w:sz w:val="24"/>
        </w:rPr>
      </w:pPr>
    </w:p>
    <w:p w:rsidR="00894045" w:rsidRDefault="00894045" w:rsidP="00894045">
      <w:pPr>
        <w:spacing w:after="0" w:line="240" w:lineRule="auto"/>
        <w:jc w:val="center"/>
        <w:rPr>
          <w:b/>
          <w:color w:val="00457D"/>
          <w:sz w:val="24"/>
        </w:rPr>
      </w:pPr>
      <w:r w:rsidRPr="00C55820">
        <w:rPr>
          <w:b/>
          <w:color w:val="00457D"/>
          <w:sz w:val="24"/>
        </w:rPr>
        <w:t xml:space="preserve">Figura </w:t>
      </w:r>
      <w:r>
        <w:rPr>
          <w:b/>
          <w:color w:val="00457D"/>
          <w:sz w:val="24"/>
        </w:rPr>
        <w:t>4</w:t>
      </w:r>
      <w:r w:rsidRPr="00C55820">
        <w:rPr>
          <w:b/>
          <w:color w:val="00457D"/>
          <w:sz w:val="24"/>
        </w:rPr>
        <w:br/>
      </w: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474943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749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045" w:rsidRDefault="00894045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894045" w:rsidRDefault="00894045">
      <w:pPr>
        <w:rPr>
          <w:b/>
          <w:color w:val="00457D"/>
          <w:sz w:val="24"/>
        </w:rPr>
      </w:pPr>
      <w:r>
        <w:rPr>
          <w:b/>
          <w:color w:val="00457D"/>
          <w:sz w:val="24"/>
        </w:rPr>
        <w:br w:type="page"/>
      </w:r>
    </w:p>
    <w:p w:rsidR="00C74BA8" w:rsidRDefault="00C74BA8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 xml:space="preserve">Figura </w:t>
      </w:r>
      <w:r w:rsidR="00894045">
        <w:rPr>
          <w:b/>
          <w:color w:val="00457D"/>
          <w:sz w:val="24"/>
        </w:rPr>
        <w:t>5</w:t>
      </w:r>
    </w:p>
    <w:p w:rsidR="00917B0F" w:rsidRDefault="00917B0F" w:rsidP="0065595A">
      <w:pPr>
        <w:spacing w:after="0" w:line="240" w:lineRule="auto"/>
        <w:jc w:val="center"/>
        <w:rPr>
          <w:b/>
          <w:color w:val="00457D"/>
          <w:sz w:val="24"/>
        </w:rPr>
      </w:pPr>
      <w:r w:rsidRPr="00917B0F">
        <w:rPr>
          <w:b/>
          <w:color w:val="00457D"/>
          <w:sz w:val="24"/>
        </w:rPr>
        <w:t xml:space="preserve">Dosi consegnate e somministrate per </w:t>
      </w:r>
      <w:r>
        <w:rPr>
          <w:b/>
          <w:color w:val="00457D"/>
          <w:sz w:val="24"/>
        </w:rPr>
        <w:t>tipologia di vaccino</w:t>
      </w:r>
    </w:p>
    <w:p w:rsidR="00917B0F" w:rsidRDefault="00917B0F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C74BA8" w:rsidRDefault="00894045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4247529"/>
            <wp:effectExtent l="0" t="0" r="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24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BA8" w:rsidRDefault="00C74BA8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C74BA8" w:rsidRDefault="00C74BA8">
      <w:pPr>
        <w:rPr>
          <w:b/>
          <w:color w:val="00457D"/>
          <w:sz w:val="24"/>
        </w:rPr>
      </w:pPr>
      <w:r>
        <w:rPr>
          <w:b/>
          <w:color w:val="00457D"/>
          <w:sz w:val="24"/>
        </w:rPr>
        <w:br w:type="page"/>
      </w:r>
    </w:p>
    <w:p w:rsidR="00A2359B" w:rsidRDefault="00A2359B" w:rsidP="000764D8">
      <w:pPr>
        <w:spacing w:after="0" w:line="240" w:lineRule="auto"/>
        <w:rPr>
          <w:b/>
          <w:color w:val="00457D"/>
          <w:sz w:val="24"/>
        </w:rPr>
      </w:pPr>
    </w:p>
    <w:p w:rsidR="00A2359B" w:rsidRDefault="00A2359B" w:rsidP="00A2359B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 xml:space="preserve">Figura </w:t>
      </w:r>
      <w:r w:rsidR="000764D8">
        <w:rPr>
          <w:b/>
          <w:color w:val="00457D"/>
          <w:sz w:val="24"/>
        </w:rPr>
        <w:t>6</w:t>
      </w:r>
    </w:p>
    <w:p w:rsidR="00A2359B" w:rsidRDefault="00894045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4446849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46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514" w:rsidRPr="00010725" w:rsidRDefault="001A0514">
      <w:pPr>
        <w:rPr>
          <w:b/>
          <w:color w:val="00457D"/>
          <w:sz w:val="24"/>
        </w:rPr>
        <w:sectPr w:rsidR="001A0514" w:rsidRPr="00010725" w:rsidSect="001A0514">
          <w:footnotePr>
            <w:numFmt w:val="chicago"/>
          </w:footnotePr>
          <w:pgSz w:w="11906" w:h="16838"/>
          <w:pgMar w:top="709" w:right="1134" w:bottom="992" w:left="1134" w:header="709" w:footer="833" w:gutter="0"/>
          <w:cols w:space="708"/>
          <w:docGrid w:linePitch="360"/>
        </w:sectPr>
      </w:pPr>
    </w:p>
    <w:p w:rsidR="009B1700" w:rsidRPr="00D54A93" w:rsidRDefault="009B1700" w:rsidP="009B1700">
      <w:pPr>
        <w:spacing w:after="0" w:line="276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T</w:t>
      </w:r>
      <w:r w:rsidRPr="00D54A93">
        <w:rPr>
          <w:b/>
          <w:color w:val="00457D"/>
          <w:sz w:val="24"/>
        </w:rPr>
        <w:t>abella</w:t>
      </w:r>
      <w:r>
        <w:rPr>
          <w:b/>
          <w:color w:val="00457D"/>
          <w:sz w:val="24"/>
        </w:rPr>
        <w:t xml:space="preserve"> 1</w:t>
      </w:r>
      <w:r w:rsidRPr="00D54A93">
        <w:rPr>
          <w:b/>
          <w:color w:val="00457D"/>
          <w:sz w:val="24"/>
        </w:rPr>
        <w:t xml:space="preserve">. Indicatori regionali: settimana </w:t>
      </w:r>
      <w:r w:rsidR="00F76612">
        <w:rPr>
          <w:b/>
          <w:color w:val="00457D"/>
          <w:sz w:val="24"/>
        </w:rPr>
        <w:t>24 febbraio-2 marzo 2021</w:t>
      </w: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/>
      </w:tblPr>
      <w:tblGrid>
        <w:gridCol w:w="2050"/>
        <w:gridCol w:w="1847"/>
        <w:gridCol w:w="1441"/>
        <w:gridCol w:w="2220"/>
        <w:gridCol w:w="2220"/>
      </w:tblGrid>
      <w:tr w:rsidR="009B1700" w:rsidRPr="00C83917" w:rsidTr="00EF2137">
        <w:trPr>
          <w:trHeight w:val="907"/>
        </w:trPr>
        <w:tc>
          <w:tcPr>
            <w:tcW w:w="1050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9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Casi attualmente positivi per 100.000 abitanti</w:t>
            </w:r>
          </w:p>
        </w:tc>
        <w:tc>
          <w:tcPr>
            <w:tcW w:w="7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B1700" w:rsidRPr="00C83917" w:rsidRDefault="00EF2137" w:rsidP="00EF2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Variazione </w:t>
            </w:r>
            <w:r w:rsidR="009B1700"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</w:t>
            </w:r>
            <w:r w:rsidR="009B170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nuovi</w:t>
            </w:r>
            <w:r w:rsidR="009B1700"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casi</w:t>
            </w:r>
          </w:p>
        </w:tc>
        <w:tc>
          <w:tcPr>
            <w:tcW w:w="113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1138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1.009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5,8%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43%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="00F76612">
              <w:rPr>
                <w:rFonts w:ascii="Calibri" w:eastAsia="Times New Roman" w:hAnsi="Calibri" w:cs="Calibri"/>
                <w:color w:val="9C0006"/>
                <w:lang w:eastAsia="it-IT"/>
              </w:rPr>
              <w:t>1</w:t>
            </w: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756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EF2137">
              <w:rPr>
                <w:rFonts w:ascii="Calibri" w:eastAsia="Times New Roman" w:hAnsi="Calibri" w:cs="Calibri"/>
                <w:color w:val="9C0006"/>
                <w:lang w:eastAsia="it-IT"/>
              </w:rPr>
              <w:t>21,1%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F76612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22</w:t>
            </w:r>
            <w:r w:rsidR="009B1700"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F76612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10</w:t>
            </w:r>
            <w:r w:rsidR="009B1700"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331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15,7%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21%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13%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1.388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47,2%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="00F76612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="00F76612">
              <w:rPr>
                <w:rFonts w:ascii="Calibri" w:eastAsia="Times New Roman" w:hAnsi="Calibri" w:cs="Calibri"/>
                <w:color w:val="006100"/>
                <w:lang w:eastAsia="it-IT"/>
              </w:rPr>
              <w:t>1</w:t>
            </w: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D5076F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Emilia-Romagna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1.027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39,0%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F76612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40</w:t>
            </w:r>
            <w:r w:rsidR="009B1700"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 w:rsidR="00F76612">
              <w:rPr>
                <w:rFonts w:ascii="Calibri" w:eastAsia="Times New Roman" w:hAnsi="Calibri" w:cs="Calibri"/>
                <w:color w:val="9C0006"/>
                <w:lang w:eastAsia="it-IT"/>
              </w:rPr>
              <w:t>2</w:t>
            </w: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D5076F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Friuli-Venezia Giulia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846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63,8%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F76612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30</w:t>
            </w:r>
            <w:r w:rsidR="009B1700"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35%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622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34,9%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="00F76612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356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13,2%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="00F76612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9B1700" w:rsidRPr="00C83917" w:rsidTr="00F76612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675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46,7%</w:t>
            </w:r>
          </w:p>
        </w:tc>
        <w:tc>
          <w:tcPr>
            <w:tcW w:w="1138" w:type="pct"/>
            <w:shd w:val="clear" w:color="auto" w:fill="FFC7CE"/>
            <w:noWrap/>
            <w:vAlign w:val="center"/>
            <w:hideMark/>
          </w:tcPr>
          <w:p w:rsidR="009B1700" w:rsidRPr="00F76612" w:rsidRDefault="00F76612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41</w:t>
            </w:r>
            <w:r w:rsidR="009B1700"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138" w:type="pct"/>
            <w:shd w:val="clear" w:color="auto" w:fill="FFC7CE"/>
            <w:noWrap/>
            <w:vAlign w:val="center"/>
            <w:hideMark/>
          </w:tcPr>
          <w:p w:rsidR="009B1700" w:rsidRPr="00F76612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 w:rsidR="00F76612"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646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32,8%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="00F76612">
              <w:rPr>
                <w:rFonts w:ascii="Calibri" w:eastAsia="Times New Roman" w:hAnsi="Calibri" w:cs="Calibri"/>
                <w:color w:val="9C0006"/>
                <w:lang w:eastAsia="it-IT"/>
              </w:rPr>
              <w:t>8</w:t>
            </w: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 w:rsidR="00F76612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9B1700" w:rsidRPr="00E320A1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E320A1">
              <w:rPr>
                <w:rFonts w:ascii="Calibri" w:eastAsia="Times New Roman" w:hAnsi="Calibri" w:cs="Calibri"/>
                <w:color w:val="006100"/>
                <w:lang w:eastAsia="it-IT"/>
              </w:rPr>
              <w:t>560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006100"/>
                <w:lang w:eastAsia="it-IT"/>
              </w:rPr>
              <w:t>-13,0%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="00F76612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49%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402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54,9%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="00F76612">
              <w:rPr>
                <w:rFonts w:ascii="Calibri" w:eastAsia="Times New Roman" w:hAnsi="Calibri" w:cs="Calibri"/>
                <w:color w:val="006100"/>
                <w:lang w:eastAsia="it-IT"/>
              </w:rPr>
              <w:t>7</w:t>
            </w: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="00F76612">
              <w:rPr>
                <w:rFonts w:ascii="Calibri" w:eastAsia="Times New Roman" w:hAnsi="Calibri" w:cs="Calibri"/>
                <w:color w:val="006100"/>
                <w:lang w:eastAsia="it-IT"/>
              </w:rPr>
              <w:t>9</w:t>
            </w: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9B1700" w:rsidRPr="00C83917" w:rsidTr="00E320A1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E320A1">
              <w:rPr>
                <w:rFonts w:ascii="Calibri" w:eastAsia="Times New Roman" w:hAnsi="Calibri" w:cs="Calibri"/>
                <w:color w:val="006100"/>
                <w:lang w:eastAsia="it-IT"/>
              </w:rPr>
              <w:t>1.294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EF2137">
              <w:rPr>
                <w:rFonts w:ascii="Calibri" w:eastAsia="Times New Roman" w:hAnsi="Calibri" w:cs="Calibri"/>
                <w:color w:val="006100"/>
                <w:lang w:eastAsia="it-IT"/>
              </w:rPr>
              <w:t>-28,0%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F76612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38</w:t>
            </w:r>
            <w:r w:rsidR="009B1700"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31%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673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19,7%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33%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47%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838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30,3%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35%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006100"/>
                <w:lang w:eastAsia="it-IT"/>
              </w:rPr>
              <w:t>790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2,3%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13%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F76612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10</w:t>
            </w:r>
            <w:r w:rsidR="009B1700"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006100"/>
                <w:lang w:eastAsia="it-IT"/>
              </w:rPr>
              <w:t>528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18,9%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19%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F76612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15</w:t>
            </w:r>
            <w:r w:rsidR="009B1700"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510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EF2137">
              <w:rPr>
                <w:rFonts w:ascii="Calibri" w:eastAsia="Times New Roman" w:hAnsi="Calibri" w:cs="Calibri"/>
                <w:color w:val="9C0006"/>
                <w:lang w:eastAsia="it-IT"/>
              </w:rPr>
              <w:t>20,7%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F76612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20</w:t>
            </w:r>
            <w:r w:rsidR="009B1700"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943" w:type="pct"/>
            <w:shd w:val="clear" w:color="auto" w:fill="C6EF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006100"/>
                <w:lang w:eastAsia="it-IT"/>
              </w:rPr>
              <w:t>931</w:t>
            </w:r>
          </w:p>
        </w:tc>
        <w:tc>
          <w:tcPr>
            <w:tcW w:w="731" w:type="pct"/>
            <w:shd w:val="clear" w:color="auto" w:fill="C6EF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006100"/>
                <w:lang w:eastAsia="it-IT"/>
              </w:rPr>
              <w:t>-17,1%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52%</w:t>
            </w:r>
          </w:p>
        </w:tc>
        <w:tc>
          <w:tcPr>
            <w:tcW w:w="1138" w:type="pct"/>
            <w:shd w:val="clear" w:color="000000" w:fill="FFC7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5</w:t>
            </w:r>
            <w:r w:rsidR="00F76612">
              <w:rPr>
                <w:rFonts w:ascii="Calibri" w:eastAsia="Times New Roman" w:hAnsi="Calibri" w:cs="Calibri"/>
                <w:color w:val="9C0006"/>
                <w:lang w:eastAsia="it-IT"/>
              </w:rPr>
              <w:t>5</w:t>
            </w:r>
            <w:r w:rsidRPr="00C83917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130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35,0%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6%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10%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color w:val="9C0006"/>
                <w:lang w:eastAsia="it-IT"/>
              </w:rPr>
              <w:t>517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EF2137">
              <w:rPr>
                <w:rFonts w:ascii="Calibri" w:eastAsia="Times New Roman" w:hAnsi="Calibri" w:cs="Calibri"/>
                <w:color w:val="9C0006"/>
                <w:lang w:eastAsia="it-IT"/>
              </w:rPr>
              <w:t>29,3%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1</w:t>
            </w:r>
            <w:r w:rsidR="00F76612">
              <w:rPr>
                <w:rFonts w:ascii="Calibri" w:eastAsia="Times New Roman" w:hAnsi="Calibri" w:cs="Calibri"/>
                <w:color w:val="006100"/>
                <w:lang w:eastAsia="it-IT"/>
              </w:rPr>
              <w:t>4</w:t>
            </w: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1</w:t>
            </w:r>
            <w:r w:rsidR="00F76612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9B1700" w:rsidRPr="00C83917" w:rsidTr="00EF2137">
        <w:trPr>
          <w:trHeight w:val="340"/>
        </w:trPr>
        <w:tc>
          <w:tcPr>
            <w:tcW w:w="1050" w:type="pct"/>
            <w:shd w:val="clear" w:color="auto" w:fill="00457D"/>
            <w:noWrap/>
            <w:vAlign w:val="center"/>
            <w:hideMark/>
          </w:tcPr>
          <w:p w:rsidR="009B1700" w:rsidRPr="00C83917" w:rsidRDefault="009B1700" w:rsidP="009B17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943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723</w:t>
            </w:r>
          </w:p>
        </w:tc>
        <w:tc>
          <w:tcPr>
            <w:tcW w:w="731" w:type="pct"/>
            <w:shd w:val="clear" w:color="auto" w:fill="FFC7CE"/>
            <w:noWrap/>
            <w:vAlign w:val="center"/>
            <w:hideMark/>
          </w:tcPr>
          <w:p w:rsidR="009B1700" w:rsidRPr="009B1700" w:rsidRDefault="009B1700" w:rsidP="009B1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lang w:eastAsia="it-IT"/>
              </w:rPr>
            </w:pPr>
            <w:r w:rsidRPr="009B1700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33,2%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 w:rsidR="00F76612">
              <w:rPr>
                <w:rFonts w:ascii="Calibri" w:eastAsia="Times New Roman" w:hAnsi="Calibri" w:cs="Calibri"/>
                <w:color w:val="006100"/>
                <w:lang w:eastAsia="it-IT"/>
              </w:rPr>
              <w:t>1</w:t>
            </w: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138" w:type="pct"/>
            <w:shd w:val="clear" w:color="000000" w:fill="C6EFCE"/>
            <w:noWrap/>
            <w:vAlign w:val="center"/>
            <w:hideMark/>
          </w:tcPr>
          <w:p w:rsidR="009B1700" w:rsidRPr="00C83917" w:rsidRDefault="009B1700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2</w:t>
            </w:r>
            <w:r w:rsidR="00F76612">
              <w:rPr>
                <w:rFonts w:ascii="Calibri" w:eastAsia="Times New Roman" w:hAnsi="Calibri" w:cs="Calibri"/>
                <w:color w:val="006100"/>
                <w:lang w:eastAsia="it-IT"/>
              </w:rPr>
              <w:t>6</w:t>
            </w:r>
            <w:r w:rsidRPr="00C83917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9B1700" w:rsidRPr="00F240C0" w:rsidTr="00EF2137">
        <w:trPr>
          <w:trHeight w:val="624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EF2137" w:rsidRDefault="009B1700" w:rsidP="00EF213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Nota: nell</w:t>
            </w:r>
            <w:r w:rsidR="00EF2137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a prima colonna 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rosso e verde indicano rispettivamente una performance regionale in peggioramento, o in miglioramento, rispetto alla settimana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precedente.</w:t>
            </w:r>
          </w:p>
          <w:p w:rsidR="009B1700" w:rsidRPr="009B1700" w:rsidRDefault="00EF2137" w:rsidP="005D18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804B85">
              <w:rPr>
                <w:rFonts w:eastAsia="Times New Roman" w:cstheme="minorHAnsi"/>
                <w:bCs/>
                <w:sz w:val="20"/>
                <w:szCs w:val="21"/>
              </w:rPr>
              <w:t xml:space="preserve">Nella seconda colonna </w:t>
            </w:r>
            <w:r w:rsidR="00A807CA" w:rsidRPr="00804B85">
              <w:rPr>
                <w:rFonts w:eastAsia="Times New Roman" w:cstheme="minorHAnsi"/>
                <w:bCs/>
                <w:sz w:val="20"/>
                <w:szCs w:val="21"/>
              </w:rPr>
              <w:t>rosso e verde indicano rispettivamente un aumento o una diminuzione di nuovi casi rispetto alla settimana precedente.</w:t>
            </w:r>
            <w:r w:rsidR="009B1700" w:rsidRPr="00804B85">
              <w:rPr>
                <w:rFonts w:eastAsia="Times New Roman" w:cstheme="minorHAnsi"/>
                <w:bCs/>
                <w:sz w:val="20"/>
                <w:szCs w:val="21"/>
              </w:rPr>
              <w:br/>
            </w:r>
            <w:r w:rsidR="009B1700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</w:t>
            </w:r>
            <w:r w:rsidR="009B1700"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F76612" w:rsidRDefault="00F76612">
      <w:pPr>
        <w:rPr>
          <w:b/>
          <w:color w:val="00457D"/>
          <w:spacing w:val="-4"/>
          <w:sz w:val="24"/>
        </w:rPr>
      </w:pPr>
      <w:r>
        <w:rPr>
          <w:b/>
          <w:color w:val="00457D"/>
          <w:spacing w:val="-4"/>
          <w:sz w:val="24"/>
        </w:rPr>
        <w:br w:type="page"/>
      </w:r>
    </w:p>
    <w:p w:rsidR="0018467E" w:rsidRPr="006E23F8" w:rsidRDefault="007C0280" w:rsidP="00E51205">
      <w:pPr>
        <w:spacing w:after="100" w:line="240" w:lineRule="auto"/>
        <w:jc w:val="center"/>
        <w:rPr>
          <w:b/>
          <w:color w:val="00457D"/>
          <w:sz w:val="24"/>
        </w:rPr>
      </w:pPr>
      <w:r w:rsidRPr="006E23F8">
        <w:rPr>
          <w:b/>
          <w:color w:val="00457D"/>
          <w:sz w:val="24"/>
        </w:rPr>
        <w:lastRenderedPageBreak/>
        <w:t>Tabella 2</w:t>
      </w:r>
      <w:r w:rsidR="00315C07" w:rsidRPr="006E23F8">
        <w:rPr>
          <w:b/>
          <w:color w:val="00457D"/>
          <w:sz w:val="24"/>
        </w:rPr>
        <w:t xml:space="preserve">. </w:t>
      </w:r>
      <w:r w:rsidR="00FB7BF6" w:rsidRPr="006E23F8">
        <w:rPr>
          <w:b/>
          <w:color w:val="00457D"/>
          <w:sz w:val="24"/>
        </w:rPr>
        <w:t xml:space="preserve">Province </w:t>
      </w:r>
      <w:r w:rsidR="00DC769F" w:rsidRPr="006E23F8">
        <w:rPr>
          <w:b/>
          <w:color w:val="00457D"/>
          <w:sz w:val="24"/>
        </w:rPr>
        <w:t>con incremento dei nuovi c</w:t>
      </w:r>
      <w:r w:rsidR="00FB7BF6" w:rsidRPr="006E23F8">
        <w:rPr>
          <w:b/>
          <w:color w:val="00457D"/>
          <w:sz w:val="24"/>
        </w:rPr>
        <w:t>asi &gt;</w:t>
      </w:r>
      <w:r w:rsidR="00DC769F" w:rsidRPr="006E23F8">
        <w:rPr>
          <w:b/>
          <w:color w:val="00457D"/>
          <w:sz w:val="24"/>
        </w:rPr>
        <w:t xml:space="preserve">20% nella settimana </w:t>
      </w:r>
      <w:r w:rsidR="00C83917" w:rsidRPr="006E23F8">
        <w:rPr>
          <w:b/>
          <w:color w:val="00457D"/>
          <w:sz w:val="24"/>
        </w:rPr>
        <w:t>24</w:t>
      </w:r>
      <w:r w:rsidR="00FB7BF6" w:rsidRPr="006E23F8">
        <w:rPr>
          <w:b/>
          <w:color w:val="00457D"/>
          <w:sz w:val="24"/>
        </w:rPr>
        <w:t xml:space="preserve"> febbraio</w:t>
      </w:r>
      <w:r w:rsidR="00F76612" w:rsidRPr="006E23F8">
        <w:rPr>
          <w:b/>
          <w:color w:val="00457D"/>
          <w:sz w:val="24"/>
        </w:rPr>
        <w:t>-2 marzo</w:t>
      </w:r>
    </w:p>
    <w:p w:rsidR="0018467E" w:rsidRDefault="0018467E" w:rsidP="00E51205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09"/>
        <w:gridCol w:w="2302"/>
        <w:gridCol w:w="1823"/>
        <w:gridCol w:w="1823"/>
        <w:gridCol w:w="1821"/>
      </w:tblGrid>
      <w:tr w:rsidR="00F76612" w:rsidRPr="00F76612" w:rsidTr="00AC3F26">
        <w:trPr>
          <w:trHeight w:val="1020"/>
          <w:tblHeader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Provincia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F76612" w:rsidRPr="00F76612" w:rsidRDefault="00F76612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Variazione % nuovi casi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7</w:t>
            </w: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-23 feb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braio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F76612" w:rsidRPr="00F76612" w:rsidRDefault="00F76612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Variazione % nuovi casi2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4</w:t>
            </w:r>
            <w:r w:rsidRPr="00F76612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 febbraio-2 marzo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457D"/>
            <w:vAlign w:val="center"/>
          </w:tcPr>
          <w:p w:rsidR="00F76612" w:rsidRPr="00F76612" w:rsidRDefault="00F76612" w:rsidP="00F7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Incidenza per 100.000 abitanti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  <w:r w:rsidRPr="00F76612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4</w:t>
            </w:r>
            <w:r w:rsidRPr="00F76612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 febbraio-2 marzo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Isernia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50,0%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110,3%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220,07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15,4%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97,7%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208,08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Catanzaro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-3,7%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93,7%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43,80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Vercelli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60,9%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86,0%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243,82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Caserta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-13,9%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80,8%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210,36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Udine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78,4%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393,18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25,5%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77,7%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228,15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Cuneo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37,8%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76,0%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209,00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Gorizia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75,3%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246,74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Novara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70,7%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175,35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Avellino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63,9%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67,9%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183,74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31,4%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66,7%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365,23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31,1%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65,1%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265,57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60,9%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404,24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11,0%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57,8%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472,39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9,7%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56,8%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246,17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3,6%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55,2%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232,50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Lecco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17,1%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55,2%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246,89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Mantova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14,2%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53,4%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263,44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-19,2%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52,5%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150,56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83,8%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51,5%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179,93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Bergamo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26,3%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49,1%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172,36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19,9%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48,8%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380,98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27,4%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47,8%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133,01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20,2%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47,8%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486,21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Grosseto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40,8%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47,7%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118,35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Crotone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65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6500"/>
                <w:lang w:eastAsia="it-IT"/>
              </w:rPr>
              <w:t>0,0%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47,2%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46,27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18,3%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47,0%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223,36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32,0%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46,1%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204,21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13,1%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46,0%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251,27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Massa Carrara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-14,9%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44,7%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207,63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7,5%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44,7%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204,89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Bari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0,7%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44,2%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259,39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1,5%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44,1%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290,00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Foggia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-24,9%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44,0%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160,82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Lodi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43,3%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164,46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Reggio nell'Emilia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62,2%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42,5%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313,63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Verbano-Cusio-Ossola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45,5%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41,8%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310,26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Catania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-43,3%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39,2%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73,18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20,9%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38,7%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159,23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Como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45,5%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38,4%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279,93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Alessandria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7,0%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37,3%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115,51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Sassari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-22,4%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35,1%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27,04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Aosta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15,4%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35,0%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64,78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Pordenone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-17,6%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29,9%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113,36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21,1%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28,1%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184,75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Napoli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0,6%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27,1%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245,48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Trieste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-14,3%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27,1%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141,72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20,1%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26,9%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139,22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Agrigento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-31,7%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26,8%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45,81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La Spezia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0,9%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26,7%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128,78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Pesaro e Urbino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-8,3%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26,1%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168,02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Pisa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10,8%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25,7%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172,92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Pistoia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54,5%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25,6%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367,16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38,1%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24,6%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218,28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31,4%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24,1%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434,70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53,4%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23,9%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192,35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-9,1%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23,2%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121,52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25,0%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22,1%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184,73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28,0%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22,0%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143,26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54,4%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21,9%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214,72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36,1%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21,4%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135,39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Latina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-0,5%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20,9%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125,49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Reggio di Calabria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6100"/>
                <w:lang w:eastAsia="it-IT"/>
              </w:rPr>
              <w:t>-12,2%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20,6%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112,62</w:t>
            </w:r>
          </w:p>
        </w:tc>
      </w:tr>
      <w:tr w:rsidR="00F76612" w:rsidRPr="00F76612" w:rsidTr="00AC3F26">
        <w:trPr>
          <w:trHeight w:val="30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Arezzo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83,1%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9C0006"/>
                <w:lang w:eastAsia="it-IT"/>
              </w:rPr>
              <w:t>20,0%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612" w:rsidRPr="00F76612" w:rsidRDefault="00F76612" w:rsidP="00F766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76612">
              <w:rPr>
                <w:rFonts w:ascii="Calibri" w:eastAsia="Times New Roman" w:hAnsi="Calibri" w:cs="Calibri"/>
                <w:color w:val="000000"/>
                <w:lang w:eastAsia="it-IT"/>
              </w:rPr>
              <w:t>222,90</w:t>
            </w:r>
          </w:p>
        </w:tc>
      </w:tr>
    </w:tbl>
    <w:p w:rsidR="00F76612" w:rsidRPr="00E51205" w:rsidRDefault="00F76612" w:rsidP="00E51205">
      <w:pPr>
        <w:spacing w:after="0" w:line="240" w:lineRule="auto"/>
        <w:rPr>
          <w:sz w:val="10"/>
          <w:szCs w:val="10"/>
        </w:rPr>
      </w:pPr>
    </w:p>
    <w:sectPr w:rsidR="00F76612" w:rsidRPr="00E51205" w:rsidSect="0096163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7B" w:rsidRDefault="00C9127B">
      <w:pPr>
        <w:spacing w:after="0" w:line="240" w:lineRule="auto"/>
      </w:pPr>
      <w:r>
        <w:separator/>
      </w:r>
    </w:p>
  </w:endnote>
  <w:endnote w:type="continuationSeparator" w:id="1">
    <w:p w:rsidR="00C9127B" w:rsidRDefault="00C9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7B" w:rsidRDefault="00C9127B">
      <w:pPr>
        <w:spacing w:after="0" w:line="240" w:lineRule="auto"/>
      </w:pPr>
      <w:r>
        <w:separator/>
      </w:r>
    </w:p>
  </w:footnote>
  <w:footnote w:type="continuationSeparator" w:id="1">
    <w:p w:rsidR="00C9127B" w:rsidRDefault="00C9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3F"/>
    <w:multiLevelType w:val="hybridMultilevel"/>
    <w:tmpl w:val="6FBA9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1F2"/>
    <w:multiLevelType w:val="hybridMultilevel"/>
    <w:tmpl w:val="36A6C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D28AB"/>
    <w:multiLevelType w:val="hybridMultilevel"/>
    <w:tmpl w:val="CDD4D6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13AB3"/>
    <w:multiLevelType w:val="hybridMultilevel"/>
    <w:tmpl w:val="16E0E5BE"/>
    <w:lvl w:ilvl="0" w:tplc="BA0E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45FF"/>
    <w:multiLevelType w:val="hybridMultilevel"/>
    <w:tmpl w:val="6F84A354"/>
    <w:lvl w:ilvl="0" w:tplc="3A3EC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3F44"/>
    <w:multiLevelType w:val="hybridMultilevel"/>
    <w:tmpl w:val="9D9C0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1119EF"/>
    <w:multiLevelType w:val="hybridMultilevel"/>
    <w:tmpl w:val="580C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D23CF"/>
    <w:multiLevelType w:val="hybridMultilevel"/>
    <w:tmpl w:val="EFDC4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A5987"/>
    <w:multiLevelType w:val="hybridMultilevel"/>
    <w:tmpl w:val="D7963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C0E7D"/>
    <w:multiLevelType w:val="hybridMultilevel"/>
    <w:tmpl w:val="F5C0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CFA"/>
    <w:multiLevelType w:val="hybridMultilevel"/>
    <w:tmpl w:val="A8568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7BDE"/>
    <w:multiLevelType w:val="hybridMultilevel"/>
    <w:tmpl w:val="9C54C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D4DC0"/>
    <w:multiLevelType w:val="multilevel"/>
    <w:tmpl w:val="F08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C01F8F"/>
    <w:multiLevelType w:val="hybridMultilevel"/>
    <w:tmpl w:val="AC084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6F346F"/>
    <w:multiLevelType w:val="hybridMultilevel"/>
    <w:tmpl w:val="FFB6875A"/>
    <w:lvl w:ilvl="0" w:tplc="C242D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3898"/>
    <w:multiLevelType w:val="hybridMultilevel"/>
    <w:tmpl w:val="8E00214E"/>
    <w:lvl w:ilvl="0" w:tplc="A6EEA2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B7EAA"/>
    <w:multiLevelType w:val="hybridMultilevel"/>
    <w:tmpl w:val="3DC2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81715"/>
    <w:multiLevelType w:val="hybridMultilevel"/>
    <w:tmpl w:val="51B0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17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BC1DF4"/>
    <w:rsid w:val="00002087"/>
    <w:rsid w:val="0000219C"/>
    <w:rsid w:val="0000329A"/>
    <w:rsid w:val="0000481E"/>
    <w:rsid w:val="0000756B"/>
    <w:rsid w:val="00010725"/>
    <w:rsid w:val="00014416"/>
    <w:rsid w:val="000149BF"/>
    <w:rsid w:val="00014DD9"/>
    <w:rsid w:val="00015381"/>
    <w:rsid w:val="00015FA4"/>
    <w:rsid w:val="00016A93"/>
    <w:rsid w:val="000215A2"/>
    <w:rsid w:val="0002277E"/>
    <w:rsid w:val="00022E16"/>
    <w:rsid w:val="000244BD"/>
    <w:rsid w:val="00025494"/>
    <w:rsid w:val="000265B1"/>
    <w:rsid w:val="00027266"/>
    <w:rsid w:val="00030315"/>
    <w:rsid w:val="00030E3E"/>
    <w:rsid w:val="0003110F"/>
    <w:rsid w:val="00033CB3"/>
    <w:rsid w:val="00037345"/>
    <w:rsid w:val="0004012A"/>
    <w:rsid w:val="000414F2"/>
    <w:rsid w:val="00042777"/>
    <w:rsid w:val="00042F53"/>
    <w:rsid w:val="00044062"/>
    <w:rsid w:val="00044EEF"/>
    <w:rsid w:val="00050361"/>
    <w:rsid w:val="00051608"/>
    <w:rsid w:val="00053E14"/>
    <w:rsid w:val="00056307"/>
    <w:rsid w:val="00062A06"/>
    <w:rsid w:val="000702BE"/>
    <w:rsid w:val="00074190"/>
    <w:rsid w:val="000751E0"/>
    <w:rsid w:val="000764D8"/>
    <w:rsid w:val="00077F18"/>
    <w:rsid w:val="00080306"/>
    <w:rsid w:val="000847A3"/>
    <w:rsid w:val="000854F3"/>
    <w:rsid w:val="00090386"/>
    <w:rsid w:val="0009326E"/>
    <w:rsid w:val="000936E0"/>
    <w:rsid w:val="00097CE0"/>
    <w:rsid w:val="000A3147"/>
    <w:rsid w:val="000A3435"/>
    <w:rsid w:val="000A3B30"/>
    <w:rsid w:val="000A3B5F"/>
    <w:rsid w:val="000A4599"/>
    <w:rsid w:val="000A4DBA"/>
    <w:rsid w:val="000A6134"/>
    <w:rsid w:val="000B00A6"/>
    <w:rsid w:val="000B0D4B"/>
    <w:rsid w:val="000B0FF3"/>
    <w:rsid w:val="000B178F"/>
    <w:rsid w:val="000B1EE4"/>
    <w:rsid w:val="000B4627"/>
    <w:rsid w:val="000B5683"/>
    <w:rsid w:val="000C1E61"/>
    <w:rsid w:val="000C1F3E"/>
    <w:rsid w:val="000C2099"/>
    <w:rsid w:val="000C26B7"/>
    <w:rsid w:val="000C27FD"/>
    <w:rsid w:val="000C4771"/>
    <w:rsid w:val="000C646F"/>
    <w:rsid w:val="000C6FC9"/>
    <w:rsid w:val="000C7991"/>
    <w:rsid w:val="000D3317"/>
    <w:rsid w:val="000E29C4"/>
    <w:rsid w:val="000E3ED7"/>
    <w:rsid w:val="000E41E9"/>
    <w:rsid w:val="000E5BCB"/>
    <w:rsid w:val="000F0F04"/>
    <w:rsid w:val="000F27A9"/>
    <w:rsid w:val="000F6D92"/>
    <w:rsid w:val="000F76E4"/>
    <w:rsid w:val="001019D5"/>
    <w:rsid w:val="001023EE"/>
    <w:rsid w:val="00104433"/>
    <w:rsid w:val="00112674"/>
    <w:rsid w:val="00112B21"/>
    <w:rsid w:val="00115E64"/>
    <w:rsid w:val="0011670E"/>
    <w:rsid w:val="00121465"/>
    <w:rsid w:val="0012269C"/>
    <w:rsid w:val="0012563F"/>
    <w:rsid w:val="00125DF9"/>
    <w:rsid w:val="001264C0"/>
    <w:rsid w:val="001332F1"/>
    <w:rsid w:val="00136B5E"/>
    <w:rsid w:val="00143250"/>
    <w:rsid w:val="00146E5B"/>
    <w:rsid w:val="0015074D"/>
    <w:rsid w:val="00150F61"/>
    <w:rsid w:val="00151830"/>
    <w:rsid w:val="00152CEF"/>
    <w:rsid w:val="001534EC"/>
    <w:rsid w:val="00157C36"/>
    <w:rsid w:val="001612AB"/>
    <w:rsid w:val="00164885"/>
    <w:rsid w:val="0016690B"/>
    <w:rsid w:val="0017044E"/>
    <w:rsid w:val="00171513"/>
    <w:rsid w:val="001719D3"/>
    <w:rsid w:val="001719F9"/>
    <w:rsid w:val="00171BE9"/>
    <w:rsid w:val="00171F91"/>
    <w:rsid w:val="00172E8A"/>
    <w:rsid w:val="00182A0F"/>
    <w:rsid w:val="0018467E"/>
    <w:rsid w:val="0018536B"/>
    <w:rsid w:val="00185C94"/>
    <w:rsid w:val="001861AD"/>
    <w:rsid w:val="00186BD2"/>
    <w:rsid w:val="00190DBF"/>
    <w:rsid w:val="00191C3B"/>
    <w:rsid w:val="0019296A"/>
    <w:rsid w:val="00192FB7"/>
    <w:rsid w:val="001A0514"/>
    <w:rsid w:val="001A0EAB"/>
    <w:rsid w:val="001A54DB"/>
    <w:rsid w:val="001A6875"/>
    <w:rsid w:val="001B05A8"/>
    <w:rsid w:val="001B114E"/>
    <w:rsid w:val="001B3B86"/>
    <w:rsid w:val="001B724F"/>
    <w:rsid w:val="001C22D9"/>
    <w:rsid w:val="001C4EB4"/>
    <w:rsid w:val="001C7BDC"/>
    <w:rsid w:val="001D0F3D"/>
    <w:rsid w:val="001D1CBC"/>
    <w:rsid w:val="001D225C"/>
    <w:rsid w:val="001D32D2"/>
    <w:rsid w:val="001D5CA7"/>
    <w:rsid w:val="001D7EEB"/>
    <w:rsid w:val="001E053F"/>
    <w:rsid w:val="001E1552"/>
    <w:rsid w:val="001E1E0B"/>
    <w:rsid w:val="001E2B2E"/>
    <w:rsid w:val="001E2FDD"/>
    <w:rsid w:val="001E3154"/>
    <w:rsid w:val="001E5B81"/>
    <w:rsid w:val="001F0B30"/>
    <w:rsid w:val="001F0EED"/>
    <w:rsid w:val="001F1EA0"/>
    <w:rsid w:val="001F44B5"/>
    <w:rsid w:val="001F583F"/>
    <w:rsid w:val="001F5B4B"/>
    <w:rsid w:val="0020023F"/>
    <w:rsid w:val="00202C99"/>
    <w:rsid w:val="00204374"/>
    <w:rsid w:val="002078BB"/>
    <w:rsid w:val="00207C8C"/>
    <w:rsid w:val="002107F1"/>
    <w:rsid w:val="0021161E"/>
    <w:rsid w:val="002123FE"/>
    <w:rsid w:val="00213C28"/>
    <w:rsid w:val="00217C04"/>
    <w:rsid w:val="00222503"/>
    <w:rsid w:val="0022493F"/>
    <w:rsid w:val="00225D6F"/>
    <w:rsid w:val="002274EF"/>
    <w:rsid w:val="00227FF4"/>
    <w:rsid w:val="00232016"/>
    <w:rsid w:val="002336AE"/>
    <w:rsid w:val="002337E8"/>
    <w:rsid w:val="002377AB"/>
    <w:rsid w:val="002405B2"/>
    <w:rsid w:val="00244408"/>
    <w:rsid w:val="00244ADB"/>
    <w:rsid w:val="0024541B"/>
    <w:rsid w:val="00246D6A"/>
    <w:rsid w:val="00246F91"/>
    <w:rsid w:val="002479F5"/>
    <w:rsid w:val="00250514"/>
    <w:rsid w:val="00252C1E"/>
    <w:rsid w:val="0025377F"/>
    <w:rsid w:val="00256270"/>
    <w:rsid w:val="00264158"/>
    <w:rsid w:val="002720C2"/>
    <w:rsid w:val="002757FE"/>
    <w:rsid w:val="00277F11"/>
    <w:rsid w:val="002806D4"/>
    <w:rsid w:val="0028108C"/>
    <w:rsid w:val="0028299B"/>
    <w:rsid w:val="00282B9A"/>
    <w:rsid w:val="00284459"/>
    <w:rsid w:val="00286B18"/>
    <w:rsid w:val="002902AF"/>
    <w:rsid w:val="00291B4A"/>
    <w:rsid w:val="0029239B"/>
    <w:rsid w:val="0029362B"/>
    <w:rsid w:val="00297217"/>
    <w:rsid w:val="00297818"/>
    <w:rsid w:val="002A05A1"/>
    <w:rsid w:val="002A0983"/>
    <w:rsid w:val="002A1295"/>
    <w:rsid w:val="002A64A7"/>
    <w:rsid w:val="002A6E9D"/>
    <w:rsid w:val="002A7736"/>
    <w:rsid w:val="002B1493"/>
    <w:rsid w:val="002B26D7"/>
    <w:rsid w:val="002B3E89"/>
    <w:rsid w:val="002B4579"/>
    <w:rsid w:val="002B461E"/>
    <w:rsid w:val="002B491F"/>
    <w:rsid w:val="002B4D30"/>
    <w:rsid w:val="002B6906"/>
    <w:rsid w:val="002B6BDD"/>
    <w:rsid w:val="002B6F24"/>
    <w:rsid w:val="002C009A"/>
    <w:rsid w:val="002C3478"/>
    <w:rsid w:val="002C435F"/>
    <w:rsid w:val="002C43EA"/>
    <w:rsid w:val="002C4EC3"/>
    <w:rsid w:val="002C55AE"/>
    <w:rsid w:val="002D0E17"/>
    <w:rsid w:val="002D13C3"/>
    <w:rsid w:val="002D16D8"/>
    <w:rsid w:val="002D208F"/>
    <w:rsid w:val="002D3E5C"/>
    <w:rsid w:val="002D477A"/>
    <w:rsid w:val="002D79E7"/>
    <w:rsid w:val="002E101F"/>
    <w:rsid w:val="002E2E95"/>
    <w:rsid w:val="002E4784"/>
    <w:rsid w:val="002E4E66"/>
    <w:rsid w:val="002E4F15"/>
    <w:rsid w:val="002E63C4"/>
    <w:rsid w:val="002E66BD"/>
    <w:rsid w:val="002E7EA4"/>
    <w:rsid w:val="002F1115"/>
    <w:rsid w:val="002F2004"/>
    <w:rsid w:val="002F2889"/>
    <w:rsid w:val="002F32D4"/>
    <w:rsid w:val="002F4912"/>
    <w:rsid w:val="002F59ED"/>
    <w:rsid w:val="002F68CB"/>
    <w:rsid w:val="003026F8"/>
    <w:rsid w:val="00302764"/>
    <w:rsid w:val="00302C76"/>
    <w:rsid w:val="00305325"/>
    <w:rsid w:val="00305CBE"/>
    <w:rsid w:val="00312D4A"/>
    <w:rsid w:val="00315C07"/>
    <w:rsid w:val="00317E2A"/>
    <w:rsid w:val="00320D88"/>
    <w:rsid w:val="003227F6"/>
    <w:rsid w:val="00322977"/>
    <w:rsid w:val="00322C4E"/>
    <w:rsid w:val="00324D4D"/>
    <w:rsid w:val="00325217"/>
    <w:rsid w:val="00325E11"/>
    <w:rsid w:val="00326B4D"/>
    <w:rsid w:val="00330D3C"/>
    <w:rsid w:val="00330DD4"/>
    <w:rsid w:val="00330F76"/>
    <w:rsid w:val="0033163F"/>
    <w:rsid w:val="00332B22"/>
    <w:rsid w:val="00333001"/>
    <w:rsid w:val="00333902"/>
    <w:rsid w:val="00345891"/>
    <w:rsid w:val="003460F8"/>
    <w:rsid w:val="003479DA"/>
    <w:rsid w:val="003526D2"/>
    <w:rsid w:val="003614DE"/>
    <w:rsid w:val="003616D7"/>
    <w:rsid w:val="00363717"/>
    <w:rsid w:val="003658BF"/>
    <w:rsid w:val="00365B9F"/>
    <w:rsid w:val="0037110D"/>
    <w:rsid w:val="00372037"/>
    <w:rsid w:val="00372416"/>
    <w:rsid w:val="00373342"/>
    <w:rsid w:val="0037525D"/>
    <w:rsid w:val="00376F7D"/>
    <w:rsid w:val="00377C28"/>
    <w:rsid w:val="00380880"/>
    <w:rsid w:val="00380E8F"/>
    <w:rsid w:val="0038317C"/>
    <w:rsid w:val="00383627"/>
    <w:rsid w:val="00383854"/>
    <w:rsid w:val="00384F5E"/>
    <w:rsid w:val="003850E9"/>
    <w:rsid w:val="00391963"/>
    <w:rsid w:val="00393475"/>
    <w:rsid w:val="00394A3D"/>
    <w:rsid w:val="0039571D"/>
    <w:rsid w:val="00395926"/>
    <w:rsid w:val="00395C32"/>
    <w:rsid w:val="00396280"/>
    <w:rsid w:val="003A1196"/>
    <w:rsid w:val="003A1EC2"/>
    <w:rsid w:val="003A227C"/>
    <w:rsid w:val="003A22CB"/>
    <w:rsid w:val="003A6723"/>
    <w:rsid w:val="003A67B3"/>
    <w:rsid w:val="003A7C0B"/>
    <w:rsid w:val="003B2DD0"/>
    <w:rsid w:val="003B3025"/>
    <w:rsid w:val="003B3399"/>
    <w:rsid w:val="003C022C"/>
    <w:rsid w:val="003C3FCF"/>
    <w:rsid w:val="003C4ADD"/>
    <w:rsid w:val="003C6A9C"/>
    <w:rsid w:val="003C7E31"/>
    <w:rsid w:val="003D00E4"/>
    <w:rsid w:val="003D28BD"/>
    <w:rsid w:val="003D5139"/>
    <w:rsid w:val="003D5FD9"/>
    <w:rsid w:val="003D6D1E"/>
    <w:rsid w:val="003E2FDF"/>
    <w:rsid w:val="003F2406"/>
    <w:rsid w:val="003F62A0"/>
    <w:rsid w:val="0040065C"/>
    <w:rsid w:val="0040276F"/>
    <w:rsid w:val="004033F4"/>
    <w:rsid w:val="00403B01"/>
    <w:rsid w:val="00404F0C"/>
    <w:rsid w:val="0041287E"/>
    <w:rsid w:val="0041299C"/>
    <w:rsid w:val="0041465A"/>
    <w:rsid w:val="00414C67"/>
    <w:rsid w:val="00417A4E"/>
    <w:rsid w:val="00421966"/>
    <w:rsid w:val="004225D1"/>
    <w:rsid w:val="00422F0E"/>
    <w:rsid w:val="004268AE"/>
    <w:rsid w:val="00433B01"/>
    <w:rsid w:val="00433F24"/>
    <w:rsid w:val="004343F2"/>
    <w:rsid w:val="00434436"/>
    <w:rsid w:val="00434F8A"/>
    <w:rsid w:val="00435365"/>
    <w:rsid w:val="0044116C"/>
    <w:rsid w:val="0044406E"/>
    <w:rsid w:val="00444F16"/>
    <w:rsid w:val="0044519B"/>
    <w:rsid w:val="004465B8"/>
    <w:rsid w:val="00447160"/>
    <w:rsid w:val="004475DF"/>
    <w:rsid w:val="00447AB4"/>
    <w:rsid w:val="0045033A"/>
    <w:rsid w:val="004504DB"/>
    <w:rsid w:val="00451CFC"/>
    <w:rsid w:val="004527A8"/>
    <w:rsid w:val="00454850"/>
    <w:rsid w:val="004548A4"/>
    <w:rsid w:val="004557A4"/>
    <w:rsid w:val="00455B33"/>
    <w:rsid w:val="00460BA5"/>
    <w:rsid w:val="00461566"/>
    <w:rsid w:val="004633A2"/>
    <w:rsid w:val="00464713"/>
    <w:rsid w:val="00464A4C"/>
    <w:rsid w:val="004671F7"/>
    <w:rsid w:val="00467211"/>
    <w:rsid w:val="004714E5"/>
    <w:rsid w:val="00473644"/>
    <w:rsid w:val="00473D7C"/>
    <w:rsid w:val="0047605F"/>
    <w:rsid w:val="0047675C"/>
    <w:rsid w:val="00481B3A"/>
    <w:rsid w:val="004852ED"/>
    <w:rsid w:val="004877CE"/>
    <w:rsid w:val="00490150"/>
    <w:rsid w:val="00492777"/>
    <w:rsid w:val="00494474"/>
    <w:rsid w:val="00495983"/>
    <w:rsid w:val="0049641D"/>
    <w:rsid w:val="0049694D"/>
    <w:rsid w:val="00497201"/>
    <w:rsid w:val="004974B5"/>
    <w:rsid w:val="004977C2"/>
    <w:rsid w:val="004A097F"/>
    <w:rsid w:val="004A0EAB"/>
    <w:rsid w:val="004A25EE"/>
    <w:rsid w:val="004A4A67"/>
    <w:rsid w:val="004B0F5C"/>
    <w:rsid w:val="004B25B3"/>
    <w:rsid w:val="004B2760"/>
    <w:rsid w:val="004B51A2"/>
    <w:rsid w:val="004B5575"/>
    <w:rsid w:val="004B6C4E"/>
    <w:rsid w:val="004B794E"/>
    <w:rsid w:val="004C14FC"/>
    <w:rsid w:val="004C17D9"/>
    <w:rsid w:val="004C2A48"/>
    <w:rsid w:val="004C33D3"/>
    <w:rsid w:val="004C374A"/>
    <w:rsid w:val="004C46BF"/>
    <w:rsid w:val="004C4E94"/>
    <w:rsid w:val="004D45D4"/>
    <w:rsid w:val="004D5541"/>
    <w:rsid w:val="004D5F43"/>
    <w:rsid w:val="004E1DF3"/>
    <w:rsid w:val="004E2D62"/>
    <w:rsid w:val="004E3B9A"/>
    <w:rsid w:val="004E494D"/>
    <w:rsid w:val="004E6116"/>
    <w:rsid w:val="004E6F1A"/>
    <w:rsid w:val="004F08CA"/>
    <w:rsid w:val="004F34CC"/>
    <w:rsid w:val="004F4B00"/>
    <w:rsid w:val="004F6026"/>
    <w:rsid w:val="004F651C"/>
    <w:rsid w:val="00501BAB"/>
    <w:rsid w:val="00502656"/>
    <w:rsid w:val="00502A36"/>
    <w:rsid w:val="00503A30"/>
    <w:rsid w:val="005041F6"/>
    <w:rsid w:val="00510B45"/>
    <w:rsid w:val="00512389"/>
    <w:rsid w:val="00514010"/>
    <w:rsid w:val="005171B5"/>
    <w:rsid w:val="00520B96"/>
    <w:rsid w:val="00522A69"/>
    <w:rsid w:val="00523628"/>
    <w:rsid w:val="00523AB0"/>
    <w:rsid w:val="00530D1B"/>
    <w:rsid w:val="0053593D"/>
    <w:rsid w:val="00535C52"/>
    <w:rsid w:val="005419F5"/>
    <w:rsid w:val="00541B2E"/>
    <w:rsid w:val="00542950"/>
    <w:rsid w:val="00544E3F"/>
    <w:rsid w:val="00545801"/>
    <w:rsid w:val="00546DBB"/>
    <w:rsid w:val="005475BC"/>
    <w:rsid w:val="00551058"/>
    <w:rsid w:val="0055213D"/>
    <w:rsid w:val="00553D46"/>
    <w:rsid w:val="0055490E"/>
    <w:rsid w:val="005561C3"/>
    <w:rsid w:val="005606E0"/>
    <w:rsid w:val="00560894"/>
    <w:rsid w:val="00563E25"/>
    <w:rsid w:val="00563F37"/>
    <w:rsid w:val="0056772D"/>
    <w:rsid w:val="00576D1E"/>
    <w:rsid w:val="00576FD6"/>
    <w:rsid w:val="005826AA"/>
    <w:rsid w:val="00584859"/>
    <w:rsid w:val="00585010"/>
    <w:rsid w:val="00587789"/>
    <w:rsid w:val="00587992"/>
    <w:rsid w:val="005924B8"/>
    <w:rsid w:val="0059450B"/>
    <w:rsid w:val="005960FD"/>
    <w:rsid w:val="005969D5"/>
    <w:rsid w:val="005A0B2B"/>
    <w:rsid w:val="005A1668"/>
    <w:rsid w:val="005A1D1C"/>
    <w:rsid w:val="005A3E71"/>
    <w:rsid w:val="005A590D"/>
    <w:rsid w:val="005A6508"/>
    <w:rsid w:val="005B3931"/>
    <w:rsid w:val="005B4B6D"/>
    <w:rsid w:val="005B7A59"/>
    <w:rsid w:val="005C0B33"/>
    <w:rsid w:val="005C0BA8"/>
    <w:rsid w:val="005C15C2"/>
    <w:rsid w:val="005C303C"/>
    <w:rsid w:val="005C3A01"/>
    <w:rsid w:val="005C3ED7"/>
    <w:rsid w:val="005C4301"/>
    <w:rsid w:val="005C745E"/>
    <w:rsid w:val="005C7641"/>
    <w:rsid w:val="005C7C7D"/>
    <w:rsid w:val="005D18CE"/>
    <w:rsid w:val="005D2DA6"/>
    <w:rsid w:val="005D37C7"/>
    <w:rsid w:val="005D5D64"/>
    <w:rsid w:val="005D7ACF"/>
    <w:rsid w:val="005E0ECA"/>
    <w:rsid w:val="005E2420"/>
    <w:rsid w:val="005E3640"/>
    <w:rsid w:val="005E400E"/>
    <w:rsid w:val="005E63FE"/>
    <w:rsid w:val="005E7A1F"/>
    <w:rsid w:val="005F039B"/>
    <w:rsid w:val="005F092D"/>
    <w:rsid w:val="005F21F2"/>
    <w:rsid w:val="005F77BC"/>
    <w:rsid w:val="00600306"/>
    <w:rsid w:val="0060580B"/>
    <w:rsid w:val="0061156D"/>
    <w:rsid w:val="00614B6A"/>
    <w:rsid w:val="006175B2"/>
    <w:rsid w:val="006175C3"/>
    <w:rsid w:val="006222F6"/>
    <w:rsid w:val="00622554"/>
    <w:rsid w:val="006246B8"/>
    <w:rsid w:val="00624752"/>
    <w:rsid w:val="0062606E"/>
    <w:rsid w:val="006272E8"/>
    <w:rsid w:val="006301E1"/>
    <w:rsid w:val="00631FFD"/>
    <w:rsid w:val="00632E17"/>
    <w:rsid w:val="006346C9"/>
    <w:rsid w:val="00640AA2"/>
    <w:rsid w:val="006420E1"/>
    <w:rsid w:val="0064353A"/>
    <w:rsid w:val="00645B6C"/>
    <w:rsid w:val="00646E69"/>
    <w:rsid w:val="00647295"/>
    <w:rsid w:val="0065183A"/>
    <w:rsid w:val="0065201B"/>
    <w:rsid w:val="0065204D"/>
    <w:rsid w:val="00652384"/>
    <w:rsid w:val="006553CF"/>
    <w:rsid w:val="0065595A"/>
    <w:rsid w:val="00655E95"/>
    <w:rsid w:val="00656359"/>
    <w:rsid w:val="00660864"/>
    <w:rsid w:val="00661A34"/>
    <w:rsid w:val="00662090"/>
    <w:rsid w:val="00662B0B"/>
    <w:rsid w:val="00662E10"/>
    <w:rsid w:val="00664B80"/>
    <w:rsid w:val="00665201"/>
    <w:rsid w:val="00667AFA"/>
    <w:rsid w:val="00671BDA"/>
    <w:rsid w:val="00673282"/>
    <w:rsid w:val="00676890"/>
    <w:rsid w:val="00676CA2"/>
    <w:rsid w:val="0067739A"/>
    <w:rsid w:val="006800DF"/>
    <w:rsid w:val="00680605"/>
    <w:rsid w:val="00683296"/>
    <w:rsid w:val="00684411"/>
    <w:rsid w:val="0068582D"/>
    <w:rsid w:val="006868F5"/>
    <w:rsid w:val="0068717D"/>
    <w:rsid w:val="00691FD4"/>
    <w:rsid w:val="00695FF6"/>
    <w:rsid w:val="006A046A"/>
    <w:rsid w:val="006A04DC"/>
    <w:rsid w:val="006A0C4B"/>
    <w:rsid w:val="006A42BE"/>
    <w:rsid w:val="006A48C8"/>
    <w:rsid w:val="006A4D37"/>
    <w:rsid w:val="006A50C1"/>
    <w:rsid w:val="006A7064"/>
    <w:rsid w:val="006B1B1F"/>
    <w:rsid w:val="006B2EF2"/>
    <w:rsid w:val="006B436F"/>
    <w:rsid w:val="006B499B"/>
    <w:rsid w:val="006B6251"/>
    <w:rsid w:val="006C208A"/>
    <w:rsid w:val="006C413A"/>
    <w:rsid w:val="006D09A9"/>
    <w:rsid w:val="006D138E"/>
    <w:rsid w:val="006D284B"/>
    <w:rsid w:val="006D37D5"/>
    <w:rsid w:val="006D641C"/>
    <w:rsid w:val="006D64ED"/>
    <w:rsid w:val="006D6999"/>
    <w:rsid w:val="006D69BF"/>
    <w:rsid w:val="006E15B8"/>
    <w:rsid w:val="006E23F8"/>
    <w:rsid w:val="006E30A8"/>
    <w:rsid w:val="006E3EE0"/>
    <w:rsid w:val="006E51B3"/>
    <w:rsid w:val="006E5825"/>
    <w:rsid w:val="006E6B0F"/>
    <w:rsid w:val="006F03EA"/>
    <w:rsid w:val="006F17C1"/>
    <w:rsid w:val="006F2324"/>
    <w:rsid w:val="006F385D"/>
    <w:rsid w:val="006F43E4"/>
    <w:rsid w:val="006F6C3C"/>
    <w:rsid w:val="007000C2"/>
    <w:rsid w:val="00700F4A"/>
    <w:rsid w:val="0070462C"/>
    <w:rsid w:val="00706D0C"/>
    <w:rsid w:val="00707A47"/>
    <w:rsid w:val="007114CD"/>
    <w:rsid w:val="00714791"/>
    <w:rsid w:val="0071584F"/>
    <w:rsid w:val="00717E0A"/>
    <w:rsid w:val="00720648"/>
    <w:rsid w:val="00722B56"/>
    <w:rsid w:val="0072336F"/>
    <w:rsid w:val="007243CB"/>
    <w:rsid w:val="00724582"/>
    <w:rsid w:val="0072508E"/>
    <w:rsid w:val="00726A50"/>
    <w:rsid w:val="00726C66"/>
    <w:rsid w:val="007275BA"/>
    <w:rsid w:val="007328C0"/>
    <w:rsid w:val="00732B65"/>
    <w:rsid w:val="00740AE2"/>
    <w:rsid w:val="0074108E"/>
    <w:rsid w:val="007410FC"/>
    <w:rsid w:val="00741440"/>
    <w:rsid w:val="00742994"/>
    <w:rsid w:val="0074565B"/>
    <w:rsid w:val="00745A63"/>
    <w:rsid w:val="00754AA4"/>
    <w:rsid w:val="00755FD2"/>
    <w:rsid w:val="007623CD"/>
    <w:rsid w:val="00762BD6"/>
    <w:rsid w:val="00763E2F"/>
    <w:rsid w:val="00764154"/>
    <w:rsid w:val="007657E7"/>
    <w:rsid w:val="0076690C"/>
    <w:rsid w:val="007669D6"/>
    <w:rsid w:val="00772119"/>
    <w:rsid w:val="00774CEB"/>
    <w:rsid w:val="00777EFD"/>
    <w:rsid w:val="007805E4"/>
    <w:rsid w:val="007810F4"/>
    <w:rsid w:val="0078235D"/>
    <w:rsid w:val="00791028"/>
    <w:rsid w:val="007919D2"/>
    <w:rsid w:val="007A0C8D"/>
    <w:rsid w:val="007A3A69"/>
    <w:rsid w:val="007A46FF"/>
    <w:rsid w:val="007B0F7C"/>
    <w:rsid w:val="007B2AFA"/>
    <w:rsid w:val="007B4631"/>
    <w:rsid w:val="007B5D05"/>
    <w:rsid w:val="007B7159"/>
    <w:rsid w:val="007B7C93"/>
    <w:rsid w:val="007C0034"/>
    <w:rsid w:val="007C0280"/>
    <w:rsid w:val="007C5E0A"/>
    <w:rsid w:val="007C6B20"/>
    <w:rsid w:val="007C6B29"/>
    <w:rsid w:val="007D1484"/>
    <w:rsid w:val="007D1821"/>
    <w:rsid w:val="007D4088"/>
    <w:rsid w:val="007D4616"/>
    <w:rsid w:val="007D478D"/>
    <w:rsid w:val="007D5213"/>
    <w:rsid w:val="007D6C08"/>
    <w:rsid w:val="007D719B"/>
    <w:rsid w:val="007D7A65"/>
    <w:rsid w:val="007E2BC9"/>
    <w:rsid w:val="007E3126"/>
    <w:rsid w:val="007E3CDD"/>
    <w:rsid w:val="007E3E1D"/>
    <w:rsid w:val="007E44D5"/>
    <w:rsid w:val="007E778C"/>
    <w:rsid w:val="007F16E1"/>
    <w:rsid w:val="007F1BAF"/>
    <w:rsid w:val="007F323C"/>
    <w:rsid w:val="007F352C"/>
    <w:rsid w:val="007F356B"/>
    <w:rsid w:val="007F38A0"/>
    <w:rsid w:val="007F4250"/>
    <w:rsid w:val="007F5E48"/>
    <w:rsid w:val="007F7064"/>
    <w:rsid w:val="007F7694"/>
    <w:rsid w:val="007F7ECD"/>
    <w:rsid w:val="00800D3C"/>
    <w:rsid w:val="008010D0"/>
    <w:rsid w:val="00803193"/>
    <w:rsid w:val="00803B55"/>
    <w:rsid w:val="008049E8"/>
    <w:rsid w:val="00804B85"/>
    <w:rsid w:val="00805C78"/>
    <w:rsid w:val="008062DC"/>
    <w:rsid w:val="00810B31"/>
    <w:rsid w:val="00810D75"/>
    <w:rsid w:val="00812409"/>
    <w:rsid w:val="0081358E"/>
    <w:rsid w:val="00813AA9"/>
    <w:rsid w:val="00814607"/>
    <w:rsid w:val="008164C5"/>
    <w:rsid w:val="0081707B"/>
    <w:rsid w:val="008208C4"/>
    <w:rsid w:val="00820A63"/>
    <w:rsid w:val="00821778"/>
    <w:rsid w:val="00824053"/>
    <w:rsid w:val="008254C0"/>
    <w:rsid w:val="0082729C"/>
    <w:rsid w:val="00827B14"/>
    <w:rsid w:val="00834942"/>
    <w:rsid w:val="008363F9"/>
    <w:rsid w:val="00840C36"/>
    <w:rsid w:val="00841125"/>
    <w:rsid w:val="0084235D"/>
    <w:rsid w:val="00842B0C"/>
    <w:rsid w:val="008449E6"/>
    <w:rsid w:val="008468ED"/>
    <w:rsid w:val="00846AF3"/>
    <w:rsid w:val="00846B3A"/>
    <w:rsid w:val="00851D72"/>
    <w:rsid w:val="00851DF8"/>
    <w:rsid w:val="0085279C"/>
    <w:rsid w:val="00855C4B"/>
    <w:rsid w:val="00856349"/>
    <w:rsid w:val="00856537"/>
    <w:rsid w:val="00856EB0"/>
    <w:rsid w:val="0085762E"/>
    <w:rsid w:val="00860E57"/>
    <w:rsid w:val="00861EDC"/>
    <w:rsid w:val="00863776"/>
    <w:rsid w:val="00864360"/>
    <w:rsid w:val="00865051"/>
    <w:rsid w:val="0086537E"/>
    <w:rsid w:val="00874C95"/>
    <w:rsid w:val="00880E0F"/>
    <w:rsid w:val="0088105A"/>
    <w:rsid w:val="0088304C"/>
    <w:rsid w:val="0088378C"/>
    <w:rsid w:val="008859D4"/>
    <w:rsid w:val="008868CF"/>
    <w:rsid w:val="00890C22"/>
    <w:rsid w:val="00891920"/>
    <w:rsid w:val="00891F25"/>
    <w:rsid w:val="008923F9"/>
    <w:rsid w:val="00894045"/>
    <w:rsid w:val="00895F6B"/>
    <w:rsid w:val="008962C0"/>
    <w:rsid w:val="0089679F"/>
    <w:rsid w:val="0089761A"/>
    <w:rsid w:val="008A0F94"/>
    <w:rsid w:val="008A49DB"/>
    <w:rsid w:val="008A7867"/>
    <w:rsid w:val="008A7D99"/>
    <w:rsid w:val="008B1E0C"/>
    <w:rsid w:val="008B2ADA"/>
    <w:rsid w:val="008B2BF2"/>
    <w:rsid w:val="008B65D5"/>
    <w:rsid w:val="008B6F3B"/>
    <w:rsid w:val="008B7559"/>
    <w:rsid w:val="008B777E"/>
    <w:rsid w:val="008C0895"/>
    <w:rsid w:val="008C18F8"/>
    <w:rsid w:val="008C268D"/>
    <w:rsid w:val="008C4B89"/>
    <w:rsid w:val="008D0F92"/>
    <w:rsid w:val="008D1296"/>
    <w:rsid w:val="008D1428"/>
    <w:rsid w:val="008D2A81"/>
    <w:rsid w:val="008D40AD"/>
    <w:rsid w:val="008D7D40"/>
    <w:rsid w:val="008E0846"/>
    <w:rsid w:val="008E5395"/>
    <w:rsid w:val="008E6566"/>
    <w:rsid w:val="008E6D2D"/>
    <w:rsid w:val="008E7D1D"/>
    <w:rsid w:val="008F1086"/>
    <w:rsid w:val="008F1189"/>
    <w:rsid w:val="008F1E86"/>
    <w:rsid w:val="008F4ECB"/>
    <w:rsid w:val="008F7E11"/>
    <w:rsid w:val="00900787"/>
    <w:rsid w:val="00901CED"/>
    <w:rsid w:val="00902F18"/>
    <w:rsid w:val="009051B8"/>
    <w:rsid w:val="0091049C"/>
    <w:rsid w:val="00910D83"/>
    <w:rsid w:val="00912BE2"/>
    <w:rsid w:val="00914624"/>
    <w:rsid w:val="00914E7C"/>
    <w:rsid w:val="0091502A"/>
    <w:rsid w:val="00916D33"/>
    <w:rsid w:val="0091701B"/>
    <w:rsid w:val="009177D4"/>
    <w:rsid w:val="0091786E"/>
    <w:rsid w:val="00917B0F"/>
    <w:rsid w:val="00921CF0"/>
    <w:rsid w:val="00921EF3"/>
    <w:rsid w:val="00923BF6"/>
    <w:rsid w:val="00926168"/>
    <w:rsid w:val="00926A00"/>
    <w:rsid w:val="00930490"/>
    <w:rsid w:val="00930A07"/>
    <w:rsid w:val="00930FAE"/>
    <w:rsid w:val="009322CA"/>
    <w:rsid w:val="00937AC4"/>
    <w:rsid w:val="00937CEC"/>
    <w:rsid w:val="00937F52"/>
    <w:rsid w:val="00937FEE"/>
    <w:rsid w:val="00943563"/>
    <w:rsid w:val="0094547C"/>
    <w:rsid w:val="009456F6"/>
    <w:rsid w:val="00947FE2"/>
    <w:rsid w:val="009505CA"/>
    <w:rsid w:val="00953132"/>
    <w:rsid w:val="009549DB"/>
    <w:rsid w:val="00956566"/>
    <w:rsid w:val="009607B9"/>
    <w:rsid w:val="00960B19"/>
    <w:rsid w:val="00961639"/>
    <w:rsid w:val="00962DE6"/>
    <w:rsid w:val="009641E5"/>
    <w:rsid w:val="0096617D"/>
    <w:rsid w:val="00967303"/>
    <w:rsid w:val="00967586"/>
    <w:rsid w:val="00967599"/>
    <w:rsid w:val="00970677"/>
    <w:rsid w:val="009707AA"/>
    <w:rsid w:val="00972DD8"/>
    <w:rsid w:val="00972F58"/>
    <w:rsid w:val="00973AD2"/>
    <w:rsid w:val="00975324"/>
    <w:rsid w:val="009757B8"/>
    <w:rsid w:val="0097722F"/>
    <w:rsid w:val="00981818"/>
    <w:rsid w:val="00982042"/>
    <w:rsid w:val="00984D23"/>
    <w:rsid w:val="00985EAC"/>
    <w:rsid w:val="00987FCD"/>
    <w:rsid w:val="00991147"/>
    <w:rsid w:val="009947F3"/>
    <w:rsid w:val="00995EA7"/>
    <w:rsid w:val="0099708D"/>
    <w:rsid w:val="00997463"/>
    <w:rsid w:val="00997C35"/>
    <w:rsid w:val="009A1531"/>
    <w:rsid w:val="009A26D0"/>
    <w:rsid w:val="009A2CBE"/>
    <w:rsid w:val="009A4536"/>
    <w:rsid w:val="009A5FA4"/>
    <w:rsid w:val="009B04FA"/>
    <w:rsid w:val="009B1700"/>
    <w:rsid w:val="009B5503"/>
    <w:rsid w:val="009B691C"/>
    <w:rsid w:val="009C33AE"/>
    <w:rsid w:val="009C6060"/>
    <w:rsid w:val="009C7DD5"/>
    <w:rsid w:val="009D18C8"/>
    <w:rsid w:val="009D20E6"/>
    <w:rsid w:val="009D28B1"/>
    <w:rsid w:val="009D35F0"/>
    <w:rsid w:val="009D4C48"/>
    <w:rsid w:val="009D502B"/>
    <w:rsid w:val="009D6E34"/>
    <w:rsid w:val="009D6F7A"/>
    <w:rsid w:val="009E018E"/>
    <w:rsid w:val="009E1F7B"/>
    <w:rsid w:val="009E2267"/>
    <w:rsid w:val="009E52ED"/>
    <w:rsid w:val="009F1173"/>
    <w:rsid w:val="009F46EE"/>
    <w:rsid w:val="009F6E41"/>
    <w:rsid w:val="009F741A"/>
    <w:rsid w:val="00A01924"/>
    <w:rsid w:val="00A01B3D"/>
    <w:rsid w:val="00A01DC5"/>
    <w:rsid w:val="00A0374B"/>
    <w:rsid w:val="00A04D71"/>
    <w:rsid w:val="00A05641"/>
    <w:rsid w:val="00A06B19"/>
    <w:rsid w:val="00A1093F"/>
    <w:rsid w:val="00A11BE1"/>
    <w:rsid w:val="00A14A01"/>
    <w:rsid w:val="00A17C7D"/>
    <w:rsid w:val="00A20837"/>
    <w:rsid w:val="00A20B18"/>
    <w:rsid w:val="00A2359B"/>
    <w:rsid w:val="00A23FB4"/>
    <w:rsid w:val="00A24D2A"/>
    <w:rsid w:val="00A274D0"/>
    <w:rsid w:val="00A27B61"/>
    <w:rsid w:val="00A3023B"/>
    <w:rsid w:val="00A30388"/>
    <w:rsid w:val="00A334E8"/>
    <w:rsid w:val="00A34964"/>
    <w:rsid w:val="00A34AAC"/>
    <w:rsid w:val="00A41A3A"/>
    <w:rsid w:val="00A41F64"/>
    <w:rsid w:val="00A426F1"/>
    <w:rsid w:val="00A42E47"/>
    <w:rsid w:val="00A4621C"/>
    <w:rsid w:val="00A46397"/>
    <w:rsid w:val="00A47649"/>
    <w:rsid w:val="00A504EC"/>
    <w:rsid w:val="00A5376B"/>
    <w:rsid w:val="00A537B5"/>
    <w:rsid w:val="00A53D93"/>
    <w:rsid w:val="00A54D11"/>
    <w:rsid w:val="00A54D23"/>
    <w:rsid w:val="00A55F06"/>
    <w:rsid w:val="00A5768D"/>
    <w:rsid w:val="00A624FA"/>
    <w:rsid w:val="00A63877"/>
    <w:rsid w:val="00A63BF3"/>
    <w:rsid w:val="00A642ED"/>
    <w:rsid w:val="00A6474C"/>
    <w:rsid w:val="00A664F6"/>
    <w:rsid w:val="00A6659C"/>
    <w:rsid w:val="00A72A02"/>
    <w:rsid w:val="00A74534"/>
    <w:rsid w:val="00A752A8"/>
    <w:rsid w:val="00A779B7"/>
    <w:rsid w:val="00A77CA5"/>
    <w:rsid w:val="00A807CA"/>
    <w:rsid w:val="00A8355F"/>
    <w:rsid w:val="00A84C9C"/>
    <w:rsid w:val="00A85364"/>
    <w:rsid w:val="00A86C0D"/>
    <w:rsid w:val="00A87EDC"/>
    <w:rsid w:val="00A93D2D"/>
    <w:rsid w:val="00A943D5"/>
    <w:rsid w:val="00A961DF"/>
    <w:rsid w:val="00AA06EC"/>
    <w:rsid w:val="00AA0925"/>
    <w:rsid w:val="00AA0CD5"/>
    <w:rsid w:val="00AA42AF"/>
    <w:rsid w:val="00AA58B2"/>
    <w:rsid w:val="00AB2A21"/>
    <w:rsid w:val="00AB428F"/>
    <w:rsid w:val="00AB4771"/>
    <w:rsid w:val="00AB5F4A"/>
    <w:rsid w:val="00AB6578"/>
    <w:rsid w:val="00AB6C73"/>
    <w:rsid w:val="00AB6ED5"/>
    <w:rsid w:val="00AB7C3C"/>
    <w:rsid w:val="00AB7F31"/>
    <w:rsid w:val="00AC16F6"/>
    <w:rsid w:val="00AC23F7"/>
    <w:rsid w:val="00AC3512"/>
    <w:rsid w:val="00AC3F26"/>
    <w:rsid w:val="00AC4A7F"/>
    <w:rsid w:val="00AC4DAA"/>
    <w:rsid w:val="00AD0D60"/>
    <w:rsid w:val="00AD0D70"/>
    <w:rsid w:val="00AD3FE4"/>
    <w:rsid w:val="00AD7AF9"/>
    <w:rsid w:val="00AE1466"/>
    <w:rsid w:val="00AE2551"/>
    <w:rsid w:val="00AE2BFD"/>
    <w:rsid w:val="00AE57BD"/>
    <w:rsid w:val="00AE6F3F"/>
    <w:rsid w:val="00AF209F"/>
    <w:rsid w:val="00AF2E22"/>
    <w:rsid w:val="00AF36AE"/>
    <w:rsid w:val="00AF5E7F"/>
    <w:rsid w:val="00AF737C"/>
    <w:rsid w:val="00B00EB8"/>
    <w:rsid w:val="00B0266C"/>
    <w:rsid w:val="00B04782"/>
    <w:rsid w:val="00B07900"/>
    <w:rsid w:val="00B07B64"/>
    <w:rsid w:val="00B10078"/>
    <w:rsid w:val="00B1040A"/>
    <w:rsid w:val="00B104B9"/>
    <w:rsid w:val="00B130AB"/>
    <w:rsid w:val="00B17BF2"/>
    <w:rsid w:val="00B17ECA"/>
    <w:rsid w:val="00B306EF"/>
    <w:rsid w:val="00B30802"/>
    <w:rsid w:val="00B32191"/>
    <w:rsid w:val="00B322F1"/>
    <w:rsid w:val="00B33749"/>
    <w:rsid w:val="00B3587D"/>
    <w:rsid w:val="00B36E29"/>
    <w:rsid w:val="00B37F01"/>
    <w:rsid w:val="00B40D83"/>
    <w:rsid w:val="00B41BF2"/>
    <w:rsid w:val="00B42707"/>
    <w:rsid w:val="00B447D9"/>
    <w:rsid w:val="00B47E22"/>
    <w:rsid w:val="00B47F0C"/>
    <w:rsid w:val="00B50EE2"/>
    <w:rsid w:val="00B57E54"/>
    <w:rsid w:val="00B6049D"/>
    <w:rsid w:val="00B61B2B"/>
    <w:rsid w:val="00B622A2"/>
    <w:rsid w:val="00B62631"/>
    <w:rsid w:val="00B63331"/>
    <w:rsid w:val="00B638CD"/>
    <w:rsid w:val="00B66B9C"/>
    <w:rsid w:val="00B708DC"/>
    <w:rsid w:val="00B72729"/>
    <w:rsid w:val="00B72F58"/>
    <w:rsid w:val="00B73FB6"/>
    <w:rsid w:val="00B74374"/>
    <w:rsid w:val="00B75CC0"/>
    <w:rsid w:val="00B76C0E"/>
    <w:rsid w:val="00B85C7D"/>
    <w:rsid w:val="00B85F90"/>
    <w:rsid w:val="00B90999"/>
    <w:rsid w:val="00B90F3C"/>
    <w:rsid w:val="00B910F1"/>
    <w:rsid w:val="00B919AE"/>
    <w:rsid w:val="00B93ECC"/>
    <w:rsid w:val="00B9420B"/>
    <w:rsid w:val="00B94ECD"/>
    <w:rsid w:val="00B96A35"/>
    <w:rsid w:val="00BA087E"/>
    <w:rsid w:val="00BA3057"/>
    <w:rsid w:val="00BA345A"/>
    <w:rsid w:val="00BA65F0"/>
    <w:rsid w:val="00BB03DA"/>
    <w:rsid w:val="00BB2247"/>
    <w:rsid w:val="00BB27C9"/>
    <w:rsid w:val="00BB4E0D"/>
    <w:rsid w:val="00BB5A09"/>
    <w:rsid w:val="00BB70C9"/>
    <w:rsid w:val="00BC1DF4"/>
    <w:rsid w:val="00BC2336"/>
    <w:rsid w:val="00BC2961"/>
    <w:rsid w:val="00BC35CB"/>
    <w:rsid w:val="00BC5BE1"/>
    <w:rsid w:val="00BC5C13"/>
    <w:rsid w:val="00BC5C81"/>
    <w:rsid w:val="00BC640E"/>
    <w:rsid w:val="00BD020A"/>
    <w:rsid w:val="00BD085B"/>
    <w:rsid w:val="00BD0873"/>
    <w:rsid w:val="00BD2A97"/>
    <w:rsid w:val="00BD30FF"/>
    <w:rsid w:val="00BD325C"/>
    <w:rsid w:val="00BD6107"/>
    <w:rsid w:val="00BE06AB"/>
    <w:rsid w:val="00BE372C"/>
    <w:rsid w:val="00BE473C"/>
    <w:rsid w:val="00BE672E"/>
    <w:rsid w:val="00BF06D4"/>
    <w:rsid w:val="00BF0F19"/>
    <w:rsid w:val="00BF6DF7"/>
    <w:rsid w:val="00C02A76"/>
    <w:rsid w:val="00C068EB"/>
    <w:rsid w:val="00C0707E"/>
    <w:rsid w:val="00C11B2E"/>
    <w:rsid w:val="00C12E35"/>
    <w:rsid w:val="00C140E5"/>
    <w:rsid w:val="00C21406"/>
    <w:rsid w:val="00C2348A"/>
    <w:rsid w:val="00C25015"/>
    <w:rsid w:val="00C25572"/>
    <w:rsid w:val="00C258FD"/>
    <w:rsid w:val="00C26852"/>
    <w:rsid w:val="00C30361"/>
    <w:rsid w:val="00C3224E"/>
    <w:rsid w:val="00C34BE2"/>
    <w:rsid w:val="00C353BD"/>
    <w:rsid w:val="00C3548D"/>
    <w:rsid w:val="00C36F95"/>
    <w:rsid w:val="00C37637"/>
    <w:rsid w:val="00C377D1"/>
    <w:rsid w:val="00C40648"/>
    <w:rsid w:val="00C40B1D"/>
    <w:rsid w:val="00C40B5B"/>
    <w:rsid w:val="00C426AB"/>
    <w:rsid w:val="00C44E61"/>
    <w:rsid w:val="00C4562E"/>
    <w:rsid w:val="00C45C0F"/>
    <w:rsid w:val="00C46733"/>
    <w:rsid w:val="00C46D9C"/>
    <w:rsid w:val="00C51D73"/>
    <w:rsid w:val="00C54B34"/>
    <w:rsid w:val="00C55820"/>
    <w:rsid w:val="00C5668C"/>
    <w:rsid w:val="00C57176"/>
    <w:rsid w:val="00C60F41"/>
    <w:rsid w:val="00C638A0"/>
    <w:rsid w:val="00C65ED7"/>
    <w:rsid w:val="00C702FB"/>
    <w:rsid w:val="00C70B26"/>
    <w:rsid w:val="00C714E4"/>
    <w:rsid w:val="00C719A4"/>
    <w:rsid w:val="00C73FB5"/>
    <w:rsid w:val="00C74555"/>
    <w:rsid w:val="00C74BA8"/>
    <w:rsid w:val="00C75DD0"/>
    <w:rsid w:val="00C7709B"/>
    <w:rsid w:val="00C80125"/>
    <w:rsid w:val="00C836EE"/>
    <w:rsid w:val="00C83903"/>
    <w:rsid w:val="00C83917"/>
    <w:rsid w:val="00C848E3"/>
    <w:rsid w:val="00C84DBD"/>
    <w:rsid w:val="00C902FA"/>
    <w:rsid w:val="00C9127B"/>
    <w:rsid w:val="00C92671"/>
    <w:rsid w:val="00C93A99"/>
    <w:rsid w:val="00C93D4C"/>
    <w:rsid w:val="00C9436D"/>
    <w:rsid w:val="00C96AC2"/>
    <w:rsid w:val="00CA111B"/>
    <w:rsid w:val="00CA49A2"/>
    <w:rsid w:val="00CB27DE"/>
    <w:rsid w:val="00CB3114"/>
    <w:rsid w:val="00CB4848"/>
    <w:rsid w:val="00CC1730"/>
    <w:rsid w:val="00CC237C"/>
    <w:rsid w:val="00CC4F46"/>
    <w:rsid w:val="00CC5620"/>
    <w:rsid w:val="00CC7F3C"/>
    <w:rsid w:val="00CE0EEB"/>
    <w:rsid w:val="00CE3AF1"/>
    <w:rsid w:val="00CF09B0"/>
    <w:rsid w:val="00CF25F1"/>
    <w:rsid w:val="00CF4C2E"/>
    <w:rsid w:val="00CF56E7"/>
    <w:rsid w:val="00CF572C"/>
    <w:rsid w:val="00CF5C65"/>
    <w:rsid w:val="00CF744D"/>
    <w:rsid w:val="00CF7D97"/>
    <w:rsid w:val="00D010B9"/>
    <w:rsid w:val="00D024D6"/>
    <w:rsid w:val="00D03ABB"/>
    <w:rsid w:val="00D03B3E"/>
    <w:rsid w:val="00D0444B"/>
    <w:rsid w:val="00D046E8"/>
    <w:rsid w:val="00D05630"/>
    <w:rsid w:val="00D05D1A"/>
    <w:rsid w:val="00D069DA"/>
    <w:rsid w:val="00D07D4C"/>
    <w:rsid w:val="00D1095E"/>
    <w:rsid w:val="00D113B9"/>
    <w:rsid w:val="00D11FE1"/>
    <w:rsid w:val="00D12520"/>
    <w:rsid w:val="00D13522"/>
    <w:rsid w:val="00D13DD9"/>
    <w:rsid w:val="00D14A44"/>
    <w:rsid w:val="00D153C5"/>
    <w:rsid w:val="00D200D1"/>
    <w:rsid w:val="00D2275A"/>
    <w:rsid w:val="00D22FF2"/>
    <w:rsid w:val="00D235F5"/>
    <w:rsid w:val="00D31C1D"/>
    <w:rsid w:val="00D32F0B"/>
    <w:rsid w:val="00D33712"/>
    <w:rsid w:val="00D34EE3"/>
    <w:rsid w:val="00D4145C"/>
    <w:rsid w:val="00D43760"/>
    <w:rsid w:val="00D43DF2"/>
    <w:rsid w:val="00D4576B"/>
    <w:rsid w:val="00D47ACC"/>
    <w:rsid w:val="00D502A3"/>
    <w:rsid w:val="00D50606"/>
    <w:rsid w:val="00D5076F"/>
    <w:rsid w:val="00D50A8D"/>
    <w:rsid w:val="00D5113F"/>
    <w:rsid w:val="00D52BB6"/>
    <w:rsid w:val="00D544E7"/>
    <w:rsid w:val="00D558BD"/>
    <w:rsid w:val="00D60996"/>
    <w:rsid w:val="00D61815"/>
    <w:rsid w:val="00D64061"/>
    <w:rsid w:val="00D65131"/>
    <w:rsid w:val="00D665DE"/>
    <w:rsid w:val="00D66A73"/>
    <w:rsid w:val="00D73372"/>
    <w:rsid w:val="00D74C4B"/>
    <w:rsid w:val="00D75C76"/>
    <w:rsid w:val="00D808F4"/>
    <w:rsid w:val="00D82AF4"/>
    <w:rsid w:val="00D83A79"/>
    <w:rsid w:val="00D86DE6"/>
    <w:rsid w:val="00D875DD"/>
    <w:rsid w:val="00D901E0"/>
    <w:rsid w:val="00D911D0"/>
    <w:rsid w:val="00D9266D"/>
    <w:rsid w:val="00D9305A"/>
    <w:rsid w:val="00D9363E"/>
    <w:rsid w:val="00D94A71"/>
    <w:rsid w:val="00D9740E"/>
    <w:rsid w:val="00DA0FEC"/>
    <w:rsid w:val="00DA1148"/>
    <w:rsid w:val="00DA3A09"/>
    <w:rsid w:val="00DA5834"/>
    <w:rsid w:val="00DB0B67"/>
    <w:rsid w:val="00DB1C2A"/>
    <w:rsid w:val="00DB21D0"/>
    <w:rsid w:val="00DB35D1"/>
    <w:rsid w:val="00DC16E6"/>
    <w:rsid w:val="00DC2605"/>
    <w:rsid w:val="00DC667A"/>
    <w:rsid w:val="00DC769F"/>
    <w:rsid w:val="00DD10FA"/>
    <w:rsid w:val="00DD2BC5"/>
    <w:rsid w:val="00DD2C89"/>
    <w:rsid w:val="00DD2CA2"/>
    <w:rsid w:val="00DD475B"/>
    <w:rsid w:val="00DD4DA8"/>
    <w:rsid w:val="00DD70A4"/>
    <w:rsid w:val="00DD78E4"/>
    <w:rsid w:val="00DE03E4"/>
    <w:rsid w:val="00DE0778"/>
    <w:rsid w:val="00DE19CB"/>
    <w:rsid w:val="00DE1AC1"/>
    <w:rsid w:val="00DE28FA"/>
    <w:rsid w:val="00DE5203"/>
    <w:rsid w:val="00DE5F57"/>
    <w:rsid w:val="00DE605D"/>
    <w:rsid w:val="00DF03F8"/>
    <w:rsid w:val="00DF0817"/>
    <w:rsid w:val="00DF3835"/>
    <w:rsid w:val="00DF3889"/>
    <w:rsid w:val="00DF4FE3"/>
    <w:rsid w:val="00DF53EB"/>
    <w:rsid w:val="00DF638B"/>
    <w:rsid w:val="00E029E6"/>
    <w:rsid w:val="00E10CFF"/>
    <w:rsid w:val="00E1150F"/>
    <w:rsid w:val="00E12150"/>
    <w:rsid w:val="00E14F34"/>
    <w:rsid w:val="00E15711"/>
    <w:rsid w:val="00E15715"/>
    <w:rsid w:val="00E159E2"/>
    <w:rsid w:val="00E15F7A"/>
    <w:rsid w:val="00E17B9E"/>
    <w:rsid w:val="00E20F46"/>
    <w:rsid w:val="00E272EE"/>
    <w:rsid w:val="00E27586"/>
    <w:rsid w:val="00E31390"/>
    <w:rsid w:val="00E320A1"/>
    <w:rsid w:val="00E33C69"/>
    <w:rsid w:val="00E33E15"/>
    <w:rsid w:val="00E36C9A"/>
    <w:rsid w:val="00E42262"/>
    <w:rsid w:val="00E428DA"/>
    <w:rsid w:val="00E4312E"/>
    <w:rsid w:val="00E43640"/>
    <w:rsid w:val="00E43CEF"/>
    <w:rsid w:val="00E44A15"/>
    <w:rsid w:val="00E459D8"/>
    <w:rsid w:val="00E45B36"/>
    <w:rsid w:val="00E50120"/>
    <w:rsid w:val="00E510C2"/>
    <w:rsid w:val="00E51205"/>
    <w:rsid w:val="00E5414B"/>
    <w:rsid w:val="00E54F6B"/>
    <w:rsid w:val="00E55508"/>
    <w:rsid w:val="00E56489"/>
    <w:rsid w:val="00E57F9E"/>
    <w:rsid w:val="00E63723"/>
    <w:rsid w:val="00E649A2"/>
    <w:rsid w:val="00E66179"/>
    <w:rsid w:val="00E669F2"/>
    <w:rsid w:val="00E731D1"/>
    <w:rsid w:val="00E73B56"/>
    <w:rsid w:val="00E76775"/>
    <w:rsid w:val="00E768A7"/>
    <w:rsid w:val="00E805E4"/>
    <w:rsid w:val="00E80F5B"/>
    <w:rsid w:val="00E824EA"/>
    <w:rsid w:val="00E847F5"/>
    <w:rsid w:val="00E85F44"/>
    <w:rsid w:val="00E902FA"/>
    <w:rsid w:val="00E91FCC"/>
    <w:rsid w:val="00E92276"/>
    <w:rsid w:val="00E9245E"/>
    <w:rsid w:val="00E92A4C"/>
    <w:rsid w:val="00E92B03"/>
    <w:rsid w:val="00E9487B"/>
    <w:rsid w:val="00E968AB"/>
    <w:rsid w:val="00EA42E5"/>
    <w:rsid w:val="00EA4534"/>
    <w:rsid w:val="00EA72B7"/>
    <w:rsid w:val="00EB2F07"/>
    <w:rsid w:val="00EB2F44"/>
    <w:rsid w:val="00EB3EAD"/>
    <w:rsid w:val="00EB55D9"/>
    <w:rsid w:val="00EB58FA"/>
    <w:rsid w:val="00EB71F0"/>
    <w:rsid w:val="00EB74BD"/>
    <w:rsid w:val="00EC3D9F"/>
    <w:rsid w:val="00EC5180"/>
    <w:rsid w:val="00EC5313"/>
    <w:rsid w:val="00EC7592"/>
    <w:rsid w:val="00EC7BA5"/>
    <w:rsid w:val="00ED1184"/>
    <w:rsid w:val="00ED21FB"/>
    <w:rsid w:val="00ED2B69"/>
    <w:rsid w:val="00ED39CE"/>
    <w:rsid w:val="00ED3A59"/>
    <w:rsid w:val="00ED6EEA"/>
    <w:rsid w:val="00ED7241"/>
    <w:rsid w:val="00ED7273"/>
    <w:rsid w:val="00EE04AB"/>
    <w:rsid w:val="00EE242C"/>
    <w:rsid w:val="00EE2A97"/>
    <w:rsid w:val="00EE45FC"/>
    <w:rsid w:val="00EE56AE"/>
    <w:rsid w:val="00EF0ADC"/>
    <w:rsid w:val="00EF2137"/>
    <w:rsid w:val="00EF2B20"/>
    <w:rsid w:val="00EF587B"/>
    <w:rsid w:val="00F00843"/>
    <w:rsid w:val="00F00EB9"/>
    <w:rsid w:val="00F019A8"/>
    <w:rsid w:val="00F05197"/>
    <w:rsid w:val="00F063A9"/>
    <w:rsid w:val="00F0717D"/>
    <w:rsid w:val="00F11380"/>
    <w:rsid w:val="00F1269E"/>
    <w:rsid w:val="00F146E9"/>
    <w:rsid w:val="00F14F02"/>
    <w:rsid w:val="00F14F07"/>
    <w:rsid w:val="00F15A96"/>
    <w:rsid w:val="00F165A1"/>
    <w:rsid w:val="00F17853"/>
    <w:rsid w:val="00F17B77"/>
    <w:rsid w:val="00F21DC7"/>
    <w:rsid w:val="00F2476D"/>
    <w:rsid w:val="00F24CAB"/>
    <w:rsid w:val="00F25F6B"/>
    <w:rsid w:val="00F27ABA"/>
    <w:rsid w:val="00F30354"/>
    <w:rsid w:val="00F30605"/>
    <w:rsid w:val="00F315EE"/>
    <w:rsid w:val="00F33270"/>
    <w:rsid w:val="00F3433F"/>
    <w:rsid w:val="00F365DB"/>
    <w:rsid w:val="00F4158A"/>
    <w:rsid w:val="00F437CC"/>
    <w:rsid w:val="00F442EE"/>
    <w:rsid w:val="00F44550"/>
    <w:rsid w:val="00F44B29"/>
    <w:rsid w:val="00F45B7D"/>
    <w:rsid w:val="00F45DA9"/>
    <w:rsid w:val="00F47275"/>
    <w:rsid w:val="00F51108"/>
    <w:rsid w:val="00F530A0"/>
    <w:rsid w:val="00F5371A"/>
    <w:rsid w:val="00F545E4"/>
    <w:rsid w:val="00F54C87"/>
    <w:rsid w:val="00F607DD"/>
    <w:rsid w:val="00F61218"/>
    <w:rsid w:val="00F62820"/>
    <w:rsid w:val="00F62E90"/>
    <w:rsid w:val="00F63D92"/>
    <w:rsid w:val="00F643C6"/>
    <w:rsid w:val="00F65097"/>
    <w:rsid w:val="00F6760C"/>
    <w:rsid w:val="00F67A73"/>
    <w:rsid w:val="00F70189"/>
    <w:rsid w:val="00F727FC"/>
    <w:rsid w:val="00F7292C"/>
    <w:rsid w:val="00F73BE8"/>
    <w:rsid w:val="00F7492A"/>
    <w:rsid w:val="00F76612"/>
    <w:rsid w:val="00F91DF0"/>
    <w:rsid w:val="00F92802"/>
    <w:rsid w:val="00F94BB5"/>
    <w:rsid w:val="00F95E29"/>
    <w:rsid w:val="00FA0E1D"/>
    <w:rsid w:val="00FA1864"/>
    <w:rsid w:val="00FA2FF3"/>
    <w:rsid w:val="00FA3CD2"/>
    <w:rsid w:val="00FA5200"/>
    <w:rsid w:val="00FA678D"/>
    <w:rsid w:val="00FA77D6"/>
    <w:rsid w:val="00FB0974"/>
    <w:rsid w:val="00FB1A70"/>
    <w:rsid w:val="00FB4000"/>
    <w:rsid w:val="00FB405E"/>
    <w:rsid w:val="00FB4D5D"/>
    <w:rsid w:val="00FB6DC2"/>
    <w:rsid w:val="00FB6FBC"/>
    <w:rsid w:val="00FB7BF6"/>
    <w:rsid w:val="00FC3FE2"/>
    <w:rsid w:val="00FC45DB"/>
    <w:rsid w:val="00FC4E6E"/>
    <w:rsid w:val="00FC510D"/>
    <w:rsid w:val="00FC5F1F"/>
    <w:rsid w:val="00FC6958"/>
    <w:rsid w:val="00FD1B14"/>
    <w:rsid w:val="00FD1D3E"/>
    <w:rsid w:val="00FD4367"/>
    <w:rsid w:val="00FD7E13"/>
    <w:rsid w:val="00FE422B"/>
    <w:rsid w:val="00FE7212"/>
    <w:rsid w:val="00FE7E95"/>
    <w:rsid w:val="00FE7F34"/>
    <w:rsid w:val="00FF3D28"/>
    <w:rsid w:val="00FF52DD"/>
    <w:rsid w:val="00FF5B09"/>
    <w:rsid w:val="00FF5B51"/>
    <w:rsid w:val="00FF5F4C"/>
    <w:rsid w:val="00F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B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B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0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0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5E6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15E6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4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3B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FF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5C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BF2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D64ED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5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463"/>
    <w:rPr>
      <w:sz w:val="20"/>
      <w:szCs w:val="2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7B7159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62E9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019D5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019D5"/>
    <w:rPr>
      <w:rFonts w:ascii="Calibri" w:hAnsi="Calibri"/>
      <w:color w:val="00457D"/>
      <w:szCs w:val="21"/>
    </w:rPr>
  </w:style>
  <w:style w:type="paragraph" w:styleId="Revisione">
    <w:name w:val="Revision"/>
    <w:hidden/>
    <w:uiPriority w:val="99"/>
    <w:semiHidden/>
    <w:rsid w:val="001019D5"/>
    <w:pPr>
      <w:spacing w:after="0" w:line="240" w:lineRule="auto"/>
    </w:p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5D2DA6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05630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7414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10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9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9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2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5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0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5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5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7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7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14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8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89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9" w:color="DFE1E5"/>
                <w:right w:val="none" w:sz="0" w:space="0" w:color="auto"/>
              </w:divBdr>
              <w:divsChild>
                <w:div w:id="1506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60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.it/web/guest/primo-piano/-/asset_publisher/3f4alMwzN1Z7/content/id/5647546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5661-9847-41E4-9855-CA03BEC5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Luca Bellusci</cp:lastModifiedBy>
  <cp:revision>11</cp:revision>
  <cp:lastPrinted>2021-02-16T16:57:00Z</cp:lastPrinted>
  <dcterms:created xsi:type="dcterms:W3CDTF">2021-03-04T07:28:00Z</dcterms:created>
  <dcterms:modified xsi:type="dcterms:W3CDTF">2021-03-04T09:56:00Z</dcterms:modified>
</cp:coreProperties>
</file>