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0F6D" w14:textId="77777777" w:rsidR="00115E64" w:rsidRPr="00BF1EEA" w:rsidRDefault="00115E64" w:rsidP="00115E64">
      <w:pPr>
        <w:jc w:val="center"/>
        <w:rPr>
          <w:b/>
          <w:bCs/>
          <w:sz w:val="36"/>
          <w:szCs w:val="36"/>
        </w:rPr>
      </w:pPr>
      <w:r w:rsidRPr="00BF1EEA">
        <w:rPr>
          <w:rFonts w:ascii="Calibri" w:eastAsia="Calibri" w:hAnsi="Calibri" w:cs="Times New Roman"/>
          <w:b/>
          <w:bCs/>
          <w:sz w:val="36"/>
          <w:szCs w:val="36"/>
        </w:rPr>
        <w:t>COMUNICA</w:t>
      </w:r>
      <w:bookmarkStart w:id="0" w:name="_GoBack"/>
      <w:bookmarkEnd w:id="0"/>
      <w:r w:rsidRPr="00BF1EEA">
        <w:rPr>
          <w:rFonts w:ascii="Calibri" w:eastAsia="Calibri" w:hAnsi="Calibri" w:cs="Times New Roman"/>
          <w:b/>
          <w:bCs/>
          <w:sz w:val="36"/>
          <w:szCs w:val="36"/>
        </w:rPr>
        <w:t>TO STAMPA</w:t>
      </w:r>
    </w:p>
    <w:p w14:paraId="4C6594F3" w14:textId="77777777" w:rsidR="00FA2FF3" w:rsidRPr="00284459" w:rsidRDefault="00115E64" w:rsidP="00464A4C">
      <w:pPr>
        <w:spacing w:after="120"/>
        <w:jc w:val="center"/>
        <w:rPr>
          <w:b/>
          <w:sz w:val="32"/>
          <w:szCs w:val="32"/>
        </w:rPr>
      </w:pPr>
      <w:r w:rsidRPr="00FE7212">
        <w:rPr>
          <w:b/>
          <w:sz w:val="32"/>
          <w:szCs w:val="32"/>
        </w:rPr>
        <w:t>CORONAVIRUS</w:t>
      </w:r>
      <w:r w:rsidR="002E101F">
        <w:rPr>
          <w:b/>
          <w:sz w:val="32"/>
          <w:szCs w:val="32"/>
        </w:rPr>
        <w:t>:</w:t>
      </w:r>
      <w:r w:rsidR="002E101F" w:rsidRPr="00FE7212">
        <w:rPr>
          <w:b/>
          <w:sz w:val="32"/>
          <w:szCs w:val="32"/>
        </w:rPr>
        <w:t xml:space="preserve"> </w:t>
      </w:r>
      <w:r w:rsidR="0085279C">
        <w:rPr>
          <w:b/>
          <w:sz w:val="32"/>
          <w:szCs w:val="32"/>
        </w:rPr>
        <w:t xml:space="preserve">SI FERMA LA DISCESA DEI </w:t>
      </w:r>
      <w:r w:rsidR="00834942">
        <w:rPr>
          <w:b/>
          <w:sz w:val="32"/>
          <w:szCs w:val="32"/>
        </w:rPr>
        <w:t>NUOVI CASI</w:t>
      </w:r>
      <w:r w:rsidR="00DF638B">
        <w:rPr>
          <w:b/>
          <w:sz w:val="32"/>
          <w:szCs w:val="32"/>
        </w:rPr>
        <w:t>,</w:t>
      </w:r>
      <w:r w:rsidR="0085279C">
        <w:rPr>
          <w:b/>
          <w:sz w:val="32"/>
          <w:szCs w:val="32"/>
        </w:rPr>
        <w:t xml:space="preserve"> </w:t>
      </w:r>
      <w:r w:rsidR="0085279C">
        <w:rPr>
          <w:b/>
          <w:sz w:val="32"/>
          <w:szCs w:val="32"/>
        </w:rPr>
        <w:br/>
        <w:t xml:space="preserve">IN ALCUNE REGIONI </w:t>
      </w:r>
      <w:r w:rsidR="00464A4C">
        <w:rPr>
          <w:b/>
          <w:sz w:val="32"/>
          <w:szCs w:val="32"/>
        </w:rPr>
        <w:t>SEGNALI D’</w:t>
      </w:r>
      <w:r w:rsidR="0097722F">
        <w:rPr>
          <w:b/>
          <w:sz w:val="32"/>
          <w:szCs w:val="32"/>
        </w:rPr>
        <w:t xml:space="preserve">INVERSIONE </w:t>
      </w:r>
      <w:r w:rsidR="00464A4C">
        <w:rPr>
          <w:b/>
          <w:sz w:val="32"/>
          <w:szCs w:val="32"/>
        </w:rPr>
        <w:t xml:space="preserve">DI </w:t>
      </w:r>
      <w:r w:rsidR="0097722F">
        <w:rPr>
          <w:b/>
          <w:sz w:val="32"/>
          <w:szCs w:val="32"/>
        </w:rPr>
        <w:t>TENDENZA</w:t>
      </w:r>
      <w:r w:rsidR="006F17C1">
        <w:rPr>
          <w:b/>
          <w:sz w:val="32"/>
          <w:szCs w:val="32"/>
        </w:rPr>
        <w:t>.</w:t>
      </w:r>
      <w:r w:rsidR="00464A4C">
        <w:rPr>
          <w:b/>
          <w:sz w:val="32"/>
          <w:szCs w:val="32"/>
        </w:rPr>
        <w:br/>
        <w:t xml:space="preserve">VACCINI: </w:t>
      </w:r>
      <w:r w:rsidR="00ED6EEA">
        <w:rPr>
          <w:b/>
          <w:sz w:val="32"/>
          <w:szCs w:val="32"/>
        </w:rPr>
        <w:t xml:space="preserve">CON LE </w:t>
      </w:r>
      <w:r w:rsidR="00302764" w:rsidRPr="00284459">
        <w:rPr>
          <w:b/>
          <w:sz w:val="32"/>
          <w:szCs w:val="32"/>
        </w:rPr>
        <w:t xml:space="preserve">FORNITURE </w:t>
      </w:r>
      <w:r w:rsidR="00284459" w:rsidRPr="00284459">
        <w:rPr>
          <w:b/>
          <w:sz w:val="32"/>
          <w:szCs w:val="32"/>
        </w:rPr>
        <w:t xml:space="preserve">AL PALO, </w:t>
      </w:r>
      <w:r w:rsidR="001019D5" w:rsidRPr="001019D5">
        <w:rPr>
          <w:b/>
          <w:sz w:val="32"/>
          <w:szCs w:val="32"/>
        </w:rPr>
        <w:t xml:space="preserve">PRIORITÀ </w:t>
      </w:r>
      <w:r w:rsidR="00284459" w:rsidRPr="00284459">
        <w:rPr>
          <w:b/>
          <w:sz w:val="32"/>
          <w:szCs w:val="32"/>
        </w:rPr>
        <w:t xml:space="preserve">SOLO </w:t>
      </w:r>
      <w:r w:rsidR="001019D5">
        <w:rPr>
          <w:b/>
          <w:sz w:val="32"/>
          <w:szCs w:val="32"/>
        </w:rPr>
        <w:t xml:space="preserve">A </w:t>
      </w:r>
      <w:r w:rsidR="00284459" w:rsidRPr="00284459">
        <w:rPr>
          <w:b/>
          <w:sz w:val="32"/>
          <w:szCs w:val="32"/>
        </w:rPr>
        <w:t>SECONDE DOSI</w:t>
      </w:r>
    </w:p>
    <w:p w14:paraId="70100BA3" w14:textId="77777777" w:rsidR="00115E64" w:rsidRPr="008049E8" w:rsidRDefault="00115E64" w:rsidP="00115E64">
      <w:pPr>
        <w:spacing w:after="120"/>
        <w:jc w:val="both"/>
        <w:rPr>
          <w:b/>
          <w:color w:val="FF0000"/>
          <w:sz w:val="23"/>
          <w:szCs w:val="23"/>
        </w:rPr>
      </w:pPr>
      <w:r w:rsidRPr="008049E8">
        <w:rPr>
          <w:b/>
          <w:sz w:val="23"/>
          <w:szCs w:val="23"/>
        </w:rPr>
        <w:t xml:space="preserve">IL MONITORAGGIO DELLA FONDAZIONE GIMBE </w:t>
      </w:r>
      <w:r w:rsidR="00834942">
        <w:rPr>
          <w:b/>
          <w:sz w:val="23"/>
          <w:szCs w:val="23"/>
        </w:rPr>
        <w:t>RILEVA</w:t>
      </w:r>
      <w:r w:rsidR="00CF09B0" w:rsidRPr="008049E8">
        <w:rPr>
          <w:b/>
          <w:sz w:val="23"/>
          <w:szCs w:val="23"/>
        </w:rPr>
        <w:t xml:space="preserve"> </w:t>
      </w:r>
      <w:r w:rsidRPr="008049E8">
        <w:rPr>
          <w:b/>
          <w:sz w:val="23"/>
          <w:szCs w:val="23"/>
        </w:rPr>
        <w:t xml:space="preserve">NELLA SETTIMANA </w:t>
      </w:r>
      <w:r w:rsidR="008049E8" w:rsidRPr="008049E8">
        <w:rPr>
          <w:b/>
          <w:sz w:val="23"/>
          <w:szCs w:val="23"/>
        </w:rPr>
        <w:t>27</w:t>
      </w:r>
      <w:r w:rsidRPr="008049E8">
        <w:rPr>
          <w:b/>
          <w:sz w:val="23"/>
          <w:szCs w:val="23"/>
        </w:rPr>
        <w:t xml:space="preserve"> GENNAIO</w:t>
      </w:r>
      <w:r w:rsidR="002D0E17">
        <w:rPr>
          <w:b/>
          <w:sz w:val="23"/>
          <w:szCs w:val="23"/>
        </w:rPr>
        <w:t xml:space="preserve"> </w:t>
      </w:r>
      <w:r w:rsidR="0085279C" w:rsidRPr="0085279C">
        <w:rPr>
          <w:b/>
          <w:sz w:val="23"/>
          <w:szCs w:val="23"/>
        </w:rPr>
        <w:t xml:space="preserve">– </w:t>
      </w:r>
      <w:r w:rsidR="008049E8" w:rsidRPr="008049E8">
        <w:rPr>
          <w:b/>
          <w:sz w:val="23"/>
          <w:szCs w:val="23"/>
        </w:rPr>
        <w:t xml:space="preserve">2 FEBBRAIO </w:t>
      </w:r>
      <w:r w:rsidR="0085279C">
        <w:rPr>
          <w:b/>
          <w:sz w:val="23"/>
          <w:szCs w:val="23"/>
        </w:rPr>
        <w:t>LA</w:t>
      </w:r>
      <w:r w:rsidR="00D75C76">
        <w:rPr>
          <w:b/>
          <w:sz w:val="23"/>
          <w:szCs w:val="23"/>
        </w:rPr>
        <w:t xml:space="preserve"> STABILIZZAZIONE </w:t>
      </w:r>
      <w:r w:rsidR="00834942">
        <w:rPr>
          <w:b/>
          <w:sz w:val="23"/>
          <w:szCs w:val="23"/>
        </w:rPr>
        <w:t>D</w:t>
      </w:r>
      <w:r w:rsidR="00D75C76">
        <w:rPr>
          <w:b/>
          <w:sz w:val="23"/>
          <w:szCs w:val="23"/>
        </w:rPr>
        <w:t>E</w:t>
      </w:r>
      <w:r w:rsidR="00834942">
        <w:rPr>
          <w:b/>
          <w:sz w:val="23"/>
          <w:szCs w:val="23"/>
        </w:rPr>
        <w:t>I NUOVI CASI</w:t>
      </w:r>
      <w:r w:rsidR="0085279C">
        <w:rPr>
          <w:b/>
          <w:sz w:val="23"/>
          <w:szCs w:val="23"/>
        </w:rPr>
        <w:t xml:space="preserve"> E UN’INVERSIONE DI TENDENZA D</w:t>
      </w:r>
      <w:r w:rsidR="002D0E17">
        <w:rPr>
          <w:b/>
          <w:sz w:val="23"/>
          <w:szCs w:val="23"/>
        </w:rPr>
        <w:t>ELLA CURVA DEI CONTAGI</w:t>
      </w:r>
      <w:r w:rsidR="0085279C">
        <w:rPr>
          <w:b/>
          <w:sz w:val="23"/>
          <w:szCs w:val="23"/>
        </w:rPr>
        <w:t xml:space="preserve"> IN ALCUNE REGIONI</w:t>
      </w:r>
      <w:r w:rsidR="00ED6EEA">
        <w:rPr>
          <w:b/>
          <w:sz w:val="23"/>
          <w:szCs w:val="23"/>
        </w:rPr>
        <w:t xml:space="preserve"> CHE IMPONGONO DI TENERE ALTA L’ATTENZIONE SULLE NUOVE VARIANTI</w:t>
      </w:r>
      <w:r w:rsidR="002D0E17">
        <w:rPr>
          <w:b/>
          <w:sz w:val="23"/>
          <w:szCs w:val="23"/>
        </w:rPr>
        <w:t xml:space="preserve">. </w:t>
      </w:r>
      <w:r w:rsidRPr="007919D2">
        <w:rPr>
          <w:b/>
          <w:sz w:val="23"/>
          <w:szCs w:val="23"/>
        </w:rPr>
        <w:t>RICOVERI E TERAPIE INTENSIVE</w:t>
      </w:r>
      <w:r w:rsidR="00CF09B0" w:rsidRPr="007919D2">
        <w:rPr>
          <w:b/>
          <w:sz w:val="23"/>
          <w:szCs w:val="23"/>
        </w:rPr>
        <w:t xml:space="preserve"> </w:t>
      </w:r>
      <w:r w:rsidR="005C7641" w:rsidRPr="007919D2">
        <w:rPr>
          <w:b/>
          <w:sz w:val="23"/>
          <w:szCs w:val="23"/>
        </w:rPr>
        <w:t xml:space="preserve">RIMANGONO </w:t>
      </w:r>
      <w:r w:rsidRPr="007919D2">
        <w:rPr>
          <w:b/>
          <w:sz w:val="23"/>
          <w:szCs w:val="23"/>
        </w:rPr>
        <w:t xml:space="preserve">SOPRA SOGLIA DI SATURAZIONE </w:t>
      </w:r>
      <w:r w:rsidR="00104433" w:rsidRPr="007919D2">
        <w:rPr>
          <w:b/>
          <w:sz w:val="23"/>
          <w:szCs w:val="23"/>
        </w:rPr>
        <w:t>R</w:t>
      </w:r>
      <w:r w:rsidR="00104433" w:rsidRPr="00E92A4C">
        <w:rPr>
          <w:b/>
          <w:sz w:val="23"/>
          <w:szCs w:val="23"/>
        </w:rPr>
        <w:t xml:space="preserve">ISPETTIVAMENTE </w:t>
      </w:r>
      <w:r w:rsidRPr="00E92A4C">
        <w:rPr>
          <w:b/>
          <w:sz w:val="23"/>
          <w:szCs w:val="23"/>
        </w:rPr>
        <w:t xml:space="preserve">IN </w:t>
      </w:r>
      <w:r w:rsidR="00CF09B0" w:rsidRPr="00E92A4C">
        <w:rPr>
          <w:b/>
          <w:sz w:val="23"/>
          <w:szCs w:val="23"/>
        </w:rPr>
        <w:t xml:space="preserve">5 </w:t>
      </w:r>
      <w:r w:rsidR="006D64ED" w:rsidRPr="00E92A4C">
        <w:rPr>
          <w:b/>
          <w:sz w:val="23"/>
          <w:szCs w:val="23"/>
        </w:rPr>
        <w:t xml:space="preserve">E </w:t>
      </w:r>
      <w:r w:rsidR="00CF09B0" w:rsidRPr="00E92A4C">
        <w:rPr>
          <w:b/>
          <w:sz w:val="23"/>
          <w:szCs w:val="23"/>
        </w:rPr>
        <w:t xml:space="preserve">6 </w:t>
      </w:r>
      <w:r w:rsidR="006B6251" w:rsidRPr="00E92A4C">
        <w:rPr>
          <w:b/>
          <w:sz w:val="23"/>
          <w:szCs w:val="23"/>
        </w:rPr>
        <w:t>REGION</w:t>
      </w:r>
      <w:r w:rsidR="002D0E17">
        <w:rPr>
          <w:b/>
          <w:sz w:val="23"/>
          <w:szCs w:val="23"/>
        </w:rPr>
        <w:t>.</w:t>
      </w:r>
      <w:r w:rsidR="006B6251" w:rsidRPr="00E92A4C">
        <w:rPr>
          <w:b/>
          <w:sz w:val="23"/>
          <w:szCs w:val="23"/>
        </w:rPr>
        <w:t xml:space="preserve"> </w:t>
      </w:r>
      <w:r w:rsidR="00DF638B">
        <w:rPr>
          <w:b/>
          <w:sz w:val="23"/>
          <w:szCs w:val="23"/>
        </w:rPr>
        <w:t xml:space="preserve">CON </w:t>
      </w:r>
      <w:r w:rsidR="0085279C">
        <w:rPr>
          <w:b/>
          <w:sz w:val="23"/>
          <w:szCs w:val="23"/>
        </w:rPr>
        <w:t>IL RALLENTAMENTO NELLA CONSEGNA D</w:t>
      </w:r>
      <w:r w:rsidR="00DF638B">
        <w:rPr>
          <w:b/>
          <w:sz w:val="23"/>
          <w:szCs w:val="23"/>
        </w:rPr>
        <w:t>E</w:t>
      </w:r>
      <w:r w:rsidR="0085279C">
        <w:rPr>
          <w:b/>
          <w:sz w:val="23"/>
          <w:szCs w:val="23"/>
        </w:rPr>
        <w:t xml:space="preserve">I VACCINI </w:t>
      </w:r>
      <w:r w:rsidR="00DF638B">
        <w:rPr>
          <w:b/>
          <w:sz w:val="23"/>
          <w:szCs w:val="23"/>
        </w:rPr>
        <w:t xml:space="preserve">SONO STATE SOMMISTRATE </w:t>
      </w:r>
      <w:r w:rsidR="00C65ED7">
        <w:rPr>
          <w:b/>
          <w:sz w:val="23"/>
          <w:szCs w:val="23"/>
        </w:rPr>
        <w:t>QUASI ESCLUSIVAMENTE SECONDE DOSI</w:t>
      </w:r>
      <w:r w:rsidR="001A0EAB">
        <w:rPr>
          <w:b/>
          <w:sz w:val="23"/>
          <w:szCs w:val="23"/>
        </w:rPr>
        <w:t xml:space="preserve">. PERSISTONO RILEVANTI </w:t>
      </w:r>
      <w:r w:rsidR="001A0EAB" w:rsidRPr="00FE7212">
        <w:rPr>
          <w:b/>
          <w:sz w:val="23"/>
          <w:szCs w:val="23"/>
        </w:rPr>
        <w:t xml:space="preserve">DIFFERENZE REGIONALI </w:t>
      </w:r>
      <w:r w:rsidR="00DF638B">
        <w:rPr>
          <w:b/>
          <w:sz w:val="23"/>
          <w:szCs w:val="23"/>
        </w:rPr>
        <w:t xml:space="preserve">SIA </w:t>
      </w:r>
      <w:r w:rsidR="001A0EAB">
        <w:rPr>
          <w:b/>
          <w:sz w:val="23"/>
          <w:szCs w:val="23"/>
        </w:rPr>
        <w:t xml:space="preserve">NEL </w:t>
      </w:r>
      <w:r w:rsidR="001A0EAB" w:rsidRPr="00FE7212">
        <w:rPr>
          <w:b/>
          <w:sz w:val="23"/>
          <w:szCs w:val="23"/>
        </w:rPr>
        <w:t xml:space="preserve">COMPLETAMENTO DEL CICLO VACCINALE </w:t>
      </w:r>
      <w:r w:rsidR="00DF638B">
        <w:rPr>
          <w:b/>
          <w:sz w:val="23"/>
          <w:szCs w:val="23"/>
        </w:rPr>
        <w:t xml:space="preserve">CHE </w:t>
      </w:r>
      <w:r w:rsidR="001A0EAB">
        <w:rPr>
          <w:b/>
          <w:sz w:val="23"/>
          <w:szCs w:val="23"/>
        </w:rPr>
        <w:t xml:space="preserve">NELLE CATEGORIE </w:t>
      </w:r>
      <w:r w:rsidR="00DF638B">
        <w:rPr>
          <w:b/>
          <w:sz w:val="23"/>
          <w:szCs w:val="23"/>
        </w:rPr>
        <w:t>D</w:t>
      </w:r>
      <w:r w:rsidR="001019D5">
        <w:rPr>
          <w:b/>
          <w:sz w:val="23"/>
          <w:szCs w:val="23"/>
        </w:rPr>
        <w:t xml:space="preserve">I SOGGETTI </w:t>
      </w:r>
      <w:r w:rsidR="00DF638B">
        <w:rPr>
          <w:b/>
          <w:sz w:val="23"/>
          <w:szCs w:val="23"/>
        </w:rPr>
        <w:t>VACCINATI</w:t>
      </w:r>
      <w:r w:rsidR="001A0EAB">
        <w:rPr>
          <w:b/>
          <w:sz w:val="23"/>
          <w:szCs w:val="23"/>
        </w:rPr>
        <w:t>.</w:t>
      </w:r>
    </w:p>
    <w:p w14:paraId="329B527E" w14:textId="77777777" w:rsidR="00115E64" w:rsidRPr="008049E8" w:rsidRDefault="008049E8" w:rsidP="00115E64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049E8">
        <w:rPr>
          <w:rFonts w:ascii="Calibri" w:eastAsia="Calibri" w:hAnsi="Calibri" w:cs="Times New Roman"/>
          <w:b/>
          <w:bCs/>
          <w:sz w:val="24"/>
          <w:szCs w:val="24"/>
        </w:rPr>
        <w:t xml:space="preserve">4 febbraio </w:t>
      </w:r>
      <w:r w:rsidR="00115E64" w:rsidRPr="008049E8">
        <w:rPr>
          <w:rFonts w:ascii="Calibri" w:eastAsia="Calibri" w:hAnsi="Calibri" w:cs="Times New Roman"/>
          <w:b/>
          <w:bCs/>
          <w:sz w:val="24"/>
          <w:szCs w:val="24"/>
        </w:rPr>
        <w:t>2021 - Fondazione GIMBE, Bologna</w:t>
      </w:r>
    </w:p>
    <w:p w14:paraId="0BB8835E" w14:textId="77777777" w:rsidR="00115E64" w:rsidRPr="007919D2" w:rsidRDefault="00115E64" w:rsidP="00943563">
      <w:pPr>
        <w:spacing w:line="276" w:lineRule="auto"/>
        <w:jc w:val="both"/>
      </w:pPr>
      <w:r w:rsidRPr="007919D2">
        <w:t>Il monitoraggio indipendente della Fondazione GIMBE</w:t>
      </w:r>
      <w:r w:rsidR="00B57E54" w:rsidRPr="007919D2">
        <w:t xml:space="preserve"> rileva</w:t>
      </w:r>
      <w:r w:rsidRPr="007919D2">
        <w:t xml:space="preserve"> nella settimana </w:t>
      </w:r>
      <w:r w:rsidR="008049E8" w:rsidRPr="007919D2">
        <w:t>27</w:t>
      </w:r>
      <w:r w:rsidRPr="007919D2">
        <w:t xml:space="preserve"> gennaio</w:t>
      </w:r>
      <w:r w:rsidR="008049E8" w:rsidRPr="007919D2">
        <w:t>-2 febbraio</w:t>
      </w:r>
      <w:r w:rsidRPr="007919D2">
        <w:t xml:space="preserve"> 2021, rispetto alla precedente, </w:t>
      </w:r>
      <w:r w:rsidR="00213C28" w:rsidRPr="007919D2">
        <w:t xml:space="preserve">una </w:t>
      </w:r>
      <w:r w:rsidR="007919D2" w:rsidRPr="007919D2">
        <w:t>stabilizzazione del numero</w:t>
      </w:r>
      <w:r w:rsidRPr="007919D2">
        <w:t xml:space="preserve"> dei nuovi casi (</w:t>
      </w:r>
      <w:r w:rsidR="007919D2" w:rsidRPr="007919D2">
        <w:t xml:space="preserve">84.652 vs </w:t>
      </w:r>
      <w:r w:rsidR="0078235D" w:rsidRPr="007919D2">
        <w:t>85.358</w:t>
      </w:r>
      <w:r w:rsidRPr="007919D2">
        <w:t xml:space="preserve">). </w:t>
      </w:r>
      <w:r w:rsidR="00900787" w:rsidRPr="007919D2">
        <w:t>Scendono</w:t>
      </w:r>
      <w:r w:rsidR="009F46EE" w:rsidRPr="007919D2">
        <w:t xml:space="preserve"> </w:t>
      </w:r>
      <w:r w:rsidR="007919D2" w:rsidRPr="007919D2">
        <w:t>i</w:t>
      </w:r>
      <w:r w:rsidR="00855C4B" w:rsidRPr="007919D2">
        <w:t xml:space="preserve"> </w:t>
      </w:r>
      <w:r w:rsidRPr="007919D2">
        <w:t>casi attualmente positivi (</w:t>
      </w:r>
      <w:r w:rsidR="007919D2" w:rsidRPr="007919D2">
        <w:t xml:space="preserve">437.765 vs </w:t>
      </w:r>
      <w:r w:rsidR="0078235D" w:rsidRPr="007919D2">
        <w:t>482.417</w:t>
      </w:r>
      <w:r w:rsidRPr="007919D2">
        <w:t>)</w:t>
      </w:r>
      <w:r w:rsidR="00B33749" w:rsidRPr="007919D2">
        <w:t>,</w:t>
      </w:r>
      <w:r w:rsidRPr="007919D2">
        <w:t xml:space="preserve"> </w:t>
      </w:r>
      <w:r w:rsidR="0085279C">
        <w:t xml:space="preserve">i </w:t>
      </w:r>
      <w:r w:rsidRPr="007919D2">
        <w:t>ricover</w:t>
      </w:r>
      <w:r w:rsidR="00900787" w:rsidRPr="007919D2">
        <w:t xml:space="preserve">i </w:t>
      </w:r>
      <w:r w:rsidRPr="007919D2">
        <w:t>con sintomi (</w:t>
      </w:r>
      <w:r w:rsidR="007919D2" w:rsidRPr="007919D2">
        <w:t xml:space="preserve">20.317 vs </w:t>
      </w:r>
      <w:r w:rsidR="0078235D" w:rsidRPr="007919D2">
        <w:t>21.355</w:t>
      </w:r>
      <w:r w:rsidR="007919D2" w:rsidRPr="007919D2">
        <w:t xml:space="preserve">), </w:t>
      </w:r>
      <w:r w:rsidR="0085279C">
        <w:t xml:space="preserve">le </w:t>
      </w:r>
      <w:r w:rsidRPr="007919D2">
        <w:t>terapie intensive (</w:t>
      </w:r>
      <w:r w:rsidR="007919D2" w:rsidRPr="007919D2">
        <w:t xml:space="preserve">2.214 vs </w:t>
      </w:r>
      <w:r w:rsidR="0078235D" w:rsidRPr="007919D2">
        <w:t>2.372</w:t>
      </w:r>
      <w:r w:rsidR="007919D2" w:rsidRPr="007919D2">
        <w:t xml:space="preserve">) e </w:t>
      </w:r>
      <w:r w:rsidR="0085279C">
        <w:t xml:space="preserve">i </w:t>
      </w:r>
      <w:r w:rsidR="007919D2" w:rsidRPr="007919D2">
        <w:t xml:space="preserve">decessi (2.922 vs </w:t>
      </w:r>
      <w:r w:rsidR="0078235D" w:rsidRPr="007919D2">
        <w:t>3.265</w:t>
      </w:r>
      <w:r w:rsidRPr="007919D2">
        <w:t xml:space="preserve">) </w:t>
      </w:r>
      <w:r w:rsidR="00A42E47" w:rsidRPr="007919D2">
        <w:t>(</w:t>
      </w:r>
      <w:r w:rsidR="00A42E47" w:rsidRPr="007919D2">
        <w:rPr>
          <w:highlight w:val="yellow"/>
        </w:rPr>
        <w:t>figura 1</w:t>
      </w:r>
      <w:r w:rsidR="00A42E47" w:rsidRPr="007919D2">
        <w:t>)</w:t>
      </w:r>
      <w:r w:rsidR="00B33749" w:rsidRPr="007919D2">
        <w:t xml:space="preserve">. </w:t>
      </w:r>
      <w:r w:rsidRPr="007919D2">
        <w:t>In dettaglio, rispetto alla settimana precedente, si registrano le seguenti variazioni:</w:t>
      </w:r>
    </w:p>
    <w:p w14:paraId="40946D96" w14:textId="77777777" w:rsidR="00115E64" w:rsidRPr="007919D2" w:rsidRDefault="007919D2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7919D2">
        <w:t>Decessi: 2</w:t>
      </w:r>
      <w:r w:rsidR="00115E64" w:rsidRPr="007919D2">
        <w:t>.</w:t>
      </w:r>
      <w:r w:rsidRPr="007919D2">
        <w:t>922</w:t>
      </w:r>
      <w:r w:rsidR="00115E64" w:rsidRPr="007919D2">
        <w:t xml:space="preserve"> (-</w:t>
      </w:r>
      <w:r w:rsidRPr="007919D2">
        <w:t>10</w:t>
      </w:r>
      <w:r w:rsidR="00115E64" w:rsidRPr="007919D2">
        <w:t>,</w:t>
      </w:r>
      <w:r w:rsidRPr="007919D2">
        <w:t>5</w:t>
      </w:r>
      <w:r w:rsidR="00115E64" w:rsidRPr="007919D2">
        <w:t>%)</w:t>
      </w:r>
    </w:p>
    <w:p w14:paraId="193CF56D" w14:textId="77777777" w:rsidR="00115E64" w:rsidRPr="007919D2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7919D2">
        <w:t>Terapia intensiva: -1</w:t>
      </w:r>
      <w:r w:rsidR="007919D2">
        <w:t>58</w:t>
      </w:r>
      <w:r w:rsidRPr="007919D2">
        <w:t xml:space="preserve"> (-</w:t>
      </w:r>
      <w:r w:rsidR="007919D2">
        <w:t>6</w:t>
      </w:r>
      <w:r w:rsidRPr="007919D2">
        <w:t>,</w:t>
      </w:r>
      <w:r w:rsidR="007919D2">
        <w:t>7</w:t>
      </w:r>
      <w:r w:rsidRPr="007919D2">
        <w:t>%)</w:t>
      </w:r>
    </w:p>
    <w:p w14:paraId="52A01995" w14:textId="77777777" w:rsidR="00115E64" w:rsidRPr="007919D2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7919D2">
        <w:t xml:space="preserve">Ricoverati con sintomi: </w:t>
      </w:r>
      <w:r w:rsidR="0078235D" w:rsidRPr="007919D2">
        <w:t>-1.</w:t>
      </w:r>
      <w:r w:rsidR="007919D2">
        <w:t>038</w:t>
      </w:r>
      <w:r w:rsidRPr="007919D2">
        <w:t xml:space="preserve"> (-</w:t>
      </w:r>
      <w:r w:rsidR="007919D2">
        <w:t>4</w:t>
      </w:r>
      <w:r w:rsidRPr="007919D2">
        <w:t>,</w:t>
      </w:r>
      <w:r w:rsidR="0078235D" w:rsidRPr="007919D2">
        <w:t>9</w:t>
      </w:r>
      <w:r w:rsidRPr="007919D2">
        <w:t>%)</w:t>
      </w:r>
    </w:p>
    <w:p w14:paraId="630251CD" w14:textId="77777777" w:rsidR="00115E64" w:rsidRPr="007919D2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7919D2">
        <w:t xml:space="preserve">Nuovi casi: </w:t>
      </w:r>
      <w:r w:rsidR="007919D2">
        <w:t>84.652</w:t>
      </w:r>
      <w:r w:rsidRPr="007919D2">
        <w:t xml:space="preserve"> (-</w:t>
      </w:r>
      <w:r w:rsidR="007919D2">
        <w:t>0,8%)</w:t>
      </w:r>
    </w:p>
    <w:p w14:paraId="6B091C28" w14:textId="77777777" w:rsidR="00115E64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7919D2">
        <w:t>Casi attualmente positivi: -</w:t>
      </w:r>
      <w:r w:rsidR="007919D2">
        <w:t>44.652</w:t>
      </w:r>
      <w:r w:rsidRPr="007919D2">
        <w:t xml:space="preserve"> (-</w:t>
      </w:r>
      <w:r w:rsidR="0078235D" w:rsidRPr="007919D2">
        <w:t>9</w:t>
      </w:r>
      <w:r w:rsidRPr="007919D2">
        <w:t>,</w:t>
      </w:r>
      <w:r w:rsidR="007919D2">
        <w:t>3</w:t>
      </w:r>
      <w:r w:rsidRPr="007919D2">
        <w:t>%)</w:t>
      </w:r>
    </w:p>
    <w:p w14:paraId="578A1FF1" w14:textId="77777777" w:rsidR="004E494D" w:rsidRDefault="00115E64" w:rsidP="00943563">
      <w:pPr>
        <w:spacing w:line="276" w:lineRule="auto"/>
        <w:jc w:val="both"/>
      </w:pPr>
      <w:r w:rsidRPr="007919D2">
        <w:t>«</w:t>
      </w:r>
      <w:r w:rsidR="00DF638B">
        <w:t xml:space="preserve">Esauriti </w:t>
      </w:r>
      <w:r w:rsidR="0047675C" w:rsidRPr="00422F0E">
        <w:t>gli effetti del Decreto Natale</w:t>
      </w:r>
      <w:r w:rsidR="0033163F">
        <w:t xml:space="preserve"> </w:t>
      </w:r>
      <w:r w:rsidR="008E7D1D" w:rsidRPr="007919D2">
        <w:t>– afferma Nino Cartabellotta, Presidente della Fondazione GIMBE –</w:t>
      </w:r>
      <w:r w:rsidR="0085279C">
        <w:t xml:space="preserve"> </w:t>
      </w:r>
      <w:r w:rsidR="00DF638B">
        <w:t xml:space="preserve">si arresta </w:t>
      </w:r>
      <w:r w:rsidR="0085279C">
        <w:t>la discesa</w:t>
      </w:r>
      <w:r w:rsidR="00DF638B">
        <w:t xml:space="preserve"> dei nuovi casi settimanali, </w:t>
      </w:r>
      <w:r w:rsidR="00D75C76">
        <w:t xml:space="preserve">sostanzialmente </w:t>
      </w:r>
      <w:r w:rsidR="00834942">
        <w:t>stabili</w:t>
      </w:r>
      <w:r w:rsidR="00DF638B">
        <w:t xml:space="preserve"> guardando al dato nazionale, m</w:t>
      </w:r>
      <w:r w:rsidR="00C21406">
        <w:t>entre in diverse Regioni s’</w:t>
      </w:r>
      <w:r w:rsidR="0047675C">
        <w:t>intravedono i primi segnali di un’i</w:t>
      </w:r>
      <w:r w:rsidR="00D2275A">
        <w:t>nversione di tendenza</w:t>
      </w:r>
      <w:r w:rsidR="007E3126" w:rsidRPr="00422F0E">
        <w:t>»</w:t>
      </w:r>
      <w:r w:rsidR="007F7694" w:rsidRPr="00422F0E">
        <w:t>.</w:t>
      </w:r>
      <w:r w:rsidR="0047675C">
        <w:t xml:space="preserve"> </w:t>
      </w:r>
      <w:r w:rsidR="00D75C76">
        <w:t>Infatti, r</w:t>
      </w:r>
      <w:r w:rsidR="00C702FB">
        <w:t>is</w:t>
      </w:r>
      <w:r w:rsidR="00676890">
        <w:t xml:space="preserve">petto alla settimana precedente, </w:t>
      </w:r>
      <w:r w:rsidR="00C702FB" w:rsidRPr="00C702FB">
        <w:t>in</w:t>
      </w:r>
      <w:r w:rsidR="0047675C">
        <w:t xml:space="preserve"> </w:t>
      </w:r>
      <w:r w:rsidR="00C702FB">
        <w:t xml:space="preserve">9 Regioni risale </w:t>
      </w:r>
      <w:r w:rsidR="00C702FB" w:rsidRPr="00C702FB">
        <w:t>l’incremento percentuale dei nuovi casi</w:t>
      </w:r>
      <w:r w:rsidR="00C702FB">
        <w:t xml:space="preserve"> e in 5 </w:t>
      </w:r>
      <w:r w:rsidR="00676890">
        <w:t xml:space="preserve">Regioni </w:t>
      </w:r>
      <w:r w:rsidR="00C702FB">
        <w:t xml:space="preserve">si </w:t>
      </w:r>
      <w:r w:rsidR="002405B2">
        <w:t>registra</w:t>
      </w:r>
      <w:r w:rsidR="00C702FB">
        <w:t xml:space="preserve"> un aumento dei </w:t>
      </w:r>
      <w:r w:rsidR="00C702FB" w:rsidRPr="00C702FB">
        <w:t>casi attualment</w:t>
      </w:r>
      <w:r w:rsidR="00676890">
        <w:t>e positivi per 100.000 abitanti</w:t>
      </w:r>
      <w:r w:rsidR="00D2275A">
        <w:t xml:space="preserve"> </w:t>
      </w:r>
      <w:r w:rsidR="007E3126" w:rsidRPr="00422F0E">
        <w:t>(</w:t>
      </w:r>
      <w:r w:rsidR="007E3126" w:rsidRPr="00422F0E">
        <w:rPr>
          <w:highlight w:val="yellow"/>
        </w:rPr>
        <w:t>tabella</w:t>
      </w:r>
      <w:r w:rsidR="007E3126" w:rsidRPr="00422F0E">
        <w:t>)</w:t>
      </w:r>
      <w:r w:rsidR="00C702FB">
        <w:t>.</w:t>
      </w:r>
      <w:r w:rsidR="004E494D">
        <w:t xml:space="preserve"> </w:t>
      </w:r>
      <w:r w:rsidR="00891920" w:rsidRPr="007919D2">
        <w:t>«</w:t>
      </w:r>
      <w:r w:rsidR="00891920">
        <w:t xml:space="preserve">Segnali </w:t>
      </w:r>
      <w:r w:rsidR="00891920" w:rsidRPr="007919D2">
        <w:t xml:space="preserve">– </w:t>
      </w:r>
      <w:r w:rsidR="00891920">
        <w:t xml:space="preserve">ribadisce il Presidente </w:t>
      </w:r>
      <w:r w:rsidR="00891920" w:rsidRPr="007919D2">
        <w:t>–</w:t>
      </w:r>
      <w:r w:rsidR="00891920">
        <w:t xml:space="preserve"> che invitano a tenere alta l’attenzione sulla diffusione delle nuove varianti</w:t>
      </w:r>
      <w:r w:rsidR="00ED6EEA">
        <w:t>, potenziando il sequenziamento del virus ove si rilevano incrementi anomali dei nuovi casi</w:t>
      </w:r>
      <w:r w:rsidR="00891920" w:rsidRPr="00422F0E">
        <w:t>».</w:t>
      </w:r>
    </w:p>
    <w:p w14:paraId="68F852AA" w14:textId="77777777" w:rsidR="00D2275A" w:rsidRPr="00676890" w:rsidRDefault="00C702FB" w:rsidP="00943563">
      <w:pPr>
        <w:spacing w:line="276" w:lineRule="auto"/>
        <w:jc w:val="both"/>
      </w:pPr>
      <w:r w:rsidRPr="007919D2">
        <w:t>«</w:t>
      </w:r>
      <w:r>
        <w:t xml:space="preserve">A livello ospedaliero </w:t>
      </w:r>
      <w:r w:rsidRPr="007919D2">
        <w:t xml:space="preserve">– </w:t>
      </w:r>
      <w:r>
        <w:t xml:space="preserve">spiega Renata Gili, responsabile Ricerca sui Servizi Sanitari </w:t>
      </w:r>
      <w:r w:rsidR="00DD2CA2">
        <w:t xml:space="preserve">della Fondazione GIMBE </w:t>
      </w:r>
      <w:r w:rsidRPr="007919D2">
        <w:t xml:space="preserve">– </w:t>
      </w:r>
      <w:r w:rsidR="00D2275A" w:rsidRPr="00C702FB">
        <w:t xml:space="preserve">nonostante </w:t>
      </w:r>
      <w:r w:rsidR="00D75C76">
        <w:t>un’</w:t>
      </w:r>
      <w:r w:rsidR="002B4D30" w:rsidRPr="00C702FB">
        <w:t xml:space="preserve">ulteriore </w:t>
      </w:r>
      <w:r w:rsidR="00D75C76">
        <w:t xml:space="preserve">lieve </w:t>
      </w:r>
      <w:r w:rsidR="00D2275A" w:rsidRPr="00C702FB">
        <w:t xml:space="preserve">discesa di ricoveri e terapie intensive, l’occupazione da parte di pazienti COVID supera in </w:t>
      </w:r>
      <w:r w:rsidR="00121465">
        <w:t>5</w:t>
      </w:r>
      <w:r w:rsidR="00121465" w:rsidRPr="00C702FB">
        <w:t xml:space="preserve"> </w:t>
      </w:r>
      <w:r w:rsidR="00D2275A" w:rsidRPr="00C702FB">
        <w:t xml:space="preserve">Regioni la soglia del 40% in area medica e in </w:t>
      </w:r>
      <w:r w:rsidR="00121465">
        <w:t>6</w:t>
      </w:r>
      <w:r w:rsidR="00121465" w:rsidRPr="00C702FB">
        <w:t xml:space="preserve"> </w:t>
      </w:r>
      <w:r w:rsidR="00D2275A" w:rsidRPr="00C702FB">
        <w:t xml:space="preserve">Regioni quella </w:t>
      </w:r>
      <w:r>
        <w:t>del 30% delle terapie intensive</w:t>
      </w:r>
      <w:r w:rsidRPr="00422F0E">
        <w:t>».</w:t>
      </w:r>
    </w:p>
    <w:p w14:paraId="1988361A" w14:textId="4884FA8B" w:rsidR="00050361" w:rsidRDefault="00AB6578" w:rsidP="00683296">
      <w:pPr>
        <w:spacing w:line="276" w:lineRule="auto"/>
        <w:jc w:val="both"/>
      </w:pPr>
      <w:r w:rsidRPr="008049E8">
        <w:rPr>
          <w:b/>
        </w:rPr>
        <w:t>Vaccini: forniture</w:t>
      </w:r>
      <w:r w:rsidR="00764154" w:rsidRPr="008049E8">
        <w:t xml:space="preserve">. </w:t>
      </w:r>
      <w:r w:rsidR="0070462C">
        <w:t xml:space="preserve">Sulla base </w:t>
      </w:r>
      <w:r w:rsidR="00DE5203">
        <w:t>delle d</w:t>
      </w:r>
      <w:r w:rsidR="0018536B">
        <w:t>ecisioni prese</w:t>
      </w:r>
      <w:r w:rsidR="00DE5203">
        <w:t xml:space="preserve"> </w:t>
      </w:r>
      <w:r w:rsidR="0018536B">
        <w:t>durante l’</w:t>
      </w:r>
      <w:r w:rsidR="0018536B" w:rsidRPr="0018536B">
        <w:t>incontro tra Governo, Regioni e Commissario per l'emergenza</w:t>
      </w:r>
      <w:r w:rsidR="0018536B">
        <w:t xml:space="preserve"> </w:t>
      </w:r>
      <w:r w:rsidR="0070462C">
        <w:t>del</w:t>
      </w:r>
      <w:r w:rsidR="0018536B">
        <w:t xml:space="preserve"> 3 febbraio, </w:t>
      </w:r>
      <w:r w:rsidR="002405B2">
        <w:t xml:space="preserve">le forniture previste </w:t>
      </w:r>
      <w:r w:rsidR="002F4912">
        <w:t>per il primo trimestre 2021</w:t>
      </w:r>
      <w:r w:rsidR="0018536B">
        <w:t xml:space="preserve"> sono </w:t>
      </w:r>
      <w:r w:rsidR="00D34EE3">
        <w:t>le seguenti</w:t>
      </w:r>
      <w:r w:rsidR="00056307">
        <w:t>:</w:t>
      </w:r>
    </w:p>
    <w:p w14:paraId="19903DF8" w14:textId="664DEB5E" w:rsidR="00246D6A" w:rsidRDefault="00246D6A" w:rsidP="00246D6A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 xml:space="preserve">Pfizer-BioNTech </w:t>
      </w:r>
      <w:r w:rsidR="00B75CC0">
        <w:t xml:space="preserve">si è impegnata a </w:t>
      </w:r>
      <w:r>
        <w:t xml:space="preserve">fornire </w:t>
      </w:r>
      <w:r w:rsidRPr="008208C4">
        <w:t>7</w:t>
      </w:r>
      <w:r>
        <w:t>,</w:t>
      </w:r>
      <w:r w:rsidR="0018536B">
        <w:t>56</w:t>
      </w:r>
      <w:r>
        <w:t xml:space="preserve"> milioni di dosi</w:t>
      </w:r>
      <w:r w:rsidR="0033163F">
        <w:t>.</w:t>
      </w:r>
    </w:p>
    <w:p w14:paraId="4DA60140" w14:textId="77777777" w:rsidR="00246D6A" w:rsidRDefault="00246D6A" w:rsidP="00246D6A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 xml:space="preserve">Moderna ha confermato </w:t>
      </w:r>
      <w:r w:rsidR="00B30802">
        <w:t xml:space="preserve">la fornitura di </w:t>
      </w:r>
      <w:r>
        <w:t>1,3</w:t>
      </w:r>
      <w:r w:rsidR="0018536B">
        <w:t>2</w:t>
      </w:r>
      <w:r>
        <w:t xml:space="preserve"> milioni di dosi previste dal piano vaccinale</w:t>
      </w:r>
      <w:r w:rsidR="002405B2">
        <w:t>.</w:t>
      </w:r>
    </w:p>
    <w:p w14:paraId="748AC9E4" w14:textId="0EC44C7A" w:rsidR="00246D6A" w:rsidRDefault="00246D6A" w:rsidP="00246D6A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 xml:space="preserve">AstraZeneca </w:t>
      </w:r>
      <w:r w:rsidR="007F356B">
        <w:t xml:space="preserve">si è impegnata a consegnare </w:t>
      </w:r>
      <w:r w:rsidR="0018536B">
        <w:t>5,3</w:t>
      </w:r>
      <w:r>
        <w:t xml:space="preserve"> </w:t>
      </w:r>
      <w:r w:rsidR="0022493F">
        <w:t>milioni di dosi</w:t>
      </w:r>
      <w:r w:rsidR="0018536B">
        <w:t>, aumentate</w:t>
      </w:r>
      <w:r w:rsidR="00D34EE3">
        <w:t xml:space="preserve"> </w:t>
      </w:r>
      <w:r>
        <w:t xml:space="preserve">secondo quanto </w:t>
      </w:r>
      <w:hyperlink r:id="rId8" w:history="1">
        <w:r w:rsidRPr="00F62E90">
          <w:rPr>
            <w:rStyle w:val="Collegamentoipertestuale"/>
          </w:rPr>
          <w:t>annunciato dalla Presidente</w:t>
        </w:r>
        <w:r w:rsidR="002F4912">
          <w:rPr>
            <w:rStyle w:val="Collegamentoipertestuale"/>
          </w:rPr>
          <w:t xml:space="preserve"> della Commissione Europea</w:t>
        </w:r>
        <w:r w:rsidRPr="00F62E90">
          <w:rPr>
            <w:rStyle w:val="Collegamentoipertestuale"/>
          </w:rPr>
          <w:t xml:space="preserve"> Von </w:t>
        </w:r>
        <w:proofErr w:type="spellStart"/>
        <w:r w:rsidRPr="00F62E90">
          <w:rPr>
            <w:rStyle w:val="Collegamentoipertestuale"/>
          </w:rPr>
          <w:t>der</w:t>
        </w:r>
        <w:proofErr w:type="spellEnd"/>
        <w:r w:rsidRPr="00F62E90">
          <w:rPr>
            <w:rStyle w:val="Collegamentoipertestuale"/>
          </w:rPr>
          <w:t xml:space="preserve"> </w:t>
        </w:r>
        <w:proofErr w:type="spellStart"/>
        <w:r w:rsidRPr="00F62E90">
          <w:rPr>
            <w:rStyle w:val="Collegamentoipertestuale"/>
          </w:rPr>
          <w:t>Leyen</w:t>
        </w:r>
        <w:proofErr w:type="spellEnd"/>
      </w:hyperlink>
      <w:r w:rsidR="002405B2">
        <w:t>.</w:t>
      </w:r>
    </w:p>
    <w:p w14:paraId="67B92E34" w14:textId="2B108520" w:rsidR="000C1E61" w:rsidRPr="000C1E61" w:rsidRDefault="00AB2A21" w:rsidP="00856349">
      <w:pPr>
        <w:spacing w:line="276" w:lineRule="auto"/>
        <w:jc w:val="both"/>
      </w:pPr>
      <w:r>
        <w:t>Complessivamente</w:t>
      </w:r>
      <w:r w:rsidR="007E3CDD">
        <w:t xml:space="preserve"> </w:t>
      </w:r>
      <w:r>
        <w:t xml:space="preserve">nel </w:t>
      </w:r>
      <w:r w:rsidR="00422F0E">
        <w:t>primo trimestre</w:t>
      </w:r>
      <w:r w:rsidR="0018536B">
        <w:t>, considerando anche le 480.000 consegnate nel mese di dicembre 2020,</w:t>
      </w:r>
      <w:r w:rsidR="0040065C">
        <w:t xml:space="preserve"> </w:t>
      </w:r>
      <w:r w:rsidR="006A7064">
        <w:t xml:space="preserve">si </w:t>
      </w:r>
      <w:r w:rsidR="00422F0E">
        <w:t xml:space="preserve">stima la </w:t>
      </w:r>
      <w:r w:rsidR="0071584F">
        <w:t xml:space="preserve">disponibilità </w:t>
      </w:r>
      <w:r w:rsidR="00422F0E">
        <w:t xml:space="preserve">di </w:t>
      </w:r>
      <w:r w:rsidR="0018536B">
        <w:t xml:space="preserve">14,7 </w:t>
      </w:r>
      <w:r w:rsidR="00856349">
        <w:t>milioni di dosi</w:t>
      </w:r>
      <w:r w:rsidR="00246D6A">
        <w:t xml:space="preserve"> </w:t>
      </w:r>
      <w:r w:rsidR="0071584F">
        <w:t xml:space="preserve">(di cui già consegnate quasi 2,4 milioni) che </w:t>
      </w:r>
      <w:r w:rsidR="00246D6A">
        <w:t xml:space="preserve">permetterebbero di </w:t>
      </w:r>
      <w:r w:rsidR="007328C0">
        <w:t xml:space="preserve">completare </w:t>
      </w:r>
      <w:r w:rsidR="00EC7592">
        <w:t xml:space="preserve">il ciclo vaccinale </w:t>
      </w:r>
      <w:r w:rsidR="007328C0">
        <w:t xml:space="preserve">di </w:t>
      </w:r>
      <w:r w:rsidR="0018536B">
        <w:t xml:space="preserve">7,3 </w:t>
      </w:r>
      <w:r w:rsidR="00EC7592">
        <w:t>milioni di persone (</w:t>
      </w:r>
      <w:r w:rsidR="0018536B">
        <w:t>circa 12</w:t>
      </w:r>
      <w:r w:rsidR="00EC7592">
        <w:t>% della popolazione</w:t>
      </w:r>
      <w:r w:rsidR="0071584F">
        <w:t xml:space="preserve">). </w:t>
      </w:r>
      <w:r w:rsidR="007E3CDD" w:rsidRPr="007919D2">
        <w:t>«</w:t>
      </w:r>
      <w:r w:rsidR="00937CEC">
        <w:t xml:space="preserve">In conseguenza degli annunciati ritardi </w:t>
      </w:r>
      <w:r w:rsidR="007E3CDD" w:rsidRPr="007919D2">
        <w:t xml:space="preserve">– </w:t>
      </w:r>
      <w:r w:rsidR="007E3CDD">
        <w:t xml:space="preserve">precisa Gili </w:t>
      </w:r>
      <w:r w:rsidR="007E3CDD" w:rsidRPr="007919D2">
        <w:t>–</w:t>
      </w:r>
      <w:r w:rsidR="007328C0" w:rsidRPr="000C1E61">
        <w:t xml:space="preserve">le forniture si concentreranno nella seconda metà del </w:t>
      </w:r>
      <w:r w:rsidR="007328C0" w:rsidRPr="000C1E61">
        <w:lastRenderedPageBreak/>
        <w:t>primo trimestre</w:t>
      </w:r>
      <w:r w:rsidR="00937CEC">
        <w:t xml:space="preserve"> e per la maggior parte nel mese di marzo.</w:t>
      </w:r>
      <w:r w:rsidR="006A4D37">
        <w:t xml:space="preserve"> </w:t>
      </w:r>
      <w:r w:rsidR="00937CEC">
        <w:t>S</w:t>
      </w:r>
      <w:r w:rsidR="000C1F3E">
        <w:t xml:space="preserve">enza un </w:t>
      </w:r>
      <w:r w:rsidR="0071584F">
        <w:t xml:space="preserve">imponente potenziamento </w:t>
      </w:r>
      <w:r w:rsidR="000C1F3E">
        <w:t>della macchina organizzativa,</w:t>
      </w:r>
      <w:r w:rsidR="00937CEC">
        <w:t xml:space="preserve"> quindi,</w:t>
      </w:r>
      <w:r w:rsidR="000C1F3E">
        <w:t xml:space="preserve"> sarà impossibile somministrare tutte le dosi</w:t>
      </w:r>
      <w:r w:rsidR="007A46FF">
        <w:t xml:space="preserve"> prima d</w:t>
      </w:r>
      <w:r w:rsidR="0071584F">
        <w:t xml:space="preserve">i fine </w:t>
      </w:r>
      <w:r w:rsidR="007A46FF">
        <w:t>aprile</w:t>
      </w:r>
      <w:r w:rsidR="007E3CDD" w:rsidRPr="00422F0E">
        <w:t>».</w:t>
      </w:r>
    </w:p>
    <w:p w14:paraId="462E6E70" w14:textId="77777777" w:rsidR="00FB4D5D" w:rsidRDefault="00AB6578" w:rsidP="00943563">
      <w:pPr>
        <w:spacing w:line="276" w:lineRule="auto"/>
        <w:jc w:val="both"/>
      </w:pPr>
      <w:r w:rsidRPr="002D16D8">
        <w:rPr>
          <w:b/>
        </w:rPr>
        <w:t>Vaccini: somministrazioni</w:t>
      </w:r>
      <w:r w:rsidR="00A01DC5" w:rsidRPr="002D16D8">
        <w:rPr>
          <w:b/>
        </w:rPr>
        <w:t>.</w:t>
      </w:r>
      <w:r w:rsidR="0012563F">
        <w:t xml:space="preserve"> </w:t>
      </w:r>
      <w:r w:rsidRPr="002D16D8">
        <w:t xml:space="preserve">Al </w:t>
      </w:r>
      <w:r w:rsidR="00680605" w:rsidRPr="002D16D8">
        <w:t>3 febbraio</w:t>
      </w:r>
      <w:r w:rsidR="000F76E4" w:rsidRPr="002D16D8">
        <w:t xml:space="preserve"> (</w:t>
      </w:r>
      <w:r w:rsidR="00B33749" w:rsidRPr="002D16D8">
        <w:t xml:space="preserve">aggiornamento ore </w:t>
      </w:r>
      <w:r w:rsidR="002D16D8" w:rsidRPr="002D16D8">
        <w:t>14.02</w:t>
      </w:r>
      <w:r w:rsidR="000F76E4" w:rsidRPr="002D16D8">
        <w:t>)</w:t>
      </w:r>
      <w:r w:rsidRPr="002D16D8">
        <w:t xml:space="preserve"> hanno completato il ciclo vaccinale</w:t>
      </w:r>
      <w:r w:rsidR="001D0F3D" w:rsidRPr="002D16D8">
        <w:t xml:space="preserve"> con </w:t>
      </w:r>
      <w:r w:rsidR="00EC5313" w:rsidRPr="002D16D8">
        <w:t>la seconda dose</w:t>
      </w:r>
      <w:r w:rsidR="00B33749" w:rsidRPr="002D16D8">
        <w:t xml:space="preserve"> </w:t>
      </w:r>
      <w:r w:rsidR="002D16D8" w:rsidRPr="002D16D8">
        <w:t>808.306</w:t>
      </w:r>
      <w:r w:rsidR="00B33749" w:rsidRPr="002D16D8">
        <w:t xml:space="preserve"> </w:t>
      </w:r>
      <w:r w:rsidRPr="002D16D8">
        <w:t>persone (</w:t>
      </w:r>
      <w:r w:rsidR="002D16D8" w:rsidRPr="002D16D8">
        <w:t>1,36</w:t>
      </w:r>
      <w:r w:rsidR="000E29C4" w:rsidRPr="002D16D8">
        <w:t>%</w:t>
      </w:r>
      <w:r w:rsidRPr="002D16D8">
        <w:t xml:space="preserve"> della popolazione), con marcate differenze regionali: dallo </w:t>
      </w:r>
      <w:r w:rsidR="002D16D8" w:rsidRPr="002D16D8">
        <w:t>0,80</w:t>
      </w:r>
      <w:r w:rsidRPr="002D16D8">
        <w:t xml:space="preserve">% della </w:t>
      </w:r>
      <w:r w:rsidR="002D16D8" w:rsidRPr="002D16D8">
        <w:t>Calabria</w:t>
      </w:r>
      <w:r w:rsidRPr="002D16D8">
        <w:t xml:space="preserve"> all</w:t>
      </w:r>
      <w:r w:rsidR="002D16D8" w:rsidRPr="002D16D8">
        <w:t>’1,89% dell’Emilia-Romagna</w:t>
      </w:r>
      <w:r w:rsidRPr="002D16D8">
        <w:t xml:space="preserve"> </w:t>
      </w:r>
      <w:r w:rsidRPr="000E29C4">
        <w:t>(</w:t>
      </w:r>
      <w:r w:rsidRPr="000E29C4">
        <w:rPr>
          <w:highlight w:val="yellow"/>
        </w:rPr>
        <w:t xml:space="preserve">figura </w:t>
      </w:r>
      <w:r w:rsidR="00E50120">
        <w:rPr>
          <w:highlight w:val="yellow"/>
        </w:rPr>
        <w:t>2</w:t>
      </w:r>
      <w:r w:rsidRPr="000E29C4">
        <w:t>).</w:t>
      </w:r>
      <w:r w:rsidR="000E29C4" w:rsidRPr="000E29C4">
        <w:t xml:space="preserve"> </w:t>
      </w:r>
      <w:r w:rsidR="00C65ED7">
        <w:t xml:space="preserve">Inoltre, </w:t>
      </w:r>
      <w:r w:rsidR="00C65ED7" w:rsidRPr="000E29C4">
        <w:t xml:space="preserve">negli ultimi </w:t>
      </w:r>
      <w:r w:rsidR="00DD2BC5">
        <w:t>1</w:t>
      </w:r>
      <w:r w:rsidR="002D16D8">
        <w:t>2</w:t>
      </w:r>
      <w:r w:rsidR="00DD2BC5" w:rsidRPr="000E29C4">
        <w:t xml:space="preserve"> </w:t>
      </w:r>
      <w:r w:rsidR="00C65ED7" w:rsidRPr="000E29C4">
        <w:t>giorni, a causa dei ritardi nelle consegne</w:t>
      </w:r>
      <w:r w:rsidR="00C65ED7">
        <w:t xml:space="preserve">, </w:t>
      </w:r>
      <w:r w:rsidR="00473644">
        <w:t>so</w:t>
      </w:r>
      <w:r w:rsidR="00C65ED7" w:rsidRPr="000E29C4">
        <w:t>no state somministrate quasi esclusivamente seconde dosi</w:t>
      </w:r>
      <w:r w:rsidR="00C65ED7">
        <w:t xml:space="preserve"> (</w:t>
      </w:r>
      <w:r w:rsidR="00C65ED7" w:rsidRPr="000E29C4">
        <w:rPr>
          <w:highlight w:val="yellow"/>
        </w:rPr>
        <w:t xml:space="preserve">figura </w:t>
      </w:r>
      <w:r w:rsidR="00E50120">
        <w:rPr>
          <w:highlight w:val="yellow"/>
        </w:rPr>
        <w:t>3</w:t>
      </w:r>
      <w:r w:rsidR="00C65ED7">
        <w:t>)</w:t>
      </w:r>
      <w:r w:rsidR="00C65ED7" w:rsidRPr="000E29C4">
        <w:t>.</w:t>
      </w:r>
      <w:r w:rsidR="00C65ED7">
        <w:t xml:space="preserve"> </w:t>
      </w:r>
      <w:r w:rsidR="00473644">
        <w:t xml:space="preserve">Complessivamente, </w:t>
      </w:r>
      <w:r w:rsidR="00473644" w:rsidRPr="002D16D8">
        <w:t xml:space="preserve">il </w:t>
      </w:r>
      <w:r w:rsidR="00C65ED7" w:rsidRPr="002D16D8">
        <w:t xml:space="preserve">71% delle dosi sono state </w:t>
      </w:r>
      <w:r w:rsidR="006272E8" w:rsidRPr="002D16D8">
        <w:t xml:space="preserve">destinate </w:t>
      </w:r>
      <w:r w:rsidR="00C65ED7" w:rsidRPr="002D16D8">
        <w:t xml:space="preserve">a “operatori sanitari e sociosanitari”, </w:t>
      </w:r>
      <w:r w:rsidR="00A74534" w:rsidRPr="002D16D8">
        <w:t>il 19% a “personale non sanitario”, il 9% a “personale ed ospiti delle RSA” e l’</w:t>
      </w:r>
      <w:r w:rsidR="00FB4D5D" w:rsidRPr="002D16D8">
        <w:t xml:space="preserve">1% a “persone di età ≥80 anni” </w:t>
      </w:r>
      <w:r w:rsidR="00FB4D5D" w:rsidRPr="00C65ED7">
        <w:t>(</w:t>
      </w:r>
      <w:r w:rsidR="00FB4D5D" w:rsidRPr="00E50120">
        <w:rPr>
          <w:highlight w:val="yellow"/>
        </w:rPr>
        <w:t>figura 4</w:t>
      </w:r>
      <w:r w:rsidR="00FB4D5D" w:rsidRPr="00C65ED7">
        <w:t>)</w:t>
      </w:r>
      <w:r w:rsidR="00FB4D5D">
        <w:t>.</w:t>
      </w:r>
    </w:p>
    <w:p w14:paraId="7E4F8797" w14:textId="77777777" w:rsidR="007114CD" w:rsidRDefault="00FB4D5D" w:rsidP="00943563">
      <w:pPr>
        <w:spacing w:line="276" w:lineRule="auto"/>
        <w:jc w:val="both"/>
      </w:pPr>
      <w:r w:rsidRPr="004D5F43">
        <w:t>«</w:t>
      </w:r>
      <w:r w:rsidR="00970677">
        <w:t xml:space="preserve">È stato chiarito </w:t>
      </w:r>
      <w:r w:rsidR="00C65ED7">
        <w:t xml:space="preserve">– </w:t>
      </w:r>
      <w:r w:rsidR="00514010">
        <w:t xml:space="preserve">spiega Cartabellotta – </w:t>
      </w:r>
      <w:r w:rsidR="00970677">
        <w:t xml:space="preserve">che il “personale non sanitario”, </w:t>
      </w:r>
      <w:r w:rsidR="00DD2BC5">
        <w:t xml:space="preserve">ufficialmente non </w:t>
      </w:r>
      <w:r w:rsidR="007F4250">
        <w:t>previsto dal</w:t>
      </w:r>
      <w:r w:rsidR="00252C1E">
        <w:t xml:space="preserve"> </w:t>
      </w:r>
      <w:r w:rsidR="00514010">
        <w:t xml:space="preserve">Piano vaccinale, </w:t>
      </w:r>
      <w:r w:rsidR="00DD2BC5">
        <w:t xml:space="preserve">include </w:t>
      </w:r>
      <w:r w:rsidR="00514010">
        <w:t xml:space="preserve">persone che </w:t>
      </w:r>
      <w:r w:rsidR="00C65ED7">
        <w:t>a vario titolo lavorano nelle stru</w:t>
      </w:r>
      <w:r w:rsidR="00514010">
        <w:t>tture ospedaliere e sanitarie</w:t>
      </w:r>
      <w:r w:rsidR="00970677">
        <w:t>. Ma</w:t>
      </w:r>
      <w:r w:rsidR="001E2B2E">
        <w:t>,</w:t>
      </w:r>
      <w:r w:rsidR="00DD2BC5">
        <w:t xml:space="preserve"> in assenza di un’anagrafe vaccinale nazionale</w:t>
      </w:r>
      <w:r w:rsidR="001E2B2E">
        <w:t>,</w:t>
      </w:r>
      <w:r w:rsidR="00DD2BC5">
        <w:t xml:space="preserve"> </w:t>
      </w:r>
      <w:r w:rsidR="002405B2">
        <w:t xml:space="preserve">in questa categoria </w:t>
      </w:r>
      <w:r w:rsidR="00DF53EB">
        <w:t xml:space="preserve">possono confluire </w:t>
      </w:r>
      <w:r w:rsidR="007114CD">
        <w:t xml:space="preserve">anche </w:t>
      </w:r>
      <w:r w:rsidR="007E2BC9">
        <w:t xml:space="preserve">soggetti </w:t>
      </w:r>
      <w:r w:rsidR="00DF53EB">
        <w:t xml:space="preserve">al momento </w:t>
      </w:r>
      <w:r w:rsidR="007F4250">
        <w:t xml:space="preserve">esclusi </w:t>
      </w:r>
      <w:r w:rsidR="00D0444B">
        <w:t>da</w:t>
      </w:r>
      <w:r w:rsidR="00DF53EB">
        <w:t xml:space="preserve">lle categorie </w:t>
      </w:r>
      <w:r w:rsidR="007F4250">
        <w:t>prioritarie</w:t>
      </w:r>
      <w:r w:rsidR="007E2BC9" w:rsidRPr="00422F0E">
        <w:t>»</w:t>
      </w:r>
      <w:r w:rsidR="007E2BC9">
        <w:t>.</w:t>
      </w:r>
      <w:r w:rsidR="00514010">
        <w:t xml:space="preserve"> </w:t>
      </w:r>
      <w:r w:rsidR="00DF53EB">
        <w:t>Peraltro, r</w:t>
      </w:r>
      <w:r w:rsidR="00252C1E">
        <w:t>ispetto a</w:t>
      </w:r>
      <w:r w:rsidR="00970677">
        <w:t>lla media nazionale del 19%</w:t>
      </w:r>
      <w:r w:rsidR="00252C1E">
        <w:t xml:space="preserve">, </w:t>
      </w:r>
      <w:r w:rsidR="00D12520">
        <w:t xml:space="preserve">dal </w:t>
      </w:r>
      <w:hyperlink r:id="rId9" w:history="1">
        <w:r w:rsidR="00514010" w:rsidRPr="00DD2BC5">
          <w:rPr>
            <w:rStyle w:val="Collegamentoipertestuale"/>
          </w:rPr>
          <w:t>database ufficiale</w:t>
        </w:r>
      </w:hyperlink>
      <w:r w:rsidR="00DF53EB">
        <w:t xml:space="preserve"> risulta una notevole </w:t>
      </w:r>
      <w:r w:rsidR="007114CD">
        <w:t>variabilità regionale</w:t>
      </w:r>
      <w:r w:rsidR="00252C1E">
        <w:t xml:space="preserve">: </w:t>
      </w:r>
      <w:r w:rsidR="00A53D93">
        <w:t>da</w:t>
      </w:r>
      <w:r w:rsidR="007E2BC9">
        <w:t>l</w:t>
      </w:r>
      <w:r w:rsidR="00A53D93">
        <w:t xml:space="preserve"> 2% dell’Umbria al 32% di Basilicata e </w:t>
      </w:r>
      <w:r w:rsidR="00A53D93" w:rsidRPr="002D16D8">
        <w:t xml:space="preserve">Lombardia </w:t>
      </w:r>
      <w:r w:rsidR="007114CD">
        <w:t>(</w:t>
      </w:r>
      <w:r w:rsidR="007114CD" w:rsidRPr="007114CD">
        <w:rPr>
          <w:highlight w:val="yellow"/>
        </w:rPr>
        <w:t>figura 4</w:t>
      </w:r>
      <w:r w:rsidR="007114CD">
        <w:t>)</w:t>
      </w:r>
      <w:r w:rsidR="00A74534" w:rsidRPr="002D16D8">
        <w:t>.</w:t>
      </w:r>
      <w:r w:rsidR="007114CD">
        <w:t xml:space="preserve"> </w:t>
      </w:r>
      <w:r w:rsidR="007114CD" w:rsidRPr="00A53D93">
        <w:t>La Fondazione GIMBE</w:t>
      </w:r>
      <w:r w:rsidR="00A53D93" w:rsidRPr="00A53D93">
        <w:t>,</w:t>
      </w:r>
      <w:r w:rsidR="007114CD" w:rsidRPr="00A53D93">
        <w:t xml:space="preserve"> al fine di sanare eventuali incongruenze, </w:t>
      </w:r>
      <w:r w:rsidR="00252C1E">
        <w:t xml:space="preserve">ribadisce l’invito a </w:t>
      </w:r>
      <w:r w:rsidR="00A53D93" w:rsidRPr="00A53D93">
        <w:t>Regioni e Province Autonome</w:t>
      </w:r>
      <w:r w:rsidR="007E2BC9">
        <w:t xml:space="preserve"> a</w:t>
      </w:r>
      <w:r w:rsidR="00A53D93" w:rsidRPr="00A53D93">
        <w:t xml:space="preserve"> </w:t>
      </w:r>
      <w:r w:rsidR="007114CD" w:rsidRPr="00A53D93">
        <w:t>verificare ed eventualmente rettificare i dati trasmessi a</w:t>
      </w:r>
      <w:r w:rsidR="007E2BC9">
        <w:t xml:space="preserve"> livello centrale </w:t>
      </w:r>
      <w:r w:rsidR="007114CD" w:rsidRPr="00A53D93">
        <w:t>che alimentano la dashboard sui Report Vaccini Anti COVID-19.</w:t>
      </w:r>
    </w:p>
    <w:p w14:paraId="4C11A1F1" w14:textId="77777777" w:rsidR="006F17C1" w:rsidRDefault="004D5F43" w:rsidP="006F17C1">
      <w:pPr>
        <w:spacing w:line="276" w:lineRule="auto"/>
        <w:jc w:val="both"/>
      </w:pPr>
      <w:r w:rsidRPr="004D5F43">
        <w:t>«</w:t>
      </w:r>
      <w:r w:rsidR="00FB4D5D">
        <w:t xml:space="preserve">Nel bel mezzo della crisi di Governo </w:t>
      </w:r>
      <w:r w:rsidRPr="004D5F43">
        <w:t xml:space="preserve">– conclude Cartabellotta – </w:t>
      </w:r>
      <w:r w:rsidR="00FB4D5D">
        <w:t xml:space="preserve">stiamo </w:t>
      </w:r>
      <w:r>
        <w:t xml:space="preserve">attraversando una </w:t>
      </w:r>
      <w:r w:rsidR="007F5E48">
        <w:t xml:space="preserve">delle fasi più critiche </w:t>
      </w:r>
      <w:r w:rsidRPr="004D5F43">
        <w:t>della pandemia</w:t>
      </w:r>
      <w:r>
        <w:t xml:space="preserve">: </w:t>
      </w:r>
      <w:r w:rsidR="002D0E17">
        <w:t xml:space="preserve">da un lato </w:t>
      </w:r>
      <w:r w:rsidR="006F17C1">
        <w:t>l’inevitabile rallentamento del</w:t>
      </w:r>
      <w:r>
        <w:t xml:space="preserve">la campagna vaccinale, </w:t>
      </w:r>
      <w:r w:rsidRPr="004D5F43">
        <w:t xml:space="preserve">segnata da continue </w:t>
      </w:r>
      <w:r>
        <w:t>revisioni</w:t>
      </w:r>
      <w:r w:rsidRPr="004D5F43">
        <w:t xml:space="preserve"> al ribasso delle forniture</w:t>
      </w:r>
      <w:r w:rsidR="002D0E17">
        <w:t xml:space="preserve">, dall’altro </w:t>
      </w:r>
      <w:r w:rsidR="00D75C76">
        <w:t>i primi segnali di aumento d</w:t>
      </w:r>
      <w:r w:rsidR="007F5E48">
        <w:t xml:space="preserve">i </w:t>
      </w:r>
      <w:r>
        <w:t>circolazione del virus</w:t>
      </w:r>
      <w:r w:rsidR="00F063A9">
        <w:t xml:space="preserve">, </w:t>
      </w:r>
      <w:r w:rsidR="007F5E48">
        <w:t>indubbiamente</w:t>
      </w:r>
      <w:r w:rsidR="006F17C1">
        <w:t xml:space="preserve"> </w:t>
      </w:r>
      <w:r w:rsidR="00D75C76">
        <w:t xml:space="preserve">sottostimata. </w:t>
      </w:r>
      <w:r w:rsidR="00D75C76" w:rsidRPr="00D75C76">
        <w:t xml:space="preserve">Ma soprattutto </w:t>
      </w:r>
      <w:r w:rsidR="00D75C76">
        <w:t xml:space="preserve">incombe </w:t>
      </w:r>
      <w:r w:rsidR="00D75C76" w:rsidRPr="00D75C76">
        <w:t>la minaccia delle nuove varianti, già sbarcate in Italia</w:t>
      </w:r>
      <w:r w:rsidR="00D75C76">
        <w:t>, che rischiano di far impennare la curva dei contagi</w:t>
      </w:r>
      <w:r w:rsidR="006F17C1">
        <w:t xml:space="preserve">. Nel frattempo, </w:t>
      </w:r>
      <w:r w:rsidR="00FB4D5D">
        <w:t xml:space="preserve">in </w:t>
      </w:r>
      <w:r w:rsidR="00661A34">
        <w:t>un’</w:t>
      </w:r>
      <w:r w:rsidR="00F063A9">
        <w:t xml:space="preserve">Italia </w:t>
      </w:r>
      <w:r w:rsidR="00FB4D5D">
        <w:t xml:space="preserve">quasi </w:t>
      </w:r>
      <w:r w:rsidR="00F063A9">
        <w:t>tutta gialla</w:t>
      </w:r>
      <w:r w:rsidR="00D75C76">
        <w:t xml:space="preserve"> </w:t>
      </w:r>
      <w:r w:rsidR="00576FD6">
        <w:t>ci si continua ad appellare</w:t>
      </w:r>
      <w:r w:rsidR="00D75C76">
        <w:t xml:space="preserve">, in maniera paternalistica, </w:t>
      </w:r>
      <w:r w:rsidR="00576FD6">
        <w:t>al</w:t>
      </w:r>
      <w:r w:rsidR="00661A34">
        <w:t xml:space="preserve"> buon senso dei cittadini</w:t>
      </w:r>
      <w:r w:rsidR="002D0E17">
        <w:t xml:space="preserve"> che</w:t>
      </w:r>
      <w:r w:rsidR="00576FD6">
        <w:t xml:space="preserve"> in realtà</w:t>
      </w:r>
      <w:r w:rsidR="002D0E17">
        <w:t xml:space="preserve"> </w:t>
      </w:r>
      <w:r w:rsidR="00576FD6">
        <w:t xml:space="preserve">non fanno </w:t>
      </w:r>
      <w:r w:rsidR="00D75C76">
        <w:t xml:space="preserve">solo </w:t>
      </w:r>
      <w:r w:rsidR="00576FD6">
        <w:t>che adeguarsi a quanto permesso</w:t>
      </w:r>
      <w:r w:rsidR="00F063A9" w:rsidRPr="004D5F43">
        <w:t>»</w:t>
      </w:r>
      <w:r w:rsidR="00F063A9">
        <w:t xml:space="preserve">. </w:t>
      </w:r>
    </w:p>
    <w:p w14:paraId="5B7E7E94" w14:textId="77777777" w:rsidR="00115E64" w:rsidRPr="00625E38" w:rsidRDefault="00115E64" w:rsidP="00943563">
      <w:pPr>
        <w:spacing w:after="120" w:line="276" w:lineRule="auto"/>
        <w:rPr>
          <w:rFonts w:cstheme="minorHAnsi"/>
          <w:i/>
          <w:u w:val="single"/>
        </w:rPr>
      </w:pPr>
      <w:r w:rsidRPr="00497C09">
        <w:rPr>
          <w:rFonts w:cstheme="minorHAnsi"/>
          <w:i/>
        </w:rPr>
        <w:t xml:space="preserve">Il monitoraggio GIMBE dell'epidemia di COVID-19 è disponibile a: </w:t>
      </w:r>
      <w:hyperlink r:id="rId10" w:history="1">
        <w:r w:rsidRPr="00497C09">
          <w:rPr>
            <w:rStyle w:val="Collegamentoipertestuale"/>
            <w:rFonts w:cstheme="minorHAnsi"/>
            <w:i/>
          </w:rPr>
          <w:t>https://coronavirus.gimbe.org</w:t>
        </w:r>
      </w:hyperlink>
    </w:p>
    <w:p w14:paraId="1ECAE06A" w14:textId="77777777" w:rsidR="001D225C" w:rsidRPr="00F94BB5" w:rsidRDefault="00115E64" w:rsidP="00F94BB5">
      <w:pPr>
        <w:spacing w:after="120"/>
        <w:rPr>
          <w:rFonts w:ascii="Calibri" w:eastAsia="Calibri" w:hAnsi="Calibri" w:cs="Times New Roman"/>
          <w:color w:val="0563C1" w:themeColor="hyperlink"/>
          <w:sz w:val="20"/>
          <w:u w:val="single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</w:rPr>
        <w:br/>
      </w:r>
      <w:r w:rsidRPr="00A24080">
        <w:rPr>
          <w:b/>
        </w:rPr>
        <w:t>Fondazione GIMBE</w:t>
      </w:r>
      <w:r>
        <w:rPr>
          <w:rFonts w:cstheme="minorHAnsi"/>
          <w:i/>
          <w:color w:val="0563C1" w:themeColor="hyperlink"/>
          <w:u w:val="single"/>
        </w:rPr>
        <w:br/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1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14:paraId="68100484" w14:textId="77777777" w:rsidR="00A42E47" w:rsidRDefault="00A42E47">
      <w:pPr>
        <w:rPr>
          <w:b/>
          <w:color w:val="00457D"/>
          <w:sz w:val="24"/>
        </w:rPr>
      </w:pPr>
    </w:p>
    <w:p w14:paraId="498A3D21" w14:textId="77777777" w:rsidR="00074190" w:rsidRDefault="00074190">
      <w:pPr>
        <w:rPr>
          <w:b/>
          <w:color w:val="00457D"/>
          <w:sz w:val="24"/>
        </w:rPr>
        <w:sectPr w:rsidR="00074190" w:rsidSect="00115E64">
          <w:footnotePr>
            <w:numFmt w:val="chicago"/>
          </w:footnotePr>
          <w:pgSz w:w="11906" w:h="16838"/>
          <w:pgMar w:top="993" w:right="1134" w:bottom="709" w:left="1134" w:header="709" w:footer="836" w:gutter="0"/>
          <w:cols w:space="708"/>
          <w:docGrid w:linePitch="360"/>
        </w:sectPr>
      </w:pPr>
    </w:p>
    <w:p w14:paraId="5757FA85" w14:textId="77777777" w:rsidR="00A42E47" w:rsidRDefault="00BF6DF7" w:rsidP="00A42E47">
      <w:pPr>
        <w:spacing w:after="0" w:line="36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Figura 1</w:t>
      </w:r>
      <w:r w:rsidR="00A53D93">
        <w:rPr>
          <w:b/>
          <w:color w:val="00457D"/>
          <w:sz w:val="24"/>
        </w:rPr>
        <w:t xml:space="preserve">. </w:t>
      </w:r>
      <w:r w:rsidR="00464A4C">
        <w:rPr>
          <w:b/>
          <w:color w:val="00457D"/>
          <w:sz w:val="24"/>
        </w:rPr>
        <w:t>Trend settimanale di casi attualmente positivi, ricoveri con sintomi, terapie intensive e deceduti</w:t>
      </w:r>
    </w:p>
    <w:p w14:paraId="6532B0DB" w14:textId="77777777" w:rsidR="00A42E47" w:rsidRDefault="007919D2" w:rsidP="00A42E47">
      <w:pPr>
        <w:spacing w:after="0" w:line="360" w:lineRule="auto"/>
        <w:jc w:val="center"/>
        <w:rPr>
          <w:b/>
          <w:color w:val="FF0000"/>
          <w:sz w:val="24"/>
        </w:rPr>
      </w:pPr>
      <w:r>
        <w:rPr>
          <w:b/>
          <w:noProof/>
          <w:color w:val="FF0000"/>
          <w:sz w:val="24"/>
          <w:lang w:eastAsia="it-IT"/>
        </w:rPr>
        <w:drawing>
          <wp:inline distT="0" distB="0" distL="0" distR="0" wp14:anchorId="67CE5BDE" wp14:editId="72A733DB">
            <wp:extent cx="9360000" cy="4639307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63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7BB04" w14:textId="77777777" w:rsidR="00961639" w:rsidRDefault="00961639" w:rsidP="00A42E47">
      <w:pPr>
        <w:jc w:val="center"/>
        <w:rPr>
          <w:b/>
          <w:sz w:val="24"/>
        </w:rPr>
      </w:pPr>
    </w:p>
    <w:p w14:paraId="778E7326" w14:textId="77777777" w:rsidR="002D16D8" w:rsidRDefault="002D16D8">
      <w:pPr>
        <w:rPr>
          <w:b/>
          <w:sz w:val="24"/>
        </w:rPr>
      </w:pPr>
      <w:r>
        <w:rPr>
          <w:b/>
          <w:sz w:val="24"/>
        </w:rPr>
        <w:br w:type="page"/>
      </w:r>
    </w:p>
    <w:p w14:paraId="2EE46BD2" w14:textId="77777777" w:rsidR="00961639" w:rsidRDefault="00961639" w:rsidP="00961639">
      <w:pPr>
        <w:spacing w:after="0" w:line="276" w:lineRule="auto"/>
        <w:jc w:val="center"/>
        <w:rPr>
          <w:b/>
          <w:color w:val="00457D"/>
          <w:sz w:val="24"/>
        </w:rPr>
      </w:pPr>
      <w:r w:rsidRPr="008B078E">
        <w:rPr>
          <w:b/>
          <w:color w:val="00457D"/>
          <w:sz w:val="24"/>
        </w:rPr>
        <w:lastRenderedPageBreak/>
        <w:t xml:space="preserve">Tabella. Indicatori regionali: settimana </w:t>
      </w:r>
      <w:r>
        <w:rPr>
          <w:b/>
          <w:color w:val="00457D"/>
          <w:sz w:val="24"/>
        </w:rPr>
        <w:t>2</w:t>
      </w:r>
      <w:r w:rsidR="007919D2">
        <w:rPr>
          <w:b/>
          <w:color w:val="00457D"/>
          <w:sz w:val="24"/>
        </w:rPr>
        <w:t>7</w:t>
      </w:r>
      <w:r w:rsidRPr="008B078E">
        <w:rPr>
          <w:b/>
          <w:color w:val="00457D"/>
          <w:sz w:val="24"/>
        </w:rPr>
        <w:t xml:space="preserve"> gennaio</w:t>
      </w:r>
      <w:r w:rsidR="007919D2">
        <w:rPr>
          <w:b/>
          <w:color w:val="00457D"/>
          <w:sz w:val="24"/>
        </w:rPr>
        <w:t>-2 febbraio</w:t>
      </w:r>
      <w:r w:rsidRPr="008B078E">
        <w:rPr>
          <w:b/>
          <w:color w:val="00457D"/>
          <w:sz w:val="24"/>
        </w:rPr>
        <w:t xml:space="preserve"> 2021</w:t>
      </w:r>
    </w:p>
    <w:tbl>
      <w:tblPr>
        <w:tblW w:w="4965" w:type="pct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2202"/>
        <w:gridCol w:w="1733"/>
        <w:gridCol w:w="2072"/>
        <w:gridCol w:w="1863"/>
        <w:gridCol w:w="2358"/>
        <w:gridCol w:w="2255"/>
      </w:tblGrid>
      <w:tr w:rsidR="007919D2" w:rsidRPr="007919D2" w14:paraId="0CB83F31" w14:textId="77777777" w:rsidTr="0028108C">
        <w:trPr>
          <w:trHeight w:val="850"/>
        </w:trPr>
        <w:tc>
          <w:tcPr>
            <w:tcW w:w="877" w:type="pct"/>
            <w:tcBorders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0C092A3D" w14:textId="77777777" w:rsidR="007919D2" w:rsidRPr="007919D2" w:rsidRDefault="007919D2" w:rsidP="007919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</w:t>
            </w:r>
            <w:r w:rsidRPr="008462D0">
              <w:rPr>
                <w:rFonts w:ascii="Calibri" w:eastAsia="Times New Roman" w:hAnsi="Calibri" w:cs="Calibri"/>
                <w:b/>
                <w:bCs/>
                <w:color w:val="FFFFFF"/>
              </w:rPr>
              <w:t>egione</w:t>
            </w:r>
          </w:p>
        </w:tc>
        <w:tc>
          <w:tcPr>
            <w:tcW w:w="72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56A61C8F" w14:textId="77777777" w:rsidR="007919D2" w:rsidRPr="007919D2" w:rsidRDefault="007919D2" w:rsidP="00791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t xml:space="preserve">Casi attualmente positivi per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br/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t>100.000 abitanti</w:t>
            </w:r>
          </w:p>
        </w:tc>
        <w:tc>
          <w:tcPr>
            <w:tcW w:w="5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3DA26ED8" w14:textId="77777777" w:rsidR="007919D2" w:rsidRPr="007919D2" w:rsidRDefault="007919D2" w:rsidP="00791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Incremento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 casi</w:t>
            </w:r>
          </w:p>
        </w:tc>
        <w:tc>
          <w:tcPr>
            <w:tcW w:w="6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1B832698" w14:textId="77777777" w:rsidR="007919D2" w:rsidRPr="007919D2" w:rsidRDefault="007919D2" w:rsidP="00791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Casi testati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>per 100.000 abitanti</w:t>
            </w:r>
          </w:p>
        </w:tc>
        <w:tc>
          <w:tcPr>
            <w:tcW w:w="6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116C4BB2" w14:textId="77777777" w:rsidR="007919D2" w:rsidRPr="007919D2" w:rsidRDefault="007919D2" w:rsidP="00791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Rapporto positivi/casi testati</w:t>
            </w:r>
          </w:p>
        </w:tc>
        <w:tc>
          <w:tcPr>
            <w:tcW w:w="78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02A0A12B" w14:textId="77777777" w:rsidR="007919D2" w:rsidRPr="007919D2" w:rsidRDefault="007919D2" w:rsidP="00791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osti letto in area medica occupati da pazienti COVID−19</w:t>
            </w:r>
          </w:p>
        </w:tc>
        <w:tc>
          <w:tcPr>
            <w:tcW w:w="746" w:type="pct"/>
            <w:tcBorders>
              <w:lef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67539642" w14:textId="77777777" w:rsidR="007919D2" w:rsidRPr="007919D2" w:rsidRDefault="007919D2" w:rsidP="00791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osti letto in terapia intensiva occupati da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br/>
              <w:t>pazienti COVID−19</w:t>
            </w:r>
          </w:p>
        </w:tc>
      </w:tr>
      <w:tr w:rsidR="0028108C" w:rsidRPr="007919D2" w14:paraId="4A76CF5D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135D03C9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728" w:type="pct"/>
            <w:shd w:val="clear" w:color="auto" w:fill="FFC7CE"/>
            <w:noWrap/>
            <w:vAlign w:val="center"/>
            <w:hideMark/>
          </w:tcPr>
          <w:p w14:paraId="7266E65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767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709FC43D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5,1%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3C38452E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2.344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55C2DAA3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6,9%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2F4A92C1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</w:t>
            </w:r>
            <w:r w:rsidR="00E92A4C">
              <w:rPr>
                <w:rFonts w:ascii="Calibri" w:hAnsi="Calibri"/>
                <w:color w:val="006100"/>
              </w:rPr>
              <w:t>8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5AECD366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</w:t>
            </w:r>
            <w:r w:rsidR="00E92A4C">
              <w:rPr>
                <w:rFonts w:ascii="Calibri" w:hAnsi="Calibri"/>
                <w:color w:val="006100"/>
              </w:rPr>
              <w:t>3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5B337CC2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AFDFE6C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Basilicata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0D1654B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686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2CBBF3E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2,5%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4187AF97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452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0D681E2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12,9%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6E5A9AE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17%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24F4B79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2%</w:t>
            </w:r>
          </w:p>
        </w:tc>
      </w:tr>
      <w:tr w:rsidR="0028108C" w:rsidRPr="007919D2" w14:paraId="0037ABAE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61461011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Calabria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57E3441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442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44B870D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5,1%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72CCAD7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911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31274FCD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9,0%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4C2D2D56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29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7C31091E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16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09B0A1CB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72C1D559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Campania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1122BEC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1.066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7CFEB64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3,9%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52A3D30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1.054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71E2A819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13,7%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1F57C603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33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auto" w:fill="C6EFCE"/>
            <w:noWrap/>
            <w:vAlign w:val="center"/>
            <w:hideMark/>
          </w:tcPr>
          <w:p w14:paraId="05542F8B" w14:textId="77777777" w:rsidR="0028108C" w:rsidRPr="00E92A4C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1</w:t>
            </w:r>
            <w:r w:rsidR="00E92A4C" w:rsidRPr="00E92A4C">
              <w:rPr>
                <w:rFonts w:ascii="Calibri" w:hAnsi="Calibri"/>
                <w:color w:val="006100"/>
              </w:rPr>
              <w:t>7</w:t>
            </w:r>
            <w:r w:rsidRPr="00E92A4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397502A0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583BA85C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Emilia Romagna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03B6B36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1.016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130E4CEB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3,8%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26A9919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699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5242120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25,6%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4BB9C89E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36%</w:t>
            </w:r>
          </w:p>
        </w:tc>
        <w:tc>
          <w:tcPr>
            <w:tcW w:w="746" w:type="pct"/>
            <w:shd w:val="clear" w:color="auto" w:fill="C6EFCE"/>
            <w:noWrap/>
            <w:vAlign w:val="center"/>
            <w:hideMark/>
          </w:tcPr>
          <w:p w14:paraId="315232D6" w14:textId="77777777" w:rsidR="0028108C" w:rsidRPr="00E92A4C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2</w:t>
            </w:r>
            <w:r w:rsidR="00E92A4C" w:rsidRPr="00E92A4C">
              <w:rPr>
                <w:rFonts w:ascii="Calibri" w:hAnsi="Calibri"/>
                <w:color w:val="006100"/>
              </w:rPr>
              <w:t>6</w:t>
            </w:r>
            <w:r w:rsidRPr="00E92A4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5CD3DB98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58F28785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Friuli Venezia Giulia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6B45D986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924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71B6CC3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4,6%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0CC5081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1.239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7DD31C8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19,8%</w:t>
            </w:r>
          </w:p>
        </w:tc>
        <w:tc>
          <w:tcPr>
            <w:tcW w:w="781" w:type="pct"/>
            <w:shd w:val="clear" w:color="000000" w:fill="FFC7CE"/>
            <w:noWrap/>
            <w:vAlign w:val="center"/>
            <w:hideMark/>
          </w:tcPr>
          <w:p w14:paraId="26FB967B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4</w:t>
            </w:r>
            <w:r w:rsidR="00E92A4C">
              <w:rPr>
                <w:rFonts w:ascii="Calibri" w:hAnsi="Calibri"/>
                <w:color w:val="9C0006"/>
              </w:rPr>
              <w:t>5</w:t>
            </w:r>
            <w:r>
              <w:rPr>
                <w:rFonts w:ascii="Calibri" w:hAnsi="Calibri"/>
                <w:color w:val="9C0006"/>
              </w:rPr>
              <w:t>%</w:t>
            </w:r>
          </w:p>
        </w:tc>
        <w:tc>
          <w:tcPr>
            <w:tcW w:w="746" w:type="pct"/>
            <w:shd w:val="clear" w:color="000000" w:fill="FFC7CE"/>
            <w:noWrap/>
            <w:vAlign w:val="center"/>
            <w:hideMark/>
          </w:tcPr>
          <w:p w14:paraId="1CC8C25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35%</w:t>
            </w:r>
          </w:p>
        </w:tc>
      </w:tr>
      <w:tr w:rsidR="0028108C" w:rsidRPr="007919D2" w14:paraId="62D4F0DA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69C3035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70F240DC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1.034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18AF2F6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3,7%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13BB846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1.855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1BD2228E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6,8%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67846698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36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000000" w:fill="FFC7CE"/>
            <w:noWrap/>
            <w:vAlign w:val="center"/>
            <w:hideMark/>
          </w:tcPr>
          <w:p w14:paraId="5D60BA3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31%</w:t>
            </w:r>
          </w:p>
        </w:tc>
      </w:tr>
      <w:tr w:rsidR="0028108C" w:rsidRPr="007919D2" w14:paraId="38640A1D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1E28B45D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Liguria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1A9C0D1C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283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6FAF9CEC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2,8%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3F23FAF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992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625F27CC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12,5%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7786B00C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36%</w:t>
            </w:r>
          </w:p>
        </w:tc>
        <w:tc>
          <w:tcPr>
            <w:tcW w:w="746" w:type="pct"/>
            <w:shd w:val="clear" w:color="auto" w:fill="C6EFCE"/>
            <w:noWrap/>
            <w:vAlign w:val="center"/>
            <w:hideMark/>
          </w:tcPr>
          <w:p w14:paraId="051CAEA1" w14:textId="77777777" w:rsidR="0028108C" w:rsidRPr="00E92A4C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30%</w:t>
            </w:r>
          </w:p>
        </w:tc>
      </w:tr>
      <w:tr w:rsidR="0028108C" w:rsidRPr="007919D2" w14:paraId="265C7F58" w14:textId="77777777" w:rsidTr="00AB2A21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70E4DA24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Lombardia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16918E97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463</w:t>
            </w:r>
          </w:p>
        </w:tc>
        <w:tc>
          <w:tcPr>
            <w:tcW w:w="570" w:type="pct"/>
            <w:shd w:val="clear" w:color="auto" w:fill="FFEB9C"/>
            <w:noWrap/>
            <w:vAlign w:val="center"/>
            <w:hideMark/>
          </w:tcPr>
          <w:p w14:paraId="691805E7" w14:textId="77777777" w:rsidR="0028108C" w:rsidRPr="00AB2A21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it-IT"/>
              </w:rPr>
            </w:pPr>
            <w:r w:rsidRPr="00AB2A21">
              <w:rPr>
                <w:rFonts w:ascii="Calibri" w:eastAsia="Times New Roman" w:hAnsi="Calibri" w:cs="Times New Roman"/>
                <w:color w:val="9C6500"/>
                <w:lang w:eastAsia="it-IT"/>
              </w:rPr>
              <w:t>2,3%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59A760F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558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053F826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21,5%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707981E0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34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auto" w:fill="C6EFCE"/>
            <w:noWrap/>
            <w:vAlign w:val="center"/>
            <w:hideMark/>
          </w:tcPr>
          <w:p w14:paraId="007868E3" w14:textId="77777777" w:rsidR="0028108C" w:rsidRPr="00E92A4C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3</w:t>
            </w:r>
            <w:r w:rsidR="00E92A4C" w:rsidRPr="00E92A4C">
              <w:rPr>
                <w:rFonts w:ascii="Calibri" w:hAnsi="Calibri"/>
                <w:color w:val="006100"/>
              </w:rPr>
              <w:t>0</w:t>
            </w:r>
            <w:r w:rsidRPr="00E92A4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11693C07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58E1342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Marche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7685AA7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569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00E9BDE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4,9%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2225ECA7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1.320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23F497F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13,0%</w:t>
            </w:r>
          </w:p>
        </w:tc>
        <w:tc>
          <w:tcPr>
            <w:tcW w:w="781" w:type="pct"/>
            <w:shd w:val="clear" w:color="000000" w:fill="FFC7CE"/>
            <w:noWrap/>
            <w:vAlign w:val="center"/>
            <w:hideMark/>
          </w:tcPr>
          <w:p w14:paraId="7975AC49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46%</w:t>
            </w:r>
          </w:p>
        </w:tc>
        <w:tc>
          <w:tcPr>
            <w:tcW w:w="746" w:type="pct"/>
            <w:shd w:val="clear" w:color="auto" w:fill="C6EFCE"/>
            <w:noWrap/>
            <w:vAlign w:val="center"/>
            <w:hideMark/>
          </w:tcPr>
          <w:p w14:paraId="325F69C3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29</w:t>
            </w:r>
            <w:r w:rsidR="0028108C" w:rsidRPr="00E92A4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1ABBA921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0D309863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Molise</w:t>
            </w:r>
          </w:p>
        </w:tc>
        <w:tc>
          <w:tcPr>
            <w:tcW w:w="728" w:type="pct"/>
            <w:shd w:val="clear" w:color="auto" w:fill="FFC7CE"/>
            <w:noWrap/>
            <w:vAlign w:val="center"/>
            <w:hideMark/>
          </w:tcPr>
          <w:p w14:paraId="1C52B827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385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2C6F6DC3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6,1%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49D29127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1.601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2E1771A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9,9%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54706132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</w:t>
            </w:r>
            <w:r w:rsidR="00E92A4C">
              <w:rPr>
                <w:rFonts w:ascii="Calibri" w:hAnsi="Calibri"/>
                <w:color w:val="006100"/>
              </w:rPr>
              <w:t>6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764D9E37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</w:t>
            </w:r>
            <w:r w:rsidR="00E92A4C">
              <w:rPr>
                <w:rFonts w:ascii="Calibri" w:hAnsi="Calibri"/>
                <w:color w:val="006100"/>
              </w:rPr>
              <w:t>1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68EE9990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2C542849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Piemonte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339A556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278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42CC3FCB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2,5%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30B818A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782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21958FB6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15,8%</w:t>
            </w:r>
          </w:p>
        </w:tc>
        <w:tc>
          <w:tcPr>
            <w:tcW w:w="781" w:type="pct"/>
            <w:shd w:val="clear" w:color="auto" w:fill="C6EFCE"/>
            <w:noWrap/>
            <w:vAlign w:val="center"/>
            <w:hideMark/>
          </w:tcPr>
          <w:p w14:paraId="01B70DF1" w14:textId="77777777" w:rsidR="0028108C" w:rsidRPr="00E92A4C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37</w:t>
            </w:r>
            <w:r w:rsidR="0028108C" w:rsidRPr="00E92A4C"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auto" w:fill="C6EFCE"/>
            <w:noWrap/>
            <w:vAlign w:val="center"/>
            <w:hideMark/>
          </w:tcPr>
          <w:p w14:paraId="669E7B57" w14:textId="77777777" w:rsidR="0028108C" w:rsidRPr="00E92A4C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E92A4C">
              <w:rPr>
                <w:rFonts w:ascii="Calibri" w:hAnsi="Calibri"/>
                <w:color w:val="006100"/>
              </w:rPr>
              <w:t>2</w:t>
            </w:r>
            <w:r w:rsidR="0028108C" w:rsidRPr="00E92A4C">
              <w:rPr>
                <w:rFonts w:ascii="Calibri" w:hAnsi="Calibri"/>
                <w:color w:val="006100"/>
              </w:rPr>
              <w:t>4%</w:t>
            </w:r>
          </w:p>
        </w:tc>
      </w:tr>
      <w:tr w:rsidR="0028108C" w:rsidRPr="007919D2" w14:paraId="7D8CCB4E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24861BCE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Prov. Aut. Bolzano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47E5764B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943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48F7E786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10,1%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6979D61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1.141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02165AF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62,1%</w:t>
            </w:r>
          </w:p>
        </w:tc>
        <w:tc>
          <w:tcPr>
            <w:tcW w:w="781" w:type="pct"/>
            <w:shd w:val="clear" w:color="auto" w:fill="FFC7CE"/>
            <w:noWrap/>
            <w:vAlign w:val="center"/>
            <w:hideMark/>
          </w:tcPr>
          <w:p w14:paraId="2EAB8055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E92A4C">
              <w:rPr>
                <w:rFonts w:ascii="Calibri" w:hAnsi="Calibri"/>
                <w:color w:val="9C0006"/>
              </w:rPr>
              <w:t>42</w:t>
            </w:r>
            <w:r w:rsidR="0028108C" w:rsidRPr="00E92A4C">
              <w:rPr>
                <w:rFonts w:ascii="Calibri" w:hAnsi="Calibri"/>
                <w:color w:val="9C0006"/>
              </w:rPr>
              <w:t>%</w:t>
            </w:r>
          </w:p>
        </w:tc>
        <w:tc>
          <w:tcPr>
            <w:tcW w:w="746" w:type="pct"/>
            <w:shd w:val="clear" w:color="auto" w:fill="FFC7CE"/>
            <w:noWrap/>
            <w:vAlign w:val="center"/>
            <w:hideMark/>
          </w:tcPr>
          <w:p w14:paraId="0466F9E0" w14:textId="77777777" w:rsidR="0028108C" w:rsidRPr="00E92A4C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E92A4C">
              <w:rPr>
                <w:rFonts w:ascii="Calibri" w:hAnsi="Calibri"/>
                <w:color w:val="9C0006"/>
              </w:rPr>
              <w:t>34</w:t>
            </w:r>
            <w:r w:rsidR="0028108C" w:rsidRPr="00E92A4C">
              <w:rPr>
                <w:rFonts w:ascii="Calibri" w:hAnsi="Calibri"/>
                <w:color w:val="9C0006"/>
              </w:rPr>
              <w:t>%</w:t>
            </w:r>
          </w:p>
        </w:tc>
      </w:tr>
      <w:tr w:rsidR="0028108C" w:rsidRPr="007919D2" w14:paraId="4AC77D93" w14:textId="77777777" w:rsidTr="00E92A4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1D6073BD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Prov. Aut. Trento</w:t>
            </w:r>
          </w:p>
        </w:tc>
        <w:tc>
          <w:tcPr>
            <w:tcW w:w="728" w:type="pct"/>
            <w:shd w:val="clear" w:color="auto" w:fill="FFC7CE"/>
            <w:noWrap/>
            <w:vAlign w:val="center"/>
            <w:hideMark/>
          </w:tcPr>
          <w:p w14:paraId="1844CBA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443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22450BF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5,1%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4DE92E8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355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05AB513B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70,1%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185809E5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29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auto" w:fill="FFC7CE"/>
            <w:noWrap/>
            <w:vAlign w:val="center"/>
            <w:hideMark/>
          </w:tcPr>
          <w:p w14:paraId="04805848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E92A4C">
              <w:rPr>
                <w:rFonts w:ascii="Calibri" w:hAnsi="Calibri"/>
                <w:color w:val="9C0006"/>
              </w:rPr>
              <w:t>38</w:t>
            </w:r>
            <w:r w:rsidR="0028108C" w:rsidRPr="00E92A4C">
              <w:rPr>
                <w:rFonts w:ascii="Calibri" w:hAnsi="Calibri"/>
                <w:color w:val="9C0006"/>
              </w:rPr>
              <w:t>%</w:t>
            </w:r>
          </w:p>
        </w:tc>
      </w:tr>
      <w:tr w:rsidR="0028108C" w:rsidRPr="007919D2" w14:paraId="5A8595E0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62294BD0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Puglia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654E5B7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1.283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0A184D43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5,7%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6158B31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637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22DA881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25,9%</w:t>
            </w:r>
          </w:p>
        </w:tc>
        <w:tc>
          <w:tcPr>
            <w:tcW w:w="781" w:type="pct"/>
            <w:shd w:val="clear" w:color="000000" w:fill="FFC7CE"/>
            <w:noWrap/>
            <w:vAlign w:val="center"/>
            <w:hideMark/>
          </w:tcPr>
          <w:p w14:paraId="34A2B570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4</w:t>
            </w:r>
            <w:r w:rsidR="00E92A4C">
              <w:rPr>
                <w:rFonts w:ascii="Calibri" w:hAnsi="Calibri"/>
                <w:color w:val="9C0006"/>
              </w:rPr>
              <w:t>2</w:t>
            </w:r>
            <w:r>
              <w:rPr>
                <w:rFonts w:ascii="Calibri" w:hAnsi="Calibri"/>
                <w:color w:val="9C0006"/>
              </w:rPr>
              <w:t>%</w:t>
            </w:r>
          </w:p>
        </w:tc>
        <w:tc>
          <w:tcPr>
            <w:tcW w:w="746" w:type="pct"/>
            <w:shd w:val="clear" w:color="000000" w:fill="FFC7CE"/>
            <w:noWrap/>
            <w:vAlign w:val="center"/>
            <w:hideMark/>
          </w:tcPr>
          <w:p w14:paraId="61176B8B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37%</w:t>
            </w:r>
          </w:p>
        </w:tc>
      </w:tr>
      <w:tr w:rsidR="0028108C" w:rsidRPr="007919D2" w14:paraId="74D9DCAA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51D39F2C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Sardegna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3E8E2AE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927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6F11E56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3,6%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1C9A33F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1.013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62C8C107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8,0%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4AA2271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27%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49C3BA96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</w:t>
            </w:r>
            <w:r w:rsidR="00E92A4C">
              <w:rPr>
                <w:rFonts w:ascii="Calibri" w:hAnsi="Calibri"/>
                <w:color w:val="006100"/>
              </w:rPr>
              <w:t>7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583E4C1D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64F34D3B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Sicilia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64E6CAC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832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04FE98FA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4,7%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363F706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790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3AC736F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15,8%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079499FF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32%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6AE46D34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</w:t>
            </w:r>
            <w:r w:rsidR="00E92A4C">
              <w:rPr>
                <w:rFonts w:ascii="Calibri" w:hAnsi="Calibri"/>
                <w:color w:val="006100"/>
              </w:rPr>
              <w:t>4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23A53CA8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68FAE7D9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Toscana</w:t>
            </w:r>
          </w:p>
        </w:tc>
        <w:tc>
          <w:tcPr>
            <w:tcW w:w="728" w:type="pct"/>
            <w:shd w:val="clear" w:color="auto" w:fill="FFC7CE"/>
            <w:noWrap/>
            <w:vAlign w:val="center"/>
            <w:hideMark/>
          </w:tcPr>
          <w:p w14:paraId="7C9D5E93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247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3C421913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2,7%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4EC8C87D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1.215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07C0546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7,9%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7872C9F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13%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66BAB456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20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3DA5A03C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1514C4B6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Umbria</w:t>
            </w:r>
          </w:p>
        </w:tc>
        <w:tc>
          <w:tcPr>
            <w:tcW w:w="728" w:type="pct"/>
            <w:shd w:val="clear" w:color="auto" w:fill="FFC7CE"/>
            <w:noWrap/>
            <w:vAlign w:val="center"/>
            <w:hideMark/>
          </w:tcPr>
          <w:p w14:paraId="58CB3F20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654</w:t>
            </w:r>
          </w:p>
        </w:tc>
        <w:tc>
          <w:tcPr>
            <w:tcW w:w="570" w:type="pct"/>
            <w:shd w:val="clear" w:color="auto" w:fill="FFC7CE"/>
            <w:noWrap/>
            <w:vAlign w:val="center"/>
            <w:hideMark/>
          </w:tcPr>
          <w:p w14:paraId="084193A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6,0%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56C95BA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994</w:t>
            </w:r>
          </w:p>
        </w:tc>
        <w:tc>
          <w:tcPr>
            <w:tcW w:w="614" w:type="pct"/>
            <w:shd w:val="clear" w:color="auto" w:fill="FFC7CE"/>
            <w:noWrap/>
            <w:vAlign w:val="center"/>
            <w:hideMark/>
          </w:tcPr>
          <w:p w14:paraId="05CD2F0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23,6%</w:t>
            </w:r>
          </w:p>
        </w:tc>
        <w:tc>
          <w:tcPr>
            <w:tcW w:w="781" w:type="pct"/>
            <w:shd w:val="clear" w:color="000000" w:fill="FFC7CE"/>
            <w:noWrap/>
            <w:vAlign w:val="center"/>
            <w:hideMark/>
          </w:tcPr>
          <w:p w14:paraId="2B918C23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47</w:t>
            </w:r>
            <w:r w:rsidR="0028108C">
              <w:rPr>
                <w:rFonts w:ascii="Calibri" w:hAnsi="Calibri"/>
                <w:color w:val="9C0006"/>
              </w:rPr>
              <w:t>%</w:t>
            </w:r>
          </w:p>
        </w:tc>
        <w:tc>
          <w:tcPr>
            <w:tcW w:w="746" w:type="pct"/>
            <w:shd w:val="clear" w:color="000000" w:fill="FFC7CE"/>
            <w:noWrap/>
            <w:vAlign w:val="center"/>
            <w:hideMark/>
          </w:tcPr>
          <w:p w14:paraId="09B9F2D6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>
              <w:rPr>
                <w:rFonts w:ascii="Calibri" w:hAnsi="Calibri"/>
                <w:color w:val="9C0006"/>
              </w:rPr>
              <w:t>47</w:t>
            </w:r>
            <w:r w:rsidR="0028108C">
              <w:rPr>
                <w:rFonts w:ascii="Calibri" w:hAnsi="Calibri"/>
                <w:color w:val="9C0006"/>
              </w:rPr>
              <w:t>%</w:t>
            </w:r>
          </w:p>
        </w:tc>
      </w:tr>
      <w:tr w:rsidR="0028108C" w:rsidRPr="007919D2" w14:paraId="2C45FF48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1600E2E2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3B0CBDB6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160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72D6BF23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0,7%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336FA19E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447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5C9806A2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10,1%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4F4365B1" w14:textId="77777777" w:rsidR="0028108C" w:rsidRPr="007919D2" w:rsidRDefault="0028108C" w:rsidP="00E92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</w:t>
            </w:r>
            <w:r w:rsidR="00E92A4C">
              <w:rPr>
                <w:rFonts w:ascii="Calibri" w:hAnsi="Calibri"/>
                <w:color w:val="006100"/>
              </w:rPr>
              <w:t>1</w:t>
            </w:r>
            <w:r>
              <w:rPr>
                <w:rFonts w:ascii="Calibri" w:hAnsi="Calibri"/>
                <w:color w:val="006100"/>
              </w:rPr>
              <w:t>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67A1264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15%</w:t>
            </w:r>
          </w:p>
        </w:tc>
      </w:tr>
      <w:tr w:rsidR="0028108C" w:rsidRPr="007919D2" w14:paraId="059C5153" w14:textId="77777777" w:rsidTr="0028108C">
        <w:trPr>
          <w:trHeight w:val="32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145F3B4F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0000"/>
                <w:lang w:eastAsia="it-IT"/>
              </w:rPr>
              <w:t>Veneto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24730A7C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653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6C66072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2,1%</w:t>
            </w:r>
          </w:p>
        </w:tc>
        <w:tc>
          <w:tcPr>
            <w:tcW w:w="684" w:type="pct"/>
            <w:shd w:val="clear" w:color="auto" w:fill="FFC7CE"/>
            <w:noWrap/>
            <w:vAlign w:val="center"/>
            <w:hideMark/>
          </w:tcPr>
          <w:p w14:paraId="212CF6F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9C0006"/>
                <w:lang w:eastAsia="it-IT"/>
              </w:rPr>
              <w:t>383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550AA051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color w:val="006100"/>
                <w:lang w:eastAsia="it-IT"/>
              </w:rPr>
              <w:t>33,9%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13B52DAD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24%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28A60F0E" w14:textId="77777777" w:rsidR="0028108C" w:rsidRPr="007919D2" w:rsidRDefault="00E92A4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>
              <w:rPr>
                <w:rFonts w:ascii="Calibri" w:hAnsi="Calibri"/>
                <w:color w:val="006100"/>
              </w:rPr>
              <w:t>19</w:t>
            </w:r>
            <w:r w:rsidR="0028108C">
              <w:rPr>
                <w:rFonts w:ascii="Calibri" w:hAnsi="Calibri"/>
                <w:color w:val="006100"/>
              </w:rPr>
              <w:t>%</w:t>
            </w:r>
          </w:p>
        </w:tc>
      </w:tr>
      <w:tr w:rsidR="0028108C" w:rsidRPr="007919D2" w14:paraId="68A1D370" w14:textId="77777777" w:rsidTr="0028108C">
        <w:trPr>
          <w:trHeight w:val="329"/>
        </w:trPr>
        <w:tc>
          <w:tcPr>
            <w:tcW w:w="877" w:type="pct"/>
            <w:shd w:val="clear" w:color="auto" w:fill="00457D"/>
            <w:noWrap/>
            <w:vAlign w:val="center"/>
            <w:hideMark/>
          </w:tcPr>
          <w:p w14:paraId="58E88A55" w14:textId="77777777" w:rsidR="0028108C" w:rsidRPr="007919D2" w:rsidRDefault="0028108C" w:rsidP="00281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728" w:type="pct"/>
            <w:shd w:val="clear" w:color="auto" w:fill="C6EFCE"/>
            <w:noWrap/>
            <w:vAlign w:val="center"/>
            <w:hideMark/>
          </w:tcPr>
          <w:p w14:paraId="6C0FCD05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  <w:t>725</w:t>
            </w:r>
          </w:p>
        </w:tc>
        <w:tc>
          <w:tcPr>
            <w:tcW w:w="570" w:type="pct"/>
            <w:shd w:val="clear" w:color="auto" w:fill="C6EFCE"/>
            <w:noWrap/>
            <w:vAlign w:val="center"/>
            <w:hideMark/>
          </w:tcPr>
          <w:p w14:paraId="35393978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  <w:t>3,4%</w:t>
            </w:r>
          </w:p>
        </w:tc>
        <w:tc>
          <w:tcPr>
            <w:tcW w:w="684" w:type="pct"/>
            <w:shd w:val="clear" w:color="auto" w:fill="C6EFCE"/>
            <w:noWrap/>
            <w:vAlign w:val="center"/>
            <w:hideMark/>
          </w:tcPr>
          <w:p w14:paraId="6F5E85C9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  <w:t>930</w:t>
            </w:r>
          </w:p>
        </w:tc>
        <w:tc>
          <w:tcPr>
            <w:tcW w:w="614" w:type="pct"/>
            <w:shd w:val="clear" w:color="auto" w:fill="C6EFCE"/>
            <w:noWrap/>
            <w:vAlign w:val="center"/>
            <w:hideMark/>
          </w:tcPr>
          <w:p w14:paraId="183F5E04" w14:textId="77777777" w:rsidR="0028108C" w:rsidRPr="007919D2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</w:pPr>
            <w:r w:rsidRPr="007919D2"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  <w:t>15,1%</w:t>
            </w:r>
          </w:p>
        </w:tc>
        <w:tc>
          <w:tcPr>
            <w:tcW w:w="781" w:type="pct"/>
            <w:shd w:val="clear" w:color="000000" w:fill="C6EFCE"/>
            <w:noWrap/>
            <w:vAlign w:val="center"/>
            <w:hideMark/>
          </w:tcPr>
          <w:p w14:paraId="52068BCE" w14:textId="77777777" w:rsidR="0028108C" w:rsidRPr="005E3640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it-IT"/>
              </w:rPr>
            </w:pPr>
            <w:r w:rsidRPr="005E3640">
              <w:rPr>
                <w:rFonts w:ascii="Calibri" w:hAnsi="Calibri"/>
                <w:b/>
                <w:color w:val="006100"/>
              </w:rPr>
              <w:t>32%</w:t>
            </w:r>
          </w:p>
        </w:tc>
        <w:tc>
          <w:tcPr>
            <w:tcW w:w="746" w:type="pct"/>
            <w:shd w:val="clear" w:color="000000" w:fill="C6EFCE"/>
            <w:noWrap/>
            <w:vAlign w:val="center"/>
            <w:hideMark/>
          </w:tcPr>
          <w:p w14:paraId="602E3B32" w14:textId="77777777" w:rsidR="0028108C" w:rsidRPr="005E3640" w:rsidRDefault="0028108C" w:rsidP="0028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it-IT"/>
              </w:rPr>
            </w:pPr>
            <w:r w:rsidRPr="005E3640">
              <w:rPr>
                <w:rFonts w:ascii="Calibri" w:hAnsi="Calibri"/>
                <w:b/>
                <w:color w:val="006100"/>
              </w:rPr>
              <w:t>26%</w:t>
            </w:r>
          </w:p>
        </w:tc>
      </w:tr>
      <w:tr w:rsidR="007919D2" w:rsidRPr="00F240C0" w14:paraId="6D2D3382" w14:textId="77777777" w:rsidTr="0028108C">
        <w:tblPrEx>
          <w:tblBorders>
            <w:top w:val="single" w:sz="8" w:space="0" w:color="00457D"/>
            <w:left w:val="single" w:sz="8" w:space="0" w:color="00457D"/>
            <w:bottom w:val="single" w:sz="8" w:space="0" w:color="00457D"/>
            <w:right w:val="single" w:sz="8" w:space="0" w:color="00457D"/>
            <w:insideH w:val="single" w:sz="8" w:space="0" w:color="00457D"/>
            <w:insideV w:val="single" w:sz="8" w:space="0" w:color="00457D"/>
          </w:tblBorders>
        </w:tblPrEx>
        <w:trPr>
          <w:trHeight w:val="624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23396D92" w14:textId="77777777" w:rsidR="007919D2" w:rsidRPr="008B078E" w:rsidRDefault="007919D2" w:rsidP="002D20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1"/>
              </w:rPr>
            </w:pP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Nota: nelle prime 4 colonne rosso e verde indicano rispettivamente una performance regionale in peggioramento, o in miglioramento, risp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etto alla settimana precedente.</w:t>
            </w:r>
            <w:r w:rsidR="002D208F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 xml:space="preserve"> I</w:t>
            </w:r>
            <w:r w:rsidR="002D208F" w:rsidRPr="002D208F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l giallo indica una performance regionale invariata rispetto alla settimana precedente</w:t>
            </w:r>
            <w:r w:rsidR="002D208F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 xml:space="preserve">. </w:t>
            </w:r>
            <w:r w:rsidR="002D208F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br/>
              <w:t>N</w:t>
            </w: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elle ultime 2 colonne rosso e verde indicano il superamento, o meno, della soglia di saturazione del 40% per l’area medica e del 30% per le terapie intensive (dati Agenas).</w:t>
            </w:r>
          </w:p>
        </w:tc>
      </w:tr>
    </w:tbl>
    <w:p w14:paraId="7A1DE847" w14:textId="77777777" w:rsidR="007919D2" w:rsidRDefault="007919D2" w:rsidP="00A42E47">
      <w:pPr>
        <w:jc w:val="center"/>
        <w:rPr>
          <w:b/>
          <w:sz w:val="24"/>
        </w:rPr>
        <w:sectPr w:rsidR="007919D2" w:rsidSect="00B76C0E">
          <w:footnotePr>
            <w:numFmt w:val="chicago"/>
          </w:footnotePr>
          <w:pgSz w:w="16838" w:h="11906" w:orient="landscape"/>
          <w:pgMar w:top="1134" w:right="709" w:bottom="1134" w:left="992" w:header="709" w:footer="833" w:gutter="0"/>
          <w:cols w:space="708"/>
          <w:docGrid w:linePitch="360"/>
        </w:sectPr>
      </w:pPr>
    </w:p>
    <w:p w14:paraId="6864D4EA" w14:textId="77777777" w:rsidR="00464A4C" w:rsidRDefault="00464A4C" w:rsidP="00E50120">
      <w:pPr>
        <w:spacing w:after="0" w:line="240" w:lineRule="auto"/>
        <w:jc w:val="center"/>
        <w:rPr>
          <w:b/>
          <w:color w:val="00457D"/>
          <w:sz w:val="24"/>
        </w:rPr>
      </w:pPr>
    </w:p>
    <w:p w14:paraId="7F490F36" w14:textId="77777777" w:rsidR="0044116C" w:rsidRDefault="00E50120" w:rsidP="00E50120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t>Figura 2</w:t>
      </w:r>
    </w:p>
    <w:p w14:paraId="30D994A3" w14:textId="77777777" w:rsidR="00464A4C" w:rsidRDefault="00464A4C" w:rsidP="00E50120">
      <w:pPr>
        <w:spacing w:after="0" w:line="240" w:lineRule="auto"/>
        <w:jc w:val="center"/>
        <w:rPr>
          <w:b/>
          <w:color w:val="00457D"/>
          <w:sz w:val="24"/>
        </w:rPr>
      </w:pPr>
    </w:p>
    <w:p w14:paraId="2627FB2C" w14:textId="77777777" w:rsidR="0044116C" w:rsidRDefault="002D16D8" w:rsidP="001D225C">
      <w:pPr>
        <w:spacing w:line="240" w:lineRule="auto"/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 wp14:anchorId="137D3B18" wp14:editId="4650B5CD">
            <wp:extent cx="5760000" cy="472563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72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B852C" w14:textId="77777777" w:rsidR="00464A4C" w:rsidRDefault="000C4771" w:rsidP="007F4250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t xml:space="preserve">Figura </w:t>
      </w:r>
      <w:r w:rsidR="00E92A4C">
        <w:rPr>
          <w:b/>
          <w:color w:val="00457D"/>
          <w:sz w:val="24"/>
        </w:rPr>
        <w:t>3</w:t>
      </w:r>
    </w:p>
    <w:p w14:paraId="0E90E00C" w14:textId="77777777" w:rsidR="007F4250" w:rsidRDefault="007F4250" w:rsidP="00464A4C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noProof/>
          <w:lang w:eastAsia="it-IT"/>
        </w:rPr>
        <w:drawing>
          <wp:inline distT="0" distB="0" distL="0" distR="0" wp14:anchorId="215B4826" wp14:editId="45EBA901">
            <wp:extent cx="6120130" cy="335465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FF7E3" w14:textId="77777777" w:rsidR="007F4250" w:rsidRDefault="007F4250" w:rsidP="00464A4C">
      <w:pPr>
        <w:spacing w:after="0" w:line="240" w:lineRule="auto"/>
        <w:jc w:val="center"/>
        <w:rPr>
          <w:b/>
          <w:color w:val="00457D"/>
          <w:sz w:val="24"/>
        </w:rPr>
      </w:pPr>
    </w:p>
    <w:p w14:paraId="1F059CE7" w14:textId="77777777" w:rsidR="00E20F46" w:rsidRDefault="00E20F46" w:rsidP="000C4771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t>Figura 4</w:t>
      </w:r>
    </w:p>
    <w:p w14:paraId="356110CD" w14:textId="77777777" w:rsidR="00961639" w:rsidRDefault="00464A4C" w:rsidP="00CF25F1">
      <w:pPr>
        <w:jc w:val="center"/>
      </w:pPr>
      <w:r>
        <w:rPr>
          <w:noProof/>
          <w:lang w:eastAsia="it-IT"/>
        </w:rPr>
        <w:drawing>
          <wp:inline distT="0" distB="0" distL="0" distR="0" wp14:anchorId="7CBF64F9" wp14:editId="5591ADF3">
            <wp:extent cx="6120130" cy="42893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639" w:rsidSect="0096163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54CA" w14:textId="77777777" w:rsidR="00A53E3C" w:rsidRDefault="00A53E3C">
      <w:pPr>
        <w:spacing w:after="0" w:line="240" w:lineRule="auto"/>
      </w:pPr>
      <w:r>
        <w:separator/>
      </w:r>
    </w:p>
  </w:endnote>
  <w:endnote w:type="continuationSeparator" w:id="0">
    <w:p w14:paraId="20FE384C" w14:textId="77777777" w:rsidR="00A53E3C" w:rsidRDefault="00A5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659E" w14:textId="77777777" w:rsidR="00A53E3C" w:rsidRDefault="00A53E3C">
      <w:pPr>
        <w:spacing w:after="0" w:line="240" w:lineRule="auto"/>
      </w:pPr>
      <w:r>
        <w:separator/>
      </w:r>
    </w:p>
  </w:footnote>
  <w:footnote w:type="continuationSeparator" w:id="0">
    <w:p w14:paraId="4C44E72E" w14:textId="77777777" w:rsidR="00A53E3C" w:rsidRDefault="00A5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13F"/>
    <w:multiLevelType w:val="hybridMultilevel"/>
    <w:tmpl w:val="6FBA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8AB"/>
    <w:multiLevelType w:val="hybridMultilevel"/>
    <w:tmpl w:val="CDD4D6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13AB3"/>
    <w:multiLevelType w:val="hybridMultilevel"/>
    <w:tmpl w:val="16E0E5BE"/>
    <w:lvl w:ilvl="0" w:tplc="BA0E2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45FF"/>
    <w:multiLevelType w:val="hybridMultilevel"/>
    <w:tmpl w:val="6F84A354"/>
    <w:lvl w:ilvl="0" w:tplc="3A3EC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F44"/>
    <w:multiLevelType w:val="hybridMultilevel"/>
    <w:tmpl w:val="9D9C0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119EF"/>
    <w:multiLevelType w:val="hybridMultilevel"/>
    <w:tmpl w:val="580C5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23CF"/>
    <w:multiLevelType w:val="hybridMultilevel"/>
    <w:tmpl w:val="EFDC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5987"/>
    <w:multiLevelType w:val="hybridMultilevel"/>
    <w:tmpl w:val="D79637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C0E7D"/>
    <w:multiLevelType w:val="hybridMultilevel"/>
    <w:tmpl w:val="F5C08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4CFA"/>
    <w:multiLevelType w:val="hybridMultilevel"/>
    <w:tmpl w:val="A85683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BDE"/>
    <w:multiLevelType w:val="hybridMultilevel"/>
    <w:tmpl w:val="9C54C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C0"/>
    <w:multiLevelType w:val="multilevel"/>
    <w:tmpl w:val="F08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01F8F"/>
    <w:multiLevelType w:val="hybridMultilevel"/>
    <w:tmpl w:val="AC084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9B7EAA"/>
    <w:multiLevelType w:val="hybridMultilevel"/>
    <w:tmpl w:val="3DC2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715"/>
    <w:multiLevelType w:val="hybridMultilevel"/>
    <w:tmpl w:val="51B0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8"/>
  </w:num>
  <w:num w:numId="7">
    <w:abstractNumId w:val="0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F4"/>
    <w:rsid w:val="00014416"/>
    <w:rsid w:val="000149BF"/>
    <w:rsid w:val="00014DD9"/>
    <w:rsid w:val="00015381"/>
    <w:rsid w:val="00016A93"/>
    <w:rsid w:val="0002277E"/>
    <w:rsid w:val="000265B1"/>
    <w:rsid w:val="00027266"/>
    <w:rsid w:val="00050361"/>
    <w:rsid w:val="00056307"/>
    <w:rsid w:val="00074190"/>
    <w:rsid w:val="000751E0"/>
    <w:rsid w:val="000847A3"/>
    <w:rsid w:val="00090386"/>
    <w:rsid w:val="0009326E"/>
    <w:rsid w:val="000A3147"/>
    <w:rsid w:val="000A3435"/>
    <w:rsid w:val="000A3B30"/>
    <w:rsid w:val="000A6134"/>
    <w:rsid w:val="000B0D4B"/>
    <w:rsid w:val="000B1EE4"/>
    <w:rsid w:val="000C1E61"/>
    <w:rsid w:val="000C1F3E"/>
    <w:rsid w:val="000C27FD"/>
    <w:rsid w:val="000C4771"/>
    <w:rsid w:val="000C6FC9"/>
    <w:rsid w:val="000D3317"/>
    <w:rsid w:val="000E29C4"/>
    <w:rsid w:val="000E3ED7"/>
    <w:rsid w:val="000F0F04"/>
    <w:rsid w:val="000F76E4"/>
    <w:rsid w:val="001019D5"/>
    <w:rsid w:val="001023EE"/>
    <w:rsid w:val="00104433"/>
    <w:rsid w:val="00112674"/>
    <w:rsid w:val="00115E64"/>
    <w:rsid w:val="0011670E"/>
    <w:rsid w:val="00121465"/>
    <w:rsid w:val="0012563F"/>
    <w:rsid w:val="001264C0"/>
    <w:rsid w:val="00143250"/>
    <w:rsid w:val="00157C36"/>
    <w:rsid w:val="0016690B"/>
    <w:rsid w:val="0017044E"/>
    <w:rsid w:val="001719F9"/>
    <w:rsid w:val="00171BE9"/>
    <w:rsid w:val="00172E8A"/>
    <w:rsid w:val="00182A0F"/>
    <w:rsid w:val="0018536B"/>
    <w:rsid w:val="00186BD2"/>
    <w:rsid w:val="00190DBF"/>
    <w:rsid w:val="001A0EAB"/>
    <w:rsid w:val="001A54DB"/>
    <w:rsid w:val="001B05A8"/>
    <w:rsid w:val="001C22D9"/>
    <w:rsid w:val="001C4EB4"/>
    <w:rsid w:val="001D0F3D"/>
    <w:rsid w:val="001D1CBC"/>
    <w:rsid w:val="001D225C"/>
    <w:rsid w:val="001D32D2"/>
    <w:rsid w:val="001D7EEB"/>
    <w:rsid w:val="001E053F"/>
    <w:rsid w:val="001E1552"/>
    <w:rsid w:val="001E1E0B"/>
    <w:rsid w:val="001E2B2E"/>
    <w:rsid w:val="001E3154"/>
    <w:rsid w:val="001F0B30"/>
    <w:rsid w:val="001F0EED"/>
    <w:rsid w:val="001F583F"/>
    <w:rsid w:val="001F5B4B"/>
    <w:rsid w:val="0020023F"/>
    <w:rsid w:val="00207C8C"/>
    <w:rsid w:val="002107F1"/>
    <w:rsid w:val="002123FE"/>
    <w:rsid w:val="00213C28"/>
    <w:rsid w:val="0022493F"/>
    <w:rsid w:val="002274EF"/>
    <w:rsid w:val="002336AE"/>
    <w:rsid w:val="002337E8"/>
    <w:rsid w:val="002377AB"/>
    <w:rsid w:val="002405B2"/>
    <w:rsid w:val="00244408"/>
    <w:rsid w:val="0024541B"/>
    <w:rsid w:val="00246D6A"/>
    <w:rsid w:val="002479F5"/>
    <w:rsid w:val="00252C1E"/>
    <w:rsid w:val="00256270"/>
    <w:rsid w:val="0028108C"/>
    <w:rsid w:val="0028299B"/>
    <w:rsid w:val="00282B9A"/>
    <w:rsid w:val="00284459"/>
    <w:rsid w:val="002A0983"/>
    <w:rsid w:val="002A1295"/>
    <w:rsid w:val="002A6E9D"/>
    <w:rsid w:val="002B1493"/>
    <w:rsid w:val="002B4579"/>
    <w:rsid w:val="002B461E"/>
    <w:rsid w:val="002B491F"/>
    <w:rsid w:val="002B4D30"/>
    <w:rsid w:val="002B6BDD"/>
    <w:rsid w:val="002C43EA"/>
    <w:rsid w:val="002C55AE"/>
    <w:rsid w:val="002D0E17"/>
    <w:rsid w:val="002D16D8"/>
    <w:rsid w:val="002D208F"/>
    <w:rsid w:val="002D3E5C"/>
    <w:rsid w:val="002E101F"/>
    <w:rsid w:val="002E4E66"/>
    <w:rsid w:val="002E4F15"/>
    <w:rsid w:val="002E66BD"/>
    <w:rsid w:val="002E7EA4"/>
    <w:rsid w:val="002F1115"/>
    <w:rsid w:val="002F4912"/>
    <w:rsid w:val="002F59ED"/>
    <w:rsid w:val="00302764"/>
    <w:rsid w:val="00320D88"/>
    <w:rsid w:val="00322977"/>
    <w:rsid w:val="00325E11"/>
    <w:rsid w:val="0033163F"/>
    <w:rsid w:val="00345891"/>
    <w:rsid w:val="003460F8"/>
    <w:rsid w:val="003616D7"/>
    <w:rsid w:val="003658BF"/>
    <w:rsid w:val="0037525D"/>
    <w:rsid w:val="00377C28"/>
    <w:rsid w:val="00380E8F"/>
    <w:rsid w:val="00384F5E"/>
    <w:rsid w:val="003850E9"/>
    <w:rsid w:val="00395926"/>
    <w:rsid w:val="003A1196"/>
    <w:rsid w:val="003A7C0B"/>
    <w:rsid w:val="003E2FDF"/>
    <w:rsid w:val="0040065C"/>
    <w:rsid w:val="004033F4"/>
    <w:rsid w:val="00404F0C"/>
    <w:rsid w:val="0041299C"/>
    <w:rsid w:val="0041465A"/>
    <w:rsid w:val="004225D1"/>
    <w:rsid w:val="00422F0E"/>
    <w:rsid w:val="0044116C"/>
    <w:rsid w:val="004465B8"/>
    <w:rsid w:val="004475DF"/>
    <w:rsid w:val="004548A4"/>
    <w:rsid w:val="004557A4"/>
    <w:rsid w:val="00464713"/>
    <w:rsid w:val="00464A4C"/>
    <w:rsid w:val="004671F7"/>
    <w:rsid w:val="00473644"/>
    <w:rsid w:val="0047675C"/>
    <w:rsid w:val="00481B3A"/>
    <w:rsid w:val="004852ED"/>
    <w:rsid w:val="004877CE"/>
    <w:rsid w:val="00490150"/>
    <w:rsid w:val="004974B5"/>
    <w:rsid w:val="004A097F"/>
    <w:rsid w:val="004A25EE"/>
    <w:rsid w:val="004A4A67"/>
    <w:rsid w:val="004B0F5C"/>
    <w:rsid w:val="004B5575"/>
    <w:rsid w:val="004B6C4E"/>
    <w:rsid w:val="004C17D9"/>
    <w:rsid w:val="004C2A48"/>
    <w:rsid w:val="004D5541"/>
    <w:rsid w:val="004D5F43"/>
    <w:rsid w:val="004E2D62"/>
    <w:rsid w:val="004E3B9A"/>
    <w:rsid w:val="004E494D"/>
    <w:rsid w:val="004F34CC"/>
    <w:rsid w:val="004F4B00"/>
    <w:rsid w:val="004F651C"/>
    <w:rsid w:val="00503A30"/>
    <w:rsid w:val="00510B45"/>
    <w:rsid w:val="00514010"/>
    <w:rsid w:val="005171B5"/>
    <w:rsid w:val="00520B96"/>
    <w:rsid w:val="00530D1B"/>
    <w:rsid w:val="0053593D"/>
    <w:rsid w:val="00535C52"/>
    <w:rsid w:val="00541B2E"/>
    <w:rsid w:val="00551058"/>
    <w:rsid w:val="0055213D"/>
    <w:rsid w:val="00553D46"/>
    <w:rsid w:val="0055490E"/>
    <w:rsid w:val="005606E0"/>
    <w:rsid w:val="00576D1E"/>
    <w:rsid w:val="00576FD6"/>
    <w:rsid w:val="00584859"/>
    <w:rsid w:val="00587789"/>
    <w:rsid w:val="005A0B2B"/>
    <w:rsid w:val="005A1D1C"/>
    <w:rsid w:val="005A6508"/>
    <w:rsid w:val="005B3931"/>
    <w:rsid w:val="005C0BA8"/>
    <w:rsid w:val="005C15C2"/>
    <w:rsid w:val="005C3A01"/>
    <w:rsid w:val="005C3ED7"/>
    <w:rsid w:val="005C4301"/>
    <w:rsid w:val="005C7641"/>
    <w:rsid w:val="005C7C7D"/>
    <w:rsid w:val="005D37C7"/>
    <w:rsid w:val="005E3640"/>
    <w:rsid w:val="005E63FE"/>
    <w:rsid w:val="005F039B"/>
    <w:rsid w:val="005F21F2"/>
    <w:rsid w:val="00614B6A"/>
    <w:rsid w:val="006175B2"/>
    <w:rsid w:val="006272E8"/>
    <w:rsid w:val="00632E17"/>
    <w:rsid w:val="006346C9"/>
    <w:rsid w:val="006420E1"/>
    <w:rsid w:val="0065183A"/>
    <w:rsid w:val="0065201B"/>
    <w:rsid w:val="0065204D"/>
    <w:rsid w:val="00652384"/>
    <w:rsid w:val="006553CF"/>
    <w:rsid w:val="00656359"/>
    <w:rsid w:val="00660864"/>
    <w:rsid w:val="00661A34"/>
    <w:rsid w:val="00662090"/>
    <w:rsid w:val="00665201"/>
    <w:rsid w:val="00673282"/>
    <w:rsid w:val="00676890"/>
    <w:rsid w:val="0067739A"/>
    <w:rsid w:val="006800DF"/>
    <w:rsid w:val="00680605"/>
    <w:rsid w:val="00683296"/>
    <w:rsid w:val="00691FD4"/>
    <w:rsid w:val="006A0C4B"/>
    <w:rsid w:val="006A48C8"/>
    <w:rsid w:val="006A4D37"/>
    <w:rsid w:val="006A7064"/>
    <w:rsid w:val="006B6251"/>
    <w:rsid w:val="006C208A"/>
    <w:rsid w:val="006C413A"/>
    <w:rsid w:val="006D138E"/>
    <w:rsid w:val="006D64ED"/>
    <w:rsid w:val="006D6999"/>
    <w:rsid w:val="006D69BF"/>
    <w:rsid w:val="006E5825"/>
    <w:rsid w:val="006F03EA"/>
    <w:rsid w:val="006F17C1"/>
    <w:rsid w:val="006F385D"/>
    <w:rsid w:val="006F6C3C"/>
    <w:rsid w:val="007000C2"/>
    <w:rsid w:val="0070462C"/>
    <w:rsid w:val="007114CD"/>
    <w:rsid w:val="0071584F"/>
    <w:rsid w:val="00717E0A"/>
    <w:rsid w:val="00726A50"/>
    <w:rsid w:val="007275BA"/>
    <w:rsid w:val="007328C0"/>
    <w:rsid w:val="00742994"/>
    <w:rsid w:val="00755FD2"/>
    <w:rsid w:val="00763E2F"/>
    <w:rsid w:val="00764154"/>
    <w:rsid w:val="0076690C"/>
    <w:rsid w:val="0078235D"/>
    <w:rsid w:val="007919D2"/>
    <w:rsid w:val="007A46FF"/>
    <w:rsid w:val="007B0F7C"/>
    <w:rsid w:val="007B2AFA"/>
    <w:rsid w:val="007B4631"/>
    <w:rsid w:val="007B7159"/>
    <w:rsid w:val="007C6B20"/>
    <w:rsid w:val="007D1484"/>
    <w:rsid w:val="007D1821"/>
    <w:rsid w:val="007D4088"/>
    <w:rsid w:val="007D478D"/>
    <w:rsid w:val="007D719B"/>
    <w:rsid w:val="007E2BC9"/>
    <w:rsid w:val="007E3126"/>
    <w:rsid w:val="007E3CDD"/>
    <w:rsid w:val="007F352C"/>
    <w:rsid w:val="007F356B"/>
    <w:rsid w:val="007F4250"/>
    <w:rsid w:val="007F5E48"/>
    <w:rsid w:val="007F7064"/>
    <w:rsid w:val="007F7694"/>
    <w:rsid w:val="007F7ECD"/>
    <w:rsid w:val="008049E8"/>
    <w:rsid w:val="008062DC"/>
    <w:rsid w:val="00810D75"/>
    <w:rsid w:val="0081358E"/>
    <w:rsid w:val="008164C5"/>
    <w:rsid w:val="008208C4"/>
    <w:rsid w:val="00834942"/>
    <w:rsid w:val="0084235D"/>
    <w:rsid w:val="008449E6"/>
    <w:rsid w:val="00851D72"/>
    <w:rsid w:val="0085279C"/>
    <w:rsid w:val="00855C4B"/>
    <w:rsid w:val="00856349"/>
    <w:rsid w:val="00856537"/>
    <w:rsid w:val="00856EB0"/>
    <w:rsid w:val="0085762E"/>
    <w:rsid w:val="00860E57"/>
    <w:rsid w:val="00861EDC"/>
    <w:rsid w:val="00864360"/>
    <w:rsid w:val="00865051"/>
    <w:rsid w:val="0088105A"/>
    <w:rsid w:val="0088378C"/>
    <w:rsid w:val="008868CF"/>
    <w:rsid w:val="00891920"/>
    <w:rsid w:val="008923F9"/>
    <w:rsid w:val="00895F6B"/>
    <w:rsid w:val="008962C0"/>
    <w:rsid w:val="008A0F94"/>
    <w:rsid w:val="008A49DB"/>
    <w:rsid w:val="008A7867"/>
    <w:rsid w:val="008A7D99"/>
    <w:rsid w:val="008B2BF2"/>
    <w:rsid w:val="008C4B89"/>
    <w:rsid w:val="008D1428"/>
    <w:rsid w:val="008D2A81"/>
    <w:rsid w:val="008D7D40"/>
    <w:rsid w:val="008E7D1D"/>
    <w:rsid w:val="008F1189"/>
    <w:rsid w:val="008F4ECB"/>
    <w:rsid w:val="00900787"/>
    <w:rsid w:val="00901CED"/>
    <w:rsid w:val="00902F18"/>
    <w:rsid w:val="00912BE2"/>
    <w:rsid w:val="00914E7C"/>
    <w:rsid w:val="0091502A"/>
    <w:rsid w:val="0091701B"/>
    <w:rsid w:val="00921EF3"/>
    <w:rsid w:val="00930490"/>
    <w:rsid w:val="00930FAE"/>
    <w:rsid w:val="00937AC4"/>
    <w:rsid w:val="00937CEC"/>
    <w:rsid w:val="00937F52"/>
    <w:rsid w:val="00943563"/>
    <w:rsid w:val="009456F6"/>
    <w:rsid w:val="00947FE2"/>
    <w:rsid w:val="009549DB"/>
    <w:rsid w:val="00956566"/>
    <w:rsid w:val="00961639"/>
    <w:rsid w:val="00967586"/>
    <w:rsid w:val="00970677"/>
    <w:rsid w:val="00972F58"/>
    <w:rsid w:val="009757B8"/>
    <w:rsid w:val="0097722F"/>
    <w:rsid w:val="00982042"/>
    <w:rsid w:val="00984D23"/>
    <w:rsid w:val="00997463"/>
    <w:rsid w:val="009A1531"/>
    <w:rsid w:val="009B04FA"/>
    <w:rsid w:val="009C33AE"/>
    <w:rsid w:val="009C6060"/>
    <w:rsid w:val="009C7DD5"/>
    <w:rsid w:val="009D18C8"/>
    <w:rsid w:val="009D20E6"/>
    <w:rsid w:val="009D28B1"/>
    <w:rsid w:val="009D6E34"/>
    <w:rsid w:val="009D6F7A"/>
    <w:rsid w:val="009E1F7B"/>
    <w:rsid w:val="009F1173"/>
    <w:rsid w:val="009F46EE"/>
    <w:rsid w:val="009F6E41"/>
    <w:rsid w:val="009F741A"/>
    <w:rsid w:val="00A01DC5"/>
    <w:rsid w:val="00A0374B"/>
    <w:rsid w:val="00A05641"/>
    <w:rsid w:val="00A06B19"/>
    <w:rsid w:val="00A20837"/>
    <w:rsid w:val="00A23FB4"/>
    <w:rsid w:val="00A27B61"/>
    <w:rsid w:val="00A30388"/>
    <w:rsid w:val="00A34964"/>
    <w:rsid w:val="00A34AAC"/>
    <w:rsid w:val="00A41F64"/>
    <w:rsid w:val="00A426F1"/>
    <w:rsid w:val="00A42E47"/>
    <w:rsid w:val="00A504EC"/>
    <w:rsid w:val="00A53D93"/>
    <w:rsid w:val="00A53E3C"/>
    <w:rsid w:val="00A54D11"/>
    <w:rsid w:val="00A63BF3"/>
    <w:rsid w:val="00A72A02"/>
    <w:rsid w:val="00A74534"/>
    <w:rsid w:val="00A752A8"/>
    <w:rsid w:val="00A84C9C"/>
    <w:rsid w:val="00AA0CD5"/>
    <w:rsid w:val="00AA42AF"/>
    <w:rsid w:val="00AB2A21"/>
    <w:rsid w:val="00AB4771"/>
    <w:rsid w:val="00AB5F4A"/>
    <w:rsid w:val="00AB6578"/>
    <w:rsid w:val="00AB6ED5"/>
    <w:rsid w:val="00AB7F31"/>
    <w:rsid w:val="00AC16F6"/>
    <w:rsid w:val="00AC3512"/>
    <w:rsid w:val="00AC4DAA"/>
    <w:rsid w:val="00AD0D60"/>
    <w:rsid w:val="00AD0D70"/>
    <w:rsid w:val="00AD3FE4"/>
    <w:rsid w:val="00AE57BD"/>
    <w:rsid w:val="00AE6F3F"/>
    <w:rsid w:val="00AF36AE"/>
    <w:rsid w:val="00AF5E7F"/>
    <w:rsid w:val="00AF737C"/>
    <w:rsid w:val="00B00EB8"/>
    <w:rsid w:val="00B0266C"/>
    <w:rsid w:val="00B130AB"/>
    <w:rsid w:val="00B17BF2"/>
    <w:rsid w:val="00B17ECA"/>
    <w:rsid w:val="00B306EF"/>
    <w:rsid w:val="00B30802"/>
    <w:rsid w:val="00B32191"/>
    <w:rsid w:val="00B33749"/>
    <w:rsid w:val="00B447D9"/>
    <w:rsid w:val="00B47E22"/>
    <w:rsid w:val="00B47F0C"/>
    <w:rsid w:val="00B57E54"/>
    <w:rsid w:val="00B63331"/>
    <w:rsid w:val="00B66B9C"/>
    <w:rsid w:val="00B72729"/>
    <w:rsid w:val="00B73FB6"/>
    <w:rsid w:val="00B75CC0"/>
    <w:rsid w:val="00B76C0E"/>
    <w:rsid w:val="00B85C7D"/>
    <w:rsid w:val="00B9420B"/>
    <w:rsid w:val="00BA3057"/>
    <w:rsid w:val="00BA65F0"/>
    <w:rsid w:val="00BB4E0D"/>
    <w:rsid w:val="00BB70C9"/>
    <w:rsid w:val="00BC1DF4"/>
    <w:rsid w:val="00BC2336"/>
    <w:rsid w:val="00BC5BE1"/>
    <w:rsid w:val="00BD085B"/>
    <w:rsid w:val="00BF06D4"/>
    <w:rsid w:val="00BF0F19"/>
    <w:rsid w:val="00BF6DF7"/>
    <w:rsid w:val="00C068EB"/>
    <w:rsid w:val="00C21406"/>
    <w:rsid w:val="00C2348A"/>
    <w:rsid w:val="00C25572"/>
    <w:rsid w:val="00C353BD"/>
    <w:rsid w:val="00C37637"/>
    <w:rsid w:val="00C40B5B"/>
    <w:rsid w:val="00C4562E"/>
    <w:rsid w:val="00C45C0F"/>
    <w:rsid w:val="00C51D73"/>
    <w:rsid w:val="00C54B34"/>
    <w:rsid w:val="00C57176"/>
    <w:rsid w:val="00C65ED7"/>
    <w:rsid w:val="00C702FB"/>
    <w:rsid w:val="00C73FB5"/>
    <w:rsid w:val="00C74555"/>
    <w:rsid w:val="00C7709B"/>
    <w:rsid w:val="00C848E3"/>
    <w:rsid w:val="00C92671"/>
    <w:rsid w:val="00C9436D"/>
    <w:rsid w:val="00CA111B"/>
    <w:rsid w:val="00CB27DE"/>
    <w:rsid w:val="00CB3114"/>
    <w:rsid w:val="00CC237C"/>
    <w:rsid w:val="00CC4F46"/>
    <w:rsid w:val="00CC7F3C"/>
    <w:rsid w:val="00CF09B0"/>
    <w:rsid w:val="00CF25F1"/>
    <w:rsid w:val="00CF4C2E"/>
    <w:rsid w:val="00CF572C"/>
    <w:rsid w:val="00CF5C65"/>
    <w:rsid w:val="00D010B9"/>
    <w:rsid w:val="00D03B3E"/>
    <w:rsid w:val="00D0444B"/>
    <w:rsid w:val="00D046E8"/>
    <w:rsid w:val="00D05D1A"/>
    <w:rsid w:val="00D07D4C"/>
    <w:rsid w:val="00D1095E"/>
    <w:rsid w:val="00D11FE1"/>
    <w:rsid w:val="00D12520"/>
    <w:rsid w:val="00D153C5"/>
    <w:rsid w:val="00D2275A"/>
    <w:rsid w:val="00D235F5"/>
    <w:rsid w:val="00D32F0B"/>
    <w:rsid w:val="00D34EE3"/>
    <w:rsid w:val="00D4145C"/>
    <w:rsid w:val="00D50A8D"/>
    <w:rsid w:val="00D544E7"/>
    <w:rsid w:val="00D61815"/>
    <w:rsid w:val="00D64061"/>
    <w:rsid w:val="00D65131"/>
    <w:rsid w:val="00D66A73"/>
    <w:rsid w:val="00D74C4B"/>
    <w:rsid w:val="00D75C76"/>
    <w:rsid w:val="00D83A79"/>
    <w:rsid w:val="00D901E0"/>
    <w:rsid w:val="00D9740E"/>
    <w:rsid w:val="00DB1C2A"/>
    <w:rsid w:val="00DB21D0"/>
    <w:rsid w:val="00DC667A"/>
    <w:rsid w:val="00DD10FA"/>
    <w:rsid w:val="00DD2BC5"/>
    <w:rsid w:val="00DD2CA2"/>
    <w:rsid w:val="00DD78E4"/>
    <w:rsid w:val="00DE0778"/>
    <w:rsid w:val="00DE28FA"/>
    <w:rsid w:val="00DE5203"/>
    <w:rsid w:val="00DE5F57"/>
    <w:rsid w:val="00DE605D"/>
    <w:rsid w:val="00DF1AFB"/>
    <w:rsid w:val="00DF53EB"/>
    <w:rsid w:val="00DF638B"/>
    <w:rsid w:val="00E029E6"/>
    <w:rsid w:val="00E10CFF"/>
    <w:rsid w:val="00E12150"/>
    <w:rsid w:val="00E15715"/>
    <w:rsid w:val="00E159E2"/>
    <w:rsid w:val="00E17B9E"/>
    <w:rsid w:val="00E20F46"/>
    <w:rsid w:val="00E33E15"/>
    <w:rsid w:val="00E42262"/>
    <w:rsid w:val="00E43CEF"/>
    <w:rsid w:val="00E44A15"/>
    <w:rsid w:val="00E45B36"/>
    <w:rsid w:val="00E50120"/>
    <w:rsid w:val="00E5414B"/>
    <w:rsid w:val="00E56489"/>
    <w:rsid w:val="00E57F9E"/>
    <w:rsid w:val="00E669F2"/>
    <w:rsid w:val="00E731D1"/>
    <w:rsid w:val="00E805E4"/>
    <w:rsid w:val="00E824EA"/>
    <w:rsid w:val="00E847F5"/>
    <w:rsid w:val="00E91FCC"/>
    <w:rsid w:val="00E9245E"/>
    <w:rsid w:val="00E92A4C"/>
    <w:rsid w:val="00EA72B7"/>
    <w:rsid w:val="00EB2F07"/>
    <w:rsid w:val="00EB71F0"/>
    <w:rsid w:val="00EC3D9F"/>
    <w:rsid w:val="00EC5180"/>
    <w:rsid w:val="00EC5313"/>
    <w:rsid w:val="00EC7592"/>
    <w:rsid w:val="00ED1184"/>
    <w:rsid w:val="00ED21FB"/>
    <w:rsid w:val="00ED2B69"/>
    <w:rsid w:val="00ED39CE"/>
    <w:rsid w:val="00ED6EEA"/>
    <w:rsid w:val="00EE04AB"/>
    <w:rsid w:val="00EE242C"/>
    <w:rsid w:val="00EF0ADC"/>
    <w:rsid w:val="00F019A8"/>
    <w:rsid w:val="00F063A9"/>
    <w:rsid w:val="00F11380"/>
    <w:rsid w:val="00F14F07"/>
    <w:rsid w:val="00F15A96"/>
    <w:rsid w:val="00F17853"/>
    <w:rsid w:val="00F17B77"/>
    <w:rsid w:val="00F21DC7"/>
    <w:rsid w:val="00F30354"/>
    <w:rsid w:val="00F33270"/>
    <w:rsid w:val="00F365DB"/>
    <w:rsid w:val="00F437CC"/>
    <w:rsid w:val="00F44550"/>
    <w:rsid w:val="00F45DA9"/>
    <w:rsid w:val="00F545E4"/>
    <w:rsid w:val="00F61218"/>
    <w:rsid w:val="00F62820"/>
    <w:rsid w:val="00F62E90"/>
    <w:rsid w:val="00F6760C"/>
    <w:rsid w:val="00F70189"/>
    <w:rsid w:val="00F73BE8"/>
    <w:rsid w:val="00F91DF0"/>
    <w:rsid w:val="00F92802"/>
    <w:rsid w:val="00F94BB5"/>
    <w:rsid w:val="00F95E29"/>
    <w:rsid w:val="00FA0E1D"/>
    <w:rsid w:val="00FA2FF3"/>
    <w:rsid w:val="00FA5200"/>
    <w:rsid w:val="00FA678D"/>
    <w:rsid w:val="00FB1A70"/>
    <w:rsid w:val="00FB4000"/>
    <w:rsid w:val="00FB4D5D"/>
    <w:rsid w:val="00FC3FE2"/>
    <w:rsid w:val="00FC4E6E"/>
    <w:rsid w:val="00FD1B14"/>
    <w:rsid w:val="00FD4367"/>
    <w:rsid w:val="00FE7212"/>
    <w:rsid w:val="00FF3D2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B35"/>
  <w15:docId w15:val="{94D19BBC-5B03-4CF5-A665-A454120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B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B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0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40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40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0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08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15E6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15E6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4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3B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A2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FF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35C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BF2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D64ED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57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4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463"/>
    <w:rPr>
      <w:sz w:val="20"/>
      <w:szCs w:val="20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7B7159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62E9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019D5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019D5"/>
    <w:rPr>
      <w:rFonts w:ascii="Calibri" w:hAnsi="Calibri"/>
      <w:color w:val="00457D"/>
      <w:szCs w:val="21"/>
    </w:rPr>
  </w:style>
  <w:style w:type="paragraph" w:styleId="Revisione">
    <w:name w:val="Revision"/>
    <w:hidden/>
    <w:uiPriority w:val="99"/>
    <w:semiHidden/>
    <w:rsid w:val="00101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86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55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6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69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9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0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8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2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5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05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58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6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0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7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55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4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06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6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1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5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59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7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89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3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5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4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7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58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7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23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35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14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45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4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3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8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96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40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87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18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6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8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5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48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99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65895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9" w:color="DFE1E5"/>
                <w:right w:val="none" w:sz="0" w:space="0" w:color="auto"/>
              </w:divBdr>
              <w:divsChild>
                <w:div w:id="1506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60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nderleyen/status/1355942468001411072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coronavirus.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italia/covid19-opendata-vaccini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D64E-6364-4377-824A-17C31F44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Gili</dc:creator>
  <cp:lastModifiedBy>Luca Bellusci</cp:lastModifiedBy>
  <cp:revision>5</cp:revision>
  <dcterms:created xsi:type="dcterms:W3CDTF">2021-02-03T22:25:00Z</dcterms:created>
  <dcterms:modified xsi:type="dcterms:W3CDTF">2021-02-10T15:33:00Z</dcterms:modified>
</cp:coreProperties>
</file>