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82B" w:rsidRDefault="00CE577D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COMUNICATO STAMPA</w:t>
      </w:r>
    </w:p>
    <w:p w:rsidR="007B682B" w:rsidRPr="00BB0B64" w:rsidRDefault="00CE577D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CORONAVIRUS: RALLENTA L’INCREMENTO DEI NUOVI CASI (+20%)</w:t>
      </w:r>
      <w:r w:rsidR="008F11C8">
        <w:rPr>
          <w:b/>
          <w:bCs/>
          <w:sz w:val="32"/>
          <w:szCs w:val="32"/>
        </w:rPr>
        <w:t>,</w:t>
      </w:r>
      <w:r>
        <w:rPr>
          <w:b/>
          <w:bCs/>
          <w:sz w:val="32"/>
          <w:szCs w:val="32"/>
        </w:rPr>
        <w:t xml:space="preserve"> </w:t>
      </w:r>
      <w:r w:rsidR="008F11C8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 xml:space="preserve">MA </w:t>
      </w:r>
      <w:r w:rsidR="00FE452F">
        <w:rPr>
          <w:b/>
          <w:bCs/>
          <w:sz w:val="32"/>
          <w:szCs w:val="32"/>
        </w:rPr>
        <w:t>AUMENTANO RICOVERI E TERAPIE INTENSIVE</w:t>
      </w:r>
      <w:r w:rsidR="00EB6539">
        <w:rPr>
          <w:b/>
          <w:bCs/>
          <w:sz w:val="32"/>
          <w:szCs w:val="32"/>
        </w:rPr>
        <w:t>.</w:t>
      </w:r>
    </w:p>
    <w:p w:rsidR="007B682B" w:rsidRPr="00BB0B64" w:rsidRDefault="00CE577D">
      <w:pPr>
        <w:spacing w:after="0"/>
        <w:jc w:val="center"/>
        <w:rPr>
          <w:b/>
          <w:bCs/>
          <w:sz w:val="32"/>
          <w:szCs w:val="32"/>
        </w:rPr>
      </w:pPr>
      <w:r w:rsidRPr="00BB0B64">
        <w:rPr>
          <w:b/>
          <w:bCs/>
          <w:sz w:val="32"/>
          <w:szCs w:val="32"/>
        </w:rPr>
        <w:t xml:space="preserve">VACCINI: </w:t>
      </w:r>
      <w:r w:rsidR="008F11C8">
        <w:rPr>
          <w:b/>
          <w:bCs/>
          <w:sz w:val="32"/>
          <w:szCs w:val="32"/>
        </w:rPr>
        <w:t>RISAL</w:t>
      </w:r>
      <w:r w:rsidR="00236626">
        <w:rPr>
          <w:b/>
          <w:bCs/>
          <w:sz w:val="32"/>
          <w:szCs w:val="32"/>
        </w:rPr>
        <w:t xml:space="preserve">GONO </w:t>
      </w:r>
      <w:r w:rsidR="00567F60">
        <w:rPr>
          <w:b/>
          <w:bCs/>
          <w:sz w:val="32"/>
          <w:szCs w:val="32"/>
        </w:rPr>
        <w:t xml:space="preserve">AL 29,5% </w:t>
      </w:r>
      <w:r w:rsidR="008F11C8">
        <w:rPr>
          <w:b/>
          <w:bCs/>
          <w:sz w:val="32"/>
          <w:szCs w:val="32"/>
        </w:rPr>
        <w:t xml:space="preserve">LE PRIME DOSI, MA </w:t>
      </w:r>
      <w:r w:rsidR="00803E96">
        <w:rPr>
          <w:b/>
          <w:bCs/>
          <w:sz w:val="32"/>
          <w:szCs w:val="32"/>
        </w:rPr>
        <w:t>LE CONSEGNE LIMITATE RISCHIANO DI FRENARE LA CAMPAGNA.</w:t>
      </w:r>
    </w:p>
    <w:p w:rsidR="007B682B" w:rsidRDefault="00CE577D">
      <w:pPr>
        <w:spacing w:after="0"/>
        <w:jc w:val="both"/>
        <w:rPr>
          <w:b/>
          <w:bCs/>
          <w:color w:val="FF0000"/>
          <w:sz w:val="24"/>
          <w:szCs w:val="24"/>
          <w:u w:color="FF0000"/>
        </w:rPr>
      </w:pPr>
      <w:r>
        <w:rPr>
          <w:b/>
          <w:bCs/>
          <w:sz w:val="24"/>
          <w:szCs w:val="24"/>
        </w:rPr>
        <w:t>IL MONITORAGGIO DELLA FONDAZIONE GIMBE, NELLA SETTIMANA 28 LUGLIO-3 AGOSTO, RILEVA UN RALLENTAMENTO NELLA CRESCITA NUOVI CASI</w:t>
      </w:r>
      <w:r w:rsidR="008F11C8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CONTINUANO A SALIRE I PAZIENTI RICOVERATI IN AREA MEDICA (+36,3%) E NELLE TERAPIE INTENSIVE</w:t>
      </w:r>
      <w:r w:rsidR="00EB6539">
        <w:rPr>
          <w:b/>
          <w:bCs/>
          <w:sz w:val="24"/>
          <w:szCs w:val="24"/>
        </w:rPr>
        <w:t xml:space="preserve"> (+36,5%)</w:t>
      </w:r>
      <w:r w:rsidR="00FE452F">
        <w:rPr>
          <w:b/>
          <w:bCs/>
          <w:sz w:val="24"/>
          <w:szCs w:val="24"/>
        </w:rPr>
        <w:t xml:space="preserve">: I NUMERI ASSOLUTI RIMANGONO BASSI, MA </w:t>
      </w:r>
      <w:r>
        <w:rPr>
          <w:b/>
          <w:bCs/>
          <w:sz w:val="24"/>
          <w:szCs w:val="24"/>
        </w:rPr>
        <w:t>CON</w:t>
      </w:r>
      <w:r w:rsidR="00FE452F">
        <w:rPr>
          <w:b/>
          <w:bCs/>
          <w:sz w:val="24"/>
          <w:szCs w:val="24"/>
        </w:rPr>
        <w:t xml:space="preserve"> RILEVANTI</w:t>
      </w:r>
      <w:r>
        <w:rPr>
          <w:b/>
          <w:bCs/>
          <w:sz w:val="24"/>
          <w:szCs w:val="24"/>
        </w:rPr>
        <w:t xml:space="preserve"> DIFFERENZE REGIONALI</w:t>
      </w:r>
      <w:r w:rsidR="008F11C8">
        <w:rPr>
          <w:b/>
          <w:bCs/>
          <w:sz w:val="24"/>
          <w:szCs w:val="24"/>
        </w:rPr>
        <w:t xml:space="preserve"> </w:t>
      </w:r>
      <w:r w:rsidR="00FE452F">
        <w:rPr>
          <w:b/>
          <w:bCs/>
          <w:sz w:val="24"/>
          <w:szCs w:val="24"/>
        </w:rPr>
        <w:t>DI SATURAZIONE DEI POSTI LETTO</w:t>
      </w:r>
      <w:r w:rsidRPr="00BB0B64">
        <w:rPr>
          <w:b/>
          <w:bCs/>
          <w:color w:val="auto"/>
          <w:sz w:val="24"/>
          <w:szCs w:val="24"/>
        </w:rPr>
        <w:t xml:space="preserve">. </w:t>
      </w:r>
      <w:r w:rsidR="00B81B08">
        <w:rPr>
          <w:b/>
          <w:bCs/>
          <w:color w:val="auto"/>
          <w:sz w:val="24"/>
          <w:szCs w:val="24"/>
        </w:rPr>
        <w:t xml:space="preserve">RESTANO </w:t>
      </w:r>
      <w:r w:rsidR="00567F60">
        <w:rPr>
          <w:b/>
          <w:bCs/>
          <w:color w:val="auto"/>
          <w:sz w:val="24"/>
          <w:szCs w:val="24"/>
        </w:rPr>
        <w:t xml:space="preserve">STABILI I </w:t>
      </w:r>
      <w:r w:rsidR="00567F60">
        <w:rPr>
          <w:b/>
          <w:bCs/>
          <w:sz w:val="24"/>
          <w:szCs w:val="24"/>
        </w:rPr>
        <w:t>DECESSI</w:t>
      </w:r>
      <w:r w:rsidR="00567F60">
        <w:rPr>
          <w:b/>
          <w:bCs/>
          <w:color w:val="auto"/>
          <w:sz w:val="24"/>
          <w:szCs w:val="24"/>
        </w:rPr>
        <w:t xml:space="preserve">. </w:t>
      </w:r>
      <w:r w:rsidR="008F11C8">
        <w:rPr>
          <w:b/>
          <w:bCs/>
          <w:color w:val="auto"/>
          <w:sz w:val="24"/>
          <w:szCs w:val="24"/>
        </w:rPr>
        <w:t xml:space="preserve">TORNA A SALIRE </w:t>
      </w:r>
      <w:r w:rsidR="00325D76">
        <w:rPr>
          <w:b/>
          <w:bCs/>
          <w:color w:val="auto"/>
          <w:sz w:val="24"/>
          <w:szCs w:val="24"/>
        </w:rPr>
        <w:t>LA PERCENTUALE DELLE PRIME DOSI SU</w:t>
      </w:r>
      <w:r w:rsidR="008F11C8">
        <w:rPr>
          <w:b/>
          <w:bCs/>
          <w:color w:val="auto"/>
          <w:sz w:val="24"/>
          <w:szCs w:val="24"/>
        </w:rPr>
        <w:t xml:space="preserve">L TOTALE DELLE SOMMINISTRAZIONI, </w:t>
      </w:r>
      <w:r w:rsidR="00325D76">
        <w:rPr>
          <w:b/>
          <w:bCs/>
          <w:color w:val="auto"/>
          <w:sz w:val="24"/>
          <w:szCs w:val="24"/>
        </w:rPr>
        <w:t xml:space="preserve">MA </w:t>
      </w:r>
      <w:r w:rsidR="00BB0B64" w:rsidRPr="00BB0B64">
        <w:rPr>
          <w:b/>
          <w:bCs/>
          <w:color w:val="auto"/>
          <w:sz w:val="24"/>
          <w:szCs w:val="24"/>
          <w:u w:color="FF0000"/>
        </w:rPr>
        <w:t>LA CAMPAGNA VACCINALE</w:t>
      </w:r>
      <w:r w:rsidR="006C3678">
        <w:rPr>
          <w:b/>
          <w:bCs/>
          <w:color w:val="auto"/>
          <w:sz w:val="24"/>
          <w:szCs w:val="24"/>
          <w:u w:color="FF0000"/>
        </w:rPr>
        <w:t>,</w:t>
      </w:r>
      <w:r w:rsidR="00BB0B64" w:rsidRPr="00BB0B64">
        <w:rPr>
          <w:b/>
          <w:bCs/>
          <w:color w:val="auto"/>
          <w:sz w:val="24"/>
          <w:szCs w:val="24"/>
          <w:u w:color="FF0000"/>
        </w:rPr>
        <w:t xml:space="preserve"> </w:t>
      </w:r>
      <w:r w:rsidR="00B4610A">
        <w:rPr>
          <w:b/>
          <w:bCs/>
          <w:color w:val="auto"/>
          <w:sz w:val="24"/>
          <w:szCs w:val="24"/>
          <w:u w:color="FF0000"/>
        </w:rPr>
        <w:t xml:space="preserve">ORMAI DIPENDENTE DAI </w:t>
      </w:r>
      <w:r w:rsidR="00BB0B64" w:rsidRPr="00BB0B64">
        <w:rPr>
          <w:b/>
          <w:bCs/>
          <w:color w:val="auto"/>
          <w:sz w:val="24"/>
          <w:szCs w:val="24"/>
          <w:u w:color="FF0000"/>
        </w:rPr>
        <w:t>VACCINI A MRNA</w:t>
      </w:r>
      <w:r w:rsidR="00567F60">
        <w:rPr>
          <w:b/>
          <w:bCs/>
          <w:color w:val="auto"/>
          <w:sz w:val="24"/>
          <w:szCs w:val="24"/>
          <w:u w:color="FF0000"/>
        </w:rPr>
        <w:t>, PUÒ CONTARE SU UN NUMERO DI DOSI INSUFFIC</w:t>
      </w:r>
      <w:r w:rsidR="00037A0A">
        <w:rPr>
          <w:b/>
          <w:bCs/>
          <w:color w:val="auto"/>
          <w:sz w:val="24"/>
          <w:szCs w:val="24"/>
          <w:u w:color="FF0000"/>
        </w:rPr>
        <w:t>IENTE PER MANTENERE IL RITMO</w:t>
      </w:r>
      <w:r w:rsidR="006C3678">
        <w:rPr>
          <w:b/>
          <w:bCs/>
          <w:color w:val="auto"/>
          <w:sz w:val="24"/>
          <w:szCs w:val="24"/>
          <w:u w:color="FF0000"/>
        </w:rPr>
        <w:t xml:space="preserve">. ALLA VIGILIA DELLA PAUSA ESTIVA DALLA FONDAZIONE GIMBE UNA </w:t>
      </w:r>
      <w:r w:rsidR="006C3678" w:rsidRPr="006C3678">
        <w:rPr>
          <w:b/>
          <w:bCs/>
          <w:color w:val="auto"/>
          <w:sz w:val="24"/>
          <w:szCs w:val="24"/>
          <w:u w:color="FF0000"/>
        </w:rPr>
        <w:t>REVISIONE DELLE DINAMICHE DELLA CIRCOLAZIONE DEL SARS-COV-2 E DELL’IMPATTO DELLA COVID-19 SUGLI OSPEDALI</w:t>
      </w:r>
      <w:r w:rsidR="006C3678">
        <w:rPr>
          <w:b/>
          <w:bCs/>
          <w:color w:val="auto"/>
          <w:sz w:val="24"/>
          <w:szCs w:val="24"/>
          <w:u w:color="FF0000"/>
        </w:rPr>
        <w:t>.</w:t>
      </w:r>
    </w:p>
    <w:p w:rsidR="007B682B" w:rsidRDefault="00CE577D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 agosto 2021 - Fondazione GIMBE, Bologna</w:t>
      </w:r>
    </w:p>
    <w:p w:rsidR="007B682B" w:rsidRDefault="00CE577D" w:rsidP="006176B8">
      <w:pPr>
        <w:spacing w:after="120" w:line="276" w:lineRule="auto"/>
        <w:jc w:val="both"/>
      </w:pPr>
      <w:r>
        <w:t>Il monitoraggio indipendente della Fondazione GIMBE rileva nella settimana 28 luglio 2021-3 agosto</w:t>
      </w:r>
      <w:r w:rsidR="006176B8">
        <w:t xml:space="preserve"> 2021, </w:t>
      </w:r>
      <w:r>
        <w:t>rispetto alla precedente, un incremento di nuovi casi (38.328 vs 31.963) (</w:t>
      </w:r>
      <w:r>
        <w:rPr>
          <w:shd w:val="clear" w:color="auto" w:fill="FFFF00"/>
        </w:rPr>
        <w:t>figura 1</w:t>
      </w:r>
      <w:r>
        <w:t xml:space="preserve">) e </w:t>
      </w:r>
      <w:r w:rsidR="006176B8">
        <w:t xml:space="preserve">una sostanziale stabilità dei </w:t>
      </w:r>
      <w:r>
        <w:t>decessi (120 vs 111) (</w:t>
      </w:r>
      <w:r>
        <w:rPr>
          <w:shd w:val="clear" w:color="auto" w:fill="FFFF00"/>
        </w:rPr>
        <w:t>figura 2</w:t>
      </w:r>
      <w:r>
        <w:t>). In aumento anche i casi attualmente positivi (94.216 vs 70.310), le persone in isolamento domiciliare (91.762 vs 68.510), i ricoveri con sintomi (2.196 vs 1.611) e le terapie intensive (258 vs 189) (</w:t>
      </w:r>
      <w:r>
        <w:rPr>
          <w:shd w:val="clear" w:color="auto" w:fill="FFFF00"/>
        </w:rPr>
        <w:t>figura 3</w:t>
      </w:r>
      <w:r>
        <w:t>). In dettaglio, rispetto alla settimana precedente, si registrano le seguenti variazioni:</w:t>
      </w:r>
    </w:p>
    <w:p w:rsidR="007B682B" w:rsidRDefault="00CE577D" w:rsidP="006176B8">
      <w:pPr>
        <w:pStyle w:val="Paragrafoelenco"/>
        <w:numPr>
          <w:ilvl w:val="0"/>
          <w:numId w:val="2"/>
        </w:numPr>
        <w:spacing w:after="0" w:line="276" w:lineRule="auto"/>
        <w:jc w:val="both"/>
      </w:pPr>
      <w:r>
        <w:t>Decessi: 120 (+8,1%)</w:t>
      </w:r>
    </w:p>
    <w:p w:rsidR="007B682B" w:rsidRDefault="00CE577D" w:rsidP="006176B8">
      <w:pPr>
        <w:pStyle w:val="Paragrafoelenco"/>
        <w:numPr>
          <w:ilvl w:val="0"/>
          <w:numId w:val="2"/>
        </w:numPr>
        <w:spacing w:after="0" w:line="276" w:lineRule="auto"/>
        <w:jc w:val="both"/>
      </w:pPr>
      <w:r>
        <w:t xml:space="preserve">Terapia intensiva: </w:t>
      </w:r>
      <w:r w:rsidR="007E629F">
        <w:t>+</w:t>
      </w:r>
      <w:r>
        <w:t>69 (+36,5%)</w:t>
      </w:r>
    </w:p>
    <w:p w:rsidR="007B682B" w:rsidRDefault="00CE577D" w:rsidP="006176B8">
      <w:pPr>
        <w:pStyle w:val="Paragrafoelenco"/>
        <w:numPr>
          <w:ilvl w:val="0"/>
          <w:numId w:val="2"/>
        </w:numPr>
        <w:spacing w:after="0" w:line="276" w:lineRule="auto"/>
        <w:jc w:val="both"/>
      </w:pPr>
      <w:r>
        <w:t xml:space="preserve">Ricoverati con sintomi: </w:t>
      </w:r>
      <w:r w:rsidR="007E629F">
        <w:t>+</w:t>
      </w:r>
      <w:r>
        <w:t>585 (+36,3%)</w:t>
      </w:r>
    </w:p>
    <w:p w:rsidR="007B682B" w:rsidRDefault="00CE577D" w:rsidP="006176B8">
      <w:pPr>
        <w:pStyle w:val="Paragrafoelenco"/>
        <w:numPr>
          <w:ilvl w:val="0"/>
          <w:numId w:val="2"/>
        </w:numPr>
        <w:spacing w:after="0" w:line="276" w:lineRule="auto"/>
        <w:jc w:val="both"/>
      </w:pPr>
      <w:r>
        <w:t xml:space="preserve">Isolamento domiciliare: </w:t>
      </w:r>
      <w:r w:rsidR="007E629F">
        <w:t>+</w:t>
      </w:r>
      <w:r>
        <w:t>23.252 (+33,9%)</w:t>
      </w:r>
    </w:p>
    <w:p w:rsidR="007B682B" w:rsidRDefault="00CE577D" w:rsidP="006176B8">
      <w:pPr>
        <w:pStyle w:val="Paragrafoelenco"/>
        <w:numPr>
          <w:ilvl w:val="0"/>
          <w:numId w:val="2"/>
        </w:numPr>
        <w:spacing w:after="0" w:line="276" w:lineRule="auto"/>
        <w:jc w:val="both"/>
      </w:pPr>
      <w:r>
        <w:t>Nuovi casi: 38.328 (+19,9%)</w:t>
      </w:r>
    </w:p>
    <w:p w:rsidR="006176B8" w:rsidRDefault="00CE577D" w:rsidP="006176B8">
      <w:pPr>
        <w:pStyle w:val="Paragrafoelenco"/>
        <w:numPr>
          <w:ilvl w:val="0"/>
          <w:numId w:val="2"/>
        </w:numPr>
        <w:spacing w:after="120" w:line="276" w:lineRule="auto"/>
        <w:ind w:left="357" w:hanging="357"/>
        <w:jc w:val="both"/>
      </w:pPr>
      <w:r>
        <w:t xml:space="preserve">Casi attualmente positivi: </w:t>
      </w:r>
      <w:r w:rsidR="007E629F">
        <w:t>+</w:t>
      </w:r>
      <w:r>
        <w:t>23.906 (+34%)</w:t>
      </w:r>
    </w:p>
    <w:p w:rsidR="007B682B" w:rsidRDefault="00CE577D">
      <w:pPr>
        <w:spacing w:line="276" w:lineRule="auto"/>
        <w:jc w:val="both"/>
      </w:pPr>
      <w:r>
        <w:t>«</w:t>
      </w:r>
      <w:r w:rsidR="004642E7">
        <w:t>I</w:t>
      </w:r>
      <w:r w:rsidR="00245DC3">
        <w:t xml:space="preserve"> nuovi casi settimanali</w:t>
      </w:r>
      <w:r w:rsidR="008F11C8">
        <w:t xml:space="preserve"> </w:t>
      </w:r>
      <w:r>
        <w:t>– dichiara Nino Cartabellotta, Presidente della Fondazione GIMBE –</w:t>
      </w:r>
      <w:r w:rsidR="00245DC3" w:rsidRPr="00245DC3">
        <w:t xml:space="preserve"> </w:t>
      </w:r>
      <w:r w:rsidR="008F11C8">
        <w:t>c</w:t>
      </w:r>
      <w:r w:rsidR="00245DC3">
        <w:t>ontinuano a salire</w:t>
      </w:r>
      <w:r>
        <w:t xml:space="preserve">, </w:t>
      </w:r>
      <w:r w:rsidR="006176B8">
        <w:t xml:space="preserve">seppur </w:t>
      </w:r>
      <w:r w:rsidR="00985E6B">
        <w:t>a un ritmo meno sostenuto</w:t>
      </w:r>
      <w:r w:rsidR="006176B8">
        <w:t xml:space="preserve"> rispetto alla settimana precedente, </w:t>
      </w:r>
      <w:r w:rsidR="00245DC3">
        <w:t xml:space="preserve">ma rimangono indubbiamente </w:t>
      </w:r>
      <w:r>
        <w:t>sottostimati dall’insufficiente attività di testing e dalla mancata ripresa del tracciamento dei contatti». Infatti</w:t>
      </w:r>
      <w:r w:rsidR="00216973">
        <w:t>,</w:t>
      </w:r>
      <w:r>
        <w:t xml:space="preserve"> </w:t>
      </w:r>
      <w:r w:rsidR="004642E7">
        <w:t xml:space="preserve">il rapporto positivi/persone testate, </w:t>
      </w:r>
      <w:r w:rsidR="00216973">
        <w:t>dopo l’impennata dall’1,8% al 9,1% in 4 settimane</w:t>
      </w:r>
      <w:r>
        <w:t xml:space="preserve">, </w:t>
      </w:r>
      <w:r w:rsidR="00216973">
        <w:t xml:space="preserve">negli ultimi 7 giorni </w:t>
      </w:r>
      <w:r w:rsidR="004642E7">
        <w:t xml:space="preserve">ha segnato una crescita </w:t>
      </w:r>
      <w:r>
        <w:t xml:space="preserve">più </w:t>
      </w:r>
      <w:r w:rsidR="006176B8">
        <w:t>contenuta</w:t>
      </w:r>
      <w:r w:rsidR="00216973">
        <w:t xml:space="preserve"> salendo al 10,7%</w:t>
      </w:r>
      <w:r w:rsidR="006176B8">
        <w:t xml:space="preserve"> </w:t>
      </w:r>
      <w:r>
        <w:t>(</w:t>
      </w:r>
      <w:r>
        <w:rPr>
          <w:shd w:val="clear" w:color="auto" w:fill="FFFF00"/>
        </w:rPr>
        <w:t>figura 1</w:t>
      </w:r>
      <w:r>
        <w:t>) e la media mobile dei nuovi casi si sta progressivamente appiattendo (</w:t>
      </w:r>
      <w:r>
        <w:rPr>
          <w:shd w:val="clear" w:color="auto" w:fill="FFFF00"/>
        </w:rPr>
        <w:t>figura 4</w:t>
      </w:r>
      <w:r>
        <w:t xml:space="preserve">). </w:t>
      </w:r>
    </w:p>
    <w:p w:rsidR="007B682B" w:rsidRDefault="00CE577D" w:rsidP="006176B8">
      <w:pPr>
        <w:spacing w:line="276" w:lineRule="auto"/>
        <w:jc w:val="both"/>
      </w:pPr>
      <w:r>
        <w:t xml:space="preserve">Nella settimana 28 luglio-3 agosto, rispetto alla precedente, in tutte le Regioni </w:t>
      </w:r>
      <w:r w:rsidR="00985E6B">
        <w:t>ad eccezione della</w:t>
      </w:r>
      <w:r>
        <w:t xml:space="preserve"> Provincia Autonoma di Trento e </w:t>
      </w:r>
      <w:r w:rsidR="00985E6B">
        <w:t>de</w:t>
      </w:r>
      <w:r w:rsidR="003D514B">
        <w:t>l</w:t>
      </w:r>
      <w:r w:rsidR="00985E6B">
        <w:t xml:space="preserve"> </w:t>
      </w:r>
      <w:r>
        <w:t>Lazio (</w:t>
      </w:r>
      <w:r w:rsidR="00801062">
        <w:t>Regione dove</w:t>
      </w:r>
      <w:r>
        <w:t xml:space="preserve"> l’attacco hacker </w:t>
      </w:r>
      <w:r w:rsidR="006176B8">
        <w:t>ha</w:t>
      </w:r>
      <w:r w:rsidR="00801062">
        <w:t xml:space="preserve"> </w:t>
      </w:r>
      <w:r w:rsidR="006176B8">
        <w:t>rallenta</w:t>
      </w:r>
      <w:r w:rsidR="00801062">
        <w:t>t</w:t>
      </w:r>
      <w:r w:rsidR="006176B8">
        <w:t>o l’aggiornamento</w:t>
      </w:r>
      <w:r>
        <w:t xml:space="preserve"> dei dati) si rileva un incremento percentuale dei nuovi casi (</w:t>
      </w:r>
      <w:r>
        <w:rPr>
          <w:shd w:val="clear" w:color="auto" w:fill="FFFF00"/>
        </w:rPr>
        <w:t>tabella 1</w:t>
      </w:r>
      <w:r>
        <w:t xml:space="preserve">). In 62 Province l’incidenza è pari o superiore a 50 casi per 100.000 abitanti e in Emilia-Romagna, Toscana, Umbria e Veneto tutte le Province </w:t>
      </w:r>
      <w:r w:rsidR="00216973">
        <w:t>raggiungono</w:t>
      </w:r>
      <w:r>
        <w:t xml:space="preserve"> o superano tale soglia. </w:t>
      </w:r>
      <w:r w:rsidR="00D43896">
        <w:t xml:space="preserve">In </w:t>
      </w:r>
      <w:r>
        <w:t>quattro Province si registrano oltre 150 casi per 100.000 abitanti: Cagliari (303), Ragusa (236), Caltanissetta (197) e Lucca (172) (</w:t>
      </w:r>
      <w:r>
        <w:rPr>
          <w:shd w:val="clear" w:color="auto" w:fill="FFFF00"/>
        </w:rPr>
        <w:t>tabella 2</w:t>
      </w:r>
      <w:r>
        <w:t xml:space="preserve">). </w:t>
      </w:r>
      <w:bookmarkStart w:id="0" w:name="_Hlk74138709"/>
      <w:r>
        <w:t>Stabili i decessi: 120 ne</w:t>
      </w:r>
      <w:r w:rsidR="00216973">
        <w:t xml:space="preserve">gli ultimi 7 giorni </w:t>
      </w:r>
      <w:r>
        <w:t xml:space="preserve">(di cui 12 relativi a </w:t>
      </w:r>
      <w:r w:rsidR="00216973">
        <w:t>periodi pregressi</w:t>
      </w:r>
      <w:r>
        <w:t>), con una media di 17 al giorno rispetto ai 16 della settimana precedente</w:t>
      </w:r>
      <w:bookmarkEnd w:id="0"/>
      <w:r>
        <w:t>.</w:t>
      </w:r>
    </w:p>
    <w:p w:rsidR="007B682B" w:rsidRDefault="00CE577D" w:rsidP="007E629F">
      <w:pPr>
        <w:spacing w:line="276" w:lineRule="auto"/>
        <w:jc w:val="both"/>
        <w:rPr>
          <w:color w:val="FF0000"/>
          <w:u w:color="FF0000"/>
        </w:rPr>
      </w:pPr>
      <w:r>
        <w:t xml:space="preserve">«Dopo i primi segnali di risalita – afferma Renata Gili, responsabile Ricerca sui Servizi Sanitari della Fondazione GIMBE – si conferma un netto incremento </w:t>
      </w:r>
      <w:r w:rsidR="00FE452F">
        <w:t xml:space="preserve">percentuale </w:t>
      </w:r>
      <w:r>
        <w:t xml:space="preserve">dei ricoveri: +36,3% in area medica e +36,5% in terapia intensiva».  In termini assoluti, il numero di posti letto occupati da parte di pazienti COVID in area medica è passato </w:t>
      </w:r>
      <w:r w:rsidR="006176B8">
        <w:t xml:space="preserve">dal minimo di </w:t>
      </w:r>
      <w:r>
        <w:t xml:space="preserve">1.088 del 16 luglio ai 2.196 del 3 agosto e quello delle terapie intensive </w:t>
      </w:r>
      <w:r w:rsidR="006176B8">
        <w:lastRenderedPageBreak/>
        <w:t xml:space="preserve">dal minimo di </w:t>
      </w:r>
      <w:r>
        <w:t>151 del 14 luglio ai 258 del 3 agosto</w:t>
      </w:r>
      <w:r w:rsidR="004642E7">
        <w:t>,</w:t>
      </w:r>
      <w:r>
        <w:t xml:space="preserve"> </w:t>
      </w:r>
      <w:r w:rsidR="00216973">
        <w:t xml:space="preserve">ma </w:t>
      </w:r>
      <w:r w:rsidR="00332BC9">
        <w:t xml:space="preserve">al momento </w:t>
      </w:r>
      <w:r>
        <w:t xml:space="preserve">le percentuali di occupazione </w:t>
      </w:r>
      <w:r w:rsidR="00985E6B">
        <w:t xml:space="preserve">a livello </w:t>
      </w:r>
      <w:r w:rsidR="00733EDF">
        <w:t xml:space="preserve">nazionale </w:t>
      </w:r>
      <w:r>
        <w:t>rimangono molto basse: 4% in area medica e 3% nelle terapie intensive</w:t>
      </w:r>
      <w:r w:rsidR="00216973">
        <w:t xml:space="preserve">. Tuttavia, si osserva una notevole eterogeneità </w:t>
      </w:r>
      <w:r w:rsidR="007E629F">
        <w:t xml:space="preserve">regionale: per l’area medica si collocano sopra la media nazionale Sicilia (11%), Calabria (9%), Campania (6%), Basilicata (6%), Lazio (6%) e Sardegna (5%) </w:t>
      </w:r>
      <w:r w:rsidRPr="007E629F">
        <w:t>(</w:t>
      </w:r>
      <w:r w:rsidRPr="007E629F">
        <w:rPr>
          <w:shd w:val="clear" w:color="auto" w:fill="FFFF00"/>
        </w:rPr>
        <w:t>figura 5</w:t>
      </w:r>
      <w:r w:rsidR="007E629F">
        <w:t xml:space="preserve">); per l’area critica sopra media nazionale Sardegna (10%), Liguria (6%), Lazio (5%), Sicilia (4%) e Toscana (4%) </w:t>
      </w:r>
      <w:r>
        <w:t>(</w:t>
      </w:r>
      <w:r>
        <w:rPr>
          <w:shd w:val="clear" w:color="auto" w:fill="FFFF00"/>
        </w:rPr>
        <w:t>figura 6</w:t>
      </w:r>
      <w:r>
        <w:t xml:space="preserve">). «Aumentano gli ingressi giornalieri in terapia intensiva – spiega Marco Mosti, Direttore Operativo della Fondazione GIMBE – </w:t>
      </w:r>
      <w:r w:rsidR="009E0CAE">
        <w:t xml:space="preserve">con una </w:t>
      </w:r>
      <w:r>
        <w:t xml:space="preserve">media mobile a 7 giorni </w:t>
      </w:r>
      <w:r w:rsidR="00216973">
        <w:t>di</w:t>
      </w:r>
      <w:r>
        <w:t xml:space="preserve"> 21 ingressi/die rispetto ai 14 della settimana precedente» (</w:t>
      </w:r>
      <w:r>
        <w:rPr>
          <w:shd w:val="clear" w:color="auto" w:fill="FFFF00"/>
        </w:rPr>
        <w:t>figura 7</w:t>
      </w:r>
      <w:r>
        <w:t>).</w:t>
      </w:r>
    </w:p>
    <w:p w:rsidR="007B682B" w:rsidRDefault="00CE577D">
      <w:pPr>
        <w:spacing w:before="240" w:line="276" w:lineRule="auto"/>
        <w:jc w:val="both"/>
      </w:pPr>
      <w:r>
        <w:rPr>
          <w:b/>
          <w:bCs/>
        </w:rPr>
        <w:t>Vaccini: forniture</w:t>
      </w:r>
      <w:r>
        <w:t>. Al 4 agosto (aggiornamento ore 6.09) risultano consegnate 72.149.518</w:t>
      </w:r>
      <w:r w:rsidR="00440059">
        <w:t xml:space="preserve"> dosi</w:t>
      </w:r>
      <w:r>
        <w:t xml:space="preserve">, </w:t>
      </w:r>
      <w:r w:rsidR="008F11C8">
        <w:t>d</w:t>
      </w:r>
      <w:r>
        <w:t>a cui vanno sottratte 255.050 dosi di Johnson</w:t>
      </w:r>
      <w:r w:rsidR="000552E2">
        <w:t xml:space="preserve"> </w:t>
      </w:r>
      <w:r>
        <w:t>&amp;</w:t>
      </w:r>
      <w:r w:rsidR="000552E2">
        <w:t xml:space="preserve"> </w:t>
      </w:r>
      <w:r>
        <w:t xml:space="preserve">Johnson </w:t>
      </w:r>
      <w:r w:rsidR="00440059">
        <w:t xml:space="preserve">non utilizzate e </w:t>
      </w:r>
      <w:r>
        <w:t xml:space="preserve">restituite dalle Regioni alla </w:t>
      </w:r>
      <w:r w:rsidR="00440059">
        <w:t xml:space="preserve">struttura </w:t>
      </w:r>
      <w:r>
        <w:t>commissariale</w:t>
      </w:r>
      <w:r w:rsidR="008F11C8">
        <w:t>.</w:t>
      </w:r>
      <w:r>
        <w:t xml:space="preserve"> </w:t>
      </w:r>
      <w:r w:rsidR="008F11C8">
        <w:t>D</w:t>
      </w:r>
      <w:r>
        <w:t>opo il picco di consegne registrato tra il 28 giugno e il 4 luglio (5.669.727 dosi), nelle due settimane successive le forniture settimanali si sono attestate intorno a 2,6 milioni di dosi per scendere a 2,5 milioni nella settimana 19-25 luglio e risalire a quota 2,7 milioni la scorsa settimana (</w:t>
      </w:r>
      <w:r>
        <w:rPr>
          <w:shd w:val="clear" w:color="auto" w:fill="FFFF00"/>
        </w:rPr>
        <w:t>figura 8</w:t>
      </w:r>
      <w:r>
        <w:t xml:space="preserve">). </w:t>
      </w:r>
    </w:p>
    <w:p w:rsidR="007B682B" w:rsidRDefault="00CE577D">
      <w:pPr>
        <w:spacing w:line="276" w:lineRule="auto"/>
        <w:jc w:val="both"/>
        <w:rPr>
          <w:color w:val="FF0000"/>
          <w:u w:color="FF0000"/>
        </w:rPr>
      </w:pPr>
      <w:r>
        <w:rPr>
          <w:b/>
          <w:bCs/>
        </w:rPr>
        <w:t xml:space="preserve">Vaccini: somministrazioni. </w:t>
      </w:r>
      <w:r>
        <w:t>Al 4 agosto (aggiornamento ore 6.09) il 65,5% della popolazione (n. 38.814.033) ha ricevuto almeno una dose di vaccino (+1.107.982 rispetto alla settimana precedente) e il 56% (n. 33.183.256) ha completato il ciclo vaccinale (+2.181.944) (</w:t>
      </w:r>
      <w:r>
        <w:rPr>
          <w:shd w:val="clear" w:color="auto" w:fill="FFFF00"/>
        </w:rPr>
        <w:t>figura</w:t>
      </w:r>
      <w:r w:rsidR="007135C5">
        <w:rPr>
          <w:shd w:val="clear" w:color="auto" w:fill="FFFF00"/>
        </w:rPr>
        <w:t xml:space="preserve"> 9</w:t>
      </w:r>
      <w:r>
        <w:t>). In calo nell’ultima settimana il numero di somministrazioni (n. 3.397.134) (</w:t>
      </w:r>
      <w:r w:rsidRPr="0049213B">
        <w:rPr>
          <w:highlight w:val="yellow"/>
          <w:shd w:val="clear" w:color="auto" w:fill="FFFF00"/>
        </w:rPr>
        <w:t>figura</w:t>
      </w:r>
      <w:r w:rsidR="0049213B" w:rsidRPr="0049213B">
        <w:rPr>
          <w:highlight w:val="yellow"/>
          <w:shd w:val="clear" w:color="auto" w:fill="FFFF00"/>
        </w:rPr>
        <w:t xml:space="preserve"> 10</w:t>
      </w:r>
      <w:r>
        <w:t>)</w:t>
      </w:r>
      <w:r w:rsidR="004642E7">
        <w:t xml:space="preserve"> e la</w:t>
      </w:r>
      <w:r>
        <w:t xml:space="preserve"> media mobile a 7 giorni </w:t>
      </w:r>
      <w:r w:rsidR="004642E7">
        <w:t>(</w:t>
      </w:r>
      <w:r>
        <w:t xml:space="preserve">445.908 </w:t>
      </w:r>
      <w:r w:rsidRPr="007135C5">
        <w:rPr>
          <w:color w:val="auto"/>
        </w:rPr>
        <w:t>dosi/die</w:t>
      </w:r>
      <w:r w:rsidR="004642E7">
        <w:rPr>
          <w:color w:val="auto"/>
        </w:rPr>
        <w:t>)</w:t>
      </w:r>
      <w:r w:rsidRPr="007135C5">
        <w:rPr>
          <w:color w:val="auto"/>
        </w:rPr>
        <w:t xml:space="preserve"> </w:t>
      </w:r>
      <w:r>
        <w:t>(</w:t>
      </w:r>
      <w:r>
        <w:rPr>
          <w:shd w:val="clear" w:color="auto" w:fill="FFFF00"/>
        </w:rPr>
        <w:t>figura 1</w:t>
      </w:r>
      <w:r w:rsidR="0049213B">
        <w:rPr>
          <w:shd w:val="clear" w:color="auto" w:fill="FFFF00"/>
        </w:rPr>
        <w:t>1</w:t>
      </w:r>
      <w:r>
        <w:t xml:space="preserve">), </w:t>
      </w:r>
      <w:r w:rsidR="004642E7">
        <w:t xml:space="preserve">entrambi </w:t>
      </w:r>
      <w:r w:rsidR="00B81B08">
        <w:t xml:space="preserve">parzialmente </w:t>
      </w:r>
      <w:r>
        <w:t>influenzat</w:t>
      </w:r>
      <w:r w:rsidR="004642E7">
        <w:t>i</w:t>
      </w:r>
      <w:r>
        <w:t xml:space="preserve"> dal mancato </w:t>
      </w:r>
      <w:r w:rsidR="00440059">
        <w:t xml:space="preserve">aggiornamento dei dati </w:t>
      </w:r>
      <w:r w:rsidR="004642E7">
        <w:t xml:space="preserve">da parte della Regione </w:t>
      </w:r>
      <w:r>
        <w:t xml:space="preserve">Lazio </w:t>
      </w:r>
      <w:r w:rsidR="00440059">
        <w:t>a seguito del</w:t>
      </w:r>
      <w:r>
        <w:t>l’attacco hacker</w:t>
      </w:r>
      <w:r w:rsidRPr="00CE577D">
        <w:rPr>
          <w:color w:val="000000" w:themeColor="text1"/>
        </w:rPr>
        <w:t xml:space="preserve">. </w:t>
      </w:r>
      <w:r w:rsidRPr="00CE577D">
        <w:rPr>
          <w:color w:val="000000" w:themeColor="text1"/>
          <w:u w:color="FF0000"/>
        </w:rPr>
        <w:t>«</w:t>
      </w:r>
      <w:r>
        <w:rPr>
          <w:color w:val="000000" w:themeColor="text1"/>
          <w:u w:color="FF0000"/>
        </w:rPr>
        <w:t xml:space="preserve">Di fatto </w:t>
      </w:r>
      <w:r w:rsidRPr="00CE577D">
        <w:rPr>
          <w:color w:val="000000" w:themeColor="text1"/>
          <w:u w:color="FF0000"/>
        </w:rPr>
        <w:t xml:space="preserve">– precisa Cartabellotta – </w:t>
      </w:r>
      <w:r>
        <w:rPr>
          <w:color w:val="000000" w:themeColor="text1"/>
          <w:u w:color="FF0000"/>
        </w:rPr>
        <w:t>i</w:t>
      </w:r>
      <w:r w:rsidRPr="00CE577D">
        <w:rPr>
          <w:color w:val="000000" w:themeColor="text1"/>
          <w:u w:color="FF0000"/>
        </w:rPr>
        <w:t xml:space="preserve">l numero di somministrazioni giornaliere non </w:t>
      </w:r>
      <w:r>
        <w:rPr>
          <w:color w:val="000000" w:themeColor="text1"/>
          <w:u w:color="FF0000"/>
        </w:rPr>
        <w:t xml:space="preserve">riesce a </w:t>
      </w:r>
      <w:r w:rsidRPr="00CE577D">
        <w:rPr>
          <w:color w:val="000000" w:themeColor="text1"/>
          <w:u w:color="FF0000"/>
        </w:rPr>
        <w:t xml:space="preserve">decollare sia </w:t>
      </w:r>
      <w:r w:rsidR="00B81B08">
        <w:rPr>
          <w:color w:val="000000" w:themeColor="text1"/>
          <w:u w:color="FF0000"/>
        </w:rPr>
        <w:t>per la limitata disponibilità di vaccini</w:t>
      </w:r>
      <w:r w:rsidR="00B81B08" w:rsidRPr="00CE577D">
        <w:rPr>
          <w:color w:val="000000" w:themeColor="text1"/>
          <w:u w:color="FF0000"/>
        </w:rPr>
        <w:t xml:space="preserve"> a </w:t>
      </w:r>
      <w:proofErr w:type="spellStart"/>
      <w:r w:rsidR="00B81B08" w:rsidRPr="00CE577D">
        <w:rPr>
          <w:color w:val="000000" w:themeColor="text1"/>
          <w:u w:color="FF0000"/>
        </w:rPr>
        <w:t>mRNA</w:t>
      </w:r>
      <w:proofErr w:type="spellEnd"/>
      <w:r w:rsidR="00B81B08">
        <w:rPr>
          <w:color w:val="000000" w:themeColor="text1"/>
          <w:u w:color="FF0000"/>
        </w:rPr>
        <w:t xml:space="preserve">, sia </w:t>
      </w:r>
      <w:r w:rsidR="00DA708A">
        <w:rPr>
          <w:color w:val="000000" w:themeColor="text1"/>
          <w:u w:color="FF0000"/>
        </w:rPr>
        <w:t xml:space="preserve">perché non vengono più utilizzati </w:t>
      </w:r>
      <w:r w:rsidR="00B81B08">
        <w:rPr>
          <w:color w:val="000000" w:themeColor="text1"/>
          <w:u w:color="FF0000"/>
        </w:rPr>
        <w:t>quelli</w:t>
      </w:r>
      <w:r w:rsidRPr="00CE577D">
        <w:rPr>
          <w:color w:val="000000" w:themeColor="text1"/>
          <w:u w:color="FF0000"/>
        </w:rPr>
        <w:t xml:space="preserve"> a vettore </w:t>
      </w:r>
      <w:proofErr w:type="spellStart"/>
      <w:r w:rsidRPr="00CE577D">
        <w:rPr>
          <w:color w:val="000000" w:themeColor="text1"/>
          <w:u w:color="FF0000"/>
        </w:rPr>
        <w:t>adenovirale</w:t>
      </w:r>
      <w:proofErr w:type="spellEnd"/>
      <w:r w:rsidRPr="00CE577D">
        <w:rPr>
          <w:color w:val="000000" w:themeColor="text1"/>
          <w:u w:color="FF0000"/>
        </w:rPr>
        <w:t xml:space="preserve"> per le prime dosi». </w:t>
      </w:r>
      <w:r w:rsidR="00DA708A">
        <w:rPr>
          <w:color w:val="000000" w:themeColor="text1"/>
          <w:u w:color="FF0000"/>
        </w:rPr>
        <w:t xml:space="preserve">In dettaglio, </w:t>
      </w:r>
      <w:r w:rsidRPr="00CE577D">
        <w:rPr>
          <w:color w:val="000000" w:themeColor="text1"/>
          <w:u w:color="FF0000"/>
        </w:rPr>
        <w:t>AstraZeneca viene impiegato quasi esclusivamente per i richiami (</w:t>
      </w:r>
      <w:r w:rsidR="007135C5">
        <w:rPr>
          <w:color w:val="000000" w:themeColor="text1"/>
          <w:u w:color="FF0000"/>
        </w:rPr>
        <w:t>98</w:t>
      </w:r>
      <w:r w:rsidRPr="00CE577D">
        <w:rPr>
          <w:color w:val="000000" w:themeColor="text1"/>
          <w:u w:color="FF0000"/>
        </w:rPr>
        <w:t>,</w:t>
      </w:r>
      <w:r w:rsidR="007135C5">
        <w:rPr>
          <w:color w:val="000000" w:themeColor="text1"/>
          <w:u w:color="FF0000"/>
        </w:rPr>
        <w:t>4</w:t>
      </w:r>
      <w:r w:rsidRPr="00CE577D">
        <w:rPr>
          <w:color w:val="000000" w:themeColor="text1"/>
          <w:u w:color="FF0000"/>
        </w:rPr>
        <w:t>% delle somministrazioni nell’ultima se</w:t>
      </w:r>
      <w:r w:rsidRPr="007145F8">
        <w:rPr>
          <w:color w:val="000000" w:themeColor="text1"/>
          <w:u w:color="FF0000"/>
        </w:rPr>
        <w:t>ttimana); le somministrazioni di Johnson &amp; Johnson sono ormai esigue (</w:t>
      </w:r>
      <w:r w:rsidR="007145F8" w:rsidRPr="007145F8">
        <w:rPr>
          <w:color w:val="000000" w:themeColor="text1"/>
          <w:u w:color="FF0000"/>
        </w:rPr>
        <w:t xml:space="preserve">poco meno di 35 mila </w:t>
      </w:r>
      <w:r w:rsidRPr="007145F8">
        <w:rPr>
          <w:color w:val="000000" w:themeColor="text1"/>
          <w:u w:color="FF0000"/>
        </w:rPr>
        <w:t>nell’ultima settimana)</w:t>
      </w:r>
      <w:r w:rsidR="007145F8">
        <w:rPr>
          <w:color w:val="000000" w:themeColor="text1"/>
          <w:u w:color="FF0000"/>
        </w:rPr>
        <w:t xml:space="preserve"> e le Regioni hanno iniziato a restituire le dosi non utilizzate</w:t>
      </w:r>
      <w:r w:rsidRPr="007145F8">
        <w:rPr>
          <w:color w:val="000000" w:themeColor="text1"/>
          <w:u w:color="FF0000"/>
        </w:rPr>
        <w:t>; la</w:t>
      </w:r>
      <w:r w:rsidRPr="00CE577D">
        <w:rPr>
          <w:color w:val="000000" w:themeColor="text1"/>
          <w:u w:color="FF0000"/>
        </w:rPr>
        <w:t xml:space="preserve"> </w:t>
      </w:r>
      <w:r w:rsidR="00DA708A">
        <w:rPr>
          <w:color w:val="000000" w:themeColor="text1"/>
          <w:u w:color="FF0000"/>
        </w:rPr>
        <w:t>limitata</w:t>
      </w:r>
      <w:r w:rsidRPr="00CE577D">
        <w:rPr>
          <w:color w:val="000000" w:themeColor="text1"/>
          <w:u w:color="FF0000"/>
        </w:rPr>
        <w:t xml:space="preserve"> disponibilità di dosi di vaccini a </w:t>
      </w:r>
      <w:proofErr w:type="spellStart"/>
      <w:r w:rsidRPr="00CE577D">
        <w:rPr>
          <w:color w:val="000000" w:themeColor="text1"/>
          <w:u w:color="FF0000"/>
        </w:rPr>
        <w:t>mRNA</w:t>
      </w:r>
      <w:proofErr w:type="spellEnd"/>
      <w:r w:rsidRPr="00CE577D">
        <w:rPr>
          <w:color w:val="000000" w:themeColor="text1"/>
          <w:u w:color="FF0000"/>
        </w:rPr>
        <w:t xml:space="preserve"> ostacola, </w:t>
      </w:r>
      <w:r w:rsidR="00332BC9">
        <w:rPr>
          <w:color w:val="000000" w:themeColor="text1"/>
          <w:u w:color="FF0000"/>
        </w:rPr>
        <w:t>a</w:t>
      </w:r>
      <w:r w:rsidRPr="00CE577D">
        <w:rPr>
          <w:color w:val="000000" w:themeColor="text1"/>
          <w:u w:color="FF0000"/>
        </w:rPr>
        <w:t xml:space="preserve"> breve termine, la possibilità di </w:t>
      </w:r>
      <w:r w:rsidR="009A389D">
        <w:rPr>
          <w:color w:val="000000" w:themeColor="text1"/>
          <w:u w:color="FF0000"/>
        </w:rPr>
        <w:t xml:space="preserve">accelerare </w:t>
      </w:r>
      <w:r w:rsidR="00B81B08">
        <w:rPr>
          <w:color w:val="000000" w:themeColor="text1"/>
          <w:u w:color="FF0000"/>
        </w:rPr>
        <w:t xml:space="preserve">la vaccinazione </w:t>
      </w:r>
      <w:r w:rsidR="009A389D">
        <w:rPr>
          <w:color w:val="000000" w:themeColor="text1"/>
          <w:u w:color="FF0000"/>
        </w:rPr>
        <w:t>n</w:t>
      </w:r>
      <w:r w:rsidRPr="00CE577D">
        <w:rPr>
          <w:color w:val="000000" w:themeColor="text1"/>
          <w:u w:color="FF0000"/>
        </w:rPr>
        <w:t>egli under 60</w:t>
      </w:r>
      <w:r w:rsidR="00332BC9">
        <w:rPr>
          <w:color w:val="000000" w:themeColor="text1"/>
          <w:u w:color="FF0000"/>
        </w:rPr>
        <w:t xml:space="preserve">, oltre che </w:t>
      </w:r>
      <w:r w:rsidR="009A389D">
        <w:rPr>
          <w:color w:val="000000" w:themeColor="text1"/>
          <w:u w:color="FF0000"/>
        </w:rPr>
        <w:t xml:space="preserve">di convincere gli over 60 ancora scoperti che rifiutano i vaccini a vettore </w:t>
      </w:r>
      <w:proofErr w:type="spellStart"/>
      <w:r w:rsidR="00985E6B">
        <w:rPr>
          <w:color w:val="000000" w:themeColor="text1"/>
          <w:u w:color="FF0000"/>
        </w:rPr>
        <w:t>adeno</w:t>
      </w:r>
      <w:r w:rsidR="009A389D">
        <w:rPr>
          <w:color w:val="000000" w:themeColor="text1"/>
          <w:u w:color="FF0000"/>
        </w:rPr>
        <w:t>virale</w:t>
      </w:r>
      <w:proofErr w:type="spellEnd"/>
      <w:r w:rsidRPr="00CE577D">
        <w:rPr>
          <w:color w:val="000000" w:themeColor="text1"/>
          <w:u w:color="FF0000"/>
        </w:rPr>
        <w:t xml:space="preserve">. </w:t>
      </w:r>
      <w:r>
        <w:t>«</w:t>
      </w:r>
      <w:r w:rsidR="007135C5">
        <w:t xml:space="preserve">Dopo oltre un mese di decremento – spiega Mosti – nelle ultime due settimane </w:t>
      </w:r>
      <w:r w:rsidR="009A389D">
        <w:t>risale</w:t>
      </w:r>
      <w:r w:rsidR="007135C5">
        <w:t xml:space="preserve"> </w:t>
      </w:r>
      <w:r>
        <w:t>la percentuale di prime dosi sul totale delle dosi somministrate</w:t>
      </w:r>
      <w:r w:rsidR="007135C5">
        <w:t xml:space="preserve">: nella settimana 26 luglio-1 agosto </w:t>
      </w:r>
      <w:r>
        <w:t>poco più di 1 milione</w:t>
      </w:r>
      <w:r w:rsidR="00985E6B">
        <w:t>,</w:t>
      </w:r>
      <w:r>
        <w:t xml:space="preserve"> </w:t>
      </w:r>
      <w:r w:rsidR="007135C5">
        <w:t xml:space="preserve">pari al </w:t>
      </w:r>
      <w:r>
        <w:t>29,5% del totale» (</w:t>
      </w:r>
      <w:r>
        <w:rPr>
          <w:shd w:val="clear" w:color="auto" w:fill="FFFF00"/>
        </w:rPr>
        <w:t>figura 1</w:t>
      </w:r>
      <w:r w:rsidR="0049213B">
        <w:rPr>
          <w:shd w:val="clear" w:color="auto" w:fill="FFFF00"/>
        </w:rPr>
        <w:t>2</w:t>
      </w:r>
      <w:r>
        <w:t xml:space="preserve">). </w:t>
      </w:r>
    </w:p>
    <w:p w:rsidR="007B682B" w:rsidRDefault="00CE577D">
      <w:pPr>
        <w:spacing w:after="120" w:line="276" w:lineRule="auto"/>
        <w:jc w:val="both"/>
      </w:pPr>
      <w:r>
        <w:rPr>
          <w:b/>
          <w:bCs/>
        </w:rPr>
        <w:t xml:space="preserve">Vaccini: copertura degli over 60. </w:t>
      </w:r>
      <w:r>
        <w:t>L’89% ha ricevuto almeno la prima dose di vaccino, con un incremento settimanale nazionale irrisorio (+0,5%) e nette differenze regionali: se la Puglia ha raggiunto il 93,8% la Sicilia si ferma a quota 81%. In dettaglio:</w:t>
      </w:r>
    </w:p>
    <w:p w:rsidR="00DA708A" w:rsidRDefault="00CE577D" w:rsidP="007135C5">
      <w:pPr>
        <w:pStyle w:val="Paragrafoelenco"/>
        <w:numPr>
          <w:ilvl w:val="0"/>
          <w:numId w:val="4"/>
        </w:numPr>
        <w:spacing w:after="0" w:line="276" w:lineRule="auto"/>
        <w:ind w:left="357" w:hanging="357"/>
        <w:jc w:val="both"/>
      </w:pPr>
      <w:r>
        <w:rPr>
          <w:b/>
          <w:bCs/>
        </w:rPr>
        <w:t>Over 80:</w:t>
      </w:r>
      <w:r>
        <w:t xml:space="preserve"> degli oltre 4,4 milioni, 4.137.391 (92,3%) hanno completato il ciclo vaccinale e 112.648 (2,5%) hanno ricevuto solo la prima dose (</w:t>
      </w:r>
      <w:r>
        <w:rPr>
          <w:shd w:val="clear" w:color="auto" w:fill="FFFF00"/>
        </w:rPr>
        <w:t>figura 1</w:t>
      </w:r>
      <w:r w:rsidR="0049213B">
        <w:rPr>
          <w:shd w:val="clear" w:color="auto" w:fill="FFFF00"/>
        </w:rPr>
        <w:t>3</w:t>
      </w:r>
      <w:r>
        <w:t>).</w:t>
      </w:r>
    </w:p>
    <w:p w:rsidR="007B682B" w:rsidRDefault="00CE577D" w:rsidP="007135C5">
      <w:pPr>
        <w:pStyle w:val="Paragrafoelenco"/>
        <w:numPr>
          <w:ilvl w:val="0"/>
          <w:numId w:val="4"/>
        </w:numPr>
        <w:spacing w:after="0" w:line="276" w:lineRule="auto"/>
        <w:ind w:left="357" w:hanging="357"/>
        <w:jc w:val="both"/>
      </w:pPr>
      <w:r w:rsidRPr="00DA708A">
        <w:rPr>
          <w:b/>
          <w:bCs/>
        </w:rPr>
        <w:t>Fascia 70-79 anni:</w:t>
      </w:r>
      <w:r>
        <w:t xml:space="preserve"> degli oltre 5,9 milioni, 5.146.053 (86,3%) hanno completato il ciclo vaccinale e 202.094 (3,4%) hanno ricevuto solo la prima dose (</w:t>
      </w:r>
      <w:r w:rsidRPr="00DA708A">
        <w:rPr>
          <w:shd w:val="clear" w:color="auto" w:fill="FFFF00"/>
        </w:rPr>
        <w:t>figura 1</w:t>
      </w:r>
      <w:r w:rsidR="0049213B">
        <w:rPr>
          <w:shd w:val="clear" w:color="auto" w:fill="FFFF00"/>
        </w:rPr>
        <w:t>4</w:t>
      </w:r>
      <w:r>
        <w:t>).</w:t>
      </w:r>
    </w:p>
    <w:p w:rsidR="007B682B" w:rsidRDefault="00CE577D" w:rsidP="007135C5">
      <w:pPr>
        <w:pStyle w:val="Paragrafoelenco"/>
        <w:numPr>
          <w:ilvl w:val="0"/>
          <w:numId w:val="4"/>
        </w:numPr>
        <w:spacing w:after="0" w:line="276" w:lineRule="auto"/>
        <w:ind w:left="357" w:hanging="357"/>
        <w:jc w:val="both"/>
      </w:pPr>
      <w:r>
        <w:rPr>
          <w:b/>
          <w:bCs/>
        </w:rPr>
        <w:t xml:space="preserve">Fascia 60-69 anni: </w:t>
      </w:r>
      <w:r>
        <w:t>degli oltre 7,3 milioni, 5.851.619 (78,6%) hanno completato il ciclo vaccinale e 462.036 (6,2%) hanno ricevuto solo la prima dose (</w:t>
      </w:r>
      <w:r>
        <w:rPr>
          <w:shd w:val="clear" w:color="auto" w:fill="FFFF00"/>
        </w:rPr>
        <w:t>figura 1</w:t>
      </w:r>
      <w:r w:rsidR="0049213B">
        <w:rPr>
          <w:shd w:val="clear" w:color="auto" w:fill="FFFF00"/>
        </w:rPr>
        <w:t>5</w:t>
      </w:r>
      <w:r>
        <w:t>).</w:t>
      </w:r>
    </w:p>
    <w:p w:rsidR="00FE452F" w:rsidRDefault="00FE452F">
      <w:pPr>
        <w:spacing w:line="276" w:lineRule="auto"/>
        <w:jc w:val="both"/>
      </w:pPr>
    </w:p>
    <w:p w:rsidR="00E77426" w:rsidRDefault="00CE577D">
      <w:pPr>
        <w:spacing w:line="276" w:lineRule="auto"/>
        <w:jc w:val="both"/>
      </w:pPr>
      <w:r>
        <w:t>A fronte di una variante delta ormai prevalente, oltre 2,7 milioni di over 60 non hanno ancora completato il ciclo vaccinale (</w:t>
      </w:r>
      <w:r>
        <w:rPr>
          <w:shd w:val="clear" w:color="auto" w:fill="FFFF00"/>
        </w:rPr>
        <w:t>figura 1</w:t>
      </w:r>
      <w:r w:rsidR="0049213B">
        <w:rPr>
          <w:shd w:val="clear" w:color="auto" w:fill="FFFF00"/>
        </w:rPr>
        <w:t>6</w:t>
      </w:r>
      <w:r>
        <w:t>). In dettaglio: 1,98 milioni (11%) non hanno ancora ricevuto nemmeno una dose con rilevanti differenze regionali (dal 19% della Sicilia al 6,2% della Puglia) (</w:t>
      </w:r>
      <w:r>
        <w:rPr>
          <w:shd w:val="clear" w:color="auto" w:fill="FFFF00"/>
        </w:rPr>
        <w:t>figura 1</w:t>
      </w:r>
      <w:r w:rsidR="0049213B">
        <w:rPr>
          <w:shd w:val="clear" w:color="auto" w:fill="FFFF00"/>
        </w:rPr>
        <w:t>7</w:t>
      </w:r>
      <w:r>
        <w:t>) e 0,77 milioni (4,3%) devono completare il ciclo con la seconda dose.</w:t>
      </w:r>
      <w:r w:rsidR="003D514B">
        <w:t xml:space="preserve"> I</w:t>
      </w:r>
      <w:r>
        <w:t xml:space="preserve"> dati confermano l’esitazione vaccinale in questa fascia anagrafica, e non solo: il trend di somministrazione delle prime dosi vede una flessione anche in tutte le </w:t>
      </w:r>
      <w:r w:rsidR="00B81B08">
        <w:t xml:space="preserve">altre </w:t>
      </w:r>
      <w:r>
        <w:t>classi d’età superiori ai 30 anni (</w:t>
      </w:r>
      <w:r w:rsidRPr="007145F8">
        <w:rPr>
          <w:highlight w:val="yellow"/>
        </w:rPr>
        <w:t>figura 1</w:t>
      </w:r>
      <w:r w:rsidR="0049213B">
        <w:rPr>
          <w:highlight w:val="yellow"/>
        </w:rPr>
        <w:t>8</w:t>
      </w:r>
      <w:r>
        <w:t xml:space="preserve">), con notevoli differenze di copertura tra le varie </w:t>
      </w:r>
      <w:r w:rsidR="00B81B08">
        <w:t xml:space="preserve">fasce </w:t>
      </w:r>
      <w:r>
        <w:t>anagrafiche (</w:t>
      </w:r>
      <w:r w:rsidRPr="007145F8">
        <w:rPr>
          <w:highlight w:val="yellow"/>
        </w:rPr>
        <w:t>figura 19</w:t>
      </w:r>
      <w:r>
        <w:t>).</w:t>
      </w:r>
    </w:p>
    <w:p w:rsidR="00984FFB" w:rsidRPr="002252F6" w:rsidRDefault="00984FFB" w:rsidP="00984FFB">
      <w:pPr>
        <w:jc w:val="both"/>
      </w:pPr>
      <w:r>
        <w:rPr>
          <w:b/>
        </w:rPr>
        <w:t>Scenari futuri</w:t>
      </w:r>
      <w:r>
        <w:t xml:space="preserve">. </w:t>
      </w:r>
      <w:r w:rsidR="003D514B">
        <w:t xml:space="preserve">«Alla vigilia della pausa di agosto – conclude Cartabellotta – la Fondazione GIMBE effettua una revisione delle dinamiche della circolazione del SARS-CoV-2 e dell’impatto della COVID-19 sugli ospedali, </w:t>
      </w:r>
      <w:r w:rsidR="003D514B">
        <w:lastRenderedPageBreak/>
        <w:t>tenendo conto della diffusione della variante delta e delle criticità di fornitura e somministrazione dei vaccini»</w:t>
      </w:r>
      <w:r>
        <w:t>. In sintesi:</w:t>
      </w:r>
    </w:p>
    <w:p w:rsidR="00984FFB" w:rsidRDefault="00984FFB" w:rsidP="00984FFB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</w:pPr>
      <w:r w:rsidRPr="00367D98">
        <w:rPr>
          <w:b/>
        </w:rPr>
        <w:t xml:space="preserve">Circolazione del </w:t>
      </w:r>
      <w:r>
        <w:rPr>
          <w:b/>
        </w:rPr>
        <w:t>SARS-CoV-2</w:t>
      </w:r>
      <w:r>
        <w:t xml:space="preserve">. Analogamente ad altri paesi europei, la diffusione della variante delta ha determinato </w:t>
      </w:r>
      <w:r w:rsidR="00F454DA">
        <w:t xml:space="preserve">un incremento </w:t>
      </w:r>
      <w:r>
        <w:t xml:space="preserve">dei contagi, la cui entità in Italia è indubbiamente sottostimata dall’insufficiente attività di testing &amp; </w:t>
      </w:r>
      <w:proofErr w:type="spellStart"/>
      <w:r>
        <w:t>tracing</w:t>
      </w:r>
      <w:proofErr w:type="spellEnd"/>
      <w:r>
        <w:t xml:space="preserve">. </w:t>
      </w:r>
      <w:r w:rsidR="003F07EE">
        <w:t xml:space="preserve">Inoltre, in una fase </w:t>
      </w:r>
      <w:r w:rsidR="00803E96">
        <w:t xml:space="preserve">epidemica caratterizzata dalla </w:t>
      </w:r>
      <w:r w:rsidR="00F454DA">
        <w:t xml:space="preserve">continua </w:t>
      </w:r>
      <w:r w:rsidR="003F07EE">
        <w:t xml:space="preserve">esplosione di focolai locali, la circolazione virale </w:t>
      </w:r>
      <w:r w:rsidR="00803E96">
        <w:t xml:space="preserve">determina improvvise variazioni regionali </w:t>
      </w:r>
      <w:r w:rsidR="00F454DA">
        <w:t xml:space="preserve">/ </w:t>
      </w:r>
      <w:r w:rsidR="003F07EE">
        <w:t xml:space="preserve">provinciali. </w:t>
      </w:r>
      <w:r>
        <w:t>L</w:t>
      </w:r>
      <w:r w:rsidR="00F454DA">
        <w:t xml:space="preserve">’incremento </w:t>
      </w:r>
      <w:r>
        <w:t xml:space="preserve">settimanale dei nuovi casi sembra rallentare, ma la </w:t>
      </w:r>
      <w:r w:rsidR="00803E96">
        <w:t xml:space="preserve">notevole </w:t>
      </w:r>
      <w:r>
        <w:t>contagiosità della variante delta i</w:t>
      </w:r>
      <w:r w:rsidR="00803E96">
        <w:t xml:space="preserve">mpone di </w:t>
      </w:r>
      <w:r>
        <w:t xml:space="preserve">tenere alta l’attenzione sui comportamenti individuali in un periodo </w:t>
      </w:r>
      <w:r w:rsidR="00F454DA">
        <w:t xml:space="preserve">come quello estivo </w:t>
      </w:r>
      <w:r>
        <w:t xml:space="preserve">caratterizzato dall’aumento di </w:t>
      </w:r>
      <w:r w:rsidR="00803E96">
        <w:t xml:space="preserve">spostamenti, contatti sociali, </w:t>
      </w:r>
      <w:r>
        <w:t>occa</w:t>
      </w:r>
      <w:r w:rsidR="003F07EE">
        <w:t>sioni di assembramento.</w:t>
      </w:r>
    </w:p>
    <w:p w:rsidR="00984FFB" w:rsidRDefault="00984FFB" w:rsidP="003F07EE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</w:pPr>
      <w:r w:rsidRPr="00367D98">
        <w:rPr>
          <w:b/>
        </w:rPr>
        <w:t xml:space="preserve">Impatto </w:t>
      </w:r>
      <w:r>
        <w:rPr>
          <w:b/>
        </w:rPr>
        <w:t>della COVID-19</w:t>
      </w:r>
      <w:r w:rsidR="00C21A63">
        <w:t xml:space="preserve">. Come previsto </w:t>
      </w:r>
      <w:r>
        <w:t xml:space="preserve">l’incremento dei contagi ha determinato </w:t>
      </w:r>
      <w:r w:rsidR="003F07EE">
        <w:t xml:space="preserve">in circa 3 settimane un </w:t>
      </w:r>
      <w:r>
        <w:t>aumento dei ricoveri,</w:t>
      </w:r>
      <w:r w:rsidR="003F07EE">
        <w:t xml:space="preserve"> in particolare in area medica (+102%) e in misura minore in terapia intensiva (+71%), anche qui con notevoli differenze regionali. </w:t>
      </w:r>
      <w:r w:rsidR="00C21A63">
        <w:t xml:space="preserve">Considerato che </w:t>
      </w:r>
      <w:r w:rsidR="003F07EE">
        <w:t xml:space="preserve">l’entità di tale incremento </w:t>
      </w:r>
      <w:r w:rsidR="00C21A63">
        <w:t xml:space="preserve">è </w:t>
      </w:r>
      <w:r w:rsidR="003F07EE">
        <w:t xml:space="preserve">proporzionale alla circolazione virale e inversamente correlato </w:t>
      </w:r>
      <w:r w:rsidR="00AA014E">
        <w:t xml:space="preserve">ai tassi di </w:t>
      </w:r>
      <w:r>
        <w:t xml:space="preserve">copertura vaccinale </w:t>
      </w:r>
      <w:r w:rsidR="003F07EE">
        <w:t xml:space="preserve">completa </w:t>
      </w:r>
      <w:r>
        <w:t>della popolazione, in particolare di over 60 e fragili</w:t>
      </w:r>
      <w:r w:rsidR="00C21A63">
        <w:t>, la vaccinazione in tutte le fasce di età rimane fondamentale per arginare l’impatto della COVID-19.</w:t>
      </w:r>
    </w:p>
    <w:p w:rsidR="003B720F" w:rsidRPr="003B720F" w:rsidRDefault="00984FFB" w:rsidP="00FB53E2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b/>
        </w:rPr>
      </w:pPr>
      <w:r w:rsidRPr="00367D98">
        <w:rPr>
          <w:b/>
        </w:rPr>
        <w:t>Disponibilità vaccini</w:t>
      </w:r>
      <w:r w:rsidR="00FB53E2">
        <w:rPr>
          <w:b/>
        </w:rPr>
        <w:t>.</w:t>
      </w:r>
      <w:r>
        <w:t xml:space="preserve"> </w:t>
      </w:r>
      <w:r w:rsidR="00FB53E2">
        <w:t>L</w:t>
      </w:r>
      <w:r>
        <w:t xml:space="preserve">a campagna vaccinale </w:t>
      </w:r>
      <w:r w:rsidR="00FB53E2">
        <w:t xml:space="preserve">è ormai totalmente </w:t>
      </w:r>
      <w:r w:rsidR="00C21A63">
        <w:t>dipendente</w:t>
      </w:r>
      <w:r w:rsidR="00FB53E2">
        <w:t xml:space="preserve"> </w:t>
      </w:r>
      <w:r w:rsidR="00C21A63">
        <w:t>d</w:t>
      </w:r>
      <w:r w:rsidR="00FB53E2">
        <w:t xml:space="preserve">ai </w:t>
      </w:r>
      <w:r>
        <w:t xml:space="preserve">vaccini a </w:t>
      </w:r>
      <w:proofErr w:type="spellStart"/>
      <w:r>
        <w:t>mRNA</w:t>
      </w:r>
      <w:proofErr w:type="spellEnd"/>
      <w:r w:rsidR="00473630">
        <w:t>,</w:t>
      </w:r>
      <w:r>
        <w:t xml:space="preserve"> </w:t>
      </w:r>
      <w:r w:rsidR="00B305F0">
        <w:t>le cui consegne non saranno sufficienti a</w:t>
      </w:r>
      <w:r w:rsidR="003B720F">
        <w:t xml:space="preserve"> mantenere il </w:t>
      </w:r>
      <w:r w:rsidR="00FB53E2">
        <w:t xml:space="preserve">ritmo </w:t>
      </w:r>
      <w:r w:rsidR="003B720F">
        <w:t xml:space="preserve">di 500 mila somministrazioni al giorno una volta completati i cicli </w:t>
      </w:r>
      <w:r w:rsidR="00B305F0">
        <w:t xml:space="preserve">“aperti” </w:t>
      </w:r>
      <w:r w:rsidR="00E67F80">
        <w:t xml:space="preserve">con i vaccini a vettore </w:t>
      </w:r>
      <w:proofErr w:type="spellStart"/>
      <w:r w:rsidR="00473630">
        <w:t>adeno</w:t>
      </w:r>
      <w:r w:rsidR="00E67F80">
        <w:t>virale</w:t>
      </w:r>
      <w:proofErr w:type="spellEnd"/>
      <w:r w:rsidR="003B720F">
        <w:t>. In altre parole, in assenza di un</w:t>
      </w:r>
      <w:r w:rsidR="00B305F0">
        <w:t xml:space="preserve"> deciso cambio di marcia nelle forniture </w:t>
      </w:r>
      <w:r w:rsidR="003B720F">
        <w:t>di vaccini</w:t>
      </w:r>
      <w:r w:rsidR="00E67F80">
        <w:t xml:space="preserve"> a </w:t>
      </w:r>
      <w:proofErr w:type="spellStart"/>
      <w:r w:rsidR="00E67F80">
        <w:t>mRNA</w:t>
      </w:r>
      <w:proofErr w:type="spellEnd"/>
      <w:r w:rsidR="003B720F">
        <w:t xml:space="preserve">, </w:t>
      </w:r>
      <w:r w:rsidR="00C21A63">
        <w:t xml:space="preserve">è ragionevole </w:t>
      </w:r>
      <w:r w:rsidR="00B305F0">
        <w:t xml:space="preserve">aspettarsi </w:t>
      </w:r>
      <w:r w:rsidR="003B720F">
        <w:t xml:space="preserve">un rallentamento </w:t>
      </w:r>
      <w:r w:rsidR="00E67F80">
        <w:t xml:space="preserve">della campagna </w:t>
      </w:r>
      <w:r w:rsidR="003B720F">
        <w:t xml:space="preserve">nel mese di agosto. </w:t>
      </w:r>
    </w:p>
    <w:p w:rsidR="00E77426" w:rsidRPr="00E67F80" w:rsidRDefault="00984FFB" w:rsidP="003B720F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b/>
        </w:rPr>
      </w:pPr>
      <w:r>
        <w:rPr>
          <w:b/>
        </w:rPr>
        <w:t>Somministrazione vaccini</w:t>
      </w:r>
      <w:r w:rsidR="00FB53E2">
        <w:rPr>
          <w:b/>
        </w:rPr>
        <w:t>.</w:t>
      </w:r>
      <w:r w:rsidRPr="005249D6">
        <w:t xml:space="preserve"> </w:t>
      </w:r>
      <w:r w:rsidR="003B720F">
        <w:t xml:space="preserve">Persiste l’esitazione vaccinale degli over 50, difficilmente raggiungibili senza una strategia </w:t>
      </w:r>
      <w:r w:rsidR="00E67F80">
        <w:t xml:space="preserve">capillare </w:t>
      </w:r>
      <w:r w:rsidR="003B720F">
        <w:t>di chiamata attiva</w:t>
      </w:r>
      <w:r w:rsidR="00E60808">
        <w:t>;</w:t>
      </w:r>
      <w:r w:rsidR="00E67F80">
        <w:t xml:space="preserve"> sembra</w:t>
      </w:r>
      <w:r w:rsidR="00E60808">
        <w:t xml:space="preserve"> inoltre</w:t>
      </w:r>
      <w:r w:rsidR="003B720F">
        <w:t xml:space="preserve"> poco realistica la possibilità di cop</w:t>
      </w:r>
      <w:r w:rsidR="00E67F80">
        <w:t xml:space="preserve">rire </w:t>
      </w:r>
      <w:r w:rsidR="00C21A63">
        <w:t xml:space="preserve">con il ciclo completo </w:t>
      </w:r>
      <w:r w:rsidR="00E67F80">
        <w:t xml:space="preserve">il 60-65% </w:t>
      </w:r>
      <w:r w:rsidR="003B720F">
        <w:t xml:space="preserve">della fascia 12-19 prima dell’inizio dell’anno scolastico, visto che il 63,4% non ha </w:t>
      </w:r>
      <w:r w:rsidR="00E67F80">
        <w:t xml:space="preserve">ancora </w:t>
      </w:r>
      <w:r w:rsidR="003B720F">
        <w:t>effettuato nemmeno una dose</w:t>
      </w:r>
      <w:r w:rsidR="00E60808">
        <w:t>,</w:t>
      </w:r>
      <w:r w:rsidR="00567F60">
        <w:t xml:space="preserve"> con notevoli differenze regionali (</w:t>
      </w:r>
      <w:r w:rsidR="00567F60" w:rsidRPr="00567F60">
        <w:rPr>
          <w:highlight w:val="yellow"/>
        </w:rPr>
        <w:t>figura 20</w:t>
      </w:r>
      <w:r w:rsidR="00567F60">
        <w:t>)</w:t>
      </w:r>
      <w:r w:rsidR="003B720F">
        <w:t>. Difficile stimare l</w:t>
      </w:r>
      <w:r w:rsidR="00E67F80">
        <w:t xml:space="preserve">a reale </w:t>
      </w:r>
      <w:r w:rsidR="003B720F">
        <w:t>entità della “spinta gentile” del green pass, in assenza di dati pubblici sulle prenotazioni.</w:t>
      </w:r>
    </w:p>
    <w:p w:rsidR="00E67F80" w:rsidRPr="003B720F" w:rsidRDefault="00E67F80" w:rsidP="003B720F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b/>
        </w:rPr>
      </w:pPr>
      <w:r>
        <w:rPr>
          <w:b/>
        </w:rPr>
        <w:t>Terza dose</w:t>
      </w:r>
      <w:r>
        <w:t xml:space="preserve">. </w:t>
      </w:r>
      <w:r w:rsidR="008020E7">
        <w:t>Al momento</w:t>
      </w:r>
      <w:r w:rsidR="00E765CD">
        <w:t xml:space="preserve">, per quanto </w:t>
      </w:r>
      <w:r w:rsidR="008663EB">
        <w:t>verosimilmente sarà necessaria</w:t>
      </w:r>
      <w:r w:rsidR="00E765CD">
        <w:t xml:space="preserve"> una terza dose in alcune fasce della popolazione, non ci sono </w:t>
      </w:r>
      <w:r w:rsidR="00567F60">
        <w:t xml:space="preserve">evidenze </w:t>
      </w:r>
      <w:r w:rsidR="00E765CD">
        <w:t xml:space="preserve">sufficienti per </w:t>
      </w:r>
      <w:r w:rsidR="00567F60">
        <w:t xml:space="preserve">definire indicazioni, </w:t>
      </w:r>
      <w:r w:rsidR="00E765CD">
        <w:t>tempi</w:t>
      </w:r>
      <w:r w:rsidR="00567F60">
        <w:t xml:space="preserve"> e</w:t>
      </w:r>
      <w:r w:rsidR="00E765CD">
        <w:t xml:space="preserve"> modalità di somministrazione.</w:t>
      </w:r>
      <w:r w:rsidR="008020E7">
        <w:t xml:space="preserve"> </w:t>
      </w:r>
      <w:r w:rsidR="00E765CD">
        <w:t>S</w:t>
      </w:r>
      <w:r w:rsidR="00B46108">
        <w:t>u questo fronte s</w:t>
      </w:r>
      <w:r w:rsidR="008020E7">
        <w:t>ono tre</w:t>
      </w:r>
      <w:r w:rsidR="00E765CD">
        <w:t>, in ogni caso,</w:t>
      </w:r>
      <w:r w:rsidR="008020E7">
        <w:t xml:space="preserve"> le ragionevoli certezze. Innanzitutto, non esiste alcun test affidabile per identificare i potenziali candidati</w:t>
      </w:r>
      <w:r w:rsidR="00E765CD">
        <w:t>, i quali</w:t>
      </w:r>
      <w:r w:rsidR="000056DE">
        <w:t xml:space="preserve"> </w:t>
      </w:r>
      <w:r w:rsidR="00E765CD">
        <w:t xml:space="preserve">al momento </w:t>
      </w:r>
      <w:r w:rsidR="000056DE">
        <w:t xml:space="preserve">vengono </w:t>
      </w:r>
      <w:r w:rsidR="00E765CD">
        <w:t>individuati nelle persone</w:t>
      </w:r>
      <w:r w:rsidR="000056DE">
        <w:t xml:space="preserve"> più a rischio</w:t>
      </w:r>
      <w:r w:rsidR="00E765CD">
        <w:t xml:space="preserve"> di malattia severa</w:t>
      </w:r>
      <w:r w:rsidR="000056DE">
        <w:t xml:space="preserve"> (over</w:t>
      </w:r>
      <w:r w:rsidR="00B46108">
        <w:t xml:space="preserve"> </w:t>
      </w:r>
      <w:r w:rsidR="000056DE">
        <w:t>80, ospiti RSA, persone molto fragili)</w:t>
      </w:r>
      <w:r w:rsidR="003D514B">
        <w:t xml:space="preserve"> e negli operatori sanitari</w:t>
      </w:r>
      <w:r w:rsidR="008020E7">
        <w:t xml:space="preserve">; </w:t>
      </w:r>
      <w:r w:rsidR="000056DE">
        <w:t xml:space="preserve"> in secondo luogo, l</w:t>
      </w:r>
      <w:r w:rsidR="003D514B">
        <w:t xml:space="preserve">’incremento delle </w:t>
      </w:r>
      <w:r w:rsidR="000056DE">
        <w:t>diagnosi di COVID-19 e il ricovero di persone vaccinate con doppia dose p</w:t>
      </w:r>
      <w:r w:rsidR="003D514B">
        <w:t xml:space="preserve">otrebbero </w:t>
      </w:r>
      <w:r w:rsidR="000056DE">
        <w:t>essere un indicatore indiretto d</w:t>
      </w:r>
      <w:r w:rsidR="00490739">
        <w:t xml:space="preserve">i una ridotta </w:t>
      </w:r>
      <w:r w:rsidR="000056DE">
        <w:t>protezione</w:t>
      </w:r>
      <w:r w:rsidR="00490739">
        <w:t xml:space="preserve"> immunitaria</w:t>
      </w:r>
      <w:r w:rsidR="000056DE">
        <w:t xml:space="preserve">; infine, </w:t>
      </w:r>
      <w:r w:rsidR="00B46108">
        <w:t>la somministrazione d</w:t>
      </w:r>
      <w:r w:rsidR="00E838BE">
        <w:t xml:space="preserve">ella </w:t>
      </w:r>
      <w:r w:rsidR="00B46108">
        <w:t>terza dose</w:t>
      </w:r>
      <w:r w:rsidR="000056DE">
        <w:t xml:space="preserve"> </w:t>
      </w:r>
      <w:r w:rsidR="00567F60">
        <w:t xml:space="preserve">rimane al momento off label e </w:t>
      </w:r>
      <w:r w:rsidR="00E838BE">
        <w:t>deve essere autorizzata</w:t>
      </w:r>
      <w:r w:rsidR="000056DE">
        <w:t xml:space="preserve"> </w:t>
      </w:r>
      <w:r w:rsidR="008C27CE">
        <w:t>dalle autorità regolatorie</w:t>
      </w:r>
      <w:r w:rsidR="000056DE">
        <w:t>.</w:t>
      </w:r>
    </w:p>
    <w:p w:rsidR="007B682B" w:rsidRDefault="00CE577D" w:rsidP="00DA708A">
      <w:pPr>
        <w:spacing w:after="120" w:line="276" w:lineRule="auto"/>
        <w:rPr>
          <w:rStyle w:val="Hyperlink0"/>
        </w:rPr>
      </w:pPr>
      <w:r>
        <w:rPr>
          <w:i/>
          <w:iCs/>
        </w:rPr>
        <w:t xml:space="preserve">Il monitoraggio GIMBE dell'epidemia di COVID-19 è disponibile a: </w:t>
      </w:r>
      <w:hyperlink r:id="rId8" w:history="1">
        <w:r>
          <w:rPr>
            <w:rStyle w:val="Hyperlink0"/>
          </w:rPr>
          <w:t>https://coronavirus.gimbe.org</w:t>
        </w:r>
      </w:hyperlink>
      <w:r>
        <w:rPr>
          <w:rStyle w:val="Hyperlink0"/>
        </w:rPr>
        <w:br/>
      </w:r>
    </w:p>
    <w:p w:rsidR="007B682B" w:rsidRDefault="00CE577D" w:rsidP="003D514B">
      <w:pPr>
        <w:spacing w:after="12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IL MONITORAGGIO </w:t>
      </w:r>
      <w:r w:rsidR="008F11C8">
        <w:rPr>
          <w:b/>
          <w:bCs/>
          <w:sz w:val="20"/>
          <w:szCs w:val="20"/>
        </w:rPr>
        <w:t xml:space="preserve">INDIPENDENTE </w:t>
      </w:r>
      <w:r>
        <w:rPr>
          <w:b/>
          <w:bCs/>
          <w:sz w:val="20"/>
          <w:szCs w:val="20"/>
        </w:rPr>
        <w:t>DELLA FONDAZIONE GIMBE RIPRENDERÀ IL 26/08/2021</w:t>
      </w:r>
    </w:p>
    <w:p w:rsidR="007B682B" w:rsidRDefault="007B682B">
      <w:pPr>
        <w:spacing w:after="120" w:line="276" w:lineRule="auto"/>
        <w:jc w:val="both"/>
        <w:rPr>
          <w:rStyle w:val="Link"/>
          <w:color w:val="000000"/>
          <w:u w:val="none" w:color="000000"/>
        </w:rPr>
      </w:pPr>
    </w:p>
    <w:p w:rsidR="00E838BE" w:rsidRDefault="00E838BE">
      <w:pPr>
        <w:spacing w:after="120" w:line="276" w:lineRule="auto"/>
        <w:jc w:val="both"/>
        <w:rPr>
          <w:rStyle w:val="Link"/>
          <w:color w:val="000000"/>
          <w:u w:val="none" w:color="000000"/>
        </w:rPr>
      </w:pPr>
    </w:p>
    <w:p w:rsidR="007B682B" w:rsidRDefault="00CE577D">
      <w:pPr>
        <w:spacing w:after="120"/>
        <w:rPr>
          <w:sz w:val="16"/>
          <w:szCs w:val="16"/>
        </w:rPr>
      </w:pPr>
      <w:r>
        <w:rPr>
          <w:b/>
          <w:bCs/>
        </w:rPr>
        <w:t>CONTATTI</w:t>
      </w:r>
      <w:bookmarkStart w:id="1" w:name="_GoBack"/>
      <w:bookmarkEnd w:id="1"/>
      <w:r>
        <w:rPr>
          <w:i/>
          <w:iCs/>
        </w:rPr>
        <w:br/>
      </w:r>
      <w:r>
        <w:rPr>
          <w:b/>
          <w:bCs/>
        </w:rPr>
        <w:t>Fondazione GIMBE</w:t>
      </w:r>
      <w:r>
        <w:rPr>
          <w:i/>
          <w:iCs/>
          <w:color w:val="0563C1"/>
          <w:u w:val="single" w:color="0563C1"/>
        </w:rPr>
        <w:br/>
      </w:r>
      <w:r>
        <w:rPr>
          <w:sz w:val="20"/>
          <w:szCs w:val="20"/>
        </w:rPr>
        <w:t>Via Amendola 2 - 40121 Bologna</w:t>
      </w:r>
      <w:r>
        <w:rPr>
          <w:sz w:val="20"/>
          <w:szCs w:val="20"/>
        </w:rPr>
        <w:br/>
        <w:t>Tel. 051 5883920 - Fax 051 4075774</w:t>
      </w:r>
      <w:r>
        <w:rPr>
          <w:sz w:val="20"/>
          <w:szCs w:val="20"/>
        </w:rPr>
        <w:br/>
        <w:t xml:space="preserve">E-mail: </w:t>
      </w:r>
      <w:hyperlink r:id="rId9" w:history="1">
        <w:r>
          <w:rPr>
            <w:rStyle w:val="Hyperlink1"/>
          </w:rPr>
          <w:t>ufficio.stampa@gimbe.org</w:t>
        </w:r>
      </w:hyperlink>
    </w:p>
    <w:p w:rsidR="007B682B" w:rsidRDefault="007B682B">
      <w:pPr>
        <w:jc w:val="center"/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lastRenderedPageBreak/>
        <w:drawing>
          <wp:inline distT="0" distB="0" distL="0" distR="0" wp14:anchorId="45ED4126" wp14:editId="39E92340">
            <wp:extent cx="5760000" cy="3193390"/>
            <wp:effectExtent l="0" t="0" r="0" b="0"/>
            <wp:docPr id="1073741825" name="officeArt object" descr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 5" descr="Immagine 5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2</w:t>
      </w:r>
      <w:r>
        <w:rPr>
          <w:b/>
          <w:bCs/>
          <w:color w:val="00457D"/>
          <w:sz w:val="24"/>
          <w:szCs w:val="24"/>
          <w:u w:color="00457D"/>
        </w:rPr>
        <w:br/>
      </w: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FFA1CED" wp14:editId="79347F4B">
            <wp:extent cx="5760000" cy="3096164"/>
            <wp:effectExtent l="0" t="0" r="0" b="0"/>
            <wp:docPr id="1073741826" name="officeArt object" descr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 7" descr="Immagine 7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96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CE577D">
      <w:pPr>
        <w:jc w:val="center"/>
        <w:sectPr w:rsidR="007B682B">
          <w:pgSz w:w="11900" w:h="16840"/>
          <w:pgMar w:top="993" w:right="1134" w:bottom="709" w:left="1134" w:header="709" w:footer="709" w:gutter="0"/>
          <w:cols w:space="720"/>
        </w:sectPr>
      </w:pPr>
      <w:r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E046039" wp14:editId="38EC4DD7">
            <wp:extent cx="9360000" cy="4831200"/>
            <wp:effectExtent l="0" t="0" r="0" b="7620"/>
            <wp:docPr id="1073741827" name="officeArt object" descr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 8" descr="Immagine 8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483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 w:line="360" w:lineRule="auto"/>
        <w:jc w:val="center"/>
        <w:sectPr w:rsidR="007B682B" w:rsidSect="00AF08E9">
          <w:headerReference w:type="default" r:id="rId13"/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7B682B" w:rsidRDefault="00CE577D" w:rsidP="00AF08E9">
      <w:pPr>
        <w:spacing w:after="24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C72F091" wp14:editId="4083E51C">
            <wp:extent cx="5328000" cy="4120320"/>
            <wp:effectExtent l="0" t="0" r="6350" b="0"/>
            <wp:docPr id="1073741828" name="officeArt object" descr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 44" descr="Immagine 44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4120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CE577D" w:rsidP="00AF08E9">
      <w:pPr>
        <w:spacing w:before="16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5</w:t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EF9355F" wp14:editId="59813AF4">
            <wp:extent cx="5328000" cy="4120320"/>
            <wp:effectExtent l="0" t="0" r="6350" b="0"/>
            <wp:docPr id="1073741829" name="officeArt object" descr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magine 43" descr="Immagine 43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4120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6</w:t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DBF7A62" wp14:editId="45C6CFFA">
            <wp:extent cx="5760000" cy="2824094"/>
            <wp:effectExtent l="0" t="0" r="0" b="0"/>
            <wp:docPr id="1073741830" name="officeArt object" descr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magine 9" descr="Immagine 9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24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B07D7" w:rsidRDefault="00BB07D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7</w:t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7258382" wp14:editId="7532FC52">
            <wp:extent cx="5760000" cy="2829899"/>
            <wp:effectExtent l="0" t="0" r="0" b="0"/>
            <wp:docPr id="1073741831" name="officeArt object" descr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magine 10" descr="Immagine 10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29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8</w:t>
      </w:r>
    </w:p>
    <w:p w:rsidR="007B682B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006DDC9" wp14:editId="62773592">
            <wp:extent cx="5760000" cy="3083244"/>
            <wp:effectExtent l="0" t="0" r="0" b="0"/>
            <wp:docPr id="1073741832" name="officeArt object" descr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magine 11" descr="Immagine 11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83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6176B8" w:rsidP="00AF08E9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9</w:t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24EFBCE" wp14:editId="7B1ED889">
            <wp:extent cx="5760000" cy="4518924"/>
            <wp:effectExtent l="0" t="0" r="0" b="0"/>
            <wp:docPr id="1073741834" name="officeArt object" descr="Immagin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magine 14" descr="Immagine 14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18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7145F8">
        <w:rPr>
          <w:b/>
          <w:bCs/>
          <w:color w:val="00457D"/>
          <w:sz w:val="24"/>
          <w:szCs w:val="24"/>
          <w:u w:color="00457D"/>
        </w:rPr>
        <w:t>0</w:t>
      </w:r>
    </w:p>
    <w:p w:rsidR="007B682B" w:rsidRDefault="00AF08E9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96603A4" wp14:editId="09A69ECC">
            <wp:extent cx="5760000" cy="3457961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5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135C5" w:rsidRDefault="007135C5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7145F8">
        <w:rPr>
          <w:b/>
          <w:bCs/>
          <w:color w:val="00457D"/>
          <w:sz w:val="24"/>
          <w:szCs w:val="24"/>
          <w:u w:color="00457D"/>
        </w:rPr>
        <w:t>1</w:t>
      </w:r>
    </w:p>
    <w:p w:rsidR="007B682B" w:rsidRDefault="00AF08E9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826A105" wp14:editId="5CFC1D66">
            <wp:extent cx="5760000" cy="3364932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 w:rsidP="00AF08E9">
      <w:pPr>
        <w:jc w:val="center"/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AF08E9">
        <w:rPr>
          <w:b/>
          <w:bCs/>
          <w:color w:val="00457D"/>
          <w:sz w:val="24"/>
          <w:szCs w:val="24"/>
          <w:u w:color="00457D"/>
        </w:rPr>
        <w:t>2</w:t>
      </w:r>
    </w:p>
    <w:p w:rsidR="007B682B" w:rsidRDefault="00CE577D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F00B110" wp14:editId="689598F0">
            <wp:extent cx="5760000" cy="3362540"/>
            <wp:effectExtent l="0" t="0" r="0" b="0"/>
            <wp:docPr id="1073741837" name="officeArt object" descr="Immagin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magine 19" descr="Immagine 19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62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 w:line="276" w:lineRule="auto"/>
        <w:jc w:val="center"/>
        <w:rPr>
          <w:b/>
          <w:bCs/>
          <w:color w:val="FF0000"/>
          <w:u w:color="FF0000"/>
        </w:rPr>
      </w:pPr>
    </w:p>
    <w:p w:rsidR="007B682B" w:rsidRDefault="007B68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AF08E9">
        <w:rPr>
          <w:b/>
          <w:bCs/>
          <w:color w:val="00457D"/>
          <w:sz w:val="24"/>
          <w:szCs w:val="24"/>
          <w:u w:color="00457D"/>
        </w:rPr>
        <w:t>3</w:t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E191F21" wp14:editId="34CC1D11">
            <wp:extent cx="5760000" cy="4526921"/>
            <wp:effectExtent l="0" t="0" r="0" b="0"/>
            <wp:docPr id="1073741838" name="officeArt object" descr="Immagin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magine 26" descr="Immagine 26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269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CE577D">
      <w:pPr>
        <w:spacing w:after="0" w:line="240" w:lineRule="auto"/>
        <w:jc w:val="center"/>
      </w:pPr>
      <w:r>
        <w:rPr>
          <w:rFonts w:ascii="Arial Unicode MS" w:hAnsi="Arial Unicode MS"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AF08E9">
        <w:rPr>
          <w:b/>
          <w:bCs/>
          <w:color w:val="00457D"/>
          <w:sz w:val="24"/>
          <w:szCs w:val="24"/>
          <w:u w:color="00457D"/>
        </w:rPr>
        <w:t>4</w:t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583D41E" wp14:editId="7D6D4C8D">
            <wp:extent cx="5760000" cy="4474436"/>
            <wp:effectExtent l="0" t="0" r="0" b="0"/>
            <wp:docPr id="1073741839" name="officeArt object" descr="Immagin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magine 27" descr="Immagine 27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74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7B682B">
      <w:pPr>
        <w:spacing w:after="12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r>
        <w:rPr>
          <w:rFonts w:ascii="Arial Unicode MS" w:hAnsi="Arial Unicode MS"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AF08E9">
        <w:rPr>
          <w:b/>
          <w:bCs/>
          <w:color w:val="00457D"/>
          <w:sz w:val="24"/>
          <w:szCs w:val="24"/>
          <w:u w:color="00457D"/>
        </w:rPr>
        <w:t>5</w:t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51EAC44" wp14:editId="64C38E08">
            <wp:extent cx="5760000" cy="4548286"/>
            <wp:effectExtent l="0" t="0" r="0" b="0"/>
            <wp:docPr id="1073741840" name="officeArt object" descr="Immagin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magine 35" descr="Immagine 35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482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120"/>
        <w:jc w:val="both"/>
      </w:pP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AF08E9">
        <w:rPr>
          <w:b/>
          <w:bCs/>
          <w:color w:val="00457D"/>
          <w:sz w:val="24"/>
          <w:szCs w:val="24"/>
          <w:u w:color="00457D"/>
        </w:rPr>
        <w:t>6</w:t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D2CC73C" wp14:editId="79E42C13">
            <wp:extent cx="5760000" cy="3518637"/>
            <wp:effectExtent l="0" t="0" r="0" b="0"/>
            <wp:docPr id="1073741841" name="officeArt object" descr="Immagin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magine 36" descr="Immagine 36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18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CE577D">
      <w:r>
        <w:rPr>
          <w:rFonts w:ascii="Arial Unicode MS" w:hAnsi="Arial Unicode MS"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AF08E9">
        <w:rPr>
          <w:b/>
          <w:bCs/>
          <w:color w:val="00457D"/>
          <w:sz w:val="24"/>
          <w:szCs w:val="24"/>
          <w:u w:color="00457D"/>
        </w:rPr>
        <w:t>7</w:t>
      </w:r>
    </w:p>
    <w:p w:rsidR="007B682B" w:rsidRDefault="00AF08E9">
      <w:pPr>
        <w:spacing w:after="120"/>
        <w:jc w:val="center"/>
      </w:pPr>
      <w:r>
        <w:rPr>
          <w:noProof/>
        </w:rPr>
        <w:drawing>
          <wp:inline distT="0" distB="0" distL="0" distR="0" wp14:anchorId="417BC898" wp14:editId="44CB3414">
            <wp:extent cx="5760000" cy="446756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6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120"/>
        <w:jc w:val="center"/>
      </w:pP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AF08E9">
        <w:rPr>
          <w:b/>
          <w:bCs/>
          <w:color w:val="00457D"/>
          <w:sz w:val="24"/>
          <w:szCs w:val="24"/>
          <w:u w:color="00457D"/>
        </w:rPr>
        <w:t>8</w:t>
      </w:r>
    </w:p>
    <w:p w:rsidR="007B682B" w:rsidRDefault="00CE577D">
      <w:pPr>
        <w:spacing w:after="120"/>
        <w:jc w:val="center"/>
      </w:pPr>
      <w:r>
        <w:rPr>
          <w:noProof/>
        </w:rPr>
        <w:drawing>
          <wp:inline distT="0" distB="0" distL="0" distR="0" wp14:anchorId="4299BA55" wp14:editId="1E8E2B45">
            <wp:extent cx="5760000" cy="3409961"/>
            <wp:effectExtent l="0" t="0" r="0" b="0"/>
            <wp:docPr id="1073741843" name="officeArt object" descr="Immagin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magine 38" descr="Immagine 38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09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CE577D">
      <w:r>
        <w:rPr>
          <w:rFonts w:ascii="Arial Unicode MS" w:hAnsi="Arial Unicode MS"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AF08E9">
        <w:rPr>
          <w:b/>
          <w:bCs/>
          <w:color w:val="00457D"/>
          <w:sz w:val="24"/>
          <w:szCs w:val="24"/>
          <w:u w:color="00457D"/>
        </w:rPr>
        <w:t>19</w:t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F1EA81E" wp14:editId="66246DA0">
            <wp:extent cx="5760000" cy="3362540"/>
            <wp:effectExtent l="0" t="0" r="0" b="0"/>
            <wp:docPr id="1073741844" name="officeArt object" descr="Immagin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magine 39" descr="Immagine 39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62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7B682B">
      <w:pPr>
        <w:jc w:val="center"/>
        <w:rPr>
          <w:b/>
          <w:bCs/>
          <w:color w:val="FF0000"/>
          <w:sz w:val="24"/>
          <w:szCs w:val="24"/>
          <w:u w:color="FF0000"/>
        </w:rPr>
      </w:pPr>
    </w:p>
    <w:p w:rsidR="00E60808" w:rsidRDefault="00E60808" w:rsidP="00E6080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20</w:t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E8E6E17" wp14:editId="59222F76">
            <wp:extent cx="5760000" cy="4431618"/>
            <wp:effectExtent l="0" t="0" r="0" b="0"/>
            <wp:docPr id="1073741845" name="officeArt object" descr="Immagin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magine 40" descr="Immagine 40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16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7B682B">
      <w:pPr>
        <w:spacing w:after="0" w:line="240" w:lineRule="auto"/>
        <w:jc w:val="center"/>
        <w:sectPr w:rsidR="007B682B">
          <w:headerReference w:type="default" r:id="rId31"/>
          <w:pgSz w:w="11900" w:h="16840"/>
          <w:pgMar w:top="1134" w:right="1134" w:bottom="1418" w:left="1134" w:header="709" w:footer="709" w:gutter="0"/>
          <w:cols w:space="720"/>
        </w:sectPr>
      </w:pPr>
    </w:p>
    <w:p w:rsidR="007B682B" w:rsidRDefault="00CE577D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Tabella 1. Indicatori regionali: settimana 28 luglio-3 agosto 2021</w:t>
      </w:r>
    </w:p>
    <w:tbl>
      <w:tblPr>
        <w:tblStyle w:val="TableNormal"/>
        <w:tblW w:w="977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299"/>
        <w:gridCol w:w="1873"/>
        <w:gridCol w:w="1439"/>
        <w:gridCol w:w="2015"/>
        <w:gridCol w:w="2151"/>
      </w:tblGrid>
      <w:tr w:rsidR="007B682B">
        <w:trPr>
          <w:trHeight w:val="757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Regione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b/>
                <w:bCs/>
                <w:color w:val="FFFFFF"/>
                <w:sz w:val="21"/>
                <w:szCs w:val="21"/>
                <w:u w:color="FFFFFF"/>
              </w:rPr>
              <w:t>Casi attualmente positivi per 100.000 abitanti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b/>
                <w:bCs/>
                <w:color w:val="FFFFFF"/>
                <w:u w:color="FFFFFF"/>
              </w:rPr>
              <w:t xml:space="preserve">Variazione </w:t>
            </w:r>
            <w:r>
              <w:rPr>
                <w:b/>
                <w:bCs/>
                <w:color w:val="FFFFFF"/>
                <w:u w:color="FFFFFF"/>
              </w:rPr>
              <w:br/>
              <w:t>% nuovi casi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b/>
                <w:bCs/>
                <w:color w:val="FFFFFF"/>
                <w:u w:color="FFFFFF"/>
              </w:rPr>
              <w:t>Posti letto in area medica occupati da pazienti COVID−19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b/>
                <w:bCs/>
                <w:color w:val="FFFFFF"/>
                <w:u w:color="FFFFFF"/>
              </w:rPr>
              <w:t xml:space="preserve">Posti letto in terapia intensiva occupati da </w:t>
            </w:r>
            <w:r>
              <w:rPr>
                <w:b/>
                <w:bCs/>
                <w:color w:val="FFFFFF"/>
                <w:u w:color="FFFFFF"/>
              </w:rPr>
              <w:br/>
              <w:t>pazienti COVID−19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Abruzzo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114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52,8%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3%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1%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Basilicata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138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80,7%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6%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1%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Calabria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150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31,8%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9%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3%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Campania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137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30,8%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6%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185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20,5%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4%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3%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Friuli Venezia Giulia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63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24,7%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Lazio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200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-6,0%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6%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5%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Liguria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90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4,7%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6%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Lombardia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116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17,9%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4%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Marche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143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51,2%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3%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Molise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42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8,8%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1%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3%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Piemonte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60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47,0%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1%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1%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Prov. Aut. Bolzano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66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10,6%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Prov. Aut. Trento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64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-19,5%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1%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Puglia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65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34,7%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3%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3%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Sardegna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335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14,6%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5%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10%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Sicilia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241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27,0%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11%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4%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Toscana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217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48,2%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3%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4%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Umbria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191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21,6%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Valle D'Aosta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66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54,5%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4%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0%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t>Veneto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261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9C0006"/>
                <w:u w:color="9C0006"/>
              </w:rPr>
              <w:t>7,6%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color w:val="006100"/>
                <w:u w:color="006100"/>
              </w:rPr>
              <w:t>2%</w:t>
            </w:r>
          </w:p>
        </w:tc>
      </w:tr>
      <w:tr w:rsidR="007B682B">
        <w:trPr>
          <w:trHeight w:val="221"/>
          <w:jc w:val="center"/>
        </w:trPr>
        <w:tc>
          <w:tcPr>
            <w:tcW w:w="229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ITALIA</w:t>
            </w:r>
          </w:p>
        </w:tc>
        <w:tc>
          <w:tcPr>
            <w:tcW w:w="187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b/>
                <w:bCs/>
                <w:color w:val="9C0006"/>
                <w:u w:color="9C0006"/>
              </w:rPr>
              <w:t>158</w:t>
            </w:r>
          </w:p>
        </w:tc>
        <w:tc>
          <w:tcPr>
            <w:tcW w:w="143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b/>
                <w:bCs/>
                <w:color w:val="9C0006"/>
                <w:u w:color="9C0006"/>
              </w:rPr>
              <w:t>19,9%</w:t>
            </w:r>
          </w:p>
        </w:tc>
        <w:tc>
          <w:tcPr>
            <w:tcW w:w="201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b/>
                <w:bCs/>
                <w:color w:val="006100"/>
                <w:u w:color="006100"/>
              </w:rPr>
              <w:t>4%</w:t>
            </w:r>
          </w:p>
        </w:tc>
        <w:tc>
          <w:tcPr>
            <w:tcW w:w="215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b/>
                <w:bCs/>
                <w:color w:val="006100"/>
                <w:u w:color="006100"/>
              </w:rPr>
              <w:t>3%</w:t>
            </w:r>
          </w:p>
        </w:tc>
      </w:tr>
      <w:tr w:rsidR="007B682B">
        <w:trPr>
          <w:trHeight w:val="1560"/>
          <w:jc w:val="center"/>
        </w:trPr>
        <w:tc>
          <w:tcPr>
            <w:tcW w:w="9777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sz w:val="20"/>
                <w:szCs w:val="20"/>
              </w:rPr>
              <w:t>Nota: nella prima colonna rosso e verde indicano rispettivamente una performance regionale in peggioramento, o in miglioramento, rispetto alla settimana precedente.</w:t>
            </w:r>
            <w:r>
              <w:rPr>
                <w:sz w:val="20"/>
                <w:szCs w:val="20"/>
              </w:rPr>
              <w:br/>
              <w:t>Nella seconda colonna rosso e verde indicano rispettivamente un aumento o una diminuzione di nuovi casi rispetto alla settimana precedente.</w:t>
            </w:r>
            <w:r>
              <w:rPr>
                <w:sz w:val="20"/>
                <w:szCs w:val="20"/>
              </w:rPr>
              <w:br/>
              <w:t xml:space="preserve">Nelle ultime 2 colonne rosso e verde indicano il superamento, o meno, della soglia di saturazione del 40% per l’area medica e del 30% per le terapie intensive (dati </w:t>
            </w:r>
            <w:proofErr w:type="spellStart"/>
            <w:r>
              <w:rPr>
                <w:sz w:val="20"/>
                <w:szCs w:val="20"/>
              </w:rPr>
              <w:t>Agenas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</w:tr>
    </w:tbl>
    <w:p w:rsidR="007B682B" w:rsidRDefault="007B682B">
      <w:pPr>
        <w:widowControl w:val="0"/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r>
        <w:rPr>
          <w:rFonts w:ascii="Arial Unicode MS" w:hAnsi="Arial Unicode MS"/>
          <w:color w:val="00457D"/>
          <w:spacing w:val="-4"/>
          <w:sz w:val="24"/>
          <w:szCs w:val="24"/>
          <w:u w:color="00457D"/>
        </w:rPr>
        <w:br w:type="page"/>
      </w:r>
    </w:p>
    <w:p w:rsidR="007B682B" w:rsidRDefault="00CE577D">
      <w:pPr>
        <w:spacing w:after="80" w:line="240" w:lineRule="auto"/>
        <w:jc w:val="center"/>
        <w:rPr>
          <w:b/>
          <w:bCs/>
          <w:color w:val="00457D"/>
          <w:spacing w:val="-4"/>
          <w:sz w:val="24"/>
          <w:szCs w:val="24"/>
          <w:u w:color="00457D"/>
        </w:rPr>
      </w:pPr>
      <w:r>
        <w:rPr>
          <w:b/>
          <w:bCs/>
          <w:color w:val="00457D"/>
          <w:spacing w:val="-4"/>
          <w:sz w:val="24"/>
          <w:szCs w:val="24"/>
          <w:u w:color="00457D"/>
        </w:rPr>
        <w:lastRenderedPageBreak/>
        <w:t>Tabella 2. Province che presentano nuovi casi ≥50 nell’ultima settimana</w:t>
      </w:r>
    </w:p>
    <w:p w:rsidR="007B682B" w:rsidRDefault="007B682B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679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2551"/>
      </w:tblGrid>
      <w:tr w:rsidR="007B682B" w:rsidTr="007135C5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Provincia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  <w:jc w:val="center"/>
            </w:pPr>
            <w:r>
              <w:rPr>
                <w:b/>
                <w:bCs/>
                <w:color w:val="FFFFFF"/>
                <w:u w:color="FFFFFF"/>
              </w:rPr>
              <w:t>Nuovi casi per 100.000 abitanti 28 luglio-3 agosto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Pescara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56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Teramo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50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Crotone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60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Reggio di Calabria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73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Napoli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54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Bologna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74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Ferrara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99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Forlì-Cesena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86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Modena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69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Parma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56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Piacenza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95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Ravenna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67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Reggio nell'Emilia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89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Rimini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125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Pordenone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73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Frosinone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52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Latina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52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Rieti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61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Roma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88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Imperia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95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La Spezia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58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Cremona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50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Mantova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68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Varese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78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Ancona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52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Fermo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72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Macerata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60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Pesaro e Urbino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59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Alessandria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57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Novara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59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Verbano-Cusio-Ossola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50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Cagliari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303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Oristano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57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Sassari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51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Sud Sardegna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132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Agrigento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121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Caltanissetta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197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Catania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67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83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Palermo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87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Ragusa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236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Siracusa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76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Trapani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84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Arezzo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79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Firenze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128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Grosseto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70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Livorno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114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Lucca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172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Massa Carrara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71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Pisa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119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Pistoia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111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Prato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135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Siena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81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Perugia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74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Terni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88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Belluno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50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Padova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71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Rovigo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82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Treviso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109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Venezia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82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Verona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133</w:t>
            </w:r>
          </w:p>
        </w:tc>
      </w:tr>
      <w:tr w:rsidR="007B682B" w:rsidTr="007135C5">
        <w:tblPrEx>
          <w:shd w:val="clear" w:color="auto" w:fill="CDD4E9"/>
        </w:tblPrEx>
        <w:trPr>
          <w:trHeight w:val="57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</w:pPr>
            <w:r>
              <w:t>Vicenza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7B682B" w:rsidRDefault="00CE577D" w:rsidP="007135C5">
            <w:pPr>
              <w:spacing w:after="0" w:line="240" w:lineRule="auto"/>
              <w:jc w:val="center"/>
            </w:pPr>
            <w:r>
              <w:t>70</w:t>
            </w:r>
          </w:p>
        </w:tc>
      </w:tr>
    </w:tbl>
    <w:p w:rsidR="007B682B" w:rsidRDefault="007B682B" w:rsidP="007135C5">
      <w:pPr>
        <w:widowControl w:val="0"/>
        <w:spacing w:after="80" w:line="240" w:lineRule="auto"/>
        <w:jc w:val="center"/>
      </w:pPr>
    </w:p>
    <w:sectPr w:rsidR="007B682B">
      <w:headerReference w:type="default" r:id="rId32"/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6083" w:rsidRDefault="00BB6083">
      <w:pPr>
        <w:spacing w:after="0" w:line="240" w:lineRule="auto"/>
      </w:pPr>
      <w:r>
        <w:separator/>
      </w:r>
    </w:p>
  </w:endnote>
  <w:endnote w:type="continuationSeparator" w:id="0">
    <w:p w:rsidR="00BB6083" w:rsidRDefault="00BB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6083" w:rsidRDefault="00BB6083">
      <w:pPr>
        <w:spacing w:after="0" w:line="240" w:lineRule="auto"/>
      </w:pPr>
      <w:r>
        <w:separator/>
      </w:r>
    </w:p>
  </w:footnote>
  <w:footnote w:type="continuationSeparator" w:id="0">
    <w:p w:rsidR="00BB6083" w:rsidRDefault="00BB6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B08" w:rsidRDefault="00B81B08">
    <w:pPr>
      <w:pStyle w:val="Intestazioneepidipagina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B08" w:rsidRDefault="00B81B08">
    <w:pPr>
      <w:pStyle w:val="Intestazioneepidipagina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B08" w:rsidRDefault="00B81B08">
    <w:pPr>
      <w:pStyle w:val="Intestazioneepidipagin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B514920"/>
    <w:multiLevelType w:val="hybridMultilevel"/>
    <w:tmpl w:val="3F8C4CC8"/>
    <w:numStyleLink w:val="Stileimportato1"/>
  </w:abstractNum>
  <w:abstractNum w:abstractNumId="2" w15:restartNumberingAfterBreak="0">
    <w:nsid w:val="17124B2D"/>
    <w:multiLevelType w:val="hybridMultilevel"/>
    <w:tmpl w:val="D040A854"/>
    <w:numStyleLink w:val="Stileimportato2"/>
  </w:abstractNum>
  <w:abstractNum w:abstractNumId="3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2B"/>
    <w:rsid w:val="000056DE"/>
    <w:rsid w:val="00037A0A"/>
    <w:rsid w:val="000552E2"/>
    <w:rsid w:val="00095DC5"/>
    <w:rsid w:val="000B119C"/>
    <w:rsid w:val="000D75CD"/>
    <w:rsid w:val="001104E4"/>
    <w:rsid w:val="00216973"/>
    <w:rsid w:val="00236626"/>
    <w:rsid w:val="0024188A"/>
    <w:rsid w:val="00245DC3"/>
    <w:rsid w:val="00325D76"/>
    <w:rsid w:val="00332BC9"/>
    <w:rsid w:val="003A62BF"/>
    <w:rsid w:val="003B720F"/>
    <w:rsid w:val="003D514B"/>
    <w:rsid w:val="003F07EE"/>
    <w:rsid w:val="003F6A5F"/>
    <w:rsid w:val="004167BB"/>
    <w:rsid w:val="0043788D"/>
    <w:rsid w:val="00440059"/>
    <w:rsid w:val="004642E7"/>
    <w:rsid w:val="00472289"/>
    <w:rsid w:val="00473630"/>
    <w:rsid w:val="00490739"/>
    <w:rsid w:val="004919DD"/>
    <w:rsid w:val="0049213B"/>
    <w:rsid w:val="004D52D6"/>
    <w:rsid w:val="005455CA"/>
    <w:rsid w:val="00567F60"/>
    <w:rsid w:val="00584F59"/>
    <w:rsid w:val="006121D4"/>
    <w:rsid w:val="006176B8"/>
    <w:rsid w:val="0068026F"/>
    <w:rsid w:val="006C3678"/>
    <w:rsid w:val="006F7494"/>
    <w:rsid w:val="007135C5"/>
    <w:rsid w:val="007145F8"/>
    <w:rsid w:val="00733EDF"/>
    <w:rsid w:val="0079301A"/>
    <w:rsid w:val="007B682B"/>
    <w:rsid w:val="007E1F3B"/>
    <w:rsid w:val="007E629F"/>
    <w:rsid w:val="00801062"/>
    <w:rsid w:val="008020E7"/>
    <w:rsid w:val="00803E96"/>
    <w:rsid w:val="008663EB"/>
    <w:rsid w:val="008B3B5E"/>
    <w:rsid w:val="008C27CE"/>
    <w:rsid w:val="008F11C8"/>
    <w:rsid w:val="00955B70"/>
    <w:rsid w:val="009643C6"/>
    <w:rsid w:val="00982AA4"/>
    <w:rsid w:val="00984FFB"/>
    <w:rsid w:val="00985E6B"/>
    <w:rsid w:val="00991024"/>
    <w:rsid w:val="009A1DFB"/>
    <w:rsid w:val="009A389D"/>
    <w:rsid w:val="009B371B"/>
    <w:rsid w:val="009E0CAE"/>
    <w:rsid w:val="00A42754"/>
    <w:rsid w:val="00A7772E"/>
    <w:rsid w:val="00AA014E"/>
    <w:rsid w:val="00AA64E5"/>
    <w:rsid w:val="00AF08E9"/>
    <w:rsid w:val="00B305F0"/>
    <w:rsid w:val="00B46108"/>
    <w:rsid w:val="00B4610A"/>
    <w:rsid w:val="00B649F9"/>
    <w:rsid w:val="00B81B08"/>
    <w:rsid w:val="00BB07D7"/>
    <w:rsid w:val="00BB0B64"/>
    <w:rsid w:val="00BB6083"/>
    <w:rsid w:val="00BE1761"/>
    <w:rsid w:val="00BE3F2B"/>
    <w:rsid w:val="00BF36B3"/>
    <w:rsid w:val="00C10469"/>
    <w:rsid w:val="00C21A63"/>
    <w:rsid w:val="00C534E1"/>
    <w:rsid w:val="00C75102"/>
    <w:rsid w:val="00CC7750"/>
    <w:rsid w:val="00CE577D"/>
    <w:rsid w:val="00D0560B"/>
    <w:rsid w:val="00D405FC"/>
    <w:rsid w:val="00D43896"/>
    <w:rsid w:val="00D943DC"/>
    <w:rsid w:val="00DA39C5"/>
    <w:rsid w:val="00DA708A"/>
    <w:rsid w:val="00DC6EA0"/>
    <w:rsid w:val="00E21BD0"/>
    <w:rsid w:val="00E60808"/>
    <w:rsid w:val="00E67F80"/>
    <w:rsid w:val="00E765CD"/>
    <w:rsid w:val="00E77426"/>
    <w:rsid w:val="00E838BE"/>
    <w:rsid w:val="00EB6539"/>
    <w:rsid w:val="00EB6697"/>
    <w:rsid w:val="00F454DA"/>
    <w:rsid w:val="00F7357D"/>
    <w:rsid w:val="00FA2822"/>
    <w:rsid w:val="00FB53E2"/>
    <w:rsid w:val="00FE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E8FA0"/>
  <w15:docId w15:val="{1C0A998D-2DD7-4129-9A70-5EA37212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ufficio.stampa@gimbe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hyperlink" Target="https://coronavirus.gimbe.org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48E23-0A12-4CFC-B274-745F629D9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2205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5</cp:revision>
  <dcterms:created xsi:type="dcterms:W3CDTF">2021-08-05T06:37:00Z</dcterms:created>
  <dcterms:modified xsi:type="dcterms:W3CDTF">2021-08-05T07:40:00Z</dcterms:modified>
</cp:coreProperties>
</file>