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C6CAA" w:rsidRPr="00DE1B83" w:rsidRDefault="003B42F8" w:rsidP="007F38FE">
      <w:pPr>
        <w:spacing w:after="120"/>
        <w:jc w:val="center"/>
        <w:rPr>
          <w:b/>
          <w:sz w:val="34"/>
          <w:szCs w:val="34"/>
          <w:lang w:eastAsia="it-IT"/>
        </w:rPr>
      </w:pPr>
      <w:r w:rsidRPr="00DE1B83">
        <w:rPr>
          <w:b/>
          <w:sz w:val="34"/>
          <w:szCs w:val="34"/>
          <w:lang w:eastAsia="it-IT"/>
        </w:rPr>
        <w:t>CORONAVIRUS:</w:t>
      </w:r>
      <w:r w:rsidR="000466D8" w:rsidRPr="00DE1B83">
        <w:rPr>
          <w:b/>
          <w:sz w:val="34"/>
          <w:szCs w:val="34"/>
          <w:lang w:eastAsia="it-IT"/>
        </w:rPr>
        <w:t xml:space="preserve"> </w:t>
      </w:r>
      <w:r w:rsidR="00571B31" w:rsidRPr="00DE1B83">
        <w:rPr>
          <w:b/>
          <w:sz w:val="34"/>
          <w:szCs w:val="34"/>
          <w:lang w:eastAsia="it-IT"/>
        </w:rPr>
        <w:t>CONTINUA L’ASCESA DEI CONTAGI</w:t>
      </w:r>
      <w:r w:rsidR="004C2BCB" w:rsidRPr="00DE1B83">
        <w:rPr>
          <w:b/>
          <w:sz w:val="34"/>
          <w:szCs w:val="34"/>
          <w:lang w:eastAsia="it-IT"/>
        </w:rPr>
        <w:t xml:space="preserve">, </w:t>
      </w:r>
      <w:r w:rsidR="002120A0" w:rsidRPr="00DE1B83">
        <w:rPr>
          <w:b/>
          <w:sz w:val="34"/>
          <w:szCs w:val="34"/>
          <w:lang w:eastAsia="it-IT"/>
        </w:rPr>
        <w:br/>
        <w:t>OSPEDALI PROSSIMI</w:t>
      </w:r>
      <w:r w:rsidR="004C2BCB" w:rsidRPr="00DE1B83">
        <w:rPr>
          <w:b/>
          <w:sz w:val="34"/>
          <w:szCs w:val="34"/>
          <w:lang w:eastAsia="it-IT"/>
        </w:rPr>
        <w:t xml:space="preserve"> ALLA SATURAZIO</w:t>
      </w:r>
      <w:bookmarkStart w:id="0" w:name="_GoBack"/>
      <w:bookmarkEnd w:id="0"/>
      <w:r w:rsidR="004C2BCB" w:rsidRPr="00DE1B83">
        <w:rPr>
          <w:b/>
          <w:sz w:val="34"/>
          <w:szCs w:val="34"/>
          <w:lang w:eastAsia="it-IT"/>
        </w:rPr>
        <w:t>NE.</w:t>
      </w:r>
      <w:r w:rsidR="002120A0" w:rsidRPr="00DE1B83">
        <w:rPr>
          <w:b/>
          <w:sz w:val="34"/>
          <w:szCs w:val="34"/>
          <w:lang w:eastAsia="it-IT"/>
        </w:rPr>
        <w:t xml:space="preserve"> </w:t>
      </w:r>
      <w:r w:rsidR="002120A0" w:rsidRPr="00DE1B83">
        <w:rPr>
          <w:b/>
          <w:sz w:val="34"/>
          <w:szCs w:val="34"/>
          <w:lang w:eastAsia="it-IT"/>
        </w:rPr>
        <w:br/>
        <w:t xml:space="preserve">I DPCM SI RINCORRONO SENZA </w:t>
      </w:r>
      <w:r w:rsidR="00DE1B83" w:rsidRPr="00DE1B83">
        <w:rPr>
          <w:b/>
          <w:sz w:val="34"/>
          <w:szCs w:val="34"/>
          <w:lang w:eastAsia="it-IT"/>
        </w:rPr>
        <w:t xml:space="preserve">UNA </w:t>
      </w:r>
      <w:r w:rsidR="002120A0" w:rsidRPr="00DE1B83">
        <w:rPr>
          <w:b/>
          <w:sz w:val="34"/>
          <w:szCs w:val="34"/>
          <w:lang w:eastAsia="it-IT"/>
        </w:rPr>
        <w:t>STRATEGIA A LUNGO TERMINE</w:t>
      </w:r>
    </w:p>
    <w:p w:rsidR="00AF55A7" w:rsidRDefault="00AF55A7" w:rsidP="00AF55A7">
      <w:pPr>
        <w:spacing w:after="120"/>
        <w:jc w:val="both"/>
        <w:rPr>
          <w:b/>
          <w:sz w:val="23"/>
          <w:szCs w:val="23"/>
          <w:lang w:eastAsia="it-IT"/>
        </w:rPr>
      </w:pPr>
      <w:r w:rsidRPr="0050520B">
        <w:rPr>
          <w:b/>
          <w:sz w:val="23"/>
          <w:szCs w:val="23"/>
          <w:lang w:eastAsia="it-IT"/>
        </w:rPr>
        <w:t xml:space="preserve">IL MONITORAGGIO DELLA FONDAZIONE GIMBE RILEVA NELLA SETTIMANA 28 OTTOBRE–3 NOVEMBRE, RISPETTO ALLA </w:t>
      </w:r>
      <w:r w:rsidRPr="003B42F8">
        <w:rPr>
          <w:b/>
          <w:sz w:val="23"/>
          <w:szCs w:val="23"/>
          <w:lang w:eastAsia="it-IT"/>
        </w:rPr>
        <w:t xml:space="preserve">PRECEDENTE, </w:t>
      </w:r>
      <w:r>
        <w:rPr>
          <w:b/>
          <w:sz w:val="23"/>
          <w:szCs w:val="23"/>
          <w:lang w:eastAsia="it-IT"/>
        </w:rPr>
        <w:t xml:space="preserve">UN </w:t>
      </w:r>
      <w:r w:rsidRPr="003B42F8">
        <w:rPr>
          <w:b/>
          <w:sz w:val="23"/>
          <w:szCs w:val="23"/>
          <w:lang w:eastAsia="it-IT"/>
        </w:rPr>
        <w:t xml:space="preserve">AUMENTO </w:t>
      </w:r>
      <w:r>
        <w:rPr>
          <w:b/>
          <w:sz w:val="23"/>
          <w:szCs w:val="23"/>
          <w:lang w:eastAsia="it-IT"/>
        </w:rPr>
        <w:t xml:space="preserve">OLTRE 195 MILA CASI E DI 1.712 </w:t>
      </w:r>
      <w:r w:rsidRPr="003B42F8">
        <w:rPr>
          <w:b/>
          <w:sz w:val="23"/>
          <w:szCs w:val="23"/>
          <w:lang w:eastAsia="it-IT"/>
        </w:rPr>
        <w:t xml:space="preserve">DECESSI. </w:t>
      </w:r>
      <w:r>
        <w:rPr>
          <w:b/>
          <w:sz w:val="23"/>
          <w:szCs w:val="23"/>
          <w:lang w:eastAsia="it-IT"/>
        </w:rPr>
        <w:t xml:space="preserve">CON 21.114 RICOVERATI CON SINTOMI </w:t>
      </w:r>
      <w:r w:rsidRPr="003B42F8">
        <w:rPr>
          <w:b/>
          <w:sz w:val="23"/>
          <w:szCs w:val="23"/>
          <w:lang w:eastAsia="it-IT"/>
        </w:rPr>
        <w:t xml:space="preserve">E </w:t>
      </w:r>
      <w:r>
        <w:rPr>
          <w:b/>
          <w:sz w:val="23"/>
          <w:szCs w:val="23"/>
          <w:lang w:eastAsia="it-IT"/>
        </w:rPr>
        <w:t xml:space="preserve">2.225 </w:t>
      </w:r>
      <w:r w:rsidRPr="003B42F8">
        <w:rPr>
          <w:b/>
          <w:sz w:val="23"/>
          <w:szCs w:val="23"/>
          <w:lang w:eastAsia="it-IT"/>
        </w:rPr>
        <w:t>IN TERAPIA INTENSIVA</w:t>
      </w:r>
      <w:r>
        <w:rPr>
          <w:b/>
          <w:sz w:val="23"/>
          <w:szCs w:val="23"/>
          <w:lang w:eastAsia="it-IT"/>
        </w:rPr>
        <w:t xml:space="preserve"> GLI OSPEDALI SI AVVICINANO ALLE SOGLIE DI SATURAZIONE, MENTRE IL BACINO DI “ATTUALMENTE POSITIVI” SUPERA QUOTA 418 MILA. IL GOVERNO CONTINUA AD INSEGUIRE I NUMERI DEL CONTAGIO CON DPCM SETTIMANALI TRA I MALUMORI DELLE REGIONI PER L’ASSEGNAZIONE DEL LIVELLO DI RISCHIO. LA FONDAZIONE GIMBE, IN AUDIZIONE AL SENATO, CHIEDE DI RENDERE DISPONIBILI TUTTI I DATI DELL’EPIDEMIA, SOPRATTUTTO QUELLI CHE INFORMANO I COLORI DA ASSEGNARE ALLE REGIONI.</w:t>
      </w:r>
    </w:p>
    <w:p w:rsidR="00B443D8" w:rsidRPr="00734A61" w:rsidRDefault="00CD0D02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5 novembre</w:t>
      </w:r>
      <w:r w:rsidR="00404ACE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734A61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756BF5" w:rsidRPr="0050520B" w:rsidRDefault="00406DC9" w:rsidP="0050520B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50520B">
        <w:rPr>
          <w:lang w:eastAsia="it-IT"/>
        </w:rPr>
        <w:t xml:space="preserve">Il monitoraggio indipendente della Fondazione GIMBE </w:t>
      </w:r>
      <w:r w:rsidR="00F0762F" w:rsidRPr="0050520B">
        <w:t>conferma</w:t>
      </w:r>
      <w:r w:rsidR="00E9357F" w:rsidRPr="0050520B">
        <w:t xml:space="preserve"> </w:t>
      </w:r>
      <w:r w:rsidRPr="0050520B">
        <w:t>n</w:t>
      </w:r>
      <w:r w:rsidR="00DD06F4" w:rsidRPr="0050520B">
        <w:t xml:space="preserve">ella settimana </w:t>
      </w:r>
      <w:r w:rsidR="00CD0D02" w:rsidRPr="0050520B">
        <w:t>28</w:t>
      </w:r>
      <w:r w:rsidR="00734A61" w:rsidRPr="0050520B">
        <w:t xml:space="preserve"> ottobre</w:t>
      </w:r>
      <w:r w:rsidR="00CD0D02" w:rsidRPr="0050520B">
        <w:t>-3 novembre</w:t>
      </w:r>
      <w:r w:rsidR="00A73F90" w:rsidRPr="0050520B">
        <w:t xml:space="preserve">, rispetto alla precedente, </w:t>
      </w:r>
      <w:r w:rsidR="00F0762F" w:rsidRPr="0050520B">
        <w:rPr>
          <w:lang w:eastAsia="it-IT"/>
        </w:rPr>
        <w:t>l’</w:t>
      </w:r>
      <w:r w:rsidR="002D6D5F" w:rsidRPr="0050520B">
        <w:rPr>
          <w:lang w:eastAsia="it-IT"/>
        </w:rPr>
        <w:t xml:space="preserve">incremento </w:t>
      </w:r>
      <w:r w:rsidR="00464523" w:rsidRPr="0050520B">
        <w:rPr>
          <w:lang w:eastAsia="it-IT"/>
        </w:rPr>
        <w:t xml:space="preserve">esponenziale </w:t>
      </w:r>
      <w:r w:rsidR="00A9533C" w:rsidRPr="0050520B">
        <w:rPr>
          <w:lang w:eastAsia="it-IT"/>
        </w:rPr>
        <w:t xml:space="preserve">nel trend </w:t>
      </w:r>
      <w:r w:rsidR="00DD06F4" w:rsidRPr="0050520B">
        <w:rPr>
          <w:lang w:eastAsia="it-IT"/>
        </w:rPr>
        <w:t>dei nuovi casi (</w:t>
      </w:r>
      <w:r w:rsidR="0050520B" w:rsidRPr="0050520B">
        <w:rPr>
          <w:lang w:eastAsia="it-IT"/>
        </w:rPr>
        <w:t xml:space="preserve">195.051 vs </w:t>
      </w:r>
      <w:r w:rsidR="00D51212" w:rsidRPr="0050520B">
        <w:rPr>
          <w:lang w:eastAsia="it-IT"/>
        </w:rPr>
        <w:t>130.329</w:t>
      </w:r>
      <w:r w:rsidR="00796E28" w:rsidRPr="0050520B">
        <w:rPr>
          <w:lang w:eastAsia="it-IT"/>
        </w:rPr>
        <w:t>)</w:t>
      </w:r>
      <w:r w:rsidR="00F0762F" w:rsidRPr="0050520B">
        <w:rPr>
          <w:lang w:eastAsia="it-IT"/>
        </w:rPr>
        <w:t>, in parte</w:t>
      </w:r>
      <w:r w:rsidR="006B448E" w:rsidRPr="0050520B">
        <w:rPr>
          <w:lang w:eastAsia="it-IT"/>
        </w:rPr>
        <w:t xml:space="preserve"> </w:t>
      </w:r>
      <w:r w:rsidR="00F0762F" w:rsidRPr="0050520B">
        <w:rPr>
          <w:lang w:eastAsia="it-IT"/>
        </w:rPr>
        <w:t>per l’</w:t>
      </w:r>
      <w:r w:rsidR="00D55B56" w:rsidRPr="0050520B">
        <w:rPr>
          <w:lang w:eastAsia="it-IT"/>
        </w:rPr>
        <w:t>aumento</w:t>
      </w:r>
      <w:r w:rsidR="00B92745" w:rsidRPr="0050520B">
        <w:rPr>
          <w:lang w:eastAsia="it-IT"/>
        </w:rPr>
        <w:t xml:space="preserve"> </w:t>
      </w:r>
      <w:r w:rsidR="00D55B56" w:rsidRPr="0050520B">
        <w:rPr>
          <w:lang w:eastAsia="it-IT"/>
        </w:rPr>
        <w:t xml:space="preserve">dei </w:t>
      </w:r>
      <w:r w:rsidR="006B448E" w:rsidRPr="0050520B">
        <w:rPr>
          <w:lang w:eastAsia="it-IT"/>
        </w:rPr>
        <w:t>casi testati (</w:t>
      </w:r>
      <w:r w:rsidR="0050520B" w:rsidRPr="0050520B">
        <w:rPr>
          <w:rFonts w:ascii="Calibri" w:eastAsia="Times New Roman" w:hAnsi="Calibri" w:cs="Times New Roman"/>
          <w:lang w:eastAsia="it-IT"/>
        </w:rPr>
        <w:t xml:space="preserve">817.717 vs </w:t>
      </w:r>
      <w:r w:rsidR="00D51212" w:rsidRPr="0050520B">
        <w:rPr>
          <w:lang w:eastAsia="it-IT"/>
        </w:rPr>
        <w:t>722.570</w:t>
      </w:r>
      <w:r w:rsidR="004D602F" w:rsidRPr="0050520B">
        <w:rPr>
          <w:lang w:eastAsia="it-IT"/>
        </w:rPr>
        <w:t>)</w:t>
      </w:r>
      <w:r w:rsidR="000D5B60" w:rsidRPr="0050520B">
        <w:rPr>
          <w:lang w:eastAsia="it-IT"/>
        </w:rPr>
        <w:t xml:space="preserve">, ma soprattutto </w:t>
      </w:r>
      <w:r w:rsidR="00F0762F" w:rsidRPr="0050520B">
        <w:rPr>
          <w:lang w:eastAsia="it-IT"/>
        </w:rPr>
        <w:t xml:space="preserve">per </w:t>
      </w:r>
      <w:r w:rsidR="00815E3F">
        <w:rPr>
          <w:lang w:eastAsia="it-IT"/>
        </w:rPr>
        <w:t xml:space="preserve">l’ulteriore </w:t>
      </w:r>
      <w:r w:rsidR="00F23A93" w:rsidRPr="0050520B">
        <w:rPr>
          <w:lang w:eastAsia="it-IT"/>
        </w:rPr>
        <w:t xml:space="preserve">incremento </w:t>
      </w:r>
      <w:r w:rsidR="00703E54" w:rsidRPr="0050520B">
        <w:rPr>
          <w:lang w:eastAsia="it-IT"/>
        </w:rPr>
        <w:t>del rapporto positivi/casi testati (</w:t>
      </w:r>
      <w:r w:rsidR="0050520B" w:rsidRPr="0050520B">
        <w:rPr>
          <w:lang w:eastAsia="it-IT"/>
        </w:rPr>
        <w:t xml:space="preserve">23,9% vs </w:t>
      </w:r>
      <w:r w:rsidR="00D51212" w:rsidRPr="0050520B">
        <w:rPr>
          <w:lang w:eastAsia="it-IT"/>
        </w:rPr>
        <w:t>18%</w:t>
      </w:r>
      <w:r w:rsidR="00703E54" w:rsidRPr="0050520B">
        <w:rPr>
          <w:lang w:eastAsia="it-IT"/>
        </w:rPr>
        <w:t>)</w:t>
      </w:r>
      <w:r w:rsidR="003637A1" w:rsidRPr="0050520B">
        <w:rPr>
          <w:lang w:eastAsia="it-IT"/>
        </w:rPr>
        <w:t xml:space="preserve"> (</w:t>
      </w:r>
      <w:r w:rsidR="003637A1" w:rsidRPr="0050520B">
        <w:rPr>
          <w:highlight w:val="yellow"/>
          <w:lang w:eastAsia="it-IT"/>
        </w:rPr>
        <w:t>figura 1</w:t>
      </w:r>
      <w:r w:rsidR="003637A1" w:rsidRPr="0050520B">
        <w:rPr>
          <w:lang w:eastAsia="it-IT"/>
        </w:rPr>
        <w:t>)</w:t>
      </w:r>
      <w:r w:rsidR="006B448E" w:rsidRPr="0050520B">
        <w:rPr>
          <w:lang w:eastAsia="it-IT"/>
        </w:rPr>
        <w:t xml:space="preserve">. </w:t>
      </w:r>
      <w:r w:rsidR="00F0762F" w:rsidRPr="00A96DF7">
        <w:rPr>
          <w:lang w:eastAsia="it-IT"/>
        </w:rPr>
        <w:t>C</w:t>
      </w:r>
      <w:r w:rsidR="00A9533C" w:rsidRPr="00A96DF7">
        <w:rPr>
          <w:lang w:eastAsia="it-IT"/>
        </w:rPr>
        <w:t xml:space="preserve">rescono </w:t>
      </w:r>
      <w:r w:rsidR="0050520B" w:rsidRPr="00A96DF7">
        <w:rPr>
          <w:lang w:eastAsia="it-IT"/>
        </w:rPr>
        <w:t xml:space="preserve">del 63,9% </w:t>
      </w:r>
      <w:r w:rsidR="006B448E" w:rsidRPr="00A96DF7">
        <w:rPr>
          <w:lang w:eastAsia="it-IT"/>
        </w:rPr>
        <w:t>i</w:t>
      </w:r>
      <w:r w:rsidR="00D33012" w:rsidRPr="00A96DF7">
        <w:rPr>
          <w:lang w:eastAsia="it-IT"/>
        </w:rPr>
        <w:t xml:space="preserve"> casi attualmente positivi (</w:t>
      </w:r>
      <w:r w:rsidR="00A96DF7" w:rsidRPr="00A96DF7">
        <w:rPr>
          <w:lang w:eastAsia="it-IT"/>
        </w:rPr>
        <w:t xml:space="preserve">418.142 vs </w:t>
      </w:r>
      <w:r w:rsidR="00D51212" w:rsidRPr="00A96DF7">
        <w:rPr>
          <w:lang w:eastAsia="it-IT"/>
        </w:rPr>
        <w:t>255</w:t>
      </w:r>
      <w:r w:rsidR="00D51212" w:rsidRPr="008A2AB7">
        <w:rPr>
          <w:lang w:eastAsia="it-IT"/>
        </w:rPr>
        <w:t>.090</w:t>
      </w:r>
      <w:r w:rsidR="00D33012" w:rsidRPr="008A2AB7">
        <w:rPr>
          <w:lang w:eastAsia="it-IT"/>
        </w:rPr>
        <w:t>)</w:t>
      </w:r>
      <w:r w:rsidR="006B448E" w:rsidRPr="008A2AB7">
        <w:rPr>
          <w:lang w:eastAsia="it-IT"/>
        </w:rPr>
        <w:t xml:space="preserve"> e</w:t>
      </w:r>
      <w:r w:rsidR="003F4EAB" w:rsidRPr="008A2AB7">
        <w:rPr>
          <w:lang w:eastAsia="it-IT"/>
        </w:rPr>
        <w:t>,</w:t>
      </w:r>
      <w:r w:rsidR="005B05C3" w:rsidRPr="008A2AB7">
        <w:rPr>
          <w:lang w:eastAsia="it-IT"/>
        </w:rPr>
        <w:t xml:space="preserve"> sul </w:t>
      </w:r>
      <w:r w:rsidR="003F4EAB" w:rsidRPr="008A2AB7">
        <w:rPr>
          <w:lang w:eastAsia="it-IT"/>
        </w:rPr>
        <w:t xml:space="preserve">fronte </w:t>
      </w:r>
      <w:r w:rsidR="006B448E" w:rsidRPr="008A2AB7">
        <w:rPr>
          <w:lang w:eastAsia="it-IT"/>
        </w:rPr>
        <w:t>degli ospedali</w:t>
      </w:r>
      <w:r w:rsidR="00E12F28" w:rsidRPr="008A2AB7">
        <w:rPr>
          <w:lang w:eastAsia="it-IT"/>
        </w:rPr>
        <w:t>,</w:t>
      </w:r>
      <w:r w:rsidR="00F0762F" w:rsidRPr="008A2AB7">
        <w:rPr>
          <w:lang w:eastAsia="it-IT"/>
        </w:rPr>
        <w:t xml:space="preserve"> </w:t>
      </w:r>
      <w:r w:rsidR="002E77F3" w:rsidRPr="008A2AB7">
        <w:rPr>
          <w:lang w:eastAsia="it-IT"/>
        </w:rPr>
        <w:t xml:space="preserve">si rileva un </w:t>
      </w:r>
      <w:r w:rsidR="008A2AB7" w:rsidRPr="008A2AB7">
        <w:rPr>
          <w:lang w:eastAsia="it-IT"/>
        </w:rPr>
        <w:t xml:space="preserve">ulteriore </w:t>
      </w:r>
      <w:r w:rsidR="00401D6B" w:rsidRPr="008A2AB7">
        <w:rPr>
          <w:lang w:eastAsia="it-IT"/>
        </w:rPr>
        <w:t xml:space="preserve">aumento </w:t>
      </w:r>
      <w:r w:rsidR="004225BB" w:rsidRPr="008A2AB7">
        <w:rPr>
          <w:lang w:eastAsia="it-IT"/>
        </w:rPr>
        <w:t>dei</w:t>
      </w:r>
      <w:r w:rsidR="006B448E" w:rsidRPr="008A2AB7">
        <w:rPr>
          <w:lang w:eastAsia="it-IT"/>
        </w:rPr>
        <w:t xml:space="preserve"> </w:t>
      </w:r>
      <w:r w:rsidR="0046598E" w:rsidRPr="008A2AB7">
        <w:rPr>
          <w:lang w:eastAsia="it-IT"/>
        </w:rPr>
        <w:t xml:space="preserve">pazienti </w:t>
      </w:r>
      <w:r w:rsidR="008F1BD5" w:rsidRPr="008A2AB7">
        <w:rPr>
          <w:lang w:eastAsia="it-IT"/>
        </w:rPr>
        <w:t>ricoverati con sintomi</w:t>
      </w:r>
      <w:r w:rsidR="00CD1202" w:rsidRPr="008A2AB7">
        <w:rPr>
          <w:lang w:eastAsia="it-IT"/>
        </w:rPr>
        <w:t xml:space="preserve"> </w:t>
      </w:r>
      <w:r w:rsidR="007B4206" w:rsidRPr="008A2AB7">
        <w:rPr>
          <w:lang w:eastAsia="it-IT"/>
        </w:rPr>
        <w:t>(</w:t>
      </w:r>
      <w:r w:rsidR="008A2AB7" w:rsidRPr="008A2AB7">
        <w:rPr>
          <w:lang w:eastAsia="it-IT"/>
        </w:rPr>
        <w:t xml:space="preserve">21.114 vs </w:t>
      </w:r>
      <w:r w:rsidR="00D51212" w:rsidRPr="008A2AB7">
        <w:rPr>
          <w:lang w:eastAsia="it-IT"/>
        </w:rPr>
        <w:t>13.955</w:t>
      </w:r>
      <w:r w:rsidR="007B4206" w:rsidRPr="008A2AB7">
        <w:rPr>
          <w:lang w:eastAsia="it-IT"/>
        </w:rPr>
        <w:t>)</w:t>
      </w:r>
      <w:r w:rsidR="006B448E" w:rsidRPr="008A2AB7">
        <w:rPr>
          <w:lang w:eastAsia="it-IT"/>
        </w:rPr>
        <w:t xml:space="preserve"> e </w:t>
      </w:r>
      <w:r w:rsidR="0046598E" w:rsidRPr="008A2AB7">
        <w:rPr>
          <w:lang w:eastAsia="it-IT"/>
        </w:rPr>
        <w:t>in terapia intensiva (</w:t>
      </w:r>
      <w:r w:rsidR="008A2AB7" w:rsidRPr="008A2AB7">
        <w:rPr>
          <w:lang w:eastAsia="it-IT"/>
        </w:rPr>
        <w:t xml:space="preserve">2.225 vs </w:t>
      </w:r>
      <w:r w:rsidR="00D51212" w:rsidRPr="008A2AB7">
        <w:rPr>
          <w:lang w:eastAsia="it-IT"/>
        </w:rPr>
        <w:t>1.411</w:t>
      </w:r>
      <w:r w:rsidR="00F469C4" w:rsidRPr="008A2AB7">
        <w:rPr>
          <w:lang w:eastAsia="it-IT"/>
        </w:rPr>
        <w:t>)</w:t>
      </w:r>
      <w:r w:rsidR="006B448E" w:rsidRPr="008A2AB7">
        <w:rPr>
          <w:lang w:eastAsia="it-IT"/>
        </w:rPr>
        <w:t>.</w:t>
      </w:r>
      <w:r w:rsidR="00D55B56" w:rsidRPr="008A2AB7">
        <w:rPr>
          <w:lang w:eastAsia="it-IT"/>
        </w:rPr>
        <w:t xml:space="preserve"> </w:t>
      </w:r>
      <w:r w:rsidR="00F54FFA">
        <w:rPr>
          <w:lang w:eastAsia="it-IT"/>
        </w:rPr>
        <w:t>I</w:t>
      </w:r>
      <w:r w:rsidR="008A2AB7" w:rsidRPr="008A2AB7">
        <w:rPr>
          <w:lang w:eastAsia="it-IT"/>
        </w:rPr>
        <w:t xml:space="preserve">ncrementano </w:t>
      </w:r>
      <w:r w:rsidR="00D86A75">
        <w:rPr>
          <w:lang w:eastAsia="it-IT"/>
        </w:rPr>
        <w:t>del</w:t>
      </w:r>
      <w:r w:rsidR="008A2AB7" w:rsidRPr="008A2AB7">
        <w:rPr>
          <w:lang w:eastAsia="it-IT"/>
        </w:rPr>
        <w:t xml:space="preserve"> 72% i </w:t>
      </w:r>
      <w:r w:rsidR="00F469C4" w:rsidRPr="008A2AB7">
        <w:rPr>
          <w:lang w:eastAsia="it-IT"/>
        </w:rPr>
        <w:t>decessi</w:t>
      </w:r>
      <w:r w:rsidR="00BE59CF" w:rsidRPr="008A2AB7">
        <w:rPr>
          <w:lang w:eastAsia="it-IT"/>
        </w:rPr>
        <w:t xml:space="preserve"> (</w:t>
      </w:r>
      <w:r w:rsidR="008A2AB7" w:rsidRPr="008A2AB7">
        <w:rPr>
          <w:lang w:eastAsia="it-IT"/>
        </w:rPr>
        <w:t xml:space="preserve">1.712 vs </w:t>
      </w:r>
      <w:r w:rsidR="00D51212" w:rsidRPr="008A2AB7">
        <w:rPr>
          <w:lang w:eastAsia="it-IT"/>
        </w:rPr>
        <w:t>995</w:t>
      </w:r>
      <w:r w:rsidR="00BE59CF" w:rsidRPr="008A2AB7">
        <w:rPr>
          <w:lang w:eastAsia="it-IT"/>
        </w:rPr>
        <w:t>)</w:t>
      </w:r>
      <w:r w:rsidR="003637A1" w:rsidRPr="008A2AB7">
        <w:rPr>
          <w:lang w:eastAsia="it-IT"/>
        </w:rPr>
        <w:t xml:space="preserve"> (</w:t>
      </w:r>
      <w:r w:rsidR="003637A1" w:rsidRPr="008A2AB7">
        <w:rPr>
          <w:highlight w:val="yellow"/>
          <w:lang w:eastAsia="it-IT"/>
        </w:rPr>
        <w:t>figura 2</w:t>
      </w:r>
      <w:r w:rsidR="003637A1" w:rsidRPr="008A2AB7">
        <w:rPr>
          <w:lang w:eastAsia="it-IT"/>
        </w:rPr>
        <w:t>)</w:t>
      </w:r>
      <w:r w:rsidR="0061393A" w:rsidRPr="008A2AB7">
        <w:rPr>
          <w:lang w:eastAsia="it-IT"/>
        </w:rPr>
        <w:t>.</w:t>
      </w:r>
      <w:r w:rsidR="00571051" w:rsidRPr="008A2AB7">
        <w:rPr>
          <w:lang w:eastAsia="it-IT"/>
        </w:rPr>
        <w:t xml:space="preserve"> </w:t>
      </w:r>
      <w:r w:rsidR="0069637C" w:rsidRPr="008A2AB7">
        <w:rPr>
          <w:lang w:eastAsia="it-IT"/>
        </w:rPr>
        <w:t xml:space="preserve">In </w:t>
      </w:r>
      <w:r w:rsidR="00C036E5" w:rsidRPr="008A2AB7">
        <w:rPr>
          <w:lang w:eastAsia="it-IT"/>
        </w:rPr>
        <w:t>dettaglio</w:t>
      </w:r>
      <w:r w:rsidR="003442B9" w:rsidRPr="008A2AB7">
        <w:t xml:space="preserve">, </w:t>
      </w:r>
      <w:r w:rsidR="00BE59CF" w:rsidRPr="008A2AB7">
        <w:t xml:space="preserve">rispetto </w:t>
      </w:r>
      <w:r w:rsidR="00BE59CF" w:rsidRPr="000D2C51">
        <w:t xml:space="preserve">alla settimana precedente, </w:t>
      </w:r>
      <w:r w:rsidR="00742EE2" w:rsidRPr="000D2C51">
        <w:t>si registrano le seguenti variazioni</w:t>
      </w:r>
      <w:r w:rsidR="0069637C" w:rsidRPr="000D2C51">
        <w:rPr>
          <w:lang w:eastAsia="it-IT"/>
        </w:rPr>
        <w:t>:</w:t>
      </w:r>
      <w:r w:rsidR="006842FB" w:rsidRPr="000D2C51">
        <w:rPr>
          <w:lang w:eastAsia="it-IT"/>
        </w:rPr>
        <w:t xml:space="preserve"> </w:t>
      </w:r>
    </w:p>
    <w:p w:rsidR="005E1B70" w:rsidRPr="00F54FFA" w:rsidRDefault="00300572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F54FFA">
        <w:t>D</w:t>
      </w:r>
      <w:r w:rsidR="005E1B70" w:rsidRPr="00F54FFA">
        <w:t xml:space="preserve">ecessi: </w:t>
      </w:r>
      <w:r w:rsidR="008A2AB7" w:rsidRPr="00F54FFA">
        <w:t>1</w:t>
      </w:r>
      <w:r w:rsidR="004C2BCB">
        <w:t>.</w:t>
      </w:r>
      <w:r w:rsidR="008A2AB7" w:rsidRPr="00F54FFA">
        <w:t>7</w:t>
      </w:r>
      <w:r w:rsidR="004C2BCB">
        <w:t>1</w:t>
      </w:r>
      <w:r w:rsidR="008A2AB7" w:rsidRPr="00F54FFA">
        <w:t>2</w:t>
      </w:r>
      <w:r w:rsidR="003442B9" w:rsidRPr="00F54FFA">
        <w:t xml:space="preserve"> (</w:t>
      </w:r>
      <w:r w:rsidR="00F373A1" w:rsidRPr="00F54FFA">
        <w:t>+</w:t>
      </w:r>
      <w:r w:rsidR="008A2AB7" w:rsidRPr="00F54FFA">
        <w:t>72</w:t>
      </w:r>
      <w:r w:rsidR="00D55B56" w:rsidRPr="00F54FFA">
        <w:t>,</w:t>
      </w:r>
      <w:r w:rsidR="008A2AB7" w:rsidRPr="00F54FFA">
        <w:t>1</w:t>
      </w:r>
      <w:r w:rsidR="005862D2" w:rsidRPr="00F54FFA">
        <w:t>%)</w:t>
      </w:r>
    </w:p>
    <w:p w:rsidR="005E1B70" w:rsidRPr="00F54FFA" w:rsidRDefault="005E1B70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F54FFA">
        <w:t xml:space="preserve">Terapia intensiva: </w:t>
      </w:r>
      <w:r w:rsidR="003565EE" w:rsidRPr="00F54FFA">
        <w:t>+</w:t>
      </w:r>
      <w:r w:rsidR="008A2AB7" w:rsidRPr="00F54FFA">
        <w:t xml:space="preserve">814 </w:t>
      </w:r>
      <w:r w:rsidR="005862D2" w:rsidRPr="00F54FFA">
        <w:t>(</w:t>
      </w:r>
      <w:r w:rsidR="000654A3" w:rsidRPr="00F54FFA">
        <w:t>+</w:t>
      </w:r>
      <w:r w:rsidR="008A2AB7" w:rsidRPr="00F54FFA">
        <w:t>57</w:t>
      </w:r>
      <w:r w:rsidR="0088282B" w:rsidRPr="00F54FFA">
        <w:t>,</w:t>
      </w:r>
      <w:r w:rsidR="008A2AB7" w:rsidRPr="00F54FFA">
        <w:t>7</w:t>
      </w:r>
      <w:r w:rsidR="003565EE" w:rsidRPr="00F54FFA">
        <w:t>%</w:t>
      </w:r>
      <w:r w:rsidR="005862D2" w:rsidRPr="00F54FFA">
        <w:t>)</w:t>
      </w:r>
    </w:p>
    <w:p w:rsidR="00DD06F4" w:rsidRPr="00F54FFA" w:rsidRDefault="00DD06F4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F54FFA">
        <w:t xml:space="preserve">Ricoverati con sintomi: </w:t>
      </w:r>
      <w:r w:rsidR="00C91BCF" w:rsidRPr="00F54FFA">
        <w:t>+</w:t>
      </w:r>
      <w:r w:rsidR="008A2AB7" w:rsidRPr="00F54FFA">
        <w:t>7.159</w:t>
      </w:r>
      <w:r w:rsidR="00C91BCF" w:rsidRPr="00F54FFA">
        <w:t xml:space="preserve"> (+</w:t>
      </w:r>
      <w:r w:rsidR="008A2AB7" w:rsidRPr="00F54FFA">
        <w:t>51,3</w:t>
      </w:r>
      <w:r w:rsidR="003565EE" w:rsidRPr="00F54FFA">
        <w:t>%</w:t>
      </w:r>
      <w:r w:rsidR="005862D2" w:rsidRPr="00F54FFA">
        <w:t>)</w:t>
      </w:r>
    </w:p>
    <w:p w:rsidR="005E1B70" w:rsidRPr="00F54FFA" w:rsidRDefault="00BE59C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F54FFA">
        <w:t>Nuovi casi</w:t>
      </w:r>
      <w:r w:rsidR="005E1B70" w:rsidRPr="00F54FFA">
        <w:t>:</w:t>
      </w:r>
      <w:r w:rsidR="00633FE4" w:rsidRPr="00F54FFA">
        <w:t xml:space="preserve"> </w:t>
      </w:r>
      <w:r w:rsidR="00F54FFA" w:rsidRPr="00F54FFA">
        <w:t xml:space="preserve">195.051 </w:t>
      </w:r>
      <w:r w:rsidR="00924C50" w:rsidRPr="00F54FFA">
        <w:t>(</w:t>
      </w:r>
      <w:r w:rsidR="00F373A1" w:rsidRPr="00F54FFA">
        <w:t>+</w:t>
      </w:r>
      <w:r w:rsidR="00F54FFA" w:rsidRPr="00F54FFA">
        <w:t>49,7</w:t>
      </w:r>
      <w:r w:rsidR="005862D2" w:rsidRPr="00F54FFA">
        <w:t>%)</w:t>
      </w:r>
    </w:p>
    <w:p w:rsidR="000B6B1F" w:rsidRPr="00F54FFA" w:rsidRDefault="000B6B1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F54FFA">
        <w:t xml:space="preserve">Casi </w:t>
      </w:r>
      <w:r w:rsidR="00487E15" w:rsidRPr="00F54FFA">
        <w:t>attualmente positivi</w:t>
      </w:r>
      <w:r w:rsidR="00595785" w:rsidRPr="00F54FFA">
        <w:t xml:space="preserve">: </w:t>
      </w:r>
      <w:r w:rsidR="00F373A1" w:rsidRPr="00F54FFA">
        <w:t>+</w:t>
      </w:r>
      <w:r w:rsidR="00F54FFA" w:rsidRPr="00F54FFA">
        <w:t xml:space="preserve">163.052 </w:t>
      </w:r>
      <w:r w:rsidR="00F469C4" w:rsidRPr="00F54FFA">
        <w:t>(</w:t>
      </w:r>
      <w:r w:rsidR="006B448E" w:rsidRPr="00F54FFA">
        <w:t>+</w:t>
      </w:r>
      <w:r w:rsidR="00F54FFA" w:rsidRPr="00F54FFA">
        <w:t>63,9</w:t>
      </w:r>
      <w:r w:rsidR="00FE10CC" w:rsidRPr="00F54FFA">
        <w:t>%</w:t>
      </w:r>
      <w:r w:rsidRPr="00F54FFA">
        <w:t>)</w:t>
      </w:r>
    </w:p>
    <w:p w:rsidR="00260775" w:rsidRPr="00F54FFA" w:rsidRDefault="002A3D04" w:rsidP="000D2C51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F54FFA">
        <w:t xml:space="preserve">Casi testati </w:t>
      </w:r>
      <w:r w:rsidR="00F373A1" w:rsidRPr="00F54FFA">
        <w:t>+</w:t>
      </w:r>
      <w:r w:rsidR="00F54FFA" w:rsidRPr="00F54FFA">
        <w:t>95.147</w:t>
      </w:r>
      <w:r w:rsidR="000D2C51" w:rsidRPr="00F54FFA">
        <w:t xml:space="preserve"> </w:t>
      </w:r>
      <w:r w:rsidR="0092337D" w:rsidRPr="00F54FFA">
        <w:t>(</w:t>
      </w:r>
      <w:r w:rsidR="00F373A1" w:rsidRPr="00F54FFA">
        <w:t>+</w:t>
      </w:r>
      <w:r w:rsidR="00F54FFA" w:rsidRPr="00F54FFA">
        <w:t>13,2</w:t>
      </w:r>
      <w:r w:rsidR="003565EE" w:rsidRPr="00F54FFA">
        <w:t>%</w:t>
      </w:r>
      <w:r w:rsidR="0092337D" w:rsidRPr="00F54FFA">
        <w:t>)</w:t>
      </w:r>
    </w:p>
    <w:p w:rsidR="00260775" w:rsidRPr="00F54FFA" w:rsidRDefault="00260775" w:rsidP="000D2C51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F54FFA">
        <w:t xml:space="preserve">Tamponi totali: </w:t>
      </w:r>
      <w:r w:rsidR="00734A61" w:rsidRPr="00F54FFA">
        <w:t>+</w:t>
      </w:r>
      <w:r w:rsidR="00F54FFA" w:rsidRPr="00F54FFA">
        <w:t>163.945</w:t>
      </w:r>
      <w:r w:rsidR="000D2C51" w:rsidRPr="00F54FFA">
        <w:t xml:space="preserve"> </w:t>
      </w:r>
      <w:r w:rsidR="00A149F4" w:rsidRPr="00F54FFA">
        <w:t>(</w:t>
      </w:r>
      <w:r w:rsidR="00095DA9" w:rsidRPr="00F54FFA">
        <w:t>+</w:t>
      </w:r>
      <w:r w:rsidR="00D51212" w:rsidRPr="00F54FFA">
        <w:t>14</w:t>
      </w:r>
      <w:r w:rsidR="00A149F4" w:rsidRPr="00F54FFA">
        <w:t>%</w:t>
      </w:r>
      <w:r w:rsidR="009D6AEE" w:rsidRPr="00F54FFA">
        <w:t>)</w:t>
      </w:r>
    </w:p>
    <w:p w:rsidR="00815E3F" w:rsidRDefault="00101E1F" w:rsidP="00815E3F">
      <w:pPr>
        <w:spacing w:after="120"/>
        <w:jc w:val="both"/>
      </w:pPr>
      <w:r w:rsidRPr="00864ED9">
        <w:t>«</w:t>
      </w:r>
      <w:r w:rsidR="00C9114B" w:rsidRPr="00864ED9">
        <w:t>N</w:t>
      </w:r>
      <w:r w:rsidR="000D5B60" w:rsidRPr="00864ED9">
        <w:t xml:space="preserve">ell’ultima settimana – </w:t>
      </w:r>
      <w:r w:rsidR="00F818FD" w:rsidRPr="00864ED9">
        <w:t>afferma</w:t>
      </w:r>
      <w:r w:rsidR="000D5B60" w:rsidRPr="00864ED9">
        <w:t xml:space="preserve"> Nino Cartabellotta, Presidente della Fondazione GIMBE – </w:t>
      </w:r>
      <w:r w:rsidR="00C9114B" w:rsidRPr="00864ED9">
        <w:t xml:space="preserve">si conferma l’incremento di oltre il 60% dei casi attualmente positivi che si riflette </w:t>
      </w:r>
      <w:r w:rsidR="00956E92">
        <w:t>sul</w:t>
      </w:r>
      <w:r w:rsidR="00C9114B" w:rsidRPr="00864ED9">
        <w:t xml:space="preserve"> numero dei pazienti ricoverati con sintomi e in terapia intensiva</w:t>
      </w:r>
      <w:r w:rsidR="00913B7F">
        <w:t xml:space="preserve">, </w:t>
      </w:r>
      <w:r w:rsidR="00956E92">
        <w:t xml:space="preserve">portando gli ospedali </w:t>
      </w:r>
      <w:r w:rsidR="00187C43">
        <w:t xml:space="preserve">verso la </w:t>
      </w:r>
      <w:r w:rsidR="00913B7F">
        <w:t>saturazione</w:t>
      </w:r>
      <w:r w:rsidR="00C9114B" w:rsidRPr="00864ED9">
        <w:t xml:space="preserve">. </w:t>
      </w:r>
      <w:r w:rsidR="00913B7F">
        <w:t>Q</w:t>
      </w:r>
      <w:r w:rsidR="00C9114B" w:rsidRPr="00864ED9">
        <w:t xml:space="preserve">uesto </w:t>
      </w:r>
      <w:r w:rsidR="00913B7F">
        <w:t>impatta</w:t>
      </w:r>
      <w:r w:rsidR="00C9114B" w:rsidRPr="00864ED9">
        <w:t xml:space="preserve"> </w:t>
      </w:r>
      <w:r w:rsidR="00352FC5" w:rsidRPr="00864ED9">
        <w:t>anche</w:t>
      </w:r>
      <w:r w:rsidR="00C9114B" w:rsidRPr="00864ED9">
        <w:t xml:space="preserve"> sul numero di decessi, </w:t>
      </w:r>
      <w:r w:rsidR="005C0442" w:rsidRPr="00864ED9">
        <w:t xml:space="preserve">che nell’ultima settimana ha </w:t>
      </w:r>
      <w:r w:rsidR="005C0442">
        <w:t>superato quota</w:t>
      </w:r>
      <w:r w:rsidR="005C0442" w:rsidRPr="00864ED9">
        <w:t xml:space="preserve"> 1.7</w:t>
      </w:r>
      <w:r w:rsidR="005C0442">
        <w:t xml:space="preserve">00 </w:t>
      </w:r>
      <w:r w:rsidR="00913B7F">
        <w:t xml:space="preserve">con un </w:t>
      </w:r>
      <w:r w:rsidR="00C9114B" w:rsidRPr="00864ED9">
        <w:t>trend</w:t>
      </w:r>
      <w:r w:rsidR="00913B7F">
        <w:t xml:space="preserve"> che</w:t>
      </w:r>
      <w:r w:rsidR="00C9114B" w:rsidRPr="00864ED9">
        <w:t xml:space="preserve">, con una settimana di ritardo, </w:t>
      </w:r>
      <w:r w:rsidR="005C0442">
        <w:t>ricalca</w:t>
      </w:r>
      <w:r w:rsidR="007D1158">
        <w:t xml:space="preserve"> di fatto</w:t>
      </w:r>
      <w:r w:rsidR="005C0442">
        <w:t xml:space="preserve"> le</w:t>
      </w:r>
      <w:r w:rsidR="00C9114B" w:rsidRPr="00864ED9">
        <w:t xml:space="preserve"> altre curve</w:t>
      </w:r>
      <w:r w:rsidR="00892FE5" w:rsidRPr="00864ED9">
        <w:t xml:space="preserve">. </w:t>
      </w:r>
      <w:r w:rsidR="00815E3F">
        <w:t xml:space="preserve">L’ulteriore </w:t>
      </w:r>
      <w:r w:rsidR="00892FE5" w:rsidRPr="00864ED9">
        <w:t>incremento del</w:t>
      </w:r>
      <w:r w:rsidR="00815E3F">
        <w:t xml:space="preserve"> rapporto positivi/casi testati, </w:t>
      </w:r>
      <w:r w:rsidR="005C0442">
        <w:t xml:space="preserve">prossimo </w:t>
      </w:r>
      <w:r w:rsidR="00815E3F">
        <w:t xml:space="preserve">al 24%, certifica definitivamente il crollo dell’argine territoriale del </w:t>
      </w:r>
      <w:r w:rsidR="00892FE5" w:rsidRPr="00864ED9">
        <w:t>testing &amp; tracing</w:t>
      </w:r>
      <w:r w:rsidR="00892FE5" w:rsidRPr="00864ED9">
        <w:rPr>
          <w:rFonts w:cstheme="minorHAnsi"/>
        </w:rPr>
        <w:t>»</w:t>
      </w:r>
      <w:r w:rsidR="00C9114B" w:rsidRPr="00864ED9">
        <w:t>.</w:t>
      </w:r>
    </w:p>
    <w:p w:rsidR="00510A31" w:rsidRPr="00510A31" w:rsidRDefault="005D3313" w:rsidP="00815E3F">
      <w:pPr>
        <w:spacing w:after="120"/>
        <w:jc w:val="both"/>
        <w:rPr>
          <w:rFonts w:cstheme="minorHAnsi"/>
        </w:rPr>
      </w:pPr>
      <w:r w:rsidRPr="00864ED9">
        <w:t>L</w:t>
      </w:r>
      <w:r w:rsidR="00892FE5" w:rsidRPr="00864ED9">
        <w:t xml:space="preserve">a situazione nazionale </w:t>
      </w:r>
      <w:r w:rsidR="00EE6F28">
        <w:t xml:space="preserve">rimane </w:t>
      </w:r>
      <w:r w:rsidR="00892FE5" w:rsidRPr="00864ED9">
        <w:t>molto eterogenea</w:t>
      </w:r>
      <w:r w:rsidR="00EE6F28">
        <w:t xml:space="preserve"> con </w:t>
      </w:r>
      <w:r w:rsidR="00892FE5" w:rsidRPr="00864ED9">
        <w:t xml:space="preserve">notevoli variabilità regionali. </w:t>
      </w:r>
      <w:r w:rsidRPr="00864ED9">
        <w:t xml:space="preserve">In generale, </w:t>
      </w:r>
      <w:r w:rsidR="00510A31">
        <w:t>rispetto alla settimana precedente gli indicatori peggiorano in tutte le Regioni, ad eccezione dell’</w:t>
      </w:r>
      <w:r w:rsidR="00510A31" w:rsidRPr="00510A31">
        <w:rPr>
          <w:rFonts w:cstheme="minorHAnsi"/>
        </w:rPr>
        <w:t xml:space="preserve">incremento </w:t>
      </w:r>
      <w:r w:rsidR="0027352D">
        <w:rPr>
          <w:rFonts w:cstheme="minorHAnsi"/>
        </w:rPr>
        <w:t>percentuale</w:t>
      </w:r>
      <w:r w:rsidR="0027352D" w:rsidRPr="00510A31">
        <w:rPr>
          <w:rFonts w:cstheme="minorHAnsi"/>
        </w:rPr>
        <w:t xml:space="preserve"> </w:t>
      </w:r>
      <w:r w:rsidR="00EE6F28">
        <w:rPr>
          <w:rFonts w:cstheme="minorHAnsi"/>
        </w:rPr>
        <w:t xml:space="preserve">dei casi che </w:t>
      </w:r>
      <w:r w:rsidR="00510A31" w:rsidRPr="00510A31">
        <w:rPr>
          <w:rFonts w:cstheme="minorHAnsi"/>
        </w:rPr>
        <w:t xml:space="preserve">in </w:t>
      </w:r>
      <w:r w:rsidR="00EE6F28">
        <w:rPr>
          <w:rFonts w:cstheme="minorHAnsi"/>
        </w:rPr>
        <w:t xml:space="preserve">alcune </w:t>
      </w:r>
      <w:r w:rsidR="00510A31" w:rsidRPr="00510A31">
        <w:rPr>
          <w:rFonts w:cstheme="minorHAnsi"/>
        </w:rPr>
        <w:t>Regioni</w:t>
      </w:r>
      <w:r w:rsidR="00EE6F28">
        <w:rPr>
          <w:rFonts w:cstheme="minorHAnsi"/>
        </w:rPr>
        <w:t xml:space="preserve"> fa registrare </w:t>
      </w:r>
      <w:r w:rsidR="00F072B6">
        <w:rPr>
          <w:rFonts w:cstheme="minorHAnsi"/>
        </w:rPr>
        <w:t xml:space="preserve">lievissimi </w:t>
      </w:r>
      <w:r w:rsidR="00EE6F28">
        <w:rPr>
          <w:rFonts w:cstheme="minorHAnsi"/>
        </w:rPr>
        <w:t xml:space="preserve">rallentamenti </w:t>
      </w:r>
      <w:r w:rsidR="00401D6B" w:rsidRPr="00864ED9">
        <w:rPr>
          <w:rFonts w:cstheme="minorHAnsi"/>
        </w:rPr>
        <w:t>(</w:t>
      </w:r>
      <w:r w:rsidR="00401D6B" w:rsidRPr="00864ED9">
        <w:rPr>
          <w:rFonts w:cstheme="minorHAnsi"/>
          <w:highlight w:val="yellow"/>
        </w:rPr>
        <w:t>tabella</w:t>
      </w:r>
      <w:r w:rsidR="00401D6B" w:rsidRPr="00864ED9">
        <w:rPr>
          <w:rFonts w:cstheme="minorHAnsi"/>
        </w:rPr>
        <w:t>)</w:t>
      </w:r>
      <w:r w:rsidR="00101E1F" w:rsidRPr="00864ED9">
        <w:rPr>
          <w:rFonts w:cstheme="minorHAnsi"/>
        </w:rPr>
        <w:t>.</w:t>
      </w:r>
    </w:p>
    <w:p w:rsidR="0012329E" w:rsidRPr="00913B7F" w:rsidRDefault="00F072B6" w:rsidP="00DA788A">
      <w:pPr>
        <w:spacing w:after="120"/>
        <w:jc w:val="both"/>
      </w:pPr>
      <w:r>
        <w:t>I</w:t>
      </w:r>
      <w:r w:rsidR="00510A31">
        <w:t xml:space="preserve"> dati </w:t>
      </w:r>
      <w:r w:rsidR="00A2480C">
        <w:t>del monitoraggio GIMBE</w:t>
      </w:r>
      <w:r w:rsidR="0073519F" w:rsidRPr="00864ED9">
        <w:t xml:space="preserve"> </w:t>
      </w:r>
      <w:r w:rsidR="00A2480C">
        <w:t xml:space="preserve">sono stati </w:t>
      </w:r>
      <w:r>
        <w:t xml:space="preserve">ieri </w:t>
      </w:r>
      <w:r w:rsidR="00A2480C">
        <w:t>oggetto</w:t>
      </w:r>
      <w:r w:rsidR="00A2480C" w:rsidRPr="00A2480C">
        <w:rPr>
          <w:rStyle w:val="css-901oao"/>
        </w:rPr>
        <w:t xml:space="preserve"> </w:t>
      </w:r>
      <w:r w:rsidR="00A2480C">
        <w:rPr>
          <w:rStyle w:val="css-901oao"/>
        </w:rPr>
        <w:t>di un’</w:t>
      </w:r>
      <w:r w:rsidR="00A2480C" w:rsidRPr="00864ED9">
        <w:rPr>
          <w:rStyle w:val="css-901oao"/>
        </w:rPr>
        <w:t xml:space="preserve">audizione </w:t>
      </w:r>
      <w:r w:rsidR="00A2480C">
        <w:t>presso la 12</w:t>
      </w:r>
      <w:r w:rsidR="00A2480C" w:rsidRPr="00815E3F">
        <w:rPr>
          <w:vertAlign w:val="superscript"/>
        </w:rPr>
        <w:t>a</w:t>
      </w:r>
      <w:r w:rsidR="0073519F" w:rsidRPr="00864ED9">
        <w:rPr>
          <w:rStyle w:val="css-901oao"/>
        </w:rPr>
        <w:t xml:space="preserve"> Commissione Igiene e Sanità del Senato, </w:t>
      </w:r>
      <w:r w:rsidR="0095196F">
        <w:t xml:space="preserve">dove </w:t>
      </w:r>
      <w:r w:rsidR="008D43FC">
        <w:t xml:space="preserve">il Presidente ha </w:t>
      </w:r>
      <w:r>
        <w:t xml:space="preserve">rimarcato </w:t>
      </w:r>
      <w:r w:rsidR="00C77CE3" w:rsidRPr="00864ED9">
        <w:t>l</w:t>
      </w:r>
      <w:r w:rsidR="008D43FC">
        <w:t xml:space="preserve">a mancata </w:t>
      </w:r>
      <w:r w:rsidR="00C77CE3" w:rsidRPr="00864ED9">
        <w:t xml:space="preserve">accessibilità </w:t>
      </w:r>
      <w:r w:rsidR="00815E3F">
        <w:t>ai</w:t>
      </w:r>
      <w:r w:rsidR="00C77CE3" w:rsidRPr="00864ED9">
        <w:t xml:space="preserve"> dati </w:t>
      </w:r>
      <w:r w:rsidR="008D43FC">
        <w:t>ufficiali</w:t>
      </w:r>
      <w:r w:rsidR="00815E3F">
        <w:t xml:space="preserve"> grezzi.</w:t>
      </w:r>
      <w:r w:rsidR="008D43FC">
        <w:t xml:space="preserve"> </w:t>
      </w:r>
      <w:r w:rsidR="00AD70F8" w:rsidRPr="00864ED9">
        <w:t>«</w:t>
      </w:r>
      <w:r w:rsidR="00815E3F">
        <w:t xml:space="preserve">Solo </w:t>
      </w:r>
      <w:r w:rsidR="00DA788A">
        <w:t xml:space="preserve">per </w:t>
      </w:r>
      <w:r w:rsidR="00815E3F">
        <w:t>il report giornalier</w:t>
      </w:r>
      <w:r w:rsidR="00010BCC">
        <w:t xml:space="preserve">o dei casi </w:t>
      </w:r>
      <w:r w:rsidR="00AD70F8" w:rsidRPr="00864ED9">
        <w:t xml:space="preserve">di </w:t>
      </w:r>
      <w:r w:rsidR="008D43FC" w:rsidRPr="00864ED9">
        <w:t>C</w:t>
      </w:r>
      <w:r w:rsidR="008D43FC">
        <w:t>OVID</w:t>
      </w:r>
      <w:r w:rsidR="00AD70F8" w:rsidRPr="00864ED9">
        <w:t xml:space="preserve">-19 </w:t>
      </w:r>
      <w:r w:rsidR="0012329E" w:rsidRPr="00864ED9">
        <w:t xml:space="preserve">– </w:t>
      </w:r>
      <w:r w:rsidR="00510A31">
        <w:t xml:space="preserve">ha </w:t>
      </w:r>
      <w:r w:rsidR="0012329E" w:rsidRPr="00864ED9">
        <w:t>dichiara</w:t>
      </w:r>
      <w:r w:rsidR="00510A31">
        <w:t xml:space="preserve">to </w:t>
      </w:r>
      <w:r w:rsidR="0012329E" w:rsidRPr="00864ED9">
        <w:t>Cartabellotta –</w:t>
      </w:r>
      <w:r w:rsidR="00AD70F8" w:rsidRPr="00864ED9">
        <w:t xml:space="preserve"> </w:t>
      </w:r>
      <w:r w:rsidR="0027352D">
        <w:t xml:space="preserve">i dati </w:t>
      </w:r>
      <w:r w:rsidR="00DA788A">
        <w:t xml:space="preserve">sono disponibili </w:t>
      </w:r>
      <w:r w:rsidR="0027352D">
        <w:t>in formato open</w:t>
      </w:r>
      <w:r w:rsidR="00DA788A">
        <w:t>.</w:t>
      </w:r>
      <w:r w:rsidR="00815E3F">
        <w:t xml:space="preserve"> </w:t>
      </w:r>
      <w:r w:rsidR="00A132DF">
        <w:t xml:space="preserve">Al contrario, </w:t>
      </w:r>
      <w:r w:rsidR="00913B7F">
        <w:t xml:space="preserve">per </w:t>
      </w:r>
      <w:r w:rsidR="0012329E" w:rsidRPr="00864ED9">
        <w:t xml:space="preserve">il sistema di sorveglianza </w:t>
      </w:r>
      <w:r w:rsidR="00510A31">
        <w:t xml:space="preserve">nazionale </w:t>
      </w:r>
      <w:r w:rsidR="0012329E" w:rsidRPr="00864ED9">
        <w:t xml:space="preserve">integrata </w:t>
      </w:r>
      <w:r w:rsidR="00815E3F">
        <w:t xml:space="preserve">disponiamo solo </w:t>
      </w:r>
      <w:r w:rsidR="0095196F">
        <w:t xml:space="preserve">dei </w:t>
      </w:r>
      <w:r w:rsidR="00815E3F">
        <w:t xml:space="preserve">report settimanali </w:t>
      </w:r>
      <w:r w:rsidR="00913B7F">
        <w:lastRenderedPageBreak/>
        <w:t xml:space="preserve">dell’Istituto Superiore di Sanità </w:t>
      </w:r>
      <w:r>
        <w:t xml:space="preserve">con dati </w:t>
      </w:r>
      <w:r w:rsidR="00DA788A">
        <w:t>in forma aggregata</w:t>
      </w:r>
      <w:r w:rsidR="00913B7F">
        <w:t>. M</w:t>
      </w:r>
      <w:r w:rsidR="0095196F">
        <w:t>ai resi pubblici</w:t>
      </w:r>
      <w:r w:rsidR="00A132DF">
        <w:t xml:space="preserve"> neppure</w:t>
      </w:r>
      <w:r w:rsidR="0095196F">
        <w:t xml:space="preserve"> </w:t>
      </w:r>
      <w:r w:rsidR="00510A31">
        <w:t>i report su</w:t>
      </w:r>
      <w:r w:rsidR="00815E3F" w:rsidRPr="00864ED9">
        <w:t>gli indicatori di monitoraggio della fase 2</w:t>
      </w:r>
      <w:r w:rsidR="00815E3F">
        <w:t xml:space="preserve"> della Cabina di Regia, utilizzati per </w:t>
      </w:r>
      <w:r w:rsidR="00385A4A">
        <w:t>guidare</w:t>
      </w:r>
      <w:r w:rsidR="00815E3F">
        <w:t xml:space="preserve"> le misure restrittive</w:t>
      </w:r>
      <w:r w:rsidR="0012329E" w:rsidRPr="00864ED9">
        <w:rPr>
          <w:rFonts w:cstheme="minorHAnsi"/>
        </w:rPr>
        <w:t>»</w:t>
      </w:r>
      <w:r w:rsidR="0012329E" w:rsidRPr="00864ED9">
        <w:t>.</w:t>
      </w:r>
      <w:r w:rsidR="00815E3F">
        <w:t xml:space="preserve"> Per tali ragioni, l</w:t>
      </w:r>
      <w:r w:rsidR="0012329E" w:rsidRPr="00864ED9">
        <w:t>a Fondazione GIMBE ha</w:t>
      </w:r>
      <w:r w:rsidR="00DA788A">
        <w:t xml:space="preserve"> </w:t>
      </w:r>
      <w:r w:rsidR="0012329E" w:rsidRPr="00864ED9">
        <w:t xml:space="preserve">pubblicamente </w:t>
      </w:r>
      <w:r w:rsidR="00DA788A">
        <w:t>richiesto</w:t>
      </w:r>
      <w:r w:rsidR="00815E3F">
        <w:t xml:space="preserve"> di</w:t>
      </w:r>
      <w:r w:rsidR="0012329E" w:rsidRPr="00864ED9">
        <w:t>:</w:t>
      </w:r>
    </w:p>
    <w:p w:rsidR="00DA788A" w:rsidRPr="00864ED9" w:rsidRDefault="00DA788A" w:rsidP="00DA788A">
      <w:pPr>
        <w:pStyle w:val="Paragrafoelenco"/>
        <w:numPr>
          <w:ilvl w:val="0"/>
          <w:numId w:val="50"/>
        </w:numPr>
        <w:spacing w:after="120" w:line="276" w:lineRule="auto"/>
        <w:jc w:val="both"/>
      </w:pPr>
      <w:r>
        <w:t xml:space="preserve">Includere nel report giornaliero </w:t>
      </w:r>
      <w:r w:rsidR="00010BCC">
        <w:t xml:space="preserve">dei casi di COVID-19 </w:t>
      </w:r>
      <w:r>
        <w:t>del Ministero della Salute il numero di contagi per Comune, oltre che i dettagli per Province e Comuni</w:t>
      </w:r>
      <w:r w:rsidR="00010BCC">
        <w:t xml:space="preserve"> d</w:t>
      </w:r>
      <w:r w:rsidR="00913B7F">
        <w:t>e</w:t>
      </w:r>
      <w:r w:rsidR="00010BCC">
        <w:t>i numeri relativi a</w:t>
      </w:r>
      <w:r>
        <w:t xml:space="preserve"> isolamento domiciliare, ospedalizzati con sintomi, terapie intensive, guariti, deceduti, tamponi, casi testati.</w:t>
      </w:r>
    </w:p>
    <w:p w:rsidR="00DA788A" w:rsidRPr="00864ED9" w:rsidRDefault="00DA788A" w:rsidP="00DA788A">
      <w:pPr>
        <w:pStyle w:val="Paragrafoelenco"/>
        <w:numPr>
          <w:ilvl w:val="0"/>
          <w:numId w:val="50"/>
        </w:numPr>
        <w:spacing w:after="120" w:line="276" w:lineRule="auto"/>
        <w:jc w:val="both"/>
      </w:pPr>
      <w:r w:rsidRPr="00DA788A">
        <w:t xml:space="preserve">Rendere accessibile il database </w:t>
      </w:r>
      <w:r>
        <w:t>nazionale di sorveglianza integrata</w:t>
      </w:r>
      <w:r w:rsidR="00010BCC">
        <w:t xml:space="preserve"> dell’Istituto Superiore di Sanità</w:t>
      </w:r>
      <w:r w:rsidRPr="00DA788A">
        <w:t xml:space="preserve"> in formato open data</w:t>
      </w:r>
      <w:r>
        <w:t>.</w:t>
      </w:r>
    </w:p>
    <w:p w:rsidR="0012329E" w:rsidRDefault="00815E3F" w:rsidP="00DA788A">
      <w:pPr>
        <w:pStyle w:val="Paragrafoelenco"/>
        <w:numPr>
          <w:ilvl w:val="0"/>
          <w:numId w:val="50"/>
        </w:numPr>
        <w:spacing w:after="120" w:line="276" w:lineRule="auto"/>
        <w:jc w:val="both"/>
      </w:pPr>
      <w:r>
        <w:t xml:space="preserve">Rendere </w:t>
      </w:r>
      <w:r w:rsidR="0012329E" w:rsidRPr="00864ED9">
        <w:t xml:space="preserve">pubblici tutti i </w:t>
      </w:r>
      <w:r w:rsidR="008D43FC" w:rsidRPr="00864ED9">
        <w:t xml:space="preserve">report </w:t>
      </w:r>
      <w:r w:rsidR="00445BBA">
        <w:t>dei</w:t>
      </w:r>
      <w:r w:rsidR="008D43FC" w:rsidRPr="00864ED9">
        <w:t xml:space="preserve"> </w:t>
      </w:r>
      <w:r w:rsidR="008D43FC">
        <w:t>21</w:t>
      </w:r>
      <w:r w:rsidR="008D43FC" w:rsidRPr="00864ED9">
        <w:t xml:space="preserve"> indicatori stabiliti dal D.M. 30 aprile 2020 </w:t>
      </w:r>
      <w:r>
        <w:t xml:space="preserve">utilizzati per il </w:t>
      </w:r>
      <w:r w:rsidR="008D43FC" w:rsidRPr="00864ED9">
        <w:t>monitoraggio della fase 2</w:t>
      </w:r>
      <w:r w:rsidR="0095196F">
        <w:t>, rendendo altresì</w:t>
      </w:r>
      <w:r w:rsidR="0012329E" w:rsidRPr="00864ED9">
        <w:t xml:space="preserve"> accessibile il </w:t>
      </w:r>
      <w:r w:rsidR="00DA788A">
        <w:t>database in formato open data.</w:t>
      </w:r>
    </w:p>
    <w:p w:rsidR="0012329E" w:rsidRDefault="00DA788A" w:rsidP="00DA788A">
      <w:pPr>
        <w:pStyle w:val="Paragrafoelenco"/>
        <w:numPr>
          <w:ilvl w:val="0"/>
          <w:numId w:val="50"/>
        </w:numPr>
        <w:spacing w:after="120" w:line="276" w:lineRule="auto"/>
        <w:jc w:val="both"/>
      </w:pPr>
      <w:r>
        <w:t>R</w:t>
      </w:r>
      <w:r w:rsidR="0012329E" w:rsidRPr="00864ED9">
        <w:t xml:space="preserve">endere espliciti e riproducibili i criteri per l’attribuzione del livello di rischio </w:t>
      </w:r>
      <w:r w:rsidR="008D43FC">
        <w:t>stabiliti dagli artt. 2 e 3 del DPCM 3 novembre 2020</w:t>
      </w:r>
      <w:r w:rsidR="00C872E6">
        <w:t>.</w:t>
      </w:r>
    </w:p>
    <w:p w:rsidR="009154AC" w:rsidRDefault="0095196F" w:rsidP="00510A31">
      <w:pPr>
        <w:spacing w:after="120"/>
        <w:jc w:val="both"/>
      </w:pPr>
      <w:r w:rsidRPr="002120A0">
        <w:t>Particolarmente rilevante quest’ultimo punto</w:t>
      </w:r>
      <w:r w:rsidR="00073B14" w:rsidRPr="002120A0">
        <w:t xml:space="preserve"> che </w:t>
      </w:r>
      <w:r w:rsidR="00F072B6" w:rsidRPr="002120A0">
        <w:t>determina per le</w:t>
      </w:r>
      <w:r w:rsidR="00073B14" w:rsidRPr="002120A0">
        <w:t xml:space="preserve"> Regioni </w:t>
      </w:r>
      <w:r w:rsidR="00F072B6" w:rsidRPr="002120A0">
        <w:t>l’assegnazione de</w:t>
      </w:r>
      <w:r w:rsidR="00073B14" w:rsidRPr="002120A0">
        <w:t>i tre colori</w:t>
      </w:r>
      <w:r w:rsidRPr="002120A0">
        <w:t xml:space="preserve">, </w:t>
      </w:r>
      <w:r w:rsidR="00073B14" w:rsidRPr="002120A0">
        <w:t>corrispondenti a livelli differenziati di misure restrittive. Il DPCM affida la decisione al Ministro della Salute sulla base del documento “</w:t>
      </w:r>
      <w:hyperlink r:id="rId8" w:history="1">
        <w:r w:rsidR="00073B14" w:rsidRPr="002120A0">
          <w:rPr>
            <w:rStyle w:val="Collegamentoipertestuale"/>
          </w:rPr>
          <w:t>Prevenzione e risposta a COVID-19</w:t>
        </w:r>
      </w:hyperlink>
      <w:r w:rsidR="00073B14" w:rsidRPr="002120A0">
        <w:t>”, dei dati elaborati dalla Cabina di Regia di cui al DM aprile 2020 e sentito il Comitato tecnico scientifico</w:t>
      </w:r>
      <w:r w:rsidR="009154AC" w:rsidRPr="002120A0">
        <w:t>. Tuttavia</w:t>
      </w:r>
      <w:r w:rsidR="00F072B6" w:rsidRPr="002120A0">
        <w:t xml:space="preserve"> al momento, </w:t>
      </w:r>
      <w:r w:rsidR="009154AC" w:rsidRPr="002120A0">
        <w:t xml:space="preserve">precisa Cartabellotta «parametri e indicatori </w:t>
      </w:r>
      <w:r w:rsidR="00F072B6" w:rsidRPr="002120A0">
        <w:t xml:space="preserve">su cui si basa </w:t>
      </w:r>
      <w:r w:rsidR="009154AC" w:rsidRPr="002120A0">
        <w:t>l’assegnazione dei “colori”</w:t>
      </w:r>
      <w:r w:rsidR="00F072B6" w:rsidRPr="002120A0">
        <w:t xml:space="preserve"> </w:t>
      </w:r>
      <w:r w:rsidR="00073B14" w:rsidRPr="002120A0">
        <w:t xml:space="preserve">non sono sufficientemente </w:t>
      </w:r>
      <w:r w:rsidR="002120A0">
        <w:t xml:space="preserve">chiari e </w:t>
      </w:r>
      <w:r w:rsidR="00073B14" w:rsidRPr="002120A0">
        <w:t>oggettivi da escl</w:t>
      </w:r>
      <w:r w:rsidR="009154AC" w:rsidRPr="002120A0">
        <w:t>udere valutazioni discrezionali, rischiando che il meccanismo delle chiusure e riaperture</w:t>
      </w:r>
      <w:r w:rsidR="00A872E7" w:rsidRPr="002120A0">
        <w:t>, lungi dall’essere automatizzato,</w:t>
      </w:r>
      <w:r w:rsidR="009154AC" w:rsidRPr="002120A0">
        <w:t xml:space="preserve"> richieda sempre e comunque un passaggio politico con </w:t>
      </w:r>
      <w:r w:rsidR="00F072B6" w:rsidRPr="002120A0">
        <w:t xml:space="preserve">le Regioni, come peraltro previsto dallo stesso DPCM che stabilisce che le ordinanze del Ministro della Salute siano emanate </w:t>
      </w:r>
      <w:r w:rsidR="001E5CB5">
        <w:t>d’intesa con il p</w:t>
      </w:r>
      <w:r w:rsidR="00F072B6" w:rsidRPr="002120A0">
        <w:t>residente della Regione interessata</w:t>
      </w:r>
      <w:r w:rsidR="009154AC" w:rsidRPr="002120A0">
        <w:t>»</w:t>
      </w:r>
      <w:r w:rsidR="00F072B6" w:rsidRPr="002120A0">
        <w:t xml:space="preserve">. </w:t>
      </w:r>
      <w:r w:rsidR="009154AC">
        <w:t xml:space="preserve"> </w:t>
      </w:r>
    </w:p>
    <w:p w:rsidR="000D5B60" w:rsidRPr="00510A31" w:rsidRDefault="00510A31" w:rsidP="00354245">
      <w:pPr>
        <w:spacing w:after="120"/>
        <w:jc w:val="both"/>
      </w:pPr>
      <w:r>
        <w:t xml:space="preserve">«L’introduzione di misure </w:t>
      </w:r>
      <w:r w:rsidR="001E5CB5">
        <w:t>proporzionate a differenti livelli di rischio</w:t>
      </w:r>
      <w:r>
        <w:t xml:space="preserve"> </w:t>
      </w:r>
      <w:r w:rsidR="001E5CB5">
        <w:t>regionale</w:t>
      </w:r>
      <w:r>
        <w:t xml:space="preserve">– </w:t>
      </w:r>
      <w:r w:rsidR="00544216">
        <w:t xml:space="preserve">conclude </w:t>
      </w:r>
      <w:r>
        <w:t xml:space="preserve">Cartabellotta </w:t>
      </w:r>
      <w:r w:rsidR="00FF75F9">
        <w:t>–</w:t>
      </w:r>
      <w:r w:rsidR="00544216">
        <w:t xml:space="preserve"> è </w:t>
      </w:r>
      <w:r w:rsidR="006D43C8">
        <w:t>totalmente</w:t>
      </w:r>
      <w:r w:rsidR="00544216">
        <w:t xml:space="preserve"> condivisibile</w:t>
      </w:r>
      <w:r w:rsidR="006D43C8">
        <w:t>, anzi</w:t>
      </w:r>
      <w:r w:rsidR="00544216">
        <w:t xml:space="preserve">, ove necessario, bisognerebbe </w:t>
      </w:r>
      <w:r w:rsidR="00C872E6">
        <w:t xml:space="preserve">agire </w:t>
      </w:r>
      <w:r w:rsidR="00913B7F">
        <w:t xml:space="preserve">con misure più restrittive a livello </w:t>
      </w:r>
      <w:r w:rsidR="00FF75F9">
        <w:t xml:space="preserve">di Provincia o Comune. </w:t>
      </w:r>
      <w:r w:rsidR="006D43C8">
        <w:t>Ma</w:t>
      </w:r>
      <w:r w:rsidR="008B16E5">
        <w:t xml:space="preserve"> </w:t>
      </w:r>
      <w:r w:rsidR="006D43C8">
        <w:t xml:space="preserve">è indifferibile </w:t>
      </w:r>
      <w:r w:rsidR="00544216">
        <w:t xml:space="preserve">rendere pubblici </w:t>
      </w:r>
      <w:r w:rsidR="009154AC">
        <w:t xml:space="preserve">i </w:t>
      </w:r>
      <w:r w:rsidR="00544216">
        <w:t xml:space="preserve">criteri </w:t>
      </w:r>
      <w:r w:rsidR="006D43C8">
        <w:t xml:space="preserve">per </w:t>
      </w:r>
      <w:r w:rsidR="00544216">
        <w:t xml:space="preserve">classificare il </w:t>
      </w:r>
      <w:r w:rsidR="00FF75F9">
        <w:t>livello di rischio</w:t>
      </w:r>
      <w:r w:rsidR="00544216">
        <w:t xml:space="preserve">, anche </w:t>
      </w:r>
      <w:r w:rsidR="009154AC">
        <w:t xml:space="preserve">per </w:t>
      </w:r>
      <w:r w:rsidR="00544216">
        <w:t xml:space="preserve">evitare continue </w:t>
      </w:r>
      <w:r w:rsidR="00544216" w:rsidRPr="00544216">
        <w:t xml:space="preserve">negoziazioni </w:t>
      </w:r>
      <w:r w:rsidR="00544216">
        <w:t>tra G</w:t>
      </w:r>
      <w:r w:rsidR="00544216" w:rsidRPr="00544216">
        <w:t xml:space="preserve">overno e </w:t>
      </w:r>
      <w:r w:rsidR="00544216">
        <w:t>R</w:t>
      </w:r>
      <w:r w:rsidR="00544216" w:rsidRPr="00544216">
        <w:t xml:space="preserve">egioni che </w:t>
      </w:r>
      <w:r w:rsidR="00FF75F9">
        <w:t xml:space="preserve">aggiungono ulteriori ritardi alla “non </w:t>
      </w:r>
      <w:r w:rsidR="00544216">
        <w:t>strateg</w:t>
      </w:r>
      <w:r w:rsidR="006D43C8">
        <w:t xml:space="preserve">ia” dei DPCM settimanali, </w:t>
      </w:r>
      <w:r w:rsidR="00931E7B">
        <w:t xml:space="preserve">concedendo un vantaggio sempre maggiore al </w:t>
      </w:r>
      <w:r w:rsidR="00544216">
        <w:t xml:space="preserve">virus. </w:t>
      </w:r>
      <w:r w:rsidR="00FF75F9">
        <w:t xml:space="preserve">In ogni caso, </w:t>
      </w:r>
      <w:r w:rsidR="001E5CB5">
        <w:t>manca</w:t>
      </w:r>
      <w:r w:rsidR="00FF75F9">
        <w:t xml:space="preserve"> una strategia a medio-lungo termine condivisa tra </w:t>
      </w:r>
      <w:r w:rsidR="00C872E6">
        <w:t xml:space="preserve">Governo e Regioni, in grado di potenziare adeguatamente i servizi sanitari e informare la popolazione, </w:t>
      </w:r>
      <w:r w:rsidR="00DF73F5">
        <w:t xml:space="preserve">al momento chiamata a sottostare passivamente </w:t>
      </w:r>
      <w:r w:rsidR="00C872E6">
        <w:t xml:space="preserve">a nuove restrizioni </w:t>
      </w:r>
      <w:r w:rsidR="00DF73F5">
        <w:t xml:space="preserve">settimanali </w:t>
      </w:r>
      <w:r w:rsidR="00C872E6">
        <w:t>che</w:t>
      </w:r>
      <w:r w:rsidR="009A2A05">
        <w:t xml:space="preserve"> rendono incerta la</w:t>
      </w:r>
      <w:r w:rsidR="00544216">
        <w:t xml:space="preserve"> quotidianità</w:t>
      </w:r>
      <w:r w:rsidR="009A2A05">
        <w:t xml:space="preserve"> e alimentano </w:t>
      </w:r>
      <w:r w:rsidR="00544216">
        <w:t>preoccupazioni sul futuro</w:t>
      </w:r>
      <w:r>
        <w:t>»</w:t>
      </w:r>
    </w:p>
    <w:p w:rsidR="00F818FD" w:rsidRDefault="005127EB" w:rsidP="00CC1B6C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9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721BA1" w:rsidRDefault="005127EB" w:rsidP="00031A14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531D87">
        <w:rPr>
          <w:rFonts w:ascii="Calibri" w:eastAsia="Calibri" w:hAnsi="Calibri" w:cs="Times New Roman"/>
          <w:sz w:val="20"/>
        </w:rPr>
        <w:t xml:space="preserve"> 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531D87">
        <w:rPr>
          <w:rFonts w:ascii="Calibri" w:eastAsia="Calibri" w:hAnsi="Calibri" w:cs="Times New Roman"/>
          <w:sz w:val="20"/>
        </w:rPr>
        <w:t xml:space="preserve"> - </w:t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721BA1" w:rsidRDefault="00721BA1" w:rsidP="00031A14">
      <w:pPr>
        <w:spacing w:after="120"/>
        <w:rPr>
          <w:b/>
          <w:sz w:val="24"/>
        </w:rPr>
      </w:pPr>
    </w:p>
    <w:p w:rsidR="00721BA1" w:rsidRDefault="00721BA1" w:rsidP="00031A14">
      <w:pPr>
        <w:spacing w:after="120"/>
        <w:rPr>
          <w:b/>
          <w:sz w:val="24"/>
        </w:rPr>
      </w:pPr>
    </w:p>
    <w:p w:rsidR="00540811" w:rsidRPr="00031A14" w:rsidRDefault="00C9476F" w:rsidP="00031A14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  <w:r>
        <w:rPr>
          <w:b/>
          <w:sz w:val="24"/>
        </w:rPr>
        <w:br w:type="page"/>
      </w:r>
    </w:p>
    <w:p w:rsidR="009B1C61" w:rsidRPr="009B1C61" w:rsidRDefault="00487E15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Figura 1. </w:t>
      </w:r>
      <w:r w:rsidR="00BE0147">
        <w:rPr>
          <w:b/>
          <w:sz w:val="24"/>
        </w:rPr>
        <w:t>T</w:t>
      </w:r>
      <w:r w:rsidR="009B1C61" w:rsidRPr="005512A0">
        <w:rPr>
          <w:b/>
          <w:sz w:val="24"/>
        </w:rPr>
        <w:t xml:space="preserve">rend settimanale </w:t>
      </w:r>
      <w:r w:rsidR="00206575">
        <w:rPr>
          <w:b/>
          <w:sz w:val="24"/>
        </w:rPr>
        <w:t xml:space="preserve">dei </w:t>
      </w:r>
      <w:r w:rsidR="009B1C61" w:rsidRPr="005512A0">
        <w:rPr>
          <w:b/>
          <w:sz w:val="24"/>
        </w:rPr>
        <w:t>nuovi casi</w:t>
      </w:r>
      <w:r w:rsidR="00CB5911" w:rsidRPr="005512A0">
        <w:rPr>
          <w:b/>
          <w:sz w:val="24"/>
        </w:rPr>
        <w:t xml:space="preserve"> e</w:t>
      </w:r>
      <w:r w:rsidR="00206575">
        <w:rPr>
          <w:b/>
          <w:sz w:val="24"/>
        </w:rPr>
        <w:t xml:space="preserve"> del</w:t>
      </w:r>
      <w:r w:rsidR="00AF5735">
        <w:rPr>
          <w:b/>
          <w:sz w:val="24"/>
        </w:rPr>
        <w:t xml:space="preserve"> rapporto positivi/casi testati</w:t>
      </w:r>
    </w:p>
    <w:p w:rsidR="009B1C61" w:rsidRDefault="00F16A08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621ECC3E" wp14:editId="528E5F28">
            <wp:extent cx="5760000" cy="292949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29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16713F" w:rsidRDefault="0016713F" w:rsidP="006B0B33">
      <w:pPr>
        <w:spacing w:after="0" w:line="240" w:lineRule="auto"/>
        <w:rPr>
          <w:b/>
        </w:rPr>
      </w:pPr>
    </w:p>
    <w:p w:rsidR="000273DB" w:rsidRDefault="000273DB" w:rsidP="00D33012">
      <w:pPr>
        <w:spacing w:after="0" w:line="360" w:lineRule="auto"/>
        <w:jc w:val="center"/>
        <w:rPr>
          <w:b/>
          <w:sz w:val="24"/>
        </w:rPr>
        <w:sectPr w:rsidR="000273DB" w:rsidSect="00055D5E">
          <w:footerReference w:type="default" r:id="rId12"/>
          <w:footnotePr>
            <w:numFmt w:val="chicago"/>
          </w:footnotePr>
          <w:type w:val="continuous"/>
          <w:pgSz w:w="11906" w:h="16838"/>
          <w:pgMar w:top="993" w:right="1134" w:bottom="709" w:left="1134" w:header="709" w:footer="709" w:gutter="0"/>
          <w:cols w:space="708"/>
          <w:docGrid w:linePitch="360"/>
        </w:sectPr>
      </w:pPr>
    </w:p>
    <w:p w:rsidR="00B36206" w:rsidRPr="002559B4" w:rsidRDefault="00D33012" w:rsidP="000273DB">
      <w:pPr>
        <w:spacing w:after="0" w:line="360" w:lineRule="auto"/>
        <w:jc w:val="center"/>
        <w:rPr>
          <w:b/>
          <w:sz w:val="24"/>
        </w:rPr>
      </w:pPr>
      <w:r w:rsidRPr="00D33012">
        <w:rPr>
          <w:b/>
          <w:sz w:val="24"/>
        </w:rPr>
        <w:lastRenderedPageBreak/>
        <w:t xml:space="preserve">Figura </w:t>
      </w:r>
      <w:r w:rsidR="003637A1">
        <w:rPr>
          <w:b/>
          <w:sz w:val="24"/>
        </w:rPr>
        <w:t>2</w:t>
      </w:r>
      <w:r w:rsidRPr="00D33012">
        <w:rPr>
          <w:b/>
          <w:sz w:val="24"/>
        </w:rPr>
        <w:t xml:space="preserve">. </w:t>
      </w:r>
      <w:r>
        <w:rPr>
          <w:b/>
          <w:sz w:val="24"/>
        </w:rPr>
        <w:t>T</w:t>
      </w:r>
      <w:r w:rsidRPr="005512A0">
        <w:rPr>
          <w:b/>
          <w:sz w:val="24"/>
        </w:rPr>
        <w:t xml:space="preserve">rend settimanale </w:t>
      </w:r>
      <w:r w:rsidR="00E11E90">
        <w:rPr>
          <w:b/>
          <w:sz w:val="24"/>
        </w:rPr>
        <w:t>d</w:t>
      </w:r>
      <w:r>
        <w:rPr>
          <w:b/>
          <w:sz w:val="24"/>
        </w:rPr>
        <w:t>i casi attualmente positivi</w:t>
      </w:r>
      <w:r w:rsidR="000273DB">
        <w:rPr>
          <w:b/>
          <w:sz w:val="24"/>
        </w:rPr>
        <w:t xml:space="preserve">, </w:t>
      </w:r>
      <w:r w:rsidR="00E93B96">
        <w:rPr>
          <w:b/>
          <w:sz w:val="24"/>
        </w:rPr>
        <w:t>p</w:t>
      </w:r>
      <w:r w:rsidR="00660401">
        <w:rPr>
          <w:b/>
          <w:sz w:val="24"/>
        </w:rPr>
        <w:t>azienti</w:t>
      </w:r>
      <w:r w:rsidR="00B36206" w:rsidRPr="002559B4">
        <w:rPr>
          <w:b/>
          <w:sz w:val="24"/>
        </w:rPr>
        <w:t xml:space="preserve"> ricoverati con si</w:t>
      </w:r>
      <w:r w:rsidR="00C86179">
        <w:rPr>
          <w:b/>
          <w:sz w:val="24"/>
        </w:rPr>
        <w:t>ntomi</w:t>
      </w:r>
      <w:r w:rsidR="00E11E90">
        <w:rPr>
          <w:b/>
          <w:sz w:val="24"/>
        </w:rPr>
        <w:t xml:space="preserve"> e in terapia intensiva e </w:t>
      </w:r>
      <w:r w:rsidR="000273DB">
        <w:rPr>
          <w:b/>
          <w:sz w:val="24"/>
        </w:rPr>
        <w:t>deceduti</w:t>
      </w:r>
    </w:p>
    <w:p w:rsidR="00393DDC" w:rsidRDefault="00010BCC" w:rsidP="000273DB">
      <w:pPr>
        <w:spacing w:after="8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inline distT="0" distB="0" distL="0" distR="0" wp14:anchorId="3AE56C4E" wp14:editId="0E78BFF6">
            <wp:extent cx="9360000" cy="467348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673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DDC" w:rsidRDefault="00393DDC" w:rsidP="00BF1B6B">
      <w:pPr>
        <w:spacing w:after="0" w:line="240" w:lineRule="auto"/>
        <w:rPr>
          <w:b/>
          <w:sz w:val="24"/>
        </w:rPr>
      </w:pPr>
    </w:p>
    <w:p w:rsidR="00BF1B6B" w:rsidRDefault="00BF1B6B" w:rsidP="00BF1B6B">
      <w:pPr>
        <w:spacing w:after="0" w:line="240" w:lineRule="auto"/>
        <w:jc w:val="center"/>
        <w:rPr>
          <w:b/>
          <w:sz w:val="24"/>
        </w:rPr>
      </w:pPr>
    </w:p>
    <w:p w:rsidR="00BF1B6B" w:rsidRDefault="00BF1B6B" w:rsidP="00BF1B6B">
      <w:pPr>
        <w:rPr>
          <w:b/>
          <w:sz w:val="24"/>
        </w:rPr>
      </w:pPr>
      <w:r>
        <w:rPr>
          <w:b/>
          <w:sz w:val="24"/>
        </w:rPr>
        <w:br/>
      </w:r>
    </w:p>
    <w:p w:rsidR="00BF1B6B" w:rsidRPr="003E2191" w:rsidRDefault="00540811" w:rsidP="0054081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br/>
      </w:r>
      <w:r w:rsidR="00BF1B6B" w:rsidRPr="003E2191">
        <w:rPr>
          <w:b/>
          <w:sz w:val="24"/>
        </w:rPr>
        <w:t xml:space="preserve">Tabella. Indicatori regionali settimana </w:t>
      </w:r>
      <w:r w:rsidR="00707157">
        <w:rPr>
          <w:b/>
          <w:sz w:val="24"/>
        </w:rPr>
        <w:t xml:space="preserve">28 </w:t>
      </w:r>
      <w:r w:rsidR="00BF1B6B" w:rsidRPr="003E2191">
        <w:rPr>
          <w:b/>
          <w:sz w:val="24"/>
        </w:rPr>
        <w:t>ottobre</w:t>
      </w:r>
      <w:r w:rsidR="00707157">
        <w:rPr>
          <w:b/>
          <w:sz w:val="24"/>
        </w:rPr>
        <w:t xml:space="preserve"> – 3 novembre</w:t>
      </w:r>
    </w:p>
    <w:tbl>
      <w:tblPr>
        <w:tblW w:w="5000" w:type="pct"/>
        <w:tblBorders>
          <w:top w:val="single" w:sz="8" w:space="0" w:color="00457D"/>
          <w:left w:val="single" w:sz="8" w:space="0" w:color="00457D"/>
          <w:bottom w:val="single" w:sz="8" w:space="0" w:color="00457D"/>
          <w:right w:val="single" w:sz="8" w:space="0" w:color="00457D"/>
          <w:insideH w:val="single" w:sz="8" w:space="0" w:color="00457D"/>
          <w:insideV w:val="single" w:sz="8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2180"/>
        <w:gridCol w:w="1706"/>
        <w:gridCol w:w="2048"/>
        <w:gridCol w:w="1839"/>
        <w:gridCol w:w="2154"/>
        <w:gridCol w:w="2156"/>
      </w:tblGrid>
      <w:tr w:rsidR="00BF1B6B" w:rsidRPr="003E2191" w:rsidTr="00F54FFA">
        <w:trPr>
          <w:trHeight w:val="794"/>
        </w:trPr>
        <w:tc>
          <w:tcPr>
            <w:tcW w:w="893" w:type="pct"/>
            <w:tcBorders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741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 xml:space="preserve">Casi attualmente positivi </w:t>
            </w: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br/>
              <w:t>per 100.000 abitanti</w:t>
            </w:r>
          </w:p>
        </w:tc>
        <w:tc>
          <w:tcPr>
            <w:tcW w:w="580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hideMark/>
          </w:tcPr>
          <w:p w:rsidR="00BF1B6B" w:rsidRPr="003E2191" w:rsidRDefault="00BF1B6B" w:rsidP="00531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Incremento </w:t>
            </w: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% casi</w:t>
            </w:r>
          </w:p>
        </w:tc>
        <w:tc>
          <w:tcPr>
            <w:tcW w:w="696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hideMark/>
          </w:tcPr>
          <w:p w:rsidR="00BF1B6B" w:rsidRPr="003E2191" w:rsidRDefault="00BF1B6B" w:rsidP="00531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Casi testati </w:t>
            </w: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per 100.000 abitanti</w:t>
            </w:r>
          </w:p>
        </w:tc>
        <w:tc>
          <w:tcPr>
            <w:tcW w:w="625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Rapporto positivi/casi testati</w:t>
            </w:r>
          </w:p>
        </w:tc>
        <w:tc>
          <w:tcPr>
            <w:tcW w:w="732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Ricoverati con sintomi per 100.000 abitanti</w:t>
            </w:r>
          </w:p>
        </w:tc>
        <w:tc>
          <w:tcPr>
            <w:tcW w:w="733" w:type="pct"/>
            <w:tcBorders>
              <w:lef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BF1B6B" w:rsidRPr="003E2191" w:rsidRDefault="00BF1B6B" w:rsidP="00922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Ricoverati in terapia intensiva per 100.000 abitanti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583</w:t>
            </w:r>
          </w:p>
        </w:tc>
        <w:tc>
          <w:tcPr>
            <w:tcW w:w="580" w:type="pct"/>
            <w:shd w:val="clear" w:color="auto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38,4%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1.093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23,4%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32,7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2,9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316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43,9%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1.871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7,4%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15,5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2,0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187</w:t>
            </w:r>
          </w:p>
        </w:tc>
        <w:tc>
          <w:tcPr>
            <w:tcW w:w="580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38,7%</w:t>
            </w:r>
          </w:p>
        </w:tc>
        <w:tc>
          <w:tcPr>
            <w:tcW w:w="696" w:type="pct"/>
            <w:shd w:val="clear" w:color="auto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995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8,4%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9,4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1,3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874</w:t>
            </w:r>
          </w:p>
        </w:tc>
        <w:tc>
          <w:tcPr>
            <w:tcW w:w="580" w:type="pct"/>
            <w:shd w:val="clear" w:color="auto" w:fill="FFEB9C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6500"/>
                <w:lang w:eastAsia="it-IT"/>
              </w:rPr>
              <w:t>50,9%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1.476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25,8%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25,8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3,9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636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24,1%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1.245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21,4%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32,8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3,4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474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35,4%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910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27,9%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16,9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3,2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676</w:t>
            </w:r>
          </w:p>
        </w:tc>
        <w:tc>
          <w:tcPr>
            <w:tcW w:w="580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39,3%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2.303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11,0%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37,3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3,4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634</w:t>
            </w:r>
          </w:p>
        </w:tc>
        <w:tc>
          <w:tcPr>
            <w:tcW w:w="580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26,0%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1.115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37,0%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74,0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4,1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980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32,8%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1.584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33,5%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47,1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4,7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486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29,4%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826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28,2%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24,5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3,5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407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43,7%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1.528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13,0%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7,9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2,0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889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30,6%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1.824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22,9%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77,6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4,9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1.233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40,7%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1.561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34,4%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54,0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5,3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418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18,2%</w:t>
            </w:r>
          </w:p>
        </w:tc>
        <w:tc>
          <w:tcPr>
            <w:tcW w:w="696" w:type="pct"/>
            <w:shd w:val="clear" w:color="auto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593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46,3%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37,0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2,2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336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35,4%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774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17,7%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18,6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2,4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421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28,1%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1.183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11,8%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20,6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2,7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336</w:t>
            </w:r>
          </w:p>
        </w:tc>
        <w:tc>
          <w:tcPr>
            <w:tcW w:w="580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36,0%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662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19,9%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21,4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3,0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909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44,5%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1.730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24,3%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33,8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5,1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858</w:t>
            </w:r>
          </w:p>
        </w:tc>
        <w:tc>
          <w:tcPr>
            <w:tcW w:w="580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46,8%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1.533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27,3%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34,6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5,4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1.631</w:t>
            </w:r>
          </w:p>
        </w:tc>
        <w:tc>
          <w:tcPr>
            <w:tcW w:w="580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31,7%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1.471</w:t>
            </w:r>
          </w:p>
        </w:tc>
        <w:tc>
          <w:tcPr>
            <w:tcW w:w="625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006100"/>
                <w:lang w:eastAsia="it-IT"/>
              </w:rPr>
              <w:t>46,8%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135,3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10,3</w:t>
            </w:r>
          </w:p>
        </w:tc>
      </w:tr>
      <w:tr w:rsidR="00F54FFA" w:rsidRPr="003E2191" w:rsidTr="00F54FFA">
        <w:trPr>
          <w:trHeight w:val="306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4FF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717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34,3%</w:t>
            </w:r>
          </w:p>
        </w:tc>
        <w:tc>
          <w:tcPr>
            <w:tcW w:w="696" w:type="pct"/>
            <w:shd w:val="clear" w:color="auto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764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43,0%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20,6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color w:val="9C0006"/>
                <w:lang w:eastAsia="it-IT"/>
              </w:rPr>
              <w:t>2,9</w:t>
            </w:r>
          </w:p>
        </w:tc>
      </w:tr>
      <w:tr w:rsidR="00F54FFA" w:rsidRPr="003E2191" w:rsidTr="00F54FFA">
        <w:trPr>
          <w:trHeight w:val="317"/>
        </w:trPr>
        <w:tc>
          <w:tcPr>
            <w:tcW w:w="893" w:type="pct"/>
            <w:shd w:val="clear" w:color="auto" w:fill="00457D"/>
            <w:noWrap/>
            <w:vAlign w:val="center"/>
            <w:hideMark/>
          </w:tcPr>
          <w:p w:rsidR="00F54FFA" w:rsidRPr="003E2191" w:rsidRDefault="00F54FFA" w:rsidP="00F54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3E219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741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  <w:t>693</w:t>
            </w:r>
          </w:p>
        </w:tc>
        <w:tc>
          <w:tcPr>
            <w:tcW w:w="580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  <w:t>34,5%</w:t>
            </w:r>
          </w:p>
        </w:tc>
        <w:tc>
          <w:tcPr>
            <w:tcW w:w="696" w:type="pct"/>
            <w:shd w:val="clear" w:color="auto" w:fill="C6EF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  <w:t>1.355</w:t>
            </w:r>
          </w:p>
        </w:tc>
        <w:tc>
          <w:tcPr>
            <w:tcW w:w="625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  <w:t>23,9%</w:t>
            </w:r>
          </w:p>
        </w:tc>
        <w:tc>
          <w:tcPr>
            <w:tcW w:w="732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  <w:t>35,0</w:t>
            </w:r>
          </w:p>
        </w:tc>
        <w:tc>
          <w:tcPr>
            <w:tcW w:w="733" w:type="pct"/>
            <w:shd w:val="clear" w:color="000000" w:fill="FFC7CE"/>
            <w:noWrap/>
            <w:vAlign w:val="center"/>
            <w:hideMark/>
          </w:tcPr>
          <w:p w:rsidR="00F54FFA" w:rsidRPr="00F54FFA" w:rsidRDefault="00F54FFA" w:rsidP="00F54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</w:pPr>
            <w:r w:rsidRPr="00F54FFA"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  <w:t>3,7</w:t>
            </w:r>
          </w:p>
        </w:tc>
      </w:tr>
      <w:tr w:rsidR="00BF1B6B" w:rsidRPr="003E2191" w:rsidTr="00F54FFA"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BF1B6B" w:rsidRDefault="00BF1B6B" w:rsidP="00BF1B6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</w:pPr>
            <w:r w:rsidRPr="003E2191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Nota: Il rosso e il verde indicano rispettivamente una performance regionale in peggioramento, o in miglioramento, rispe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tto alla settimana precedente. </w:t>
            </w:r>
          </w:p>
          <w:p w:rsidR="00F54FFA" w:rsidRPr="003E2191" w:rsidRDefault="00F54FFA" w:rsidP="00BF1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Il giallo indica una performance regionale invariata rispetto alla settimana precedente.</w:t>
            </w:r>
          </w:p>
        </w:tc>
      </w:tr>
    </w:tbl>
    <w:p w:rsidR="006A68BB" w:rsidRDefault="006A68BB" w:rsidP="00890C9D">
      <w:pPr>
        <w:spacing w:after="0" w:line="240" w:lineRule="auto"/>
        <w:rPr>
          <w:b/>
          <w:sz w:val="2"/>
          <w:szCs w:val="2"/>
        </w:rPr>
      </w:pPr>
    </w:p>
    <w:sectPr w:rsidR="006A68BB" w:rsidSect="00BF1B6B">
      <w:footnotePr>
        <w:numFmt w:val="chicago"/>
      </w:foot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5912" w16cex:dateUtc="2020-11-04T15:45:00Z"/>
  <w16cex:commentExtensible w16cex:durableId="234D5A5E" w16cex:dateUtc="2020-11-04T15:50:00Z"/>
  <w16cex:commentExtensible w16cex:durableId="234D59D4" w16cex:dateUtc="2020-11-04T15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AA" w:rsidRDefault="00D028AA">
      <w:pPr>
        <w:spacing w:after="0" w:line="240" w:lineRule="auto"/>
      </w:pPr>
      <w:r>
        <w:separator/>
      </w:r>
    </w:p>
  </w:endnote>
  <w:endnote w:type="continuationSeparator" w:id="0">
    <w:p w:rsidR="00D028AA" w:rsidRDefault="00D0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Default="008422DD">
    <w:pPr>
      <w:pStyle w:val="Pidipagina"/>
    </w:pPr>
  </w:p>
  <w:p w:rsidR="008422DD" w:rsidRDefault="008422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AA" w:rsidRDefault="00D028AA">
      <w:pPr>
        <w:spacing w:after="0" w:line="240" w:lineRule="auto"/>
      </w:pPr>
      <w:r>
        <w:separator/>
      </w:r>
    </w:p>
  </w:footnote>
  <w:footnote w:type="continuationSeparator" w:id="0">
    <w:p w:rsidR="00D028AA" w:rsidRDefault="00D0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23A3A"/>
    <w:multiLevelType w:val="hybridMultilevel"/>
    <w:tmpl w:val="F7F632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C22399"/>
    <w:multiLevelType w:val="hybridMultilevel"/>
    <w:tmpl w:val="9E6050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BF3D2A"/>
    <w:multiLevelType w:val="hybridMultilevel"/>
    <w:tmpl w:val="64EAF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2E79D4"/>
    <w:multiLevelType w:val="hybridMultilevel"/>
    <w:tmpl w:val="24F8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 w15:restartNumberingAfterBreak="0">
    <w:nsid w:val="5F0D3A51"/>
    <w:multiLevelType w:val="hybridMultilevel"/>
    <w:tmpl w:val="B2E6B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B37FE9"/>
    <w:multiLevelType w:val="hybridMultilevel"/>
    <w:tmpl w:val="8760E59A"/>
    <w:lvl w:ilvl="0" w:tplc="CEEA9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437B9"/>
    <w:multiLevelType w:val="hybridMultilevel"/>
    <w:tmpl w:val="5E2AF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01017"/>
    <w:multiLevelType w:val="hybridMultilevel"/>
    <w:tmpl w:val="8CDA050C"/>
    <w:lvl w:ilvl="0" w:tplc="2ECCC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9"/>
  </w:num>
  <w:num w:numId="4">
    <w:abstractNumId w:val="13"/>
  </w:num>
  <w:num w:numId="5">
    <w:abstractNumId w:val="41"/>
  </w:num>
  <w:num w:numId="6">
    <w:abstractNumId w:val="6"/>
  </w:num>
  <w:num w:numId="7">
    <w:abstractNumId w:val="11"/>
  </w:num>
  <w:num w:numId="8">
    <w:abstractNumId w:val="33"/>
  </w:num>
  <w:num w:numId="9">
    <w:abstractNumId w:val="8"/>
  </w:num>
  <w:num w:numId="10">
    <w:abstractNumId w:val="26"/>
  </w:num>
  <w:num w:numId="11">
    <w:abstractNumId w:val="16"/>
  </w:num>
  <w:num w:numId="12">
    <w:abstractNumId w:val="25"/>
  </w:num>
  <w:num w:numId="13">
    <w:abstractNumId w:val="5"/>
  </w:num>
  <w:num w:numId="14">
    <w:abstractNumId w:val="24"/>
  </w:num>
  <w:num w:numId="15">
    <w:abstractNumId w:val="1"/>
  </w:num>
  <w:num w:numId="16">
    <w:abstractNumId w:val="2"/>
  </w:num>
  <w:num w:numId="17">
    <w:abstractNumId w:val="31"/>
  </w:num>
  <w:num w:numId="18">
    <w:abstractNumId w:val="9"/>
  </w:num>
  <w:num w:numId="19">
    <w:abstractNumId w:val="37"/>
  </w:num>
  <w:num w:numId="20">
    <w:abstractNumId w:val="7"/>
  </w:num>
  <w:num w:numId="21">
    <w:abstractNumId w:val="36"/>
  </w:num>
  <w:num w:numId="22">
    <w:abstractNumId w:val="43"/>
  </w:num>
  <w:num w:numId="23">
    <w:abstractNumId w:val="46"/>
  </w:num>
  <w:num w:numId="24">
    <w:abstractNumId w:val="14"/>
  </w:num>
  <w:num w:numId="25">
    <w:abstractNumId w:val="18"/>
  </w:num>
  <w:num w:numId="26">
    <w:abstractNumId w:val="28"/>
  </w:num>
  <w:num w:numId="27">
    <w:abstractNumId w:val="44"/>
  </w:num>
  <w:num w:numId="28">
    <w:abstractNumId w:val="12"/>
  </w:num>
  <w:num w:numId="29">
    <w:abstractNumId w:val="34"/>
  </w:num>
  <w:num w:numId="30">
    <w:abstractNumId w:val="23"/>
  </w:num>
  <w:num w:numId="31">
    <w:abstractNumId w:val="17"/>
  </w:num>
  <w:num w:numId="32">
    <w:abstractNumId w:val="0"/>
  </w:num>
  <w:num w:numId="33">
    <w:abstractNumId w:val="4"/>
  </w:num>
  <w:num w:numId="34">
    <w:abstractNumId w:val="21"/>
  </w:num>
  <w:num w:numId="35">
    <w:abstractNumId w:val="19"/>
  </w:num>
  <w:num w:numId="36">
    <w:abstractNumId w:val="3"/>
  </w:num>
  <w:num w:numId="37">
    <w:abstractNumId w:val="15"/>
  </w:num>
  <w:num w:numId="38">
    <w:abstractNumId w:val="27"/>
  </w:num>
  <w:num w:numId="39">
    <w:abstractNumId w:val="32"/>
  </w:num>
  <w:num w:numId="40">
    <w:abstractNumId w:val="38"/>
  </w:num>
  <w:num w:numId="41">
    <w:abstractNumId w:val="22"/>
  </w:num>
  <w:num w:numId="42">
    <w:abstractNumId w:val="49"/>
  </w:num>
  <w:num w:numId="43">
    <w:abstractNumId w:val="40"/>
  </w:num>
  <w:num w:numId="44">
    <w:abstractNumId w:val="48"/>
  </w:num>
  <w:num w:numId="45">
    <w:abstractNumId w:val="47"/>
  </w:num>
  <w:num w:numId="46">
    <w:abstractNumId w:val="42"/>
  </w:num>
  <w:num w:numId="47">
    <w:abstractNumId w:val="10"/>
  </w:num>
  <w:num w:numId="48">
    <w:abstractNumId w:val="45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5314"/>
    <w:rsid w:val="0000610C"/>
    <w:rsid w:val="00007CC5"/>
    <w:rsid w:val="00007E2D"/>
    <w:rsid w:val="00010AEF"/>
    <w:rsid w:val="00010BCC"/>
    <w:rsid w:val="00012955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200E1"/>
    <w:rsid w:val="00020588"/>
    <w:rsid w:val="00020B41"/>
    <w:rsid w:val="00021283"/>
    <w:rsid w:val="0002190C"/>
    <w:rsid w:val="000223CF"/>
    <w:rsid w:val="0002246B"/>
    <w:rsid w:val="00022977"/>
    <w:rsid w:val="00022EBF"/>
    <w:rsid w:val="00023F18"/>
    <w:rsid w:val="00024712"/>
    <w:rsid w:val="00026DC0"/>
    <w:rsid w:val="000273DB"/>
    <w:rsid w:val="00027540"/>
    <w:rsid w:val="00030B5F"/>
    <w:rsid w:val="00030DDE"/>
    <w:rsid w:val="00031A14"/>
    <w:rsid w:val="00031E5F"/>
    <w:rsid w:val="000328C9"/>
    <w:rsid w:val="0003425F"/>
    <w:rsid w:val="00034493"/>
    <w:rsid w:val="00035405"/>
    <w:rsid w:val="000370F6"/>
    <w:rsid w:val="0004029D"/>
    <w:rsid w:val="00043148"/>
    <w:rsid w:val="00043A85"/>
    <w:rsid w:val="0004522A"/>
    <w:rsid w:val="0004544E"/>
    <w:rsid w:val="000466D8"/>
    <w:rsid w:val="0004717B"/>
    <w:rsid w:val="00047EE0"/>
    <w:rsid w:val="00047FD1"/>
    <w:rsid w:val="000529FD"/>
    <w:rsid w:val="000534AE"/>
    <w:rsid w:val="000548AC"/>
    <w:rsid w:val="00054EA2"/>
    <w:rsid w:val="000559EC"/>
    <w:rsid w:val="00055D5E"/>
    <w:rsid w:val="00055E53"/>
    <w:rsid w:val="00055FB6"/>
    <w:rsid w:val="0005649A"/>
    <w:rsid w:val="000568EE"/>
    <w:rsid w:val="00057675"/>
    <w:rsid w:val="00057A37"/>
    <w:rsid w:val="00057CF0"/>
    <w:rsid w:val="00060A3C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3B14"/>
    <w:rsid w:val="00073DC9"/>
    <w:rsid w:val="0007561A"/>
    <w:rsid w:val="00075811"/>
    <w:rsid w:val="00075B48"/>
    <w:rsid w:val="0007670E"/>
    <w:rsid w:val="000771C3"/>
    <w:rsid w:val="00080943"/>
    <w:rsid w:val="00081DF7"/>
    <w:rsid w:val="00081F03"/>
    <w:rsid w:val="00082DDC"/>
    <w:rsid w:val="00083222"/>
    <w:rsid w:val="00083DA7"/>
    <w:rsid w:val="00083F44"/>
    <w:rsid w:val="0008470A"/>
    <w:rsid w:val="000856B2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96403"/>
    <w:rsid w:val="000A03D1"/>
    <w:rsid w:val="000A09CD"/>
    <w:rsid w:val="000A1C07"/>
    <w:rsid w:val="000A24C2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6B1F"/>
    <w:rsid w:val="000B6E50"/>
    <w:rsid w:val="000B77BB"/>
    <w:rsid w:val="000B77EA"/>
    <w:rsid w:val="000B7C16"/>
    <w:rsid w:val="000C153C"/>
    <w:rsid w:val="000C1558"/>
    <w:rsid w:val="000C1EDD"/>
    <w:rsid w:val="000C22C6"/>
    <w:rsid w:val="000C271B"/>
    <w:rsid w:val="000C44FE"/>
    <w:rsid w:val="000C7557"/>
    <w:rsid w:val="000D1769"/>
    <w:rsid w:val="000D1D78"/>
    <w:rsid w:val="000D2C51"/>
    <w:rsid w:val="000D4762"/>
    <w:rsid w:val="000D56B8"/>
    <w:rsid w:val="000D5B60"/>
    <w:rsid w:val="000D64BB"/>
    <w:rsid w:val="000D6AC6"/>
    <w:rsid w:val="000D73D0"/>
    <w:rsid w:val="000E2B65"/>
    <w:rsid w:val="000E2D59"/>
    <w:rsid w:val="000E4C32"/>
    <w:rsid w:val="000E72BC"/>
    <w:rsid w:val="000F0E42"/>
    <w:rsid w:val="000F136B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F54"/>
    <w:rsid w:val="00101E1F"/>
    <w:rsid w:val="0010205D"/>
    <w:rsid w:val="0010348F"/>
    <w:rsid w:val="00103E7D"/>
    <w:rsid w:val="00104007"/>
    <w:rsid w:val="00104759"/>
    <w:rsid w:val="001047A9"/>
    <w:rsid w:val="00104A0E"/>
    <w:rsid w:val="0010550E"/>
    <w:rsid w:val="001059AD"/>
    <w:rsid w:val="001079DA"/>
    <w:rsid w:val="00113053"/>
    <w:rsid w:val="00113554"/>
    <w:rsid w:val="00113C94"/>
    <w:rsid w:val="00114498"/>
    <w:rsid w:val="00114B20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659A"/>
    <w:rsid w:val="00136710"/>
    <w:rsid w:val="00137608"/>
    <w:rsid w:val="00137854"/>
    <w:rsid w:val="0014018F"/>
    <w:rsid w:val="001408D2"/>
    <w:rsid w:val="00143377"/>
    <w:rsid w:val="001433CB"/>
    <w:rsid w:val="001435C6"/>
    <w:rsid w:val="00143BB8"/>
    <w:rsid w:val="00144CF6"/>
    <w:rsid w:val="00145AFE"/>
    <w:rsid w:val="00145D5E"/>
    <w:rsid w:val="00146588"/>
    <w:rsid w:val="00147917"/>
    <w:rsid w:val="00147D74"/>
    <w:rsid w:val="001509C3"/>
    <w:rsid w:val="00151D45"/>
    <w:rsid w:val="00151EC4"/>
    <w:rsid w:val="00152168"/>
    <w:rsid w:val="001521A0"/>
    <w:rsid w:val="00153115"/>
    <w:rsid w:val="00153964"/>
    <w:rsid w:val="00156012"/>
    <w:rsid w:val="00156186"/>
    <w:rsid w:val="001620F7"/>
    <w:rsid w:val="001630EB"/>
    <w:rsid w:val="00164139"/>
    <w:rsid w:val="0016624A"/>
    <w:rsid w:val="00166D9E"/>
    <w:rsid w:val="001670B6"/>
    <w:rsid w:val="0016713F"/>
    <w:rsid w:val="00170961"/>
    <w:rsid w:val="00174C24"/>
    <w:rsid w:val="0017590C"/>
    <w:rsid w:val="00175A46"/>
    <w:rsid w:val="001767BB"/>
    <w:rsid w:val="00176B56"/>
    <w:rsid w:val="00180482"/>
    <w:rsid w:val="001812FC"/>
    <w:rsid w:val="001815BB"/>
    <w:rsid w:val="00181E68"/>
    <w:rsid w:val="0018261A"/>
    <w:rsid w:val="00183566"/>
    <w:rsid w:val="00183F81"/>
    <w:rsid w:val="001856C6"/>
    <w:rsid w:val="00185E17"/>
    <w:rsid w:val="00186CF1"/>
    <w:rsid w:val="00187B8A"/>
    <w:rsid w:val="00187C43"/>
    <w:rsid w:val="00190025"/>
    <w:rsid w:val="00191018"/>
    <w:rsid w:val="00191361"/>
    <w:rsid w:val="00191564"/>
    <w:rsid w:val="00191AFB"/>
    <w:rsid w:val="0019215F"/>
    <w:rsid w:val="00194FA7"/>
    <w:rsid w:val="00196162"/>
    <w:rsid w:val="00196614"/>
    <w:rsid w:val="00197941"/>
    <w:rsid w:val="00197B87"/>
    <w:rsid w:val="001A0964"/>
    <w:rsid w:val="001A25A5"/>
    <w:rsid w:val="001A2AC2"/>
    <w:rsid w:val="001A3813"/>
    <w:rsid w:val="001A3959"/>
    <w:rsid w:val="001A3BD0"/>
    <w:rsid w:val="001A3EC6"/>
    <w:rsid w:val="001A6277"/>
    <w:rsid w:val="001A62B9"/>
    <w:rsid w:val="001A642A"/>
    <w:rsid w:val="001A7D9C"/>
    <w:rsid w:val="001B0820"/>
    <w:rsid w:val="001B183D"/>
    <w:rsid w:val="001B29FE"/>
    <w:rsid w:val="001B3683"/>
    <w:rsid w:val="001B3E88"/>
    <w:rsid w:val="001B7500"/>
    <w:rsid w:val="001C07D8"/>
    <w:rsid w:val="001C16B5"/>
    <w:rsid w:val="001C3419"/>
    <w:rsid w:val="001C3871"/>
    <w:rsid w:val="001C563B"/>
    <w:rsid w:val="001C5BFE"/>
    <w:rsid w:val="001C70FD"/>
    <w:rsid w:val="001D0755"/>
    <w:rsid w:val="001D1B73"/>
    <w:rsid w:val="001D1D83"/>
    <w:rsid w:val="001D3373"/>
    <w:rsid w:val="001D3BEA"/>
    <w:rsid w:val="001D487C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E2C"/>
    <w:rsid w:val="001E2E7F"/>
    <w:rsid w:val="001E456C"/>
    <w:rsid w:val="001E5436"/>
    <w:rsid w:val="001E5CB5"/>
    <w:rsid w:val="001E6000"/>
    <w:rsid w:val="001E66B3"/>
    <w:rsid w:val="001E6B2B"/>
    <w:rsid w:val="001F06CD"/>
    <w:rsid w:val="001F2345"/>
    <w:rsid w:val="001F31DC"/>
    <w:rsid w:val="001F374C"/>
    <w:rsid w:val="001F4A0A"/>
    <w:rsid w:val="001F4CD4"/>
    <w:rsid w:val="001F69E0"/>
    <w:rsid w:val="00204E2D"/>
    <w:rsid w:val="00205992"/>
    <w:rsid w:val="0020632D"/>
    <w:rsid w:val="00206575"/>
    <w:rsid w:val="00206E9A"/>
    <w:rsid w:val="00207983"/>
    <w:rsid w:val="00210F6C"/>
    <w:rsid w:val="002115AE"/>
    <w:rsid w:val="002118B6"/>
    <w:rsid w:val="002120A0"/>
    <w:rsid w:val="00212CD8"/>
    <w:rsid w:val="00213097"/>
    <w:rsid w:val="002149D9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503B"/>
    <w:rsid w:val="0022562D"/>
    <w:rsid w:val="002269AD"/>
    <w:rsid w:val="00226CB8"/>
    <w:rsid w:val="002273E1"/>
    <w:rsid w:val="002306E8"/>
    <w:rsid w:val="00232450"/>
    <w:rsid w:val="00232826"/>
    <w:rsid w:val="0023282A"/>
    <w:rsid w:val="002329BC"/>
    <w:rsid w:val="0023363F"/>
    <w:rsid w:val="00233A92"/>
    <w:rsid w:val="0023472D"/>
    <w:rsid w:val="002349C2"/>
    <w:rsid w:val="0023571B"/>
    <w:rsid w:val="00236A29"/>
    <w:rsid w:val="002372A1"/>
    <w:rsid w:val="002409AC"/>
    <w:rsid w:val="00240B0E"/>
    <w:rsid w:val="00241578"/>
    <w:rsid w:val="002419BE"/>
    <w:rsid w:val="00241BC8"/>
    <w:rsid w:val="00243835"/>
    <w:rsid w:val="002442BE"/>
    <w:rsid w:val="00244487"/>
    <w:rsid w:val="00244D59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D8D"/>
    <w:rsid w:val="0025799B"/>
    <w:rsid w:val="00260775"/>
    <w:rsid w:val="00260A99"/>
    <w:rsid w:val="00262053"/>
    <w:rsid w:val="00264C7C"/>
    <w:rsid w:val="002666F4"/>
    <w:rsid w:val="002705E8"/>
    <w:rsid w:val="00272A45"/>
    <w:rsid w:val="00272F32"/>
    <w:rsid w:val="0027352D"/>
    <w:rsid w:val="00275D83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7EB2"/>
    <w:rsid w:val="0029074E"/>
    <w:rsid w:val="00290EB0"/>
    <w:rsid w:val="00290FDF"/>
    <w:rsid w:val="00292F53"/>
    <w:rsid w:val="002933A0"/>
    <w:rsid w:val="0029457A"/>
    <w:rsid w:val="00295E29"/>
    <w:rsid w:val="00296100"/>
    <w:rsid w:val="002965D6"/>
    <w:rsid w:val="00297824"/>
    <w:rsid w:val="002A2099"/>
    <w:rsid w:val="002A3D04"/>
    <w:rsid w:val="002A4C5F"/>
    <w:rsid w:val="002A4DEE"/>
    <w:rsid w:val="002A4E8D"/>
    <w:rsid w:val="002A50E2"/>
    <w:rsid w:val="002A5371"/>
    <w:rsid w:val="002A55EA"/>
    <w:rsid w:val="002A59D9"/>
    <w:rsid w:val="002A5FA2"/>
    <w:rsid w:val="002A6486"/>
    <w:rsid w:val="002A6ED6"/>
    <w:rsid w:val="002A6F3F"/>
    <w:rsid w:val="002A7332"/>
    <w:rsid w:val="002B0276"/>
    <w:rsid w:val="002B170F"/>
    <w:rsid w:val="002B1BF9"/>
    <w:rsid w:val="002B2BF2"/>
    <w:rsid w:val="002B33DE"/>
    <w:rsid w:val="002B4392"/>
    <w:rsid w:val="002B49E9"/>
    <w:rsid w:val="002B7A9C"/>
    <w:rsid w:val="002C25F3"/>
    <w:rsid w:val="002D281C"/>
    <w:rsid w:val="002D4A30"/>
    <w:rsid w:val="002D4C97"/>
    <w:rsid w:val="002D559D"/>
    <w:rsid w:val="002D5A0D"/>
    <w:rsid w:val="002D5AFA"/>
    <w:rsid w:val="002D6143"/>
    <w:rsid w:val="002D63E0"/>
    <w:rsid w:val="002D6D5F"/>
    <w:rsid w:val="002D70B8"/>
    <w:rsid w:val="002D7694"/>
    <w:rsid w:val="002D76E0"/>
    <w:rsid w:val="002E0DAB"/>
    <w:rsid w:val="002E17F8"/>
    <w:rsid w:val="002E182B"/>
    <w:rsid w:val="002E1A37"/>
    <w:rsid w:val="002E234E"/>
    <w:rsid w:val="002E2579"/>
    <w:rsid w:val="002E3B3A"/>
    <w:rsid w:val="002E3CBF"/>
    <w:rsid w:val="002E450B"/>
    <w:rsid w:val="002E6F00"/>
    <w:rsid w:val="002E77F3"/>
    <w:rsid w:val="002F0DFB"/>
    <w:rsid w:val="002F1137"/>
    <w:rsid w:val="002F117B"/>
    <w:rsid w:val="002F1666"/>
    <w:rsid w:val="002F47DF"/>
    <w:rsid w:val="002F4D19"/>
    <w:rsid w:val="002F4DEF"/>
    <w:rsid w:val="002F5E78"/>
    <w:rsid w:val="002F70DB"/>
    <w:rsid w:val="002F743B"/>
    <w:rsid w:val="002F76F9"/>
    <w:rsid w:val="00300572"/>
    <w:rsid w:val="00300FDE"/>
    <w:rsid w:val="003020A3"/>
    <w:rsid w:val="003022B9"/>
    <w:rsid w:val="00303AB8"/>
    <w:rsid w:val="00303C74"/>
    <w:rsid w:val="003044C2"/>
    <w:rsid w:val="00304BC8"/>
    <w:rsid w:val="00304F90"/>
    <w:rsid w:val="003053CC"/>
    <w:rsid w:val="003055A2"/>
    <w:rsid w:val="00306624"/>
    <w:rsid w:val="00306D88"/>
    <w:rsid w:val="0030740E"/>
    <w:rsid w:val="00313AF8"/>
    <w:rsid w:val="00314CCF"/>
    <w:rsid w:val="003168CE"/>
    <w:rsid w:val="00317410"/>
    <w:rsid w:val="00317538"/>
    <w:rsid w:val="00320449"/>
    <w:rsid w:val="003219FD"/>
    <w:rsid w:val="0032306E"/>
    <w:rsid w:val="00323CCC"/>
    <w:rsid w:val="00324354"/>
    <w:rsid w:val="00324BD4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2B22"/>
    <w:rsid w:val="003348B3"/>
    <w:rsid w:val="00335645"/>
    <w:rsid w:val="00336225"/>
    <w:rsid w:val="003366CD"/>
    <w:rsid w:val="0033698E"/>
    <w:rsid w:val="0033740A"/>
    <w:rsid w:val="00337E71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15F5"/>
    <w:rsid w:val="003522D4"/>
    <w:rsid w:val="00352733"/>
    <w:rsid w:val="00352A02"/>
    <w:rsid w:val="00352E63"/>
    <w:rsid w:val="00352FC5"/>
    <w:rsid w:val="00353D22"/>
    <w:rsid w:val="00354245"/>
    <w:rsid w:val="0035569C"/>
    <w:rsid w:val="00355D9B"/>
    <w:rsid w:val="003565B1"/>
    <w:rsid w:val="003565EE"/>
    <w:rsid w:val="00356D01"/>
    <w:rsid w:val="0035727A"/>
    <w:rsid w:val="00357398"/>
    <w:rsid w:val="003573F0"/>
    <w:rsid w:val="00360AA4"/>
    <w:rsid w:val="00361522"/>
    <w:rsid w:val="00361FEB"/>
    <w:rsid w:val="003624F9"/>
    <w:rsid w:val="0036340C"/>
    <w:rsid w:val="003637A1"/>
    <w:rsid w:val="00363CCA"/>
    <w:rsid w:val="003644FC"/>
    <w:rsid w:val="00365312"/>
    <w:rsid w:val="003658CE"/>
    <w:rsid w:val="00366193"/>
    <w:rsid w:val="0037191E"/>
    <w:rsid w:val="0037366F"/>
    <w:rsid w:val="0037421B"/>
    <w:rsid w:val="00375555"/>
    <w:rsid w:val="00375FF6"/>
    <w:rsid w:val="00376334"/>
    <w:rsid w:val="00376AB7"/>
    <w:rsid w:val="00376B13"/>
    <w:rsid w:val="003827FB"/>
    <w:rsid w:val="00383720"/>
    <w:rsid w:val="00384F8E"/>
    <w:rsid w:val="00385A4A"/>
    <w:rsid w:val="00385ED3"/>
    <w:rsid w:val="003864BA"/>
    <w:rsid w:val="00387426"/>
    <w:rsid w:val="00390E96"/>
    <w:rsid w:val="00391930"/>
    <w:rsid w:val="003925EF"/>
    <w:rsid w:val="0039384F"/>
    <w:rsid w:val="00393DDC"/>
    <w:rsid w:val="003944F4"/>
    <w:rsid w:val="003948A2"/>
    <w:rsid w:val="0039540D"/>
    <w:rsid w:val="00395971"/>
    <w:rsid w:val="00397A51"/>
    <w:rsid w:val="003A0175"/>
    <w:rsid w:val="003A0F9B"/>
    <w:rsid w:val="003A2071"/>
    <w:rsid w:val="003A4307"/>
    <w:rsid w:val="003A6C83"/>
    <w:rsid w:val="003B06AF"/>
    <w:rsid w:val="003B386F"/>
    <w:rsid w:val="003B3BA8"/>
    <w:rsid w:val="003B42F8"/>
    <w:rsid w:val="003B434F"/>
    <w:rsid w:val="003B46B9"/>
    <w:rsid w:val="003B4B8E"/>
    <w:rsid w:val="003B4DD7"/>
    <w:rsid w:val="003B512D"/>
    <w:rsid w:val="003B5BD7"/>
    <w:rsid w:val="003B7557"/>
    <w:rsid w:val="003B761A"/>
    <w:rsid w:val="003B767D"/>
    <w:rsid w:val="003B7ED5"/>
    <w:rsid w:val="003C28C9"/>
    <w:rsid w:val="003C300D"/>
    <w:rsid w:val="003C3A9A"/>
    <w:rsid w:val="003C44B3"/>
    <w:rsid w:val="003C5449"/>
    <w:rsid w:val="003C545F"/>
    <w:rsid w:val="003C6EB4"/>
    <w:rsid w:val="003C7356"/>
    <w:rsid w:val="003C74F7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D85"/>
    <w:rsid w:val="003D7012"/>
    <w:rsid w:val="003E172D"/>
    <w:rsid w:val="003E228A"/>
    <w:rsid w:val="003E318E"/>
    <w:rsid w:val="003E62A0"/>
    <w:rsid w:val="003E7BE4"/>
    <w:rsid w:val="003F0150"/>
    <w:rsid w:val="003F24A4"/>
    <w:rsid w:val="003F2B5E"/>
    <w:rsid w:val="003F3A78"/>
    <w:rsid w:val="003F4964"/>
    <w:rsid w:val="003F4EAB"/>
    <w:rsid w:val="003F5E91"/>
    <w:rsid w:val="003F5EB8"/>
    <w:rsid w:val="003F66ED"/>
    <w:rsid w:val="003F7AAD"/>
    <w:rsid w:val="00400B49"/>
    <w:rsid w:val="004010CD"/>
    <w:rsid w:val="00401D6B"/>
    <w:rsid w:val="004027B6"/>
    <w:rsid w:val="00402D73"/>
    <w:rsid w:val="00404ACE"/>
    <w:rsid w:val="00404CF8"/>
    <w:rsid w:val="00404EDE"/>
    <w:rsid w:val="004053FC"/>
    <w:rsid w:val="004055A4"/>
    <w:rsid w:val="00406927"/>
    <w:rsid w:val="00406DC9"/>
    <w:rsid w:val="00410301"/>
    <w:rsid w:val="00410438"/>
    <w:rsid w:val="00410F0D"/>
    <w:rsid w:val="0041135C"/>
    <w:rsid w:val="00411BE2"/>
    <w:rsid w:val="00412031"/>
    <w:rsid w:val="0041302D"/>
    <w:rsid w:val="00413E8E"/>
    <w:rsid w:val="004167BC"/>
    <w:rsid w:val="004173E1"/>
    <w:rsid w:val="00417C1C"/>
    <w:rsid w:val="004203C6"/>
    <w:rsid w:val="004207EF"/>
    <w:rsid w:val="00420BEA"/>
    <w:rsid w:val="00420C20"/>
    <w:rsid w:val="00420CC8"/>
    <w:rsid w:val="004214E3"/>
    <w:rsid w:val="00422172"/>
    <w:rsid w:val="004225BB"/>
    <w:rsid w:val="00423B2B"/>
    <w:rsid w:val="00423ED3"/>
    <w:rsid w:val="00425C3A"/>
    <w:rsid w:val="00426A8E"/>
    <w:rsid w:val="00426C7C"/>
    <w:rsid w:val="00427B58"/>
    <w:rsid w:val="00432089"/>
    <w:rsid w:val="0043421F"/>
    <w:rsid w:val="0043447B"/>
    <w:rsid w:val="00435198"/>
    <w:rsid w:val="00435282"/>
    <w:rsid w:val="004374D6"/>
    <w:rsid w:val="00437BB8"/>
    <w:rsid w:val="0044003C"/>
    <w:rsid w:val="00441414"/>
    <w:rsid w:val="004421F3"/>
    <w:rsid w:val="00442661"/>
    <w:rsid w:val="004430FB"/>
    <w:rsid w:val="004445B2"/>
    <w:rsid w:val="0044462E"/>
    <w:rsid w:val="00445BBA"/>
    <w:rsid w:val="004501DC"/>
    <w:rsid w:val="00451DF0"/>
    <w:rsid w:val="00452084"/>
    <w:rsid w:val="004534C0"/>
    <w:rsid w:val="004549CB"/>
    <w:rsid w:val="00455B93"/>
    <w:rsid w:val="00455F70"/>
    <w:rsid w:val="00456FB9"/>
    <w:rsid w:val="00457239"/>
    <w:rsid w:val="00457AEC"/>
    <w:rsid w:val="00460478"/>
    <w:rsid w:val="00460DB4"/>
    <w:rsid w:val="004612FF"/>
    <w:rsid w:val="004627B8"/>
    <w:rsid w:val="0046399E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50C9"/>
    <w:rsid w:val="004751C0"/>
    <w:rsid w:val="00475FAA"/>
    <w:rsid w:val="0047644D"/>
    <w:rsid w:val="00476735"/>
    <w:rsid w:val="00476F10"/>
    <w:rsid w:val="004776AE"/>
    <w:rsid w:val="00477D40"/>
    <w:rsid w:val="004805BB"/>
    <w:rsid w:val="00480CC3"/>
    <w:rsid w:val="00481C9F"/>
    <w:rsid w:val="00482E09"/>
    <w:rsid w:val="00484316"/>
    <w:rsid w:val="004855A5"/>
    <w:rsid w:val="00486F84"/>
    <w:rsid w:val="00487CA2"/>
    <w:rsid w:val="00487DFA"/>
    <w:rsid w:val="00487E15"/>
    <w:rsid w:val="00490381"/>
    <w:rsid w:val="00493007"/>
    <w:rsid w:val="00494318"/>
    <w:rsid w:val="00494885"/>
    <w:rsid w:val="00496ADF"/>
    <w:rsid w:val="00497078"/>
    <w:rsid w:val="0049718B"/>
    <w:rsid w:val="004973CE"/>
    <w:rsid w:val="00497C09"/>
    <w:rsid w:val="004A0133"/>
    <w:rsid w:val="004A1527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4C0"/>
    <w:rsid w:val="004B3D68"/>
    <w:rsid w:val="004B46CE"/>
    <w:rsid w:val="004B4E74"/>
    <w:rsid w:val="004B64C5"/>
    <w:rsid w:val="004C12A9"/>
    <w:rsid w:val="004C1508"/>
    <w:rsid w:val="004C2BCB"/>
    <w:rsid w:val="004C305E"/>
    <w:rsid w:val="004C3A9A"/>
    <w:rsid w:val="004C3CCC"/>
    <w:rsid w:val="004C4178"/>
    <w:rsid w:val="004C41A8"/>
    <w:rsid w:val="004C50A7"/>
    <w:rsid w:val="004C60DC"/>
    <w:rsid w:val="004C6651"/>
    <w:rsid w:val="004D26DF"/>
    <w:rsid w:val="004D3037"/>
    <w:rsid w:val="004D3220"/>
    <w:rsid w:val="004D3455"/>
    <w:rsid w:val="004D381A"/>
    <w:rsid w:val="004D3DAE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61AA"/>
    <w:rsid w:val="004F62AF"/>
    <w:rsid w:val="004F7098"/>
    <w:rsid w:val="00500FEB"/>
    <w:rsid w:val="0050143A"/>
    <w:rsid w:val="005015C7"/>
    <w:rsid w:val="0050196C"/>
    <w:rsid w:val="005019AF"/>
    <w:rsid w:val="005025CD"/>
    <w:rsid w:val="00502A03"/>
    <w:rsid w:val="00503664"/>
    <w:rsid w:val="00503976"/>
    <w:rsid w:val="005049A0"/>
    <w:rsid w:val="00504B2C"/>
    <w:rsid w:val="0050520B"/>
    <w:rsid w:val="005052B2"/>
    <w:rsid w:val="00505F2C"/>
    <w:rsid w:val="005070CE"/>
    <w:rsid w:val="00510A31"/>
    <w:rsid w:val="00511884"/>
    <w:rsid w:val="005118BC"/>
    <w:rsid w:val="0051236D"/>
    <w:rsid w:val="005126FA"/>
    <w:rsid w:val="005127EB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F56"/>
    <w:rsid w:val="0052545F"/>
    <w:rsid w:val="0052679C"/>
    <w:rsid w:val="00526F9F"/>
    <w:rsid w:val="00530D8C"/>
    <w:rsid w:val="00531D87"/>
    <w:rsid w:val="00532931"/>
    <w:rsid w:val="005356F3"/>
    <w:rsid w:val="00535B99"/>
    <w:rsid w:val="00535FB8"/>
    <w:rsid w:val="005378EA"/>
    <w:rsid w:val="00540811"/>
    <w:rsid w:val="00541FCE"/>
    <w:rsid w:val="00544216"/>
    <w:rsid w:val="0054575E"/>
    <w:rsid w:val="00546091"/>
    <w:rsid w:val="0054649D"/>
    <w:rsid w:val="00547577"/>
    <w:rsid w:val="00550AE4"/>
    <w:rsid w:val="00550EED"/>
    <w:rsid w:val="00551044"/>
    <w:rsid w:val="005512A0"/>
    <w:rsid w:val="00551627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803F6"/>
    <w:rsid w:val="00580652"/>
    <w:rsid w:val="00582B47"/>
    <w:rsid w:val="00584F34"/>
    <w:rsid w:val="005850C4"/>
    <w:rsid w:val="00585F5E"/>
    <w:rsid w:val="005862D2"/>
    <w:rsid w:val="00586D6A"/>
    <w:rsid w:val="00586EDB"/>
    <w:rsid w:val="00587855"/>
    <w:rsid w:val="005879F9"/>
    <w:rsid w:val="00591FDA"/>
    <w:rsid w:val="005927E5"/>
    <w:rsid w:val="0059481E"/>
    <w:rsid w:val="0059496D"/>
    <w:rsid w:val="0059509E"/>
    <w:rsid w:val="00595785"/>
    <w:rsid w:val="00595C29"/>
    <w:rsid w:val="00595CBC"/>
    <w:rsid w:val="00596FA8"/>
    <w:rsid w:val="00597447"/>
    <w:rsid w:val="005A0C5E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B05C3"/>
    <w:rsid w:val="005B0CCF"/>
    <w:rsid w:val="005B1421"/>
    <w:rsid w:val="005B1EBE"/>
    <w:rsid w:val="005B4EDF"/>
    <w:rsid w:val="005B529E"/>
    <w:rsid w:val="005B6533"/>
    <w:rsid w:val="005B67AE"/>
    <w:rsid w:val="005C0442"/>
    <w:rsid w:val="005C08B9"/>
    <w:rsid w:val="005C092C"/>
    <w:rsid w:val="005C1554"/>
    <w:rsid w:val="005C1FAD"/>
    <w:rsid w:val="005C3F52"/>
    <w:rsid w:val="005C5269"/>
    <w:rsid w:val="005C5D3F"/>
    <w:rsid w:val="005C623E"/>
    <w:rsid w:val="005C6739"/>
    <w:rsid w:val="005D08B3"/>
    <w:rsid w:val="005D12FA"/>
    <w:rsid w:val="005D291A"/>
    <w:rsid w:val="005D2CAB"/>
    <w:rsid w:val="005D2F9E"/>
    <w:rsid w:val="005D3313"/>
    <w:rsid w:val="005D38E6"/>
    <w:rsid w:val="005D493F"/>
    <w:rsid w:val="005D59BB"/>
    <w:rsid w:val="005D6265"/>
    <w:rsid w:val="005D6D2D"/>
    <w:rsid w:val="005D7170"/>
    <w:rsid w:val="005D78FF"/>
    <w:rsid w:val="005E053F"/>
    <w:rsid w:val="005E1B70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F0188"/>
    <w:rsid w:val="005F11A3"/>
    <w:rsid w:val="005F2C1D"/>
    <w:rsid w:val="005F4AC1"/>
    <w:rsid w:val="005F5D57"/>
    <w:rsid w:val="005F6212"/>
    <w:rsid w:val="005F7707"/>
    <w:rsid w:val="005F7A93"/>
    <w:rsid w:val="00600B66"/>
    <w:rsid w:val="00600CCD"/>
    <w:rsid w:val="00601753"/>
    <w:rsid w:val="006020ED"/>
    <w:rsid w:val="00602DF1"/>
    <w:rsid w:val="0060442D"/>
    <w:rsid w:val="00604986"/>
    <w:rsid w:val="00604A4F"/>
    <w:rsid w:val="00604DAE"/>
    <w:rsid w:val="006054FB"/>
    <w:rsid w:val="006056BE"/>
    <w:rsid w:val="00606D1D"/>
    <w:rsid w:val="006074AF"/>
    <w:rsid w:val="006115E6"/>
    <w:rsid w:val="00611E90"/>
    <w:rsid w:val="0061266D"/>
    <w:rsid w:val="00612C8A"/>
    <w:rsid w:val="00612F59"/>
    <w:rsid w:val="0061393A"/>
    <w:rsid w:val="00615855"/>
    <w:rsid w:val="00615B1C"/>
    <w:rsid w:val="006165DD"/>
    <w:rsid w:val="00617AF9"/>
    <w:rsid w:val="00620EF4"/>
    <w:rsid w:val="0062113D"/>
    <w:rsid w:val="00621372"/>
    <w:rsid w:val="006218AA"/>
    <w:rsid w:val="00622A81"/>
    <w:rsid w:val="00622F59"/>
    <w:rsid w:val="00625A0B"/>
    <w:rsid w:val="00627001"/>
    <w:rsid w:val="00627D19"/>
    <w:rsid w:val="00631563"/>
    <w:rsid w:val="00631EE7"/>
    <w:rsid w:val="00632363"/>
    <w:rsid w:val="00632682"/>
    <w:rsid w:val="00633FE4"/>
    <w:rsid w:val="006344FF"/>
    <w:rsid w:val="00634684"/>
    <w:rsid w:val="006347C6"/>
    <w:rsid w:val="006349C9"/>
    <w:rsid w:val="006350E1"/>
    <w:rsid w:val="006355A5"/>
    <w:rsid w:val="00637E95"/>
    <w:rsid w:val="00637EFB"/>
    <w:rsid w:val="0064216D"/>
    <w:rsid w:val="0064233C"/>
    <w:rsid w:val="00642A96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0401"/>
    <w:rsid w:val="00661625"/>
    <w:rsid w:val="0066164A"/>
    <w:rsid w:val="006648B6"/>
    <w:rsid w:val="00664F08"/>
    <w:rsid w:val="00672099"/>
    <w:rsid w:val="0067483E"/>
    <w:rsid w:val="00674F78"/>
    <w:rsid w:val="00676036"/>
    <w:rsid w:val="006768D8"/>
    <w:rsid w:val="00681040"/>
    <w:rsid w:val="00683B82"/>
    <w:rsid w:val="006842FB"/>
    <w:rsid w:val="00687318"/>
    <w:rsid w:val="006876EB"/>
    <w:rsid w:val="00690ACD"/>
    <w:rsid w:val="006917E1"/>
    <w:rsid w:val="00691E9D"/>
    <w:rsid w:val="00694111"/>
    <w:rsid w:val="0069637C"/>
    <w:rsid w:val="0069725F"/>
    <w:rsid w:val="006A1820"/>
    <w:rsid w:val="006A294B"/>
    <w:rsid w:val="006A381D"/>
    <w:rsid w:val="006A3B33"/>
    <w:rsid w:val="006A40EB"/>
    <w:rsid w:val="006A564A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2E4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2FAE"/>
    <w:rsid w:val="006D43C8"/>
    <w:rsid w:val="006D4E98"/>
    <w:rsid w:val="006D5C17"/>
    <w:rsid w:val="006D696D"/>
    <w:rsid w:val="006E02A4"/>
    <w:rsid w:val="006E1042"/>
    <w:rsid w:val="006E2575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A43"/>
    <w:rsid w:val="00703E54"/>
    <w:rsid w:val="00704845"/>
    <w:rsid w:val="00706AE0"/>
    <w:rsid w:val="00707157"/>
    <w:rsid w:val="007106A3"/>
    <w:rsid w:val="00710B57"/>
    <w:rsid w:val="00710D8D"/>
    <w:rsid w:val="007115C9"/>
    <w:rsid w:val="00711A0F"/>
    <w:rsid w:val="00711A1B"/>
    <w:rsid w:val="00711EF3"/>
    <w:rsid w:val="00712DE3"/>
    <w:rsid w:val="00714DD1"/>
    <w:rsid w:val="00716462"/>
    <w:rsid w:val="00716D6F"/>
    <w:rsid w:val="00716E9B"/>
    <w:rsid w:val="00717187"/>
    <w:rsid w:val="00717245"/>
    <w:rsid w:val="007202C9"/>
    <w:rsid w:val="00720787"/>
    <w:rsid w:val="00720A09"/>
    <w:rsid w:val="00721BA1"/>
    <w:rsid w:val="00721F90"/>
    <w:rsid w:val="00722404"/>
    <w:rsid w:val="00723655"/>
    <w:rsid w:val="00723A22"/>
    <w:rsid w:val="00726C81"/>
    <w:rsid w:val="007274EA"/>
    <w:rsid w:val="0072783E"/>
    <w:rsid w:val="007305F0"/>
    <w:rsid w:val="00730A5A"/>
    <w:rsid w:val="0073137D"/>
    <w:rsid w:val="00732E2F"/>
    <w:rsid w:val="00733410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277A"/>
    <w:rsid w:val="00753608"/>
    <w:rsid w:val="00753D53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DA"/>
    <w:rsid w:val="007635F5"/>
    <w:rsid w:val="0076380E"/>
    <w:rsid w:val="00765D46"/>
    <w:rsid w:val="00766A21"/>
    <w:rsid w:val="00767EE8"/>
    <w:rsid w:val="007707AD"/>
    <w:rsid w:val="00771BCB"/>
    <w:rsid w:val="00772ECB"/>
    <w:rsid w:val="00772F06"/>
    <w:rsid w:val="00773CD5"/>
    <w:rsid w:val="0077536F"/>
    <w:rsid w:val="007762D0"/>
    <w:rsid w:val="00776D3B"/>
    <w:rsid w:val="00777568"/>
    <w:rsid w:val="00777E08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4E9"/>
    <w:rsid w:val="00794410"/>
    <w:rsid w:val="00794AEC"/>
    <w:rsid w:val="0079515D"/>
    <w:rsid w:val="00796A3E"/>
    <w:rsid w:val="00796E28"/>
    <w:rsid w:val="00797683"/>
    <w:rsid w:val="007A0E55"/>
    <w:rsid w:val="007A17B0"/>
    <w:rsid w:val="007A1D9A"/>
    <w:rsid w:val="007A1DA8"/>
    <w:rsid w:val="007A1E0F"/>
    <w:rsid w:val="007A2B7E"/>
    <w:rsid w:val="007A3025"/>
    <w:rsid w:val="007A5918"/>
    <w:rsid w:val="007A5CE7"/>
    <w:rsid w:val="007A70DF"/>
    <w:rsid w:val="007B0C03"/>
    <w:rsid w:val="007B1502"/>
    <w:rsid w:val="007B16AC"/>
    <w:rsid w:val="007B2B63"/>
    <w:rsid w:val="007B2D95"/>
    <w:rsid w:val="007B3BB0"/>
    <w:rsid w:val="007B4206"/>
    <w:rsid w:val="007B460A"/>
    <w:rsid w:val="007B76C3"/>
    <w:rsid w:val="007B7FE3"/>
    <w:rsid w:val="007C1924"/>
    <w:rsid w:val="007C2BCE"/>
    <w:rsid w:val="007C3065"/>
    <w:rsid w:val="007C48EB"/>
    <w:rsid w:val="007C62A1"/>
    <w:rsid w:val="007C6A4D"/>
    <w:rsid w:val="007D0C94"/>
    <w:rsid w:val="007D1158"/>
    <w:rsid w:val="007D1284"/>
    <w:rsid w:val="007D21EE"/>
    <w:rsid w:val="007D2880"/>
    <w:rsid w:val="007D3730"/>
    <w:rsid w:val="007D4B2A"/>
    <w:rsid w:val="007D4BE9"/>
    <w:rsid w:val="007D4C7F"/>
    <w:rsid w:val="007D7805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276F"/>
    <w:rsid w:val="007F32E5"/>
    <w:rsid w:val="007F35B2"/>
    <w:rsid w:val="007F38FE"/>
    <w:rsid w:val="007F3F63"/>
    <w:rsid w:val="007F5C08"/>
    <w:rsid w:val="007F60CE"/>
    <w:rsid w:val="007F6282"/>
    <w:rsid w:val="007F7956"/>
    <w:rsid w:val="008006DB"/>
    <w:rsid w:val="00801134"/>
    <w:rsid w:val="00802724"/>
    <w:rsid w:val="0080428A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C30"/>
    <w:rsid w:val="00811F1C"/>
    <w:rsid w:val="00812008"/>
    <w:rsid w:val="00812DAD"/>
    <w:rsid w:val="00813DA2"/>
    <w:rsid w:val="00813FAA"/>
    <w:rsid w:val="008141B0"/>
    <w:rsid w:val="00815132"/>
    <w:rsid w:val="00815E3F"/>
    <w:rsid w:val="00815F40"/>
    <w:rsid w:val="00816B69"/>
    <w:rsid w:val="00817B29"/>
    <w:rsid w:val="00821104"/>
    <w:rsid w:val="008214C5"/>
    <w:rsid w:val="00822659"/>
    <w:rsid w:val="00824061"/>
    <w:rsid w:val="00824131"/>
    <w:rsid w:val="00824253"/>
    <w:rsid w:val="00824D1D"/>
    <w:rsid w:val="00825F7D"/>
    <w:rsid w:val="0082682D"/>
    <w:rsid w:val="0083016D"/>
    <w:rsid w:val="0083233C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4002B"/>
    <w:rsid w:val="00840E9B"/>
    <w:rsid w:val="0084133F"/>
    <w:rsid w:val="008422DD"/>
    <w:rsid w:val="00842C0E"/>
    <w:rsid w:val="00843D5B"/>
    <w:rsid w:val="008456A2"/>
    <w:rsid w:val="008458BF"/>
    <w:rsid w:val="00845DE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47A"/>
    <w:rsid w:val="00854A33"/>
    <w:rsid w:val="00854B36"/>
    <w:rsid w:val="00854BA2"/>
    <w:rsid w:val="00855916"/>
    <w:rsid w:val="00856676"/>
    <w:rsid w:val="008613A9"/>
    <w:rsid w:val="00862990"/>
    <w:rsid w:val="00862D8E"/>
    <w:rsid w:val="00863411"/>
    <w:rsid w:val="00863DF6"/>
    <w:rsid w:val="00864ED9"/>
    <w:rsid w:val="00867799"/>
    <w:rsid w:val="00871B35"/>
    <w:rsid w:val="00872114"/>
    <w:rsid w:val="00873715"/>
    <w:rsid w:val="00873E22"/>
    <w:rsid w:val="00873FC1"/>
    <w:rsid w:val="00873FF0"/>
    <w:rsid w:val="00874788"/>
    <w:rsid w:val="00877452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90657"/>
    <w:rsid w:val="00890C9D"/>
    <w:rsid w:val="00891E62"/>
    <w:rsid w:val="00892FE5"/>
    <w:rsid w:val="00893D88"/>
    <w:rsid w:val="00893E02"/>
    <w:rsid w:val="008957D2"/>
    <w:rsid w:val="008958EF"/>
    <w:rsid w:val="00895E24"/>
    <w:rsid w:val="00897558"/>
    <w:rsid w:val="008A0E45"/>
    <w:rsid w:val="008A2AB7"/>
    <w:rsid w:val="008A2F6A"/>
    <w:rsid w:val="008A3B0B"/>
    <w:rsid w:val="008A49DD"/>
    <w:rsid w:val="008A4B7A"/>
    <w:rsid w:val="008A55F7"/>
    <w:rsid w:val="008A5BA9"/>
    <w:rsid w:val="008A6587"/>
    <w:rsid w:val="008A7176"/>
    <w:rsid w:val="008A7D9C"/>
    <w:rsid w:val="008B0811"/>
    <w:rsid w:val="008B13C3"/>
    <w:rsid w:val="008B16E5"/>
    <w:rsid w:val="008B1878"/>
    <w:rsid w:val="008B3962"/>
    <w:rsid w:val="008B4508"/>
    <w:rsid w:val="008B5356"/>
    <w:rsid w:val="008B5E90"/>
    <w:rsid w:val="008B692E"/>
    <w:rsid w:val="008B7303"/>
    <w:rsid w:val="008B791C"/>
    <w:rsid w:val="008C0576"/>
    <w:rsid w:val="008C0CF6"/>
    <w:rsid w:val="008C204C"/>
    <w:rsid w:val="008C54E1"/>
    <w:rsid w:val="008C5C22"/>
    <w:rsid w:val="008C7B6D"/>
    <w:rsid w:val="008D07E8"/>
    <w:rsid w:val="008D0904"/>
    <w:rsid w:val="008D2367"/>
    <w:rsid w:val="008D2AAD"/>
    <w:rsid w:val="008D437F"/>
    <w:rsid w:val="008D43FC"/>
    <w:rsid w:val="008D4DF1"/>
    <w:rsid w:val="008D6E67"/>
    <w:rsid w:val="008E086F"/>
    <w:rsid w:val="008E24BB"/>
    <w:rsid w:val="008E252F"/>
    <w:rsid w:val="008E2D75"/>
    <w:rsid w:val="008E3095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164"/>
    <w:rsid w:val="0090383F"/>
    <w:rsid w:val="009049BC"/>
    <w:rsid w:val="0090501A"/>
    <w:rsid w:val="0090558C"/>
    <w:rsid w:val="009068D0"/>
    <w:rsid w:val="00906C3E"/>
    <w:rsid w:val="00911346"/>
    <w:rsid w:val="009117CC"/>
    <w:rsid w:val="00911CAF"/>
    <w:rsid w:val="00911D2E"/>
    <w:rsid w:val="00912140"/>
    <w:rsid w:val="0091396B"/>
    <w:rsid w:val="00913B7F"/>
    <w:rsid w:val="00913C78"/>
    <w:rsid w:val="00914402"/>
    <w:rsid w:val="00914A26"/>
    <w:rsid w:val="00914D9D"/>
    <w:rsid w:val="009154AC"/>
    <w:rsid w:val="009162FB"/>
    <w:rsid w:val="00916FD5"/>
    <w:rsid w:val="00921D60"/>
    <w:rsid w:val="009225B1"/>
    <w:rsid w:val="0092274E"/>
    <w:rsid w:val="0092337D"/>
    <w:rsid w:val="0092347C"/>
    <w:rsid w:val="00923A0D"/>
    <w:rsid w:val="00924455"/>
    <w:rsid w:val="009249AB"/>
    <w:rsid w:val="00924C50"/>
    <w:rsid w:val="0092554E"/>
    <w:rsid w:val="00925C73"/>
    <w:rsid w:val="00925D82"/>
    <w:rsid w:val="0093137F"/>
    <w:rsid w:val="00931E7B"/>
    <w:rsid w:val="009321B9"/>
    <w:rsid w:val="00932325"/>
    <w:rsid w:val="00932B6D"/>
    <w:rsid w:val="0093426F"/>
    <w:rsid w:val="00936453"/>
    <w:rsid w:val="009369B6"/>
    <w:rsid w:val="0093710F"/>
    <w:rsid w:val="00940114"/>
    <w:rsid w:val="00940309"/>
    <w:rsid w:val="00940CFC"/>
    <w:rsid w:val="00941121"/>
    <w:rsid w:val="00943479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196F"/>
    <w:rsid w:val="00953034"/>
    <w:rsid w:val="0095349D"/>
    <w:rsid w:val="00954287"/>
    <w:rsid w:val="00955993"/>
    <w:rsid w:val="00955E2A"/>
    <w:rsid w:val="0095608C"/>
    <w:rsid w:val="00956331"/>
    <w:rsid w:val="00956E92"/>
    <w:rsid w:val="00957B5F"/>
    <w:rsid w:val="00962793"/>
    <w:rsid w:val="009642AA"/>
    <w:rsid w:val="0096541A"/>
    <w:rsid w:val="00967957"/>
    <w:rsid w:val="009704D7"/>
    <w:rsid w:val="00970B5D"/>
    <w:rsid w:val="00972E1E"/>
    <w:rsid w:val="00974C0B"/>
    <w:rsid w:val="00974EC8"/>
    <w:rsid w:val="0097518B"/>
    <w:rsid w:val="00975612"/>
    <w:rsid w:val="00975F96"/>
    <w:rsid w:val="009769A6"/>
    <w:rsid w:val="0098076B"/>
    <w:rsid w:val="009807C1"/>
    <w:rsid w:val="00984DF6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48B"/>
    <w:rsid w:val="009956AF"/>
    <w:rsid w:val="00995DBB"/>
    <w:rsid w:val="009970D3"/>
    <w:rsid w:val="009A1612"/>
    <w:rsid w:val="009A2A05"/>
    <w:rsid w:val="009A33DB"/>
    <w:rsid w:val="009A61D1"/>
    <w:rsid w:val="009A64A5"/>
    <w:rsid w:val="009A6824"/>
    <w:rsid w:val="009A6AFC"/>
    <w:rsid w:val="009A6CC4"/>
    <w:rsid w:val="009A7852"/>
    <w:rsid w:val="009B0507"/>
    <w:rsid w:val="009B1C61"/>
    <w:rsid w:val="009B1C75"/>
    <w:rsid w:val="009B22A4"/>
    <w:rsid w:val="009B314F"/>
    <w:rsid w:val="009B452D"/>
    <w:rsid w:val="009B6082"/>
    <w:rsid w:val="009B7B66"/>
    <w:rsid w:val="009C113E"/>
    <w:rsid w:val="009C12B3"/>
    <w:rsid w:val="009C3213"/>
    <w:rsid w:val="009C344E"/>
    <w:rsid w:val="009C47F0"/>
    <w:rsid w:val="009C6BF7"/>
    <w:rsid w:val="009D167D"/>
    <w:rsid w:val="009D1BD2"/>
    <w:rsid w:val="009D34A4"/>
    <w:rsid w:val="009D3C6E"/>
    <w:rsid w:val="009D4A19"/>
    <w:rsid w:val="009D4B7A"/>
    <w:rsid w:val="009D4C6D"/>
    <w:rsid w:val="009D5834"/>
    <w:rsid w:val="009D6AEE"/>
    <w:rsid w:val="009E0E19"/>
    <w:rsid w:val="009E1E52"/>
    <w:rsid w:val="009E1F22"/>
    <w:rsid w:val="009E35CB"/>
    <w:rsid w:val="009E51E1"/>
    <w:rsid w:val="009E5780"/>
    <w:rsid w:val="009E6748"/>
    <w:rsid w:val="009E7573"/>
    <w:rsid w:val="009E7D1B"/>
    <w:rsid w:val="009F0587"/>
    <w:rsid w:val="009F0CF5"/>
    <w:rsid w:val="009F0DC8"/>
    <w:rsid w:val="009F0E8E"/>
    <w:rsid w:val="009F2B01"/>
    <w:rsid w:val="009F4108"/>
    <w:rsid w:val="009F5BC5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25C6"/>
    <w:rsid w:val="00A12E11"/>
    <w:rsid w:val="00A132DF"/>
    <w:rsid w:val="00A133D0"/>
    <w:rsid w:val="00A14132"/>
    <w:rsid w:val="00A1436A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480C"/>
    <w:rsid w:val="00A25914"/>
    <w:rsid w:val="00A26E17"/>
    <w:rsid w:val="00A27B40"/>
    <w:rsid w:val="00A30D45"/>
    <w:rsid w:val="00A31274"/>
    <w:rsid w:val="00A3202F"/>
    <w:rsid w:val="00A32A97"/>
    <w:rsid w:val="00A32CC0"/>
    <w:rsid w:val="00A33EF5"/>
    <w:rsid w:val="00A35C8F"/>
    <w:rsid w:val="00A37423"/>
    <w:rsid w:val="00A37A23"/>
    <w:rsid w:val="00A406C1"/>
    <w:rsid w:val="00A40DB7"/>
    <w:rsid w:val="00A4164F"/>
    <w:rsid w:val="00A42648"/>
    <w:rsid w:val="00A42764"/>
    <w:rsid w:val="00A42FDA"/>
    <w:rsid w:val="00A43286"/>
    <w:rsid w:val="00A43D16"/>
    <w:rsid w:val="00A44F25"/>
    <w:rsid w:val="00A4525F"/>
    <w:rsid w:val="00A45510"/>
    <w:rsid w:val="00A4555F"/>
    <w:rsid w:val="00A45A8E"/>
    <w:rsid w:val="00A463BE"/>
    <w:rsid w:val="00A46BA1"/>
    <w:rsid w:val="00A5005A"/>
    <w:rsid w:val="00A50577"/>
    <w:rsid w:val="00A5468C"/>
    <w:rsid w:val="00A54E38"/>
    <w:rsid w:val="00A54F2C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F5C"/>
    <w:rsid w:val="00A64E2D"/>
    <w:rsid w:val="00A65179"/>
    <w:rsid w:val="00A651A2"/>
    <w:rsid w:val="00A6607A"/>
    <w:rsid w:val="00A66518"/>
    <w:rsid w:val="00A67218"/>
    <w:rsid w:val="00A6798E"/>
    <w:rsid w:val="00A67B4E"/>
    <w:rsid w:val="00A71B18"/>
    <w:rsid w:val="00A73800"/>
    <w:rsid w:val="00A73BBD"/>
    <w:rsid w:val="00A73F90"/>
    <w:rsid w:val="00A76519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6612"/>
    <w:rsid w:val="00A8692E"/>
    <w:rsid w:val="00A872E7"/>
    <w:rsid w:val="00A94367"/>
    <w:rsid w:val="00A94901"/>
    <w:rsid w:val="00A9533C"/>
    <w:rsid w:val="00A953E6"/>
    <w:rsid w:val="00A96213"/>
    <w:rsid w:val="00A96DF7"/>
    <w:rsid w:val="00A97066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04EB"/>
    <w:rsid w:val="00AC100A"/>
    <w:rsid w:val="00AC1D69"/>
    <w:rsid w:val="00AC273C"/>
    <w:rsid w:val="00AC2A51"/>
    <w:rsid w:val="00AC3FC8"/>
    <w:rsid w:val="00AC4710"/>
    <w:rsid w:val="00AC546F"/>
    <w:rsid w:val="00AC55D6"/>
    <w:rsid w:val="00AC691D"/>
    <w:rsid w:val="00AC69F1"/>
    <w:rsid w:val="00AC7B0D"/>
    <w:rsid w:val="00AD0513"/>
    <w:rsid w:val="00AD1DC7"/>
    <w:rsid w:val="00AD21A5"/>
    <w:rsid w:val="00AD3147"/>
    <w:rsid w:val="00AD4596"/>
    <w:rsid w:val="00AD4714"/>
    <w:rsid w:val="00AD4E60"/>
    <w:rsid w:val="00AD510C"/>
    <w:rsid w:val="00AD57F0"/>
    <w:rsid w:val="00AD70F8"/>
    <w:rsid w:val="00AD7137"/>
    <w:rsid w:val="00AE0068"/>
    <w:rsid w:val="00AE0F66"/>
    <w:rsid w:val="00AE2B36"/>
    <w:rsid w:val="00AE35A2"/>
    <w:rsid w:val="00AE3EA3"/>
    <w:rsid w:val="00AE6C19"/>
    <w:rsid w:val="00AE7D6B"/>
    <w:rsid w:val="00AF1029"/>
    <w:rsid w:val="00AF55A7"/>
    <w:rsid w:val="00AF55DD"/>
    <w:rsid w:val="00AF56B2"/>
    <w:rsid w:val="00AF5735"/>
    <w:rsid w:val="00AF58A6"/>
    <w:rsid w:val="00AF71E2"/>
    <w:rsid w:val="00AF7CDD"/>
    <w:rsid w:val="00B00612"/>
    <w:rsid w:val="00B00DF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7715"/>
    <w:rsid w:val="00B10B61"/>
    <w:rsid w:val="00B10E28"/>
    <w:rsid w:val="00B11015"/>
    <w:rsid w:val="00B11737"/>
    <w:rsid w:val="00B14080"/>
    <w:rsid w:val="00B15B68"/>
    <w:rsid w:val="00B15C15"/>
    <w:rsid w:val="00B17140"/>
    <w:rsid w:val="00B20D0D"/>
    <w:rsid w:val="00B21099"/>
    <w:rsid w:val="00B210CE"/>
    <w:rsid w:val="00B23F66"/>
    <w:rsid w:val="00B241CC"/>
    <w:rsid w:val="00B24821"/>
    <w:rsid w:val="00B24906"/>
    <w:rsid w:val="00B25324"/>
    <w:rsid w:val="00B25576"/>
    <w:rsid w:val="00B266AC"/>
    <w:rsid w:val="00B26BFD"/>
    <w:rsid w:val="00B27A9C"/>
    <w:rsid w:val="00B30F11"/>
    <w:rsid w:val="00B324FB"/>
    <w:rsid w:val="00B32BE4"/>
    <w:rsid w:val="00B33FBD"/>
    <w:rsid w:val="00B34EB5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5494"/>
    <w:rsid w:val="00B4696D"/>
    <w:rsid w:val="00B47F95"/>
    <w:rsid w:val="00B50481"/>
    <w:rsid w:val="00B5100D"/>
    <w:rsid w:val="00B5483A"/>
    <w:rsid w:val="00B552B6"/>
    <w:rsid w:val="00B55C32"/>
    <w:rsid w:val="00B56D01"/>
    <w:rsid w:val="00B57331"/>
    <w:rsid w:val="00B607AD"/>
    <w:rsid w:val="00B6206C"/>
    <w:rsid w:val="00B6250F"/>
    <w:rsid w:val="00B635C6"/>
    <w:rsid w:val="00B639F9"/>
    <w:rsid w:val="00B65D9C"/>
    <w:rsid w:val="00B661A5"/>
    <w:rsid w:val="00B66222"/>
    <w:rsid w:val="00B66B6B"/>
    <w:rsid w:val="00B67F4F"/>
    <w:rsid w:val="00B701A5"/>
    <w:rsid w:val="00B70D74"/>
    <w:rsid w:val="00B71507"/>
    <w:rsid w:val="00B71DD4"/>
    <w:rsid w:val="00B73658"/>
    <w:rsid w:val="00B73CBB"/>
    <w:rsid w:val="00B74102"/>
    <w:rsid w:val="00B74FD7"/>
    <w:rsid w:val="00B76857"/>
    <w:rsid w:val="00B777F2"/>
    <w:rsid w:val="00B77F95"/>
    <w:rsid w:val="00B812D1"/>
    <w:rsid w:val="00B822D5"/>
    <w:rsid w:val="00B82B20"/>
    <w:rsid w:val="00B82FEA"/>
    <w:rsid w:val="00B83160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78B"/>
    <w:rsid w:val="00B95C53"/>
    <w:rsid w:val="00B95C5D"/>
    <w:rsid w:val="00B96D7E"/>
    <w:rsid w:val="00B97121"/>
    <w:rsid w:val="00BA08BE"/>
    <w:rsid w:val="00BA095D"/>
    <w:rsid w:val="00BA17A3"/>
    <w:rsid w:val="00BA2ED2"/>
    <w:rsid w:val="00BA3DDE"/>
    <w:rsid w:val="00BA44E0"/>
    <w:rsid w:val="00BA5083"/>
    <w:rsid w:val="00BA798E"/>
    <w:rsid w:val="00BA7A01"/>
    <w:rsid w:val="00BA7AE5"/>
    <w:rsid w:val="00BB0200"/>
    <w:rsid w:val="00BB0440"/>
    <w:rsid w:val="00BB0AD6"/>
    <w:rsid w:val="00BB1A7D"/>
    <w:rsid w:val="00BB2E70"/>
    <w:rsid w:val="00BB355E"/>
    <w:rsid w:val="00BB50B0"/>
    <w:rsid w:val="00BB6B84"/>
    <w:rsid w:val="00BB7277"/>
    <w:rsid w:val="00BC045A"/>
    <w:rsid w:val="00BC0D09"/>
    <w:rsid w:val="00BC1400"/>
    <w:rsid w:val="00BC29E2"/>
    <w:rsid w:val="00BC46EA"/>
    <w:rsid w:val="00BC670C"/>
    <w:rsid w:val="00BC7AAD"/>
    <w:rsid w:val="00BD1234"/>
    <w:rsid w:val="00BD12F3"/>
    <w:rsid w:val="00BD2441"/>
    <w:rsid w:val="00BD3A22"/>
    <w:rsid w:val="00BD49A5"/>
    <w:rsid w:val="00BD5F41"/>
    <w:rsid w:val="00BD618E"/>
    <w:rsid w:val="00BD64B7"/>
    <w:rsid w:val="00BD689A"/>
    <w:rsid w:val="00BE0147"/>
    <w:rsid w:val="00BE0F2D"/>
    <w:rsid w:val="00BE1AA2"/>
    <w:rsid w:val="00BE1EF1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E0"/>
    <w:rsid w:val="00C036C3"/>
    <w:rsid w:val="00C036E5"/>
    <w:rsid w:val="00C04A0B"/>
    <w:rsid w:val="00C05AB7"/>
    <w:rsid w:val="00C06ED3"/>
    <w:rsid w:val="00C075E0"/>
    <w:rsid w:val="00C1065A"/>
    <w:rsid w:val="00C10E3A"/>
    <w:rsid w:val="00C12018"/>
    <w:rsid w:val="00C13B7B"/>
    <w:rsid w:val="00C15F9E"/>
    <w:rsid w:val="00C15FCE"/>
    <w:rsid w:val="00C20D5E"/>
    <w:rsid w:val="00C21766"/>
    <w:rsid w:val="00C22254"/>
    <w:rsid w:val="00C23924"/>
    <w:rsid w:val="00C2408D"/>
    <w:rsid w:val="00C24286"/>
    <w:rsid w:val="00C249E7"/>
    <w:rsid w:val="00C276DD"/>
    <w:rsid w:val="00C27F9F"/>
    <w:rsid w:val="00C30DB5"/>
    <w:rsid w:val="00C31037"/>
    <w:rsid w:val="00C31765"/>
    <w:rsid w:val="00C33F46"/>
    <w:rsid w:val="00C343C5"/>
    <w:rsid w:val="00C34525"/>
    <w:rsid w:val="00C3488A"/>
    <w:rsid w:val="00C34AB8"/>
    <w:rsid w:val="00C34E68"/>
    <w:rsid w:val="00C34EA8"/>
    <w:rsid w:val="00C3563E"/>
    <w:rsid w:val="00C40014"/>
    <w:rsid w:val="00C4077E"/>
    <w:rsid w:val="00C41167"/>
    <w:rsid w:val="00C41C75"/>
    <w:rsid w:val="00C44EE1"/>
    <w:rsid w:val="00C44FA0"/>
    <w:rsid w:val="00C45232"/>
    <w:rsid w:val="00C4623F"/>
    <w:rsid w:val="00C47F17"/>
    <w:rsid w:val="00C502C7"/>
    <w:rsid w:val="00C50340"/>
    <w:rsid w:val="00C5094C"/>
    <w:rsid w:val="00C520DC"/>
    <w:rsid w:val="00C5221A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4F82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5C27"/>
    <w:rsid w:val="00C77CE3"/>
    <w:rsid w:val="00C81268"/>
    <w:rsid w:val="00C81942"/>
    <w:rsid w:val="00C83843"/>
    <w:rsid w:val="00C83CAC"/>
    <w:rsid w:val="00C84861"/>
    <w:rsid w:val="00C853A4"/>
    <w:rsid w:val="00C86179"/>
    <w:rsid w:val="00C872E6"/>
    <w:rsid w:val="00C8751F"/>
    <w:rsid w:val="00C87814"/>
    <w:rsid w:val="00C87B32"/>
    <w:rsid w:val="00C90BDE"/>
    <w:rsid w:val="00C90C8D"/>
    <w:rsid w:val="00C9114B"/>
    <w:rsid w:val="00C91496"/>
    <w:rsid w:val="00C9165C"/>
    <w:rsid w:val="00C91BCF"/>
    <w:rsid w:val="00C91D28"/>
    <w:rsid w:val="00C91F26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145"/>
    <w:rsid w:val="00C97510"/>
    <w:rsid w:val="00C977DF"/>
    <w:rsid w:val="00CA02FD"/>
    <w:rsid w:val="00CA248C"/>
    <w:rsid w:val="00CA3BC7"/>
    <w:rsid w:val="00CA461A"/>
    <w:rsid w:val="00CA4B43"/>
    <w:rsid w:val="00CA71BA"/>
    <w:rsid w:val="00CB237B"/>
    <w:rsid w:val="00CB3113"/>
    <w:rsid w:val="00CB4288"/>
    <w:rsid w:val="00CB5127"/>
    <w:rsid w:val="00CB54EC"/>
    <w:rsid w:val="00CB5911"/>
    <w:rsid w:val="00CB71D2"/>
    <w:rsid w:val="00CB7EB6"/>
    <w:rsid w:val="00CC1520"/>
    <w:rsid w:val="00CC153B"/>
    <w:rsid w:val="00CC1B6C"/>
    <w:rsid w:val="00CC25F5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0D02"/>
    <w:rsid w:val="00CD1202"/>
    <w:rsid w:val="00CD173C"/>
    <w:rsid w:val="00CD2388"/>
    <w:rsid w:val="00CD4D51"/>
    <w:rsid w:val="00CD4F92"/>
    <w:rsid w:val="00CD5104"/>
    <w:rsid w:val="00CE0186"/>
    <w:rsid w:val="00CE02BB"/>
    <w:rsid w:val="00CE10AB"/>
    <w:rsid w:val="00CE1598"/>
    <w:rsid w:val="00CE1C69"/>
    <w:rsid w:val="00CE2A76"/>
    <w:rsid w:val="00CE2DBC"/>
    <w:rsid w:val="00CE54B4"/>
    <w:rsid w:val="00CE5B44"/>
    <w:rsid w:val="00CE6335"/>
    <w:rsid w:val="00CE6C02"/>
    <w:rsid w:val="00CE71FC"/>
    <w:rsid w:val="00CE7638"/>
    <w:rsid w:val="00CF1F59"/>
    <w:rsid w:val="00CF3FB0"/>
    <w:rsid w:val="00CF475E"/>
    <w:rsid w:val="00CF4849"/>
    <w:rsid w:val="00CF57BD"/>
    <w:rsid w:val="00CF6C2D"/>
    <w:rsid w:val="00CF77FD"/>
    <w:rsid w:val="00D0010D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A13"/>
    <w:rsid w:val="00D10635"/>
    <w:rsid w:val="00D109CA"/>
    <w:rsid w:val="00D10DBB"/>
    <w:rsid w:val="00D14A88"/>
    <w:rsid w:val="00D14FA1"/>
    <w:rsid w:val="00D152EE"/>
    <w:rsid w:val="00D17AA3"/>
    <w:rsid w:val="00D2064A"/>
    <w:rsid w:val="00D218D6"/>
    <w:rsid w:val="00D224D0"/>
    <w:rsid w:val="00D230BD"/>
    <w:rsid w:val="00D23C21"/>
    <w:rsid w:val="00D23D9B"/>
    <w:rsid w:val="00D24622"/>
    <w:rsid w:val="00D24C61"/>
    <w:rsid w:val="00D24EEE"/>
    <w:rsid w:val="00D25E02"/>
    <w:rsid w:val="00D3040F"/>
    <w:rsid w:val="00D31C5A"/>
    <w:rsid w:val="00D33012"/>
    <w:rsid w:val="00D332DE"/>
    <w:rsid w:val="00D34657"/>
    <w:rsid w:val="00D349B7"/>
    <w:rsid w:val="00D34A2E"/>
    <w:rsid w:val="00D35089"/>
    <w:rsid w:val="00D35772"/>
    <w:rsid w:val="00D373DD"/>
    <w:rsid w:val="00D40BC4"/>
    <w:rsid w:val="00D40DE5"/>
    <w:rsid w:val="00D41B85"/>
    <w:rsid w:val="00D442D0"/>
    <w:rsid w:val="00D44392"/>
    <w:rsid w:val="00D462EE"/>
    <w:rsid w:val="00D47D62"/>
    <w:rsid w:val="00D50997"/>
    <w:rsid w:val="00D50BC0"/>
    <w:rsid w:val="00D5109E"/>
    <w:rsid w:val="00D51212"/>
    <w:rsid w:val="00D51B40"/>
    <w:rsid w:val="00D529F7"/>
    <w:rsid w:val="00D53A14"/>
    <w:rsid w:val="00D54F3F"/>
    <w:rsid w:val="00D55922"/>
    <w:rsid w:val="00D55B56"/>
    <w:rsid w:val="00D6016A"/>
    <w:rsid w:val="00D60482"/>
    <w:rsid w:val="00D62DC7"/>
    <w:rsid w:val="00D648BD"/>
    <w:rsid w:val="00D648FE"/>
    <w:rsid w:val="00D6690F"/>
    <w:rsid w:val="00D67259"/>
    <w:rsid w:val="00D677F5"/>
    <w:rsid w:val="00D67E77"/>
    <w:rsid w:val="00D70181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D04"/>
    <w:rsid w:val="00D77456"/>
    <w:rsid w:val="00D80343"/>
    <w:rsid w:val="00D8059F"/>
    <w:rsid w:val="00D814F0"/>
    <w:rsid w:val="00D815B5"/>
    <w:rsid w:val="00D81C78"/>
    <w:rsid w:val="00D822D9"/>
    <w:rsid w:val="00D83497"/>
    <w:rsid w:val="00D85ED1"/>
    <w:rsid w:val="00D8626A"/>
    <w:rsid w:val="00D86A75"/>
    <w:rsid w:val="00D86C9A"/>
    <w:rsid w:val="00D87549"/>
    <w:rsid w:val="00D8774A"/>
    <w:rsid w:val="00D90AB3"/>
    <w:rsid w:val="00D90E1D"/>
    <w:rsid w:val="00D914F7"/>
    <w:rsid w:val="00D932BA"/>
    <w:rsid w:val="00D93C9B"/>
    <w:rsid w:val="00D94B97"/>
    <w:rsid w:val="00D94DFE"/>
    <w:rsid w:val="00D96620"/>
    <w:rsid w:val="00D97DF9"/>
    <w:rsid w:val="00DA08AA"/>
    <w:rsid w:val="00DA1BAE"/>
    <w:rsid w:val="00DA5193"/>
    <w:rsid w:val="00DA788A"/>
    <w:rsid w:val="00DB0000"/>
    <w:rsid w:val="00DB2301"/>
    <w:rsid w:val="00DB248A"/>
    <w:rsid w:val="00DB29EE"/>
    <w:rsid w:val="00DB2EDA"/>
    <w:rsid w:val="00DB33CE"/>
    <w:rsid w:val="00DB441C"/>
    <w:rsid w:val="00DB77F3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D03C7"/>
    <w:rsid w:val="00DD0466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547F"/>
    <w:rsid w:val="00DD6C38"/>
    <w:rsid w:val="00DE16F3"/>
    <w:rsid w:val="00DE1B83"/>
    <w:rsid w:val="00DE42BF"/>
    <w:rsid w:val="00DE4DEC"/>
    <w:rsid w:val="00DE6438"/>
    <w:rsid w:val="00DE68C2"/>
    <w:rsid w:val="00DE7F13"/>
    <w:rsid w:val="00DF0857"/>
    <w:rsid w:val="00DF1142"/>
    <w:rsid w:val="00DF26AE"/>
    <w:rsid w:val="00DF26C3"/>
    <w:rsid w:val="00DF3202"/>
    <w:rsid w:val="00DF33AF"/>
    <w:rsid w:val="00DF3D34"/>
    <w:rsid w:val="00DF4924"/>
    <w:rsid w:val="00DF619E"/>
    <w:rsid w:val="00DF73F5"/>
    <w:rsid w:val="00DF792A"/>
    <w:rsid w:val="00DF7EF2"/>
    <w:rsid w:val="00E0214D"/>
    <w:rsid w:val="00E025AE"/>
    <w:rsid w:val="00E025C7"/>
    <w:rsid w:val="00E02ACD"/>
    <w:rsid w:val="00E02E4B"/>
    <w:rsid w:val="00E04098"/>
    <w:rsid w:val="00E04696"/>
    <w:rsid w:val="00E05052"/>
    <w:rsid w:val="00E0665C"/>
    <w:rsid w:val="00E101A8"/>
    <w:rsid w:val="00E1162E"/>
    <w:rsid w:val="00E11C42"/>
    <w:rsid w:val="00E11E90"/>
    <w:rsid w:val="00E12171"/>
    <w:rsid w:val="00E12F28"/>
    <w:rsid w:val="00E15139"/>
    <w:rsid w:val="00E15254"/>
    <w:rsid w:val="00E153B6"/>
    <w:rsid w:val="00E17238"/>
    <w:rsid w:val="00E20281"/>
    <w:rsid w:val="00E2044B"/>
    <w:rsid w:val="00E20F30"/>
    <w:rsid w:val="00E23B0B"/>
    <w:rsid w:val="00E23DCC"/>
    <w:rsid w:val="00E243CC"/>
    <w:rsid w:val="00E244E2"/>
    <w:rsid w:val="00E256CA"/>
    <w:rsid w:val="00E25F3D"/>
    <w:rsid w:val="00E2614C"/>
    <w:rsid w:val="00E30A6E"/>
    <w:rsid w:val="00E33896"/>
    <w:rsid w:val="00E33E7F"/>
    <w:rsid w:val="00E34A31"/>
    <w:rsid w:val="00E34B7A"/>
    <w:rsid w:val="00E355C8"/>
    <w:rsid w:val="00E35646"/>
    <w:rsid w:val="00E362B9"/>
    <w:rsid w:val="00E36C9C"/>
    <w:rsid w:val="00E36F43"/>
    <w:rsid w:val="00E37206"/>
    <w:rsid w:val="00E37F8D"/>
    <w:rsid w:val="00E405FE"/>
    <w:rsid w:val="00E414C1"/>
    <w:rsid w:val="00E4191E"/>
    <w:rsid w:val="00E41EBD"/>
    <w:rsid w:val="00E4211E"/>
    <w:rsid w:val="00E4222C"/>
    <w:rsid w:val="00E423EB"/>
    <w:rsid w:val="00E428BC"/>
    <w:rsid w:val="00E4322D"/>
    <w:rsid w:val="00E43331"/>
    <w:rsid w:val="00E44149"/>
    <w:rsid w:val="00E449EC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7EB"/>
    <w:rsid w:val="00E53E33"/>
    <w:rsid w:val="00E544FB"/>
    <w:rsid w:val="00E56A01"/>
    <w:rsid w:val="00E6017D"/>
    <w:rsid w:val="00E607A2"/>
    <w:rsid w:val="00E60B1F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6B8A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40C"/>
    <w:rsid w:val="00E757DD"/>
    <w:rsid w:val="00E7586F"/>
    <w:rsid w:val="00E7633F"/>
    <w:rsid w:val="00E76422"/>
    <w:rsid w:val="00E766DD"/>
    <w:rsid w:val="00E81093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376"/>
    <w:rsid w:val="00E916CD"/>
    <w:rsid w:val="00E92498"/>
    <w:rsid w:val="00E924D6"/>
    <w:rsid w:val="00E92D33"/>
    <w:rsid w:val="00E9357F"/>
    <w:rsid w:val="00E93B96"/>
    <w:rsid w:val="00E94F86"/>
    <w:rsid w:val="00E9517D"/>
    <w:rsid w:val="00E964C7"/>
    <w:rsid w:val="00E96C93"/>
    <w:rsid w:val="00E97258"/>
    <w:rsid w:val="00EA118B"/>
    <w:rsid w:val="00EA1636"/>
    <w:rsid w:val="00EA1EDA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04A6"/>
    <w:rsid w:val="00EB06BB"/>
    <w:rsid w:val="00EB3915"/>
    <w:rsid w:val="00EB75D3"/>
    <w:rsid w:val="00EB7C0F"/>
    <w:rsid w:val="00EC0138"/>
    <w:rsid w:val="00EC0983"/>
    <w:rsid w:val="00EC0A19"/>
    <w:rsid w:val="00EC2B05"/>
    <w:rsid w:val="00EC3C73"/>
    <w:rsid w:val="00EC60D9"/>
    <w:rsid w:val="00EC6CAA"/>
    <w:rsid w:val="00EC7463"/>
    <w:rsid w:val="00EC7EE7"/>
    <w:rsid w:val="00ED0E1A"/>
    <w:rsid w:val="00ED16CF"/>
    <w:rsid w:val="00ED1C2D"/>
    <w:rsid w:val="00ED248D"/>
    <w:rsid w:val="00ED3AC6"/>
    <w:rsid w:val="00ED3D3F"/>
    <w:rsid w:val="00ED47E6"/>
    <w:rsid w:val="00ED695D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E577D"/>
    <w:rsid w:val="00EE6F28"/>
    <w:rsid w:val="00EE7BA3"/>
    <w:rsid w:val="00EF1802"/>
    <w:rsid w:val="00EF24A6"/>
    <w:rsid w:val="00EF29A0"/>
    <w:rsid w:val="00EF50D7"/>
    <w:rsid w:val="00EF6DF5"/>
    <w:rsid w:val="00F019EB"/>
    <w:rsid w:val="00F02483"/>
    <w:rsid w:val="00F026DD"/>
    <w:rsid w:val="00F02F06"/>
    <w:rsid w:val="00F0472D"/>
    <w:rsid w:val="00F04C84"/>
    <w:rsid w:val="00F072AF"/>
    <w:rsid w:val="00F072B6"/>
    <w:rsid w:val="00F0750A"/>
    <w:rsid w:val="00F0762F"/>
    <w:rsid w:val="00F07791"/>
    <w:rsid w:val="00F07D8A"/>
    <w:rsid w:val="00F10001"/>
    <w:rsid w:val="00F1238A"/>
    <w:rsid w:val="00F126E8"/>
    <w:rsid w:val="00F12842"/>
    <w:rsid w:val="00F1321F"/>
    <w:rsid w:val="00F15ECF"/>
    <w:rsid w:val="00F16223"/>
    <w:rsid w:val="00F16A08"/>
    <w:rsid w:val="00F17C2A"/>
    <w:rsid w:val="00F2045B"/>
    <w:rsid w:val="00F20599"/>
    <w:rsid w:val="00F22B10"/>
    <w:rsid w:val="00F23A93"/>
    <w:rsid w:val="00F23CEA"/>
    <w:rsid w:val="00F25F97"/>
    <w:rsid w:val="00F26E18"/>
    <w:rsid w:val="00F2705D"/>
    <w:rsid w:val="00F273A2"/>
    <w:rsid w:val="00F3021C"/>
    <w:rsid w:val="00F302CB"/>
    <w:rsid w:val="00F30DDA"/>
    <w:rsid w:val="00F33C62"/>
    <w:rsid w:val="00F348D4"/>
    <w:rsid w:val="00F35AA9"/>
    <w:rsid w:val="00F35F8E"/>
    <w:rsid w:val="00F36A54"/>
    <w:rsid w:val="00F373A1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54DE"/>
    <w:rsid w:val="00F469C4"/>
    <w:rsid w:val="00F4738E"/>
    <w:rsid w:val="00F47E50"/>
    <w:rsid w:val="00F52062"/>
    <w:rsid w:val="00F53EE8"/>
    <w:rsid w:val="00F544A5"/>
    <w:rsid w:val="00F54FFA"/>
    <w:rsid w:val="00F566D6"/>
    <w:rsid w:val="00F60151"/>
    <w:rsid w:val="00F61E51"/>
    <w:rsid w:val="00F6381A"/>
    <w:rsid w:val="00F66FD8"/>
    <w:rsid w:val="00F671B9"/>
    <w:rsid w:val="00F6787E"/>
    <w:rsid w:val="00F67DCD"/>
    <w:rsid w:val="00F70C6F"/>
    <w:rsid w:val="00F70D2E"/>
    <w:rsid w:val="00F71726"/>
    <w:rsid w:val="00F71DDE"/>
    <w:rsid w:val="00F72378"/>
    <w:rsid w:val="00F7270C"/>
    <w:rsid w:val="00F73279"/>
    <w:rsid w:val="00F754D3"/>
    <w:rsid w:val="00F768CD"/>
    <w:rsid w:val="00F769EE"/>
    <w:rsid w:val="00F818FD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6F6"/>
    <w:rsid w:val="00F907F5"/>
    <w:rsid w:val="00F90BF9"/>
    <w:rsid w:val="00F92BE6"/>
    <w:rsid w:val="00F94702"/>
    <w:rsid w:val="00F95A9B"/>
    <w:rsid w:val="00F962F4"/>
    <w:rsid w:val="00F96C08"/>
    <w:rsid w:val="00F96F71"/>
    <w:rsid w:val="00FA02FF"/>
    <w:rsid w:val="00FA3D96"/>
    <w:rsid w:val="00FA45AE"/>
    <w:rsid w:val="00FA5125"/>
    <w:rsid w:val="00FA55AE"/>
    <w:rsid w:val="00FA7342"/>
    <w:rsid w:val="00FB13C1"/>
    <w:rsid w:val="00FB1F92"/>
    <w:rsid w:val="00FB3E94"/>
    <w:rsid w:val="00FB52B9"/>
    <w:rsid w:val="00FB5DBA"/>
    <w:rsid w:val="00FC14DC"/>
    <w:rsid w:val="00FC236B"/>
    <w:rsid w:val="00FC37FB"/>
    <w:rsid w:val="00FC4217"/>
    <w:rsid w:val="00FC4D96"/>
    <w:rsid w:val="00FC5223"/>
    <w:rsid w:val="00FC5603"/>
    <w:rsid w:val="00FC5D48"/>
    <w:rsid w:val="00FC7002"/>
    <w:rsid w:val="00FC713E"/>
    <w:rsid w:val="00FC7925"/>
    <w:rsid w:val="00FD18A7"/>
    <w:rsid w:val="00FD2C21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3503"/>
    <w:rsid w:val="00FE3A84"/>
    <w:rsid w:val="00FE3B63"/>
    <w:rsid w:val="00FE4674"/>
    <w:rsid w:val="00FE4936"/>
    <w:rsid w:val="00FE4DCA"/>
    <w:rsid w:val="00FE508C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01C08-DD68-442B-ADCE-2E32076F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imgs/C_17_pagineAree_5373_16_file.pdf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.stampa@gimbe.or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0E6F-C422-40F8-BA52-54A77A41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9</cp:revision>
  <cp:lastPrinted>2020-10-14T11:24:00Z</cp:lastPrinted>
  <dcterms:created xsi:type="dcterms:W3CDTF">2020-11-05T07:56:00Z</dcterms:created>
  <dcterms:modified xsi:type="dcterms:W3CDTF">2020-11-05T08:40:00Z</dcterms:modified>
</cp:coreProperties>
</file>