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E3DD" w14:textId="77777777" w:rsidR="007618E2" w:rsidRPr="00B86338" w:rsidRDefault="007618E2" w:rsidP="007618E2">
      <w:pPr>
        <w:spacing w:after="0" w:line="276" w:lineRule="auto"/>
        <w:jc w:val="center"/>
        <w:rPr>
          <w:rFonts w:eastAsia="Times New Roman" w:cs="Calibri"/>
          <w:b/>
          <w:bCs/>
          <w:color w:val="FF0000"/>
          <w:sz w:val="36"/>
          <w:szCs w:val="36"/>
          <w:bdr w:val="none" w:sz="0" w:space="0" w:color="auto"/>
        </w:rPr>
      </w:pPr>
      <w:r w:rsidRPr="00636A1A">
        <w:rPr>
          <w:b/>
          <w:bCs/>
          <w:color w:val="auto"/>
          <w:sz w:val="36"/>
          <w:szCs w:val="33"/>
        </w:rPr>
        <w:t>COMUNICATO STAMPA</w:t>
      </w:r>
      <w:r w:rsidRPr="00636A1A">
        <w:rPr>
          <w:b/>
          <w:bCs/>
          <w:color w:val="auto"/>
          <w:sz w:val="36"/>
          <w:szCs w:val="33"/>
        </w:rPr>
        <w:br/>
      </w:r>
      <w:bookmarkStart w:id="0" w:name="_Hlk115941954"/>
      <w:r w:rsidRPr="008D2B0B">
        <w:rPr>
          <w:rFonts w:eastAsia="Times New Roman" w:cs="Calibri"/>
          <w:b/>
          <w:bCs/>
          <w:color w:val="auto"/>
          <w:sz w:val="36"/>
          <w:szCs w:val="36"/>
          <w:bdr w:val="none" w:sz="0" w:space="0" w:color="auto"/>
        </w:rPr>
        <w:t>CORONAVIRUS: I CONTAGI CORRONO</w:t>
      </w:r>
      <w:r>
        <w:rPr>
          <w:rFonts w:eastAsia="Times New Roman" w:cs="Calibri"/>
          <w:b/>
          <w:bCs/>
          <w:color w:val="auto"/>
          <w:sz w:val="36"/>
          <w:szCs w:val="36"/>
          <w:bdr w:val="none" w:sz="0" w:space="0" w:color="auto"/>
        </w:rPr>
        <w:t xml:space="preserve"> (</w:t>
      </w:r>
      <w:r w:rsidRPr="008D2B0B">
        <w:rPr>
          <w:rFonts w:eastAsia="Times New Roman" w:cs="Calibri"/>
          <w:b/>
          <w:bCs/>
          <w:color w:val="auto"/>
          <w:sz w:val="36"/>
          <w:szCs w:val="36"/>
          <w:bdr w:val="none" w:sz="0" w:space="0" w:color="auto"/>
        </w:rPr>
        <w:t>+51,9% IN 7 GIORNI</w:t>
      </w:r>
      <w:r>
        <w:rPr>
          <w:rFonts w:eastAsia="Times New Roman" w:cs="Calibri"/>
          <w:b/>
          <w:bCs/>
          <w:color w:val="auto"/>
          <w:sz w:val="36"/>
          <w:szCs w:val="36"/>
          <w:bdr w:val="none" w:sz="0" w:space="0" w:color="auto"/>
        </w:rPr>
        <w:t xml:space="preserve">) E S’INVERTE LA CURVA DELLE </w:t>
      </w:r>
      <w:r w:rsidRPr="008D2B0B">
        <w:rPr>
          <w:rFonts w:eastAsia="Times New Roman" w:cs="Calibri"/>
          <w:b/>
          <w:bCs/>
          <w:color w:val="auto"/>
          <w:sz w:val="36"/>
          <w:szCs w:val="36"/>
          <w:bdr w:val="none" w:sz="0" w:space="0" w:color="auto"/>
        </w:rPr>
        <w:t>TERAPIE INTENSIVE (+21,1%)</w:t>
      </w:r>
      <w:r>
        <w:rPr>
          <w:rFonts w:eastAsia="Times New Roman" w:cs="Calibri"/>
          <w:b/>
          <w:bCs/>
          <w:color w:val="auto"/>
          <w:sz w:val="36"/>
          <w:szCs w:val="36"/>
          <w:bdr w:val="none" w:sz="0" w:space="0" w:color="auto"/>
        </w:rPr>
        <w:t xml:space="preserve">. </w:t>
      </w:r>
      <w:r>
        <w:rPr>
          <w:rFonts w:eastAsia="Times New Roman" w:cs="Calibri"/>
          <w:b/>
          <w:bCs/>
          <w:color w:val="auto"/>
          <w:sz w:val="36"/>
          <w:szCs w:val="36"/>
          <w:bdr w:val="none" w:sz="0" w:space="0" w:color="auto"/>
        </w:rPr>
        <w:br/>
        <w:t xml:space="preserve">BALZO DEI </w:t>
      </w:r>
      <w:r w:rsidRPr="008D2B0B">
        <w:rPr>
          <w:rFonts w:eastAsia="Times New Roman" w:cs="Calibri"/>
          <w:b/>
          <w:bCs/>
          <w:color w:val="auto"/>
          <w:sz w:val="36"/>
          <w:szCs w:val="36"/>
          <w:bdr w:val="none" w:sz="0" w:space="0" w:color="auto"/>
        </w:rPr>
        <w:t xml:space="preserve">RICOVERI </w:t>
      </w:r>
      <w:r>
        <w:rPr>
          <w:rFonts w:eastAsia="Times New Roman" w:cs="Calibri"/>
          <w:b/>
          <w:bCs/>
          <w:color w:val="auto"/>
          <w:sz w:val="36"/>
          <w:szCs w:val="36"/>
          <w:bdr w:val="none" w:sz="0" w:space="0" w:color="auto"/>
        </w:rPr>
        <w:t xml:space="preserve">ORDINARI </w:t>
      </w:r>
      <w:r w:rsidRPr="008D2B0B">
        <w:rPr>
          <w:rFonts w:eastAsia="Times New Roman" w:cs="Calibri"/>
          <w:b/>
          <w:bCs/>
          <w:color w:val="auto"/>
          <w:sz w:val="36"/>
          <w:szCs w:val="36"/>
          <w:bdr w:val="none" w:sz="0" w:space="0" w:color="auto"/>
        </w:rPr>
        <w:t>(+31,8%)</w:t>
      </w:r>
      <w:r>
        <w:rPr>
          <w:rFonts w:eastAsia="Times New Roman" w:cs="Calibri"/>
          <w:b/>
          <w:bCs/>
          <w:color w:val="auto"/>
          <w:sz w:val="36"/>
          <w:szCs w:val="36"/>
          <w:bdr w:val="none" w:sz="0" w:space="0" w:color="auto"/>
        </w:rPr>
        <w:t xml:space="preserve">, </w:t>
      </w:r>
      <w:r w:rsidRPr="008D2B0B">
        <w:rPr>
          <w:rFonts w:eastAsia="Times New Roman" w:cs="Calibri"/>
          <w:b/>
          <w:bCs/>
          <w:color w:val="auto"/>
          <w:sz w:val="36"/>
          <w:szCs w:val="36"/>
          <w:bdr w:val="none" w:sz="0" w:space="0" w:color="auto"/>
        </w:rPr>
        <w:t>GIÙ I DECESSI (-8,5%).</w:t>
      </w:r>
      <w:r w:rsidRPr="00B86338">
        <w:rPr>
          <w:rFonts w:eastAsia="Times New Roman" w:cs="Calibri"/>
          <w:b/>
          <w:bCs/>
          <w:color w:val="FF0000"/>
          <w:sz w:val="36"/>
          <w:szCs w:val="36"/>
          <w:bdr w:val="none" w:sz="0" w:space="0" w:color="auto"/>
        </w:rPr>
        <w:br/>
      </w:r>
      <w:r>
        <w:rPr>
          <w:rFonts w:eastAsia="Times New Roman" w:cs="Calibri"/>
          <w:b/>
          <w:bCs/>
          <w:color w:val="auto"/>
          <w:sz w:val="36"/>
          <w:szCs w:val="36"/>
          <w:bdr w:val="none" w:sz="0" w:space="0" w:color="auto"/>
        </w:rPr>
        <w:t>QUARTA DOSE AL PALO (</w:t>
      </w:r>
      <w:r w:rsidRPr="008D2B0B">
        <w:rPr>
          <w:rFonts w:eastAsia="Times New Roman" w:cs="Calibri"/>
          <w:b/>
          <w:bCs/>
          <w:color w:val="auto"/>
          <w:sz w:val="36"/>
          <w:szCs w:val="36"/>
          <w:bdr w:val="none" w:sz="0" w:space="0" w:color="auto"/>
        </w:rPr>
        <w:t>17,7</w:t>
      </w:r>
      <w:r>
        <w:rPr>
          <w:rFonts w:eastAsia="Times New Roman" w:cs="Calibri"/>
          <w:b/>
          <w:bCs/>
          <w:color w:val="auto"/>
          <w:sz w:val="36"/>
          <w:szCs w:val="36"/>
          <w:bdr w:val="none" w:sz="0" w:space="0" w:color="auto"/>
        </w:rPr>
        <w:t xml:space="preserve">%): MANCANO ALL’APPELLO </w:t>
      </w:r>
      <w:r w:rsidRPr="008D2B0B">
        <w:rPr>
          <w:rFonts w:eastAsia="Times New Roman" w:cs="Calibri"/>
          <w:b/>
          <w:bCs/>
          <w:color w:val="auto"/>
          <w:sz w:val="36"/>
          <w:szCs w:val="36"/>
          <w:bdr w:val="none" w:sz="0" w:space="0" w:color="auto"/>
        </w:rPr>
        <w:t>13,9 MILIONI</w:t>
      </w:r>
      <w:r>
        <w:rPr>
          <w:rFonts w:eastAsia="Times New Roman" w:cs="Calibri"/>
          <w:b/>
          <w:bCs/>
          <w:color w:val="auto"/>
          <w:sz w:val="36"/>
          <w:szCs w:val="36"/>
          <w:bdr w:val="none" w:sz="0" w:space="0" w:color="auto"/>
        </w:rPr>
        <w:t xml:space="preserve"> DI PERSONE.</w:t>
      </w:r>
    </w:p>
    <w:p w14:paraId="5E8F5D24" w14:textId="21C28026" w:rsidR="007618E2" w:rsidRPr="00EF2E75" w:rsidRDefault="007D35EE" w:rsidP="007618E2">
      <w:pPr>
        <w:spacing w:after="0" w:line="276" w:lineRule="auto"/>
        <w:jc w:val="center"/>
        <w:rPr>
          <w:b/>
          <w:bCs/>
          <w:caps/>
          <w:color w:val="auto"/>
          <w:sz w:val="36"/>
          <w:szCs w:val="36"/>
        </w:rPr>
      </w:pPr>
      <w:r w:rsidRPr="00EF2E75">
        <w:rPr>
          <w:rFonts w:eastAsia="Times New Roman" w:cs="Calibri"/>
          <w:b/>
          <w:bCs/>
          <w:color w:val="auto"/>
          <w:sz w:val="36"/>
          <w:szCs w:val="36"/>
          <w:bdr w:val="none" w:sz="0" w:space="0" w:color="auto"/>
        </w:rPr>
        <w:t xml:space="preserve">GIMBE CHIEDE AL MINISTRO </w:t>
      </w:r>
      <w:r w:rsidR="00EF2E75" w:rsidRPr="00EF2E75">
        <w:rPr>
          <w:rFonts w:eastAsia="Times New Roman" w:cs="Calibri"/>
          <w:b/>
          <w:bCs/>
          <w:color w:val="auto"/>
          <w:sz w:val="36"/>
          <w:szCs w:val="36"/>
          <w:bdr w:val="none" w:sz="0" w:space="0" w:color="auto"/>
        </w:rPr>
        <w:t xml:space="preserve">SPERANZA </w:t>
      </w:r>
      <w:r w:rsidRPr="00EF2E75">
        <w:rPr>
          <w:rFonts w:eastAsia="Times New Roman" w:cs="Calibri"/>
          <w:b/>
          <w:bCs/>
          <w:color w:val="auto"/>
          <w:sz w:val="36"/>
          <w:szCs w:val="36"/>
          <w:bdr w:val="none" w:sz="0" w:space="0" w:color="auto"/>
        </w:rPr>
        <w:t xml:space="preserve">DI PUBBLICARE </w:t>
      </w:r>
      <w:r w:rsidR="00BD4B09">
        <w:rPr>
          <w:rFonts w:eastAsia="Times New Roman" w:cs="Calibri"/>
          <w:b/>
          <w:bCs/>
          <w:color w:val="auto"/>
          <w:sz w:val="36"/>
          <w:szCs w:val="36"/>
          <w:bdr w:val="none" w:sz="0" w:space="0" w:color="auto"/>
        </w:rPr>
        <w:t xml:space="preserve">SUBITO </w:t>
      </w:r>
      <w:r w:rsidR="00EF2E75">
        <w:rPr>
          <w:rFonts w:eastAsia="Times New Roman" w:cs="Calibri"/>
          <w:b/>
          <w:bCs/>
          <w:color w:val="auto"/>
          <w:sz w:val="36"/>
          <w:szCs w:val="36"/>
          <w:bdr w:val="none" w:sz="0" w:space="0" w:color="auto"/>
        </w:rPr>
        <w:t>I</w:t>
      </w:r>
      <w:r w:rsidRPr="00EF2E75">
        <w:rPr>
          <w:rFonts w:eastAsia="Times New Roman" w:cs="Calibri"/>
          <w:b/>
          <w:bCs/>
          <w:color w:val="auto"/>
          <w:sz w:val="36"/>
          <w:szCs w:val="36"/>
          <w:bdr w:val="none" w:sz="0" w:space="0" w:color="auto"/>
        </w:rPr>
        <w:t xml:space="preserve">L </w:t>
      </w:r>
      <w:r w:rsidR="007618E2" w:rsidRPr="00EF2E75">
        <w:rPr>
          <w:rFonts w:eastAsia="Times New Roman" w:cs="Calibri"/>
          <w:b/>
          <w:bCs/>
          <w:color w:val="auto"/>
          <w:sz w:val="36"/>
          <w:szCs w:val="36"/>
          <w:bdr w:val="none" w:sz="0" w:space="0" w:color="auto"/>
        </w:rPr>
        <w:t xml:space="preserve">PIANO DI </w:t>
      </w:r>
      <w:r w:rsidR="00EF2E75">
        <w:rPr>
          <w:rFonts w:eastAsia="Times New Roman" w:cs="Calibri"/>
          <w:b/>
          <w:bCs/>
          <w:color w:val="auto"/>
          <w:sz w:val="36"/>
          <w:szCs w:val="36"/>
          <w:bdr w:val="none" w:sz="0" w:space="0" w:color="auto"/>
        </w:rPr>
        <w:t xml:space="preserve">GESTIONE </w:t>
      </w:r>
      <w:r w:rsidR="00DF4681">
        <w:rPr>
          <w:rFonts w:eastAsia="Times New Roman" w:cs="Calibri"/>
          <w:b/>
          <w:bCs/>
          <w:color w:val="auto"/>
          <w:sz w:val="36"/>
          <w:szCs w:val="36"/>
          <w:bdr w:val="none" w:sz="0" w:space="0" w:color="auto"/>
        </w:rPr>
        <w:t xml:space="preserve">PANDEMICA </w:t>
      </w:r>
      <w:r w:rsidR="007618E2" w:rsidRPr="00EF2E75">
        <w:rPr>
          <w:rFonts w:eastAsia="Times New Roman" w:cs="Calibri"/>
          <w:b/>
          <w:bCs/>
          <w:color w:val="auto"/>
          <w:sz w:val="36"/>
          <w:szCs w:val="36"/>
          <w:bdr w:val="none" w:sz="0" w:space="0" w:color="auto"/>
        </w:rPr>
        <w:t xml:space="preserve">PER </w:t>
      </w:r>
      <w:r w:rsidRPr="00EF2E75">
        <w:rPr>
          <w:rFonts w:eastAsia="Times New Roman" w:cs="Calibri"/>
          <w:b/>
          <w:bCs/>
          <w:color w:val="auto"/>
          <w:sz w:val="36"/>
          <w:szCs w:val="36"/>
          <w:bdr w:val="none" w:sz="0" w:space="0" w:color="auto"/>
        </w:rPr>
        <w:t>L’</w:t>
      </w:r>
      <w:r w:rsidR="007618E2" w:rsidRPr="00EF2E75">
        <w:rPr>
          <w:rFonts w:eastAsia="Times New Roman" w:cs="Calibri"/>
          <w:b/>
          <w:bCs/>
          <w:color w:val="auto"/>
          <w:sz w:val="36"/>
          <w:szCs w:val="36"/>
          <w:bdr w:val="none" w:sz="0" w:space="0" w:color="auto"/>
        </w:rPr>
        <w:t>AUTUNNO-INVERNO</w:t>
      </w:r>
    </w:p>
    <w:bookmarkEnd w:id="0"/>
    <w:p w14:paraId="3CF50F56" w14:textId="2C8078ED" w:rsidR="007618E2" w:rsidRPr="00B86338" w:rsidRDefault="007618E2" w:rsidP="007618E2">
      <w:pPr>
        <w:spacing w:after="200" w:line="276" w:lineRule="auto"/>
        <w:jc w:val="both"/>
        <w:rPr>
          <w:b/>
          <w:bCs/>
          <w:color w:val="FF0000"/>
        </w:rPr>
      </w:pPr>
      <w:r w:rsidRPr="004550B5">
        <w:rPr>
          <w:b/>
          <w:bCs/>
          <w:color w:val="auto"/>
        </w:rPr>
        <w:t xml:space="preserve">IL </w:t>
      </w:r>
      <w:r w:rsidRPr="008D2B0B">
        <w:rPr>
          <w:b/>
          <w:bCs/>
          <w:color w:val="auto"/>
        </w:rPr>
        <w:t xml:space="preserve">MONITORAGGIO DELLA FONDAZIONE GIMBE RILEVA, NELLA SETTIMANA 28 SETTEMBRE – 4 OTTOBRE, UN </w:t>
      </w:r>
      <w:r>
        <w:rPr>
          <w:b/>
          <w:bCs/>
          <w:color w:val="auto"/>
        </w:rPr>
        <w:t xml:space="preserve">NETTO </w:t>
      </w:r>
      <w:r w:rsidRPr="008D2B0B">
        <w:rPr>
          <w:b/>
          <w:bCs/>
          <w:color w:val="auto"/>
        </w:rPr>
        <w:t>AUMENTO DEI NUOVI CASI (244.353 vs 160.829) CHE INVESTE TUT</w:t>
      </w:r>
      <w:bookmarkStart w:id="1" w:name="_GoBack"/>
      <w:bookmarkEnd w:id="1"/>
      <w:r w:rsidRPr="008D2B0B">
        <w:rPr>
          <w:b/>
          <w:bCs/>
          <w:color w:val="auto"/>
        </w:rPr>
        <w:t>TE LE REGIONI. 3</w:t>
      </w:r>
      <w:r>
        <w:rPr>
          <w:b/>
          <w:bCs/>
          <w:color w:val="auto"/>
        </w:rPr>
        <w:t>5</w:t>
      </w:r>
      <w:r w:rsidRPr="008D2B0B">
        <w:rPr>
          <w:b/>
          <w:bCs/>
          <w:color w:val="auto"/>
        </w:rPr>
        <w:t xml:space="preserve"> PROVINCE CON OLTRE </w:t>
      </w:r>
      <w:r>
        <w:rPr>
          <w:b/>
          <w:bCs/>
          <w:color w:val="auto"/>
        </w:rPr>
        <w:t>500</w:t>
      </w:r>
      <w:r w:rsidRPr="008D2B0B">
        <w:rPr>
          <w:b/>
          <w:bCs/>
          <w:color w:val="auto"/>
        </w:rPr>
        <w:t xml:space="preserve"> CASI PER 100.000 ABITANTI.</w:t>
      </w:r>
      <w:r>
        <w:rPr>
          <w:b/>
          <w:bCs/>
          <w:color w:val="auto"/>
        </w:rPr>
        <w:t xml:space="preserve"> </w:t>
      </w:r>
      <w:r w:rsidRPr="008D2B0B">
        <w:rPr>
          <w:b/>
          <w:bCs/>
          <w:color w:val="auto"/>
        </w:rPr>
        <w:t>IN SALITA L’OCCUPAZIONE DEI POSTI LETTO IN AREA MEDICA (+1.161) E, DOPO OLTRE DUE MESI DI</w:t>
      </w:r>
      <w:r w:rsidR="00EF2E75">
        <w:rPr>
          <w:b/>
          <w:bCs/>
          <w:color w:val="auto"/>
        </w:rPr>
        <w:t xml:space="preserve"> DISCESA ANCHE </w:t>
      </w:r>
      <w:r w:rsidRPr="008D2B0B">
        <w:rPr>
          <w:b/>
          <w:bCs/>
          <w:color w:val="auto"/>
        </w:rPr>
        <w:t xml:space="preserve">IN TERAPIA INTENSIVA (+27). DECESSI IN </w:t>
      </w:r>
      <w:r w:rsidRPr="00EF2E75">
        <w:rPr>
          <w:b/>
          <w:bCs/>
          <w:color w:val="auto"/>
        </w:rPr>
        <w:t xml:space="preserve">CALO </w:t>
      </w:r>
      <w:r w:rsidRPr="008D2B0B">
        <w:rPr>
          <w:b/>
          <w:bCs/>
          <w:color w:val="auto"/>
        </w:rPr>
        <w:t xml:space="preserve">(281 </w:t>
      </w:r>
      <w:r w:rsidR="00E93D78">
        <w:rPr>
          <w:b/>
          <w:bCs/>
          <w:color w:val="auto"/>
        </w:rPr>
        <w:t>VS</w:t>
      </w:r>
      <w:r w:rsidRPr="008D2B0B">
        <w:rPr>
          <w:b/>
          <w:bCs/>
          <w:color w:val="auto"/>
        </w:rPr>
        <w:t xml:space="preserve"> 307). SONO 6,81 MILIONI I NON VACCINATI, DI CUI 970 MILA GUARITI PROTETTI SOLO TEMPORANEAMENTE. 7,54 MILIONI DI PERSONE NON HANNO ANCORA RICEVUTO LA TERZA DOSE, DI CUI 2,22 MILIONI DI GUARITI CHE NON POSSONO RICEVERLA NELL’IMMEDIATO. QUARTE DOSI: SOMMINISTRATE MENO DI 3,</w:t>
      </w:r>
      <w:r w:rsidR="0044767D">
        <w:rPr>
          <w:b/>
          <w:bCs/>
          <w:color w:val="auto"/>
        </w:rPr>
        <w:t>4</w:t>
      </w:r>
      <w:r w:rsidRPr="008D2B0B">
        <w:rPr>
          <w:b/>
          <w:bCs/>
          <w:color w:val="auto"/>
        </w:rPr>
        <w:t xml:space="preserve"> MILIONI DI DOSI. </w:t>
      </w:r>
      <w:r w:rsidRPr="003323EA">
        <w:rPr>
          <w:b/>
          <w:bCs/>
          <w:color w:val="auto"/>
        </w:rPr>
        <w:t>LA</w:t>
      </w:r>
      <w:r w:rsidR="00BD4B09">
        <w:rPr>
          <w:b/>
          <w:bCs/>
          <w:color w:val="auto"/>
        </w:rPr>
        <w:t xml:space="preserve"> </w:t>
      </w:r>
      <w:r w:rsidRPr="003323EA">
        <w:rPr>
          <w:b/>
          <w:bCs/>
          <w:color w:val="auto"/>
        </w:rPr>
        <w:t xml:space="preserve">CIRCOLARE DEL MINISTERO DELLA SALUTE CON LE INDICAZIONI PER LA GESTIONE </w:t>
      </w:r>
      <w:r w:rsidR="00226EB0">
        <w:rPr>
          <w:b/>
          <w:bCs/>
          <w:color w:val="auto"/>
        </w:rPr>
        <w:t>DELLA PANDEMIA</w:t>
      </w:r>
      <w:r w:rsidRPr="003323EA">
        <w:rPr>
          <w:b/>
          <w:bCs/>
          <w:color w:val="auto"/>
        </w:rPr>
        <w:t xml:space="preserve"> È STATA BLOCCATA</w:t>
      </w:r>
      <w:r w:rsidR="00BD4B09">
        <w:rPr>
          <w:b/>
          <w:bCs/>
          <w:color w:val="auto"/>
        </w:rPr>
        <w:t>,</w:t>
      </w:r>
      <w:r w:rsidRPr="003323EA">
        <w:rPr>
          <w:b/>
          <w:bCs/>
          <w:color w:val="auto"/>
        </w:rPr>
        <w:t xml:space="preserve"> DIMOSTRANDO CHE IN QUESTA FASE DI TRANSIZIONE ISTITUZIONALE L’OPPORTUNISMO POLITICO PREVALE SUL</w:t>
      </w:r>
      <w:r>
        <w:rPr>
          <w:b/>
          <w:bCs/>
          <w:color w:val="auto"/>
        </w:rPr>
        <w:t xml:space="preserve">LA TUTELA DELLA SALUTE PUBBLICA. </w:t>
      </w:r>
      <w:r w:rsidR="0032483C">
        <w:rPr>
          <w:b/>
          <w:bCs/>
          <w:color w:val="auto"/>
        </w:rPr>
        <w:t xml:space="preserve">LA FONDAZIONE GIMBE CHIEDE </w:t>
      </w:r>
      <w:r w:rsidR="00DF4681">
        <w:rPr>
          <w:b/>
          <w:bCs/>
          <w:color w:val="auto"/>
        </w:rPr>
        <w:t xml:space="preserve">AL MINISTRO DELLA SALUTE </w:t>
      </w:r>
      <w:r w:rsidR="00D74646">
        <w:rPr>
          <w:b/>
          <w:bCs/>
          <w:color w:val="auto"/>
        </w:rPr>
        <w:t xml:space="preserve">DI </w:t>
      </w:r>
      <w:r w:rsidR="0032483C">
        <w:rPr>
          <w:b/>
          <w:bCs/>
          <w:color w:val="auto"/>
        </w:rPr>
        <w:t>PUBBLICA</w:t>
      </w:r>
      <w:r w:rsidR="00D74646">
        <w:rPr>
          <w:b/>
          <w:bCs/>
          <w:color w:val="auto"/>
        </w:rPr>
        <w:t xml:space="preserve">RE SUBITO LA CIRCOLARE </w:t>
      </w:r>
      <w:r w:rsidR="0032483C">
        <w:rPr>
          <w:b/>
          <w:bCs/>
          <w:color w:val="auto"/>
        </w:rPr>
        <w:t xml:space="preserve">E </w:t>
      </w:r>
      <w:r w:rsidR="007D35EE">
        <w:rPr>
          <w:b/>
          <w:bCs/>
          <w:color w:val="auto"/>
        </w:rPr>
        <w:t xml:space="preserve">RIBADISCE </w:t>
      </w:r>
      <w:r w:rsidR="0028739D">
        <w:rPr>
          <w:b/>
          <w:bCs/>
          <w:color w:val="auto"/>
        </w:rPr>
        <w:t xml:space="preserve">LE </w:t>
      </w:r>
      <w:r w:rsidRPr="005242A4">
        <w:rPr>
          <w:b/>
          <w:bCs/>
          <w:color w:val="auto"/>
        </w:rPr>
        <w:t>5 AZIONI RACCOMANDATE DA OMS EUROPA.</w:t>
      </w:r>
    </w:p>
    <w:p w14:paraId="205A273E" w14:textId="77777777" w:rsidR="007618E2" w:rsidRPr="002D2BBD" w:rsidRDefault="007618E2" w:rsidP="007618E2">
      <w:pPr>
        <w:spacing w:after="200" w:line="276" w:lineRule="auto"/>
        <w:jc w:val="center"/>
        <w:rPr>
          <w:rFonts w:eastAsia="Times New Roman" w:cs="Calibri"/>
          <w:color w:val="auto"/>
          <w:bdr w:val="none" w:sz="0" w:space="0" w:color="auto"/>
        </w:rPr>
      </w:pPr>
      <w:r>
        <w:rPr>
          <w:rFonts w:cs="Calibri"/>
          <w:b/>
          <w:bCs/>
          <w:color w:val="auto"/>
        </w:rPr>
        <w:t>6 ottobre</w:t>
      </w:r>
      <w:r w:rsidRPr="002D2BBD">
        <w:rPr>
          <w:rFonts w:cs="Calibri"/>
          <w:b/>
          <w:bCs/>
          <w:color w:val="auto"/>
        </w:rPr>
        <w:t xml:space="preserve"> 2022 - Fondazione GIMBE, Bologna</w:t>
      </w:r>
    </w:p>
    <w:p w14:paraId="3DA03690" w14:textId="77777777" w:rsidR="00234498" w:rsidRPr="00234498" w:rsidRDefault="00234498" w:rsidP="00167912">
      <w:pPr>
        <w:spacing w:after="0" w:line="276" w:lineRule="auto"/>
        <w:jc w:val="both"/>
        <w:rPr>
          <w:color w:val="auto"/>
        </w:rPr>
      </w:pPr>
      <w:r w:rsidRPr="00234498">
        <w:rPr>
          <w:color w:val="auto"/>
        </w:rPr>
        <w:t xml:space="preserve">Il monitoraggio indipendente della Fondazione GIMBE rileva nella settimana 28 settembre-4 ottobre 2022, rispetto alla precedente, un </w:t>
      </w:r>
      <w:r w:rsidR="00C44A70">
        <w:rPr>
          <w:color w:val="auto"/>
        </w:rPr>
        <w:t xml:space="preserve">rilevante </w:t>
      </w:r>
      <w:r w:rsidRPr="00234498">
        <w:rPr>
          <w:color w:val="auto"/>
        </w:rPr>
        <w:t>aumento di nuovi casi (244.353 vs 160.829) (</w:t>
      </w:r>
      <w:r w:rsidRPr="00234498">
        <w:rPr>
          <w:color w:val="auto"/>
          <w:highlight w:val="yellow"/>
        </w:rPr>
        <w:t>figura 1</w:t>
      </w:r>
      <w:r w:rsidRPr="00234498">
        <w:rPr>
          <w:color w:val="auto"/>
        </w:rPr>
        <w:t>) e una diminuzione dei decessi (281 vs 307) (</w:t>
      </w:r>
      <w:r w:rsidRPr="00234498">
        <w:rPr>
          <w:color w:val="auto"/>
          <w:highlight w:val="yellow"/>
        </w:rPr>
        <w:t>figura 2</w:t>
      </w:r>
      <w:r w:rsidRPr="00234498">
        <w:rPr>
          <w:color w:val="auto"/>
        </w:rPr>
        <w:t xml:space="preserve">). In </w:t>
      </w:r>
      <w:r w:rsidR="00C44A70">
        <w:rPr>
          <w:color w:val="auto"/>
        </w:rPr>
        <w:t>crescita</w:t>
      </w:r>
      <w:r w:rsidR="00C44A70" w:rsidRPr="00234498">
        <w:rPr>
          <w:color w:val="auto"/>
        </w:rPr>
        <w:t xml:space="preserve"> </w:t>
      </w:r>
      <w:r w:rsidRPr="00234498">
        <w:rPr>
          <w:color w:val="auto"/>
        </w:rPr>
        <w:t>anche i casi attualmente positivi (491.811 vs 444.389), le persone in isolamento domiciliare (486.842 vs 440.608), i ricoveri con sintomi (4.814 vs 3.653) e le terapie intensive (155 vs 128) (</w:t>
      </w:r>
      <w:r w:rsidRPr="00234498">
        <w:rPr>
          <w:color w:val="auto"/>
          <w:highlight w:val="yellow"/>
        </w:rPr>
        <w:t>figura 3</w:t>
      </w:r>
      <w:r w:rsidRPr="00234498">
        <w:rPr>
          <w:color w:val="auto"/>
        </w:rPr>
        <w:t>). In dettaglio, rispetto alla settimana precedente, si registrano le seguenti variazioni:</w:t>
      </w:r>
    </w:p>
    <w:p w14:paraId="4659FF44" w14:textId="77777777" w:rsidR="00234498" w:rsidRPr="00234498" w:rsidRDefault="00234498" w:rsidP="00234498">
      <w:pPr>
        <w:pStyle w:val="Paragrafoelenco"/>
        <w:numPr>
          <w:ilvl w:val="0"/>
          <w:numId w:val="3"/>
        </w:numPr>
        <w:spacing w:after="0" w:line="276" w:lineRule="auto"/>
        <w:jc w:val="both"/>
        <w:rPr>
          <w:color w:val="auto"/>
        </w:rPr>
      </w:pPr>
      <w:r w:rsidRPr="00234498">
        <w:rPr>
          <w:color w:val="auto"/>
        </w:rPr>
        <w:t>Decessi: 281 (-8,5%), di cui 6 riferiti a periodi precedenti</w:t>
      </w:r>
    </w:p>
    <w:p w14:paraId="05A29C16" w14:textId="77777777" w:rsidR="00234498" w:rsidRPr="00234498" w:rsidRDefault="00234498" w:rsidP="00234498">
      <w:pPr>
        <w:pStyle w:val="Paragrafoelenco"/>
        <w:numPr>
          <w:ilvl w:val="0"/>
          <w:numId w:val="3"/>
        </w:numPr>
        <w:spacing w:after="0" w:line="276" w:lineRule="auto"/>
        <w:jc w:val="both"/>
        <w:rPr>
          <w:color w:val="auto"/>
        </w:rPr>
      </w:pPr>
      <w:r w:rsidRPr="00234498">
        <w:rPr>
          <w:color w:val="auto"/>
        </w:rPr>
        <w:t>Terapia intensiva: +27 (+21,1%)</w:t>
      </w:r>
    </w:p>
    <w:p w14:paraId="4A4ABD4D" w14:textId="77777777" w:rsidR="00234498" w:rsidRPr="00234498" w:rsidRDefault="00234498" w:rsidP="00234498">
      <w:pPr>
        <w:pStyle w:val="Paragrafoelenco"/>
        <w:numPr>
          <w:ilvl w:val="0"/>
          <w:numId w:val="3"/>
        </w:numPr>
        <w:spacing w:after="0" w:line="276" w:lineRule="auto"/>
        <w:jc w:val="both"/>
        <w:rPr>
          <w:color w:val="auto"/>
        </w:rPr>
      </w:pPr>
      <w:r w:rsidRPr="00234498">
        <w:rPr>
          <w:color w:val="auto"/>
        </w:rPr>
        <w:t>Ricoverati con sintomi: +1.161 (+31,8%)</w:t>
      </w:r>
    </w:p>
    <w:p w14:paraId="304D0D7D" w14:textId="77777777" w:rsidR="00234498" w:rsidRPr="00234498" w:rsidRDefault="00234498" w:rsidP="00234498">
      <w:pPr>
        <w:pStyle w:val="Paragrafoelenco"/>
        <w:numPr>
          <w:ilvl w:val="0"/>
          <w:numId w:val="3"/>
        </w:numPr>
        <w:spacing w:after="0" w:line="276" w:lineRule="auto"/>
        <w:jc w:val="both"/>
        <w:rPr>
          <w:color w:val="auto"/>
        </w:rPr>
      </w:pPr>
      <w:r w:rsidRPr="00234498">
        <w:rPr>
          <w:color w:val="auto"/>
        </w:rPr>
        <w:t>Isolamento domiciliare: +46.234 (+10,5%)</w:t>
      </w:r>
    </w:p>
    <w:p w14:paraId="170B3813" w14:textId="77777777" w:rsidR="00234498" w:rsidRPr="00234498" w:rsidRDefault="00234498" w:rsidP="00234498">
      <w:pPr>
        <w:pStyle w:val="Paragrafoelenco"/>
        <w:numPr>
          <w:ilvl w:val="0"/>
          <w:numId w:val="3"/>
        </w:numPr>
        <w:spacing w:after="0" w:line="276" w:lineRule="auto"/>
        <w:jc w:val="both"/>
        <w:rPr>
          <w:color w:val="auto"/>
        </w:rPr>
      </w:pPr>
      <w:r w:rsidRPr="00234498">
        <w:rPr>
          <w:color w:val="auto"/>
        </w:rPr>
        <w:t>Nuovi casi: 244.353 (+51,9%)</w:t>
      </w:r>
    </w:p>
    <w:p w14:paraId="2472E534" w14:textId="77777777" w:rsidR="00234498" w:rsidRPr="00234498" w:rsidRDefault="00234498" w:rsidP="00234498">
      <w:pPr>
        <w:pStyle w:val="Paragrafoelenco"/>
        <w:numPr>
          <w:ilvl w:val="0"/>
          <w:numId w:val="3"/>
        </w:numPr>
        <w:spacing w:line="276" w:lineRule="auto"/>
        <w:jc w:val="both"/>
        <w:rPr>
          <w:color w:val="auto"/>
        </w:rPr>
      </w:pPr>
      <w:r w:rsidRPr="00234498">
        <w:rPr>
          <w:color w:val="auto"/>
        </w:rPr>
        <w:t>Casi attualmente positivi: +47.422 (+10,7%)</w:t>
      </w:r>
    </w:p>
    <w:p w14:paraId="66CFCD7C" w14:textId="27E8D498" w:rsidR="007C4457" w:rsidRPr="00B86338" w:rsidRDefault="008030A9" w:rsidP="007B6BF5">
      <w:pPr>
        <w:spacing w:line="276" w:lineRule="auto"/>
        <w:jc w:val="both"/>
        <w:rPr>
          <w:color w:val="FF0000"/>
        </w:rPr>
      </w:pPr>
      <w:bookmarkStart w:id="2" w:name="_Hlk105580520"/>
      <w:r w:rsidRPr="00234498">
        <w:rPr>
          <w:b/>
          <w:color w:val="auto"/>
        </w:rPr>
        <w:t xml:space="preserve">Nuovi casi. </w:t>
      </w:r>
      <w:r w:rsidRPr="00234498">
        <w:rPr>
          <w:color w:val="auto"/>
        </w:rPr>
        <w:t>«</w:t>
      </w:r>
      <w:r w:rsidR="00234498" w:rsidRPr="00234498">
        <w:rPr>
          <w:color w:val="auto"/>
        </w:rPr>
        <w:t xml:space="preserve">Per la terza settimana consecutiva </w:t>
      </w:r>
      <w:r w:rsidRPr="00234498">
        <w:rPr>
          <w:color w:val="auto"/>
        </w:rPr>
        <w:t>– dichiara Nino Cartabellotta, Presidente della Fondazione GIMBE –</w:t>
      </w:r>
      <w:r w:rsidR="00B673FC" w:rsidRPr="00234498">
        <w:rPr>
          <w:color w:val="auto"/>
        </w:rPr>
        <w:t xml:space="preserve"> </w:t>
      </w:r>
      <w:r w:rsidR="00234498" w:rsidRPr="00234498">
        <w:rPr>
          <w:color w:val="auto"/>
        </w:rPr>
        <w:t>si registra un incremento dei nuovi casi</w:t>
      </w:r>
      <w:r w:rsidR="0008128A">
        <w:rPr>
          <w:color w:val="auto"/>
        </w:rPr>
        <w:t xml:space="preserve"> che segnano un ulteriore balzo</w:t>
      </w:r>
      <w:r w:rsidR="00234498" w:rsidRPr="00234498">
        <w:rPr>
          <w:color w:val="auto"/>
        </w:rPr>
        <w:t xml:space="preserve"> </w:t>
      </w:r>
      <w:r w:rsidR="00DC5AAB" w:rsidRPr="00234498">
        <w:rPr>
          <w:color w:val="auto"/>
        </w:rPr>
        <w:t>(+</w:t>
      </w:r>
      <w:r w:rsidR="00234498" w:rsidRPr="00234498">
        <w:rPr>
          <w:color w:val="auto"/>
        </w:rPr>
        <w:t>51,9</w:t>
      </w:r>
      <w:r w:rsidR="00DC5AAB" w:rsidRPr="00234498">
        <w:rPr>
          <w:color w:val="auto"/>
        </w:rPr>
        <w:t>%)</w:t>
      </w:r>
      <w:r w:rsidR="0008128A">
        <w:rPr>
          <w:color w:val="auto"/>
        </w:rPr>
        <w:t xml:space="preserve">: da poco meno di </w:t>
      </w:r>
      <w:r w:rsidR="00234498" w:rsidRPr="00234498">
        <w:rPr>
          <w:color w:val="auto"/>
        </w:rPr>
        <w:t>161</w:t>
      </w:r>
      <w:r w:rsidRPr="00234498">
        <w:rPr>
          <w:color w:val="auto"/>
        </w:rPr>
        <w:t xml:space="preserve"> mila</w:t>
      </w:r>
      <w:r w:rsidR="004C373C" w:rsidRPr="00234498">
        <w:rPr>
          <w:color w:val="auto"/>
        </w:rPr>
        <w:t xml:space="preserve"> </w:t>
      </w:r>
      <w:r w:rsidR="00C44A70">
        <w:rPr>
          <w:color w:val="auto"/>
        </w:rPr>
        <w:t xml:space="preserve">arrivano a superare </w:t>
      </w:r>
      <w:r w:rsidR="004C373C" w:rsidRPr="00234498">
        <w:rPr>
          <w:color w:val="auto"/>
        </w:rPr>
        <w:t>quota</w:t>
      </w:r>
      <w:r w:rsidR="00636A1A" w:rsidRPr="00234498">
        <w:rPr>
          <w:color w:val="auto"/>
        </w:rPr>
        <w:t xml:space="preserve"> </w:t>
      </w:r>
      <w:r w:rsidR="00234498" w:rsidRPr="00234498">
        <w:rPr>
          <w:color w:val="auto"/>
        </w:rPr>
        <w:t>244</w:t>
      </w:r>
      <w:r w:rsidR="00B61F26" w:rsidRPr="00234498">
        <w:rPr>
          <w:color w:val="auto"/>
        </w:rPr>
        <w:t xml:space="preserve"> mila</w:t>
      </w:r>
      <w:r w:rsidRPr="00234498">
        <w:rPr>
          <w:color w:val="auto"/>
        </w:rPr>
        <w:t xml:space="preserve">, con una media mobile a 7 giorni di </w:t>
      </w:r>
      <w:r w:rsidR="00636A1A" w:rsidRPr="00234498">
        <w:rPr>
          <w:color w:val="auto"/>
        </w:rPr>
        <w:t>quasi</w:t>
      </w:r>
      <w:r w:rsidR="00CB369B" w:rsidRPr="00234498">
        <w:rPr>
          <w:color w:val="auto"/>
        </w:rPr>
        <w:t xml:space="preserve"> </w:t>
      </w:r>
      <w:r w:rsidR="00234498" w:rsidRPr="00234498">
        <w:rPr>
          <w:color w:val="auto"/>
        </w:rPr>
        <w:t>35</w:t>
      </w:r>
      <w:r w:rsidR="00B61F26" w:rsidRPr="00234498">
        <w:rPr>
          <w:color w:val="auto"/>
        </w:rPr>
        <w:t xml:space="preserve"> </w:t>
      </w:r>
      <w:r w:rsidRPr="00234498">
        <w:rPr>
          <w:color w:val="auto"/>
        </w:rPr>
        <w:t xml:space="preserve">mila casi al </w:t>
      </w:r>
      <w:r w:rsidRPr="007B6BF5">
        <w:rPr>
          <w:color w:val="auto"/>
        </w:rPr>
        <w:t>giorn</w:t>
      </w:r>
      <w:r w:rsidR="00F41D5F" w:rsidRPr="007B6BF5">
        <w:rPr>
          <w:color w:val="auto"/>
        </w:rPr>
        <w:t>o</w:t>
      </w:r>
      <w:r w:rsidRPr="007B6BF5">
        <w:rPr>
          <w:color w:val="auto"/>
        </w:rPr>
        <w:t>»</w:t>
      </w:r>
      <w:bookmarkEnd w:id="2"/>
      <w:r w:rsidR="000A4BEE" w:rsidRPr="007B6BF5">
        <w:rPr>
          <w:color w:val="auto"/>
        </w:rPr>
        <w:t xml:space="preserve"> </w:t>
      </w:r>
      <w:r w:rsidRPr="007B6BF5">
        <w:rPr>
          <w:color w:val="auto"/>
        </w:rPr>
        <w:t>(</w:t>
      </w:r>
      <w:r w:rsidRPr="007B6BF5">
        <w:rPr>
          <w:color w:val="auto"/>
          <w:highlight w:val="yellow"/>
        </w:rPr>
        <w:t>figura 4</w:t>
      </w:r>
      <w:r w:rsidR="00165CBC" w:rsidRPr="007B6BF5">
        <w:rPr>
          <w:color w:val="auto"/>
        </w:rPr>
        <w:t>). L</w:t>
      </w:r>
      <w:r w:rsidR="005674D3" w:rsidRPr="007B6BF5">
        <w:rPr>
          <w:color w:val="auto"/>
        </w:rPr>
        <w:t>’</w:t>
      </w:r>
      <w:r w:rsidR="00C44A70">
        <w:rPr>
          <w:color w:val="auto"/>
        </w:rPr>
        <w:t xml:space="preserve">aumento </w:t>
      </w:r>
      <w:r w:rsidR="005674D3" w:rsidRPr="007B6BF5">
        <w:rPr>
          <w:color w:val="auto"/>
        </w:rPr>
        <w:t>riguarda</w:t>
      </w:r>
      <w:r w:rsidR="00DC5AAB" w:rsidRPr="007B6BF5">
        <w:rPr>
          <w:color w:val="auto"/>
        </w:rPr>
        <w:t>, anche se in maniera eterogenea,</w:t>
      </w:r>
      <w:r w:rsidR="005674D3" w:rsidRPr="007B6BF5">
        <w:rPr>
          <w:color w:val="auto"/>
        </w:rPr>
        <w:t xml:space="preserve"> tutte le Regioni</w:t>
      </w:r>
      <w:r w:rsidR="0028306E" w:rsidRPr="007B6BF5">
        <w:rPr>
          <w:color w:val="auto"/>
        </w:rPr>
        <w:t xml:space="preserve"> </w:t>
      </w:r>
      <w:r w:rsidR="00DC5AAB" w:rsidRPr="007B6BF5">
        <w:rPr>
          <w:color w:val="auto"/>
        </w:rPr>
        <w:t>(</w:t>
      </w:r>
      <w:r w:rsidRPr="007B6BF5">
        <w:rPr>
          <w:color w:val="auto"/>
        </w:rPr>
        <w:t xml:space="preserve">dal </w:t>
      </w:r>
      <w:r w:rsidR="00636A1A" w:rsidRPr="007B6BF5">
        <w:rPr>
          <w:color w:val="auto"/>
        </w:rPr>
        <w:t>+</w:t>
      </w:r>
      <w:r w:rsidR="00234498" w:rsidRPr="007B6BF5">
        <w:rPr>
          <w:color w:val="auto"/>
        </w:rPr>
        <w:t>18,4</w:t>
      </w:r>
      <w:r w:rsidRPr="007B6BF5">
        <w:rPr>
          <w:color w:val="auto"/>
        </w:rPr>
        <w:t xml:space="preserve">% </w:t>
      </w:r>
      <w:r w:rsidR="00B61F26" w:rsidRPr="007B6BF5">
        <w:rPr>
          <w:color w:val="auto"/>
        </w:rPr>
        <w:t xml:space="preserve">della </w:t>
      </w:r>
      <w:r w:rsidR="00234498" w:rsidRPr="007B6BF5">
        <w:rPr>
          <w:color w:val="auto"/>
        </w:rPr>
        <w:t xml:space="preserve">Sardegna </w:t>
      </w:r>
      <w:r w:rsidR="00F41D5F" w:rsidRPr="007B6BF5">
        <w:rPr>
          <w:color w:val="auto"/>
        </w:rPr>
        <w:t xml:space="preserve">al </w:t>
      </w:r>
      <w:r w:rsidR="00636A1A" w:rsidRPr="007B6BF5">
        <w:rPr>
          <w:color w:val="auto"/>
        </w:rPr>
        <w:t>+</w:t>
      </w:r>
      <w:r w:rsidR="00234498" w:rsidRPr="007B6BF5">
        <w:rPr>
          <w:color w:val="auto"/>
        </w:rPr>
        <w:t>132% della Valle D’Aosta</w:t>
      </w:r>
      <w:r w:rsidR="00DC5AAB" w:rsidRPr="007B6BF5">
        <w:rPr>
          <w:color w:val="auto"/>
        </w:rPr>
        <w:t>)</w:t>
      </w:r>
      <w:r w:rsidR="00636A1A" w:rsidRPr="007B6BF5">
        <w:rPr>
          <w:color w:val="auto"/>
        </w:rPr>
        <w:t xml:space="preserve"> </w:t>
      </w:r>
      <w:r w:rsidRPr="007B6BF5">
        <w:rPr>
          <w:color w:val="auto"/>
        </w:rPr>
        <w:t>(</w:t>
      </w:r>
      <w:r w:rsidRPr="007B6BF5">
        <w:rPr>
          <w:color w:val="auto"/>
          <w:highlight w:val="yellow"/>
        </w:rPr>
        <w:t>tabella 1</w:t>
      </w:r>
      <w:r w:rsidRPr="007B6BF5">
        <w:rPr>
          <w:color w:val="auto"/>
        </w:rPr>
        <w:t>)</w:t>
      </w:r>
      <w:r w:rsidR="00DC5AAB" w:rsidRPr="007B6BF5">
        <w:rPr>
          <w:color w:val="auto"/>
        </w:rPr>
        <w:t xml:space="preserve"> e</w:t>
      </w:r>
      <w:r w:rsidR="005674D3" w:rsidRPr="007B6BF5">
        <w:rPr>
          <w:color w:val="auto"/>
        </w:rPr>
        <w:t xml:space="preserve"> tutte le </w:t>
      </w:r>
      <w:r w:rsidR="00F41D5F" w:rsidRPr="007B6BF5">
        <w:rPr>
          <w:color w:val="auto"/>
        </w:rPr>
        <w:t>Province</w:t>
      </w:r>
      <w:r w:rsidR="0020277B" w:rsidRPr="007B6BF5">
        <w:rPr>
          <w:color w:val="auto"/>
        </w:rPr>
        <w:t xml:space="preserve"> tranne </w:t>
      </w:r>
      <w:r w:rsidR="00383A7C">
        <w:rPr>
          <w:color w:val="auto"/>
        </w:rPr>
        <w:t xml:space="preserve">quella di </w:t>
      </w:r>
      <w:r w:rsidR="0020277B" w:rsidRPr="007B6BF5">
        <w:rPr>
          <w:color w:val="auto"/>
        </w:rPr>
        <w:t>Crotone (-2,4%)</w:t>
      </w:r>
      <w:r w:rsidR="005674D3" w:rsidRPr="007B6BF5">
        <w:rPr>
          <w:color w:val="auto"/>
        </w:rPr>
        <w:t>:</w:t>
      </w:r>
      <w:r w:rsidR="00F41D5F" w:rsidRPr="007B6BF5">
        <w:rPr>
          <w:color w:val="auto"/>
        </w:rPr>
        <w:t xml:space="preserve"> </w:t>
      </w:r>
      <w:r w:rsidR="00CB369B" w:rsidRPr="007B6BF5">
        <w:rPr>
          <w:color w:val="auto"/>
        </w:rPr>
        <w:t>dal +</w:t>
      </w:r>
      <w:r w:rsidR="007B6BF5" w:rsidRPr="007B6BF5">
        <w:rPr>
          <w:color w:val="auto"/>
        </w:rPr>
        <w:t>9</w:t>
      </w:r>
      <w:r w:rsidR="00CB369B" w:rsidRPr="007B6BF5">
        <w:rPr>
          <w:color w:val="auto"/>
        </w:rPr>
        <w:t xml:space="preserve">% di </w:t>
      </w:r>
      <w:r w:rsidR="007B6BF5" w:rsidRPr="007B6BF5">
        <w:rPr>
          <w:color w:val="auto"/>
        </w:rPr>
        <w:t>Cagliari</w:t>
      </w:r>
      <w:r w:rsidR="00B61F26" w:rsidRPr="007B6BF5">
        <w:rPr>
          <w:color w:val="auto"/>
        </w:rPr>
        <w:t xml:space="preserve"> </w:t>
      </w:r>
      <w:r w:rsidR="00CB369B" w:rsidRPr="007B6BF5">
        <w:rPr>
          <w:color w:val="auto"/>
        </w:rPr>
        <w:t>al +</w:t>
      </w:r>
      <w:r w:rsidR="007B6BF5" w:rsidRPr="007B6BF5">
        <w:rPr>
          <w:color w:val="auto"/>
        </w:rPr>
        <w:t>13</w:t>
      </w:r>
      <w:r w:rsidR="00666904" w:rsidRPr="007B6BF5">
        <w:rPr>
          <w:color w:val="auto"/>
        </w:rPr>
        <w:t>2</w:t>
      </w:r>
      <w:r w:rsidR="00CB369B" w:rsidRPr="007B6BF5">
        <w:rPr>
          <w:color w:val="auto"/>
        </w:rPr>
        <w:t>% di</w:t>
      </w:r>
      <w:r w:rsidR="00666904" w:rsidRPr="007B6BF5">
        <w:rPr>
          <w:color w:val="auto"/>
        </w:rPr>
        <w:t xml:space="preserve"> </w:t>
      </w:r>
      <w:r w:rsidR="007B6BF5" w:rsidRPr="007B6BF5">
        <w:rPr>
          <w:color w:val="auto"/>
        </w:rPr>
        <w:t>Aosta</w:t>
      </w:r>
      <w:r w:rsidR="005674D3" w:rsidRPr="007B6BF5">
        <w:rPr>
          <w:color w:val="auto"/>
        </w:rPr>
        <w:t xml:space="preserve">.  L’incidenza supera i 500 casi per 100.000 abitanti in </w:t>
      </w:r>
      <w:r w:rsidR="007B6BF5" w:rsidRPr="007B6BF5">
        <w:rPr>
          <w:color w:val="auto"/>
        </w:rPr>
        <w:t>35</w:t>
      </w:r>
      <w:r w:rsidR="005674D3" w:rsidRPr="007B6BF5">
        <w:rPr>
          <w:color w:val="auto"/>
        </w:rPr>
        <w:t xml:space="preserve"> Province: </w:t>
      </w:r>
      <w:r w:rsidR="007B6BF5" w:rsidRPr="007B6BF5">
        <w:rPr>
          <w:color w:val="auto"/>
        </w:rPr>
        <w:t xml:space="preserve">Biella (857), Vicenza (809), Trento (786), Bolzano (786), Udine (759), Belluno (751), Verbano-Cusio-Ossola (736), Sondrio </w:t>
      </w:r>
      <w:r w:rsidR="007B6BF5" w:rsidRPr="007B6BF5">
        <w:rPr>
          <w:color w:val="auto"/>
        </w:rPr>
        <w:lastRenderedPageBreak/>
        <w:t>(704), Padova (696), Treviso (631), Pescara (630), Verona (625), Como (625), Trieste (619), Venezia (618), Novara (615), Perugia (610), Rovigo (594), Cuneo (591), Chieti (582), Torino (576), Forlì-Cesena (571), Terni (558), Fermo (555), Macerata (546), Pordenone (544), Lecco (544), Asti (539), Ascoli Piceno (537), Teramo (527), Ravenna (516), Vercelli (514), Rimini (508), Rieti (501) e L</w:t>
      </w:r>
      <w:r w:rsidR="002B6708">
        <w:rPr>
          <w:color w:val="auto"/>
        </w:rPr>
        <w:t>’</w:t>
      </w:r>
      <w:r w:rsidR="007B6BF5" w:rsidRPr="007B6BF5">
        <w:rPr>
          <w:color w:val="auto"/>
        </w:rPr>
        <w:t xml:space="preserve">Aquila (501) </w:t>
      </w:r>
      <w:r w:rsidRPr="007B6BF5">
        <w:rPr>
          <w:color w:val="auto"/>
        </w:rPr>
        <w:t>(</w:t>
      </w:r>
      <w:r w:rsidRPr="007B6BF5">
        <w:rPr>
          <w:color w:val="auto"/>
          <w:highlight w:val="yellow"/>
        </w:rPr>
        <w:t>tabella 2</w:t>
      </w:r>
      <w:r w:rsidRPr="007B6BF5">
        <w:rPr>
          <w:color w:val="auto"/>
        </w:rPr>
        <w:t>).</w:t>
      </w:r>
    </w:p>
    <w:p w14:paraId="4D0B06D5" w14:textId="77777777" w:rsidR="008030A9" w:rsidRPr="004550B5" w:rsidRDefault="008030A9" w:rsidP="008030A9">
      <w:pPr>
        <w:spacing w:line="276" w:lineRule="auto"/>
        <w:jc w:val="both"/>
        <w:rPr>
          <w:color w:val="auto"/>
        </w:rPr>
      </w:pPr>
      <w:r w:rsidRPr="004550B5">
        <w:rPr>
          <w:b/>
          <w:bCs/>
          <w:color w:val="auto"/>
        </w:rPr>
        <w:t>Reinfezioni</w:t>
      </w:r>
      <w:r w:rsidRPr="004550B5">
        <w:rPr>
          <w:color w:val="auto"/>
        </w:rPr>
        <w:t xml:space="preserve">. Secondo </w:t>
      </w:r>
      <w:hyperlink r:id="rId8" w:history="1">
        <w:r w:rsidRPr="004550B5">
          <w:rPr>
            <w:rStyle w:val="Collegamentoipertestuale"/>
            <w:color w:val="auto"/>
          </w:rPr>
          <w:t>l’ultimo report dell’Istituto Superiore di Sanità</w:t>
        </w:r>
      </w:hyperlink>
      <w:r w:rsidRPr="004550B5">
        <w:rPr>
          <w:rStyle w:val="Collegamentoipertestuale"/>
          <w:color w:val="auto"/>
          <w:u w:val="none"/>
        </w:rPr>
        <w:t>,</w:t>
      </w:r>
      <w:r w:rsidRPr="004550B5">
        <w:rPr>
          <w:color w:val="auto"/>
        </w:rPr>
        <w:t xml:space="preserve"> nel periodo 24 agosto 2021</w:t>
      </w:r>
      <w:r w:rsidR="00BE21B7" w:rsidRPr="004550B5">
        <w:rPr>
          <w:color w:val="auto"/>
        </w:rPr>
        <w:t>-</w:t>
      </w:r>
      <w:r w:rsidR="004550B5" w:rsidRPr="004550B5">
        <w:rPr>
          <w:color w:val="auto"/>
        </w:rPr>
        <w:t>28</w:t>
      </w:r>
      <w:r w:rsidR="00B31940" w:rsidRPr="004550B5">
        <w:rPr>
          <w:color w:val="auto"/>
        </w:rPr>
        <w:t xml:space="preserve"> settembre</w:t>
      </w:r>
      <w:r w:rsidRPr="004550B5">
        <w:rPr>
          <w:color w:val="auto"/>
        </w:rPr>
        <w:t xml:space="preserve"> 2022 </w:t>
      </w:r>
      <w:r w:rsidR="00387C86" w:rsidRPr="004550B5">
        <w:rPr>
          <w:color w:val="auto"/>
        </w:rPr>
        <w:t xml:space="preserve">in Italia </w:t>
      </w:r>
      <w:r w:rsidRPr="004550B5">
        <w:rPr>
          <w:color w:val="auto"/>
        </w:rPr>
        <w:t>sono state registrate oltre 1</w:t>
      </w:r>
      <w:r w:rsidR="007C4457" w:rsidRPr="004550B5">
        <w:rPr>
          <w:color w:val="auto"/>
        </w:rPr>
        <w:t>,0</w:t>
      </w:r>
      <w:r w:rsidR="00B27D7D" w:rsidRPr="004550B5">
        <w:rPr>
          <w:color w:val="auto"/>
        </w:rPr>
        <w:t>9</w:t>
      </w:r>
      <w:r w:rsidR="007C4457" w:rsidRPr="004550B5">
        <w:rPr>
          <w:color w:val="auto"/>
        </w:rPr>
        <w:t xml:space="preserve"> milioni </w:t>
      </w:r>
      <w:r w:rsidRPr="004550B5">
        <w:rPr>
          <w:color w:val="auto"/>
        </w:rPr>
        <w:t xml:space="preserve">di reinfezioni, pari al </w:t>
      </w:r>
      <w:r w:rsidR="00B31940" w:rsidRPr="004550B5">
        <w:rPr>
          <w:color w:val="auto"/>
        </w:rPr>
        <w:t>6</w:t>
      </w:r>
      <w:r w:rsidR="00BE21B7" w:rsidRPr="004550B5">
        <w:rPr>
          <w:color w:val="auto"/>
        </w:rPr>
        <w:t>,</w:t>
      </w:r>
      <w:r w:rsidR="00B27D7D" w:rsidRPr="004550B5">
        <w:rPr>
          <w:color w:val="auto"/>
        </w:rPr>
        <w:t>2</w:t>
      </w:r>
      <w:r w:rsidRPr="004550B5">
        <w:rPr>
          <w:color w:val="auto"/>
        </w:rPr>
        <w:t xml:space="preserve">% del totale dei casi. La loro incidenza nella settimana </w:t>
      </w:r>
      <w:r w:rsidR="004550B5" w:rsidRPr="004550B5">
        <w:rPr>
          <w:color w:val="auto"/>
        </w:rPr>
        <w:t>22</w:t>
      </w:r>
      <w:r w:rsidR="00633A4B" w:rsidRPr="004550B5">
        <w:rPr>
          <w:color w:val="auto"/>
        </w:rPr>
        <w:t>-</w:t>
      </w:r>
      <w:r w:rsidR="004550B5" w:rsidRPr="004550B5">
        <w:rPr>
          <w:color w:val="auto"/>
        </w:rPr>
        <w:t>28</w:t>
      </w:r>
      <w:r w:rsidR="00633A4B" w:rsidRPr="004550B5">
        <w:rPr>
          <w:color w:val="auto"/>
        </w:rPr>
        <w:t xml:space="preserve"> settembre</w:t>
      </w:r>
      <w:r w:rsidRPr="004550B5">
        <w:rPr>
          <w:color w:val="auto"/>
        </w:rPr>
        <w:t xml:space="preserve"> è </w:t>
      </w:r>
      <w:r w:rsidR="007C4457" w:rsidRPr="004550B5">
        <w:rPr>
          <w:color w:val="auto"/>
        </w:rPr>
        <w:t xml:space="preserve">del </w:t>
      </w:r>
      <w:r w:rsidR="00B27D7D" w:rsidRPr="004550B5">
        <w:rPr>
          <w:color w:val="auto"/>
        </w:rPr>
        <w:t>1</w:t>
      </w:r>
      <w:r w:rsidR="004550B5" w:rsidRPr="004550B5">
        <w:rPr>
          <w:color w:val="auto"/>
        </w:rPr>
        <w:t>7</w:t>
      </w:r>
      <w:r w:rsidR="00B31940" w:rsidRPr="004550B5">
        <w:rPr>
          <w:color w:val="auto"/>
        </w:rPr>
        <w:t>,</w:t>
      </w:r>
      <w:r w:rsidR="00B27D7D" w:rsidRPr="004550B5">
        <w:rPr>
          <w:color w:val="auto"/>
        </w:rPr>
        <w:t>8</w:t>
      </w:r>
      <w:r w:rsidRPr="004550B5">
        <w:rPr>
          <w:color w:val="auto"/>
        </w:rPr>
        <w:t xml:space="preserve">% (n. </w:t>
      </w:r>
      <w:r w:rsidR="004550B5" w:rsidRPr="004550B5">
        <w:rPr>
          <w:color w:val="auto"/>
        </w:rPr>
        <w:t>59.172</w:t>
      </w:r>
      <w:r w:rsidR="00B27D7D" w:rsidRPr="004550B5">
        <w:rPr>
          <w:color w:val="auto"/>
        </w:rPr>
        <w:t xml:space="preserve"> </w:t>
      </w:r>
      <w:r w:rsidR="007C4457" w:rsidRPr="004550B5">
        <w:rPr>
          <w:color w:val="auto"/>
        </w:rPr>
        <w:t>reinfezioni)</w:t>
      </w:r>
      <w:r w:rsidR="00E8203F" w:rsidRPr="004550B5">
        <w:rPr>
          <w:color w:val="auto"/>
        </w:rPr>
        <w:t>,</w:t>
      </w:r>
      <w:r w:rsidR="007C4457" w:rsidRPr="004550B5">
        <w:rPr>
          <w:color w:val="auto"/>
        </w:rPr>
        <w:t xml:space="preserve"> in aumento rispetto alla settimana precedente (1</w:t>
      </w:r>
      <w:r w:rsidR="004550B5" w:rsidRPr="004550B5">
        <w:rPr>
          <w:color w:val="auto"/>
        </w:rPr>
        <w:t>5</w:t>
      </w:r>
      <w:r w:rsidR="00BE21B7" w:rsidRPr="004550B5">
        <w:rPr>
          <w:color w:val="auto"/>
        </w:rPr>
        <w:t>,</w:t>
      </w:r>
      <w:r w:rsidR="004550B5" w:rsidRPr="004550B5">
        <w:rPr>
          <w:color w:val="auto"/>
        </w:rPr>
        <w:t>8</w:t>
      </w:r>
      <w:r w:rsidR="007C4457" w:rsidRPr="004550B5">
        <w:rPr>
          <w:color w:val="auto"/>
        </w:rPr>
        <w:t>%).</w:t>
      </w:r>
    </w:p>
    <w:p w14:paraId="3B11EBBA" w14:textId="77777777" w:rsidR="00234498" w:rsidRPr="00234498" w:rsidRDefault="00234498" w:rsidP="008030A9">
      <w:pPr>
        <w:spacing w:line="276" w:lineRule="auto"/>
        <w:jc w:val="both"/>
        <w:rPr>
          <w:color w:val="auto"/>
        </w:rPr>
      </w:pPr>
      <w:r w:rsidRPr="00A65DC3">
        <w:rPr>
          <w:b/>
          <w:bCs/>
          <w:color w:val="auto"/>
        </w:rPr>
        <w:t>Testing</w:t>
      </w:r>
      <w:r w:rsidRPr="00234498">
        <w:rPr>
          <w:color w:val="auto"/>
        </w:rPr>
        <w:t>. Si registra un aumento del numero dei tamponi totali (+20,6%): da 1.066.571 della settimana 21-27 settembre a 1.286.485 della settimana 28 settembre-4 ottobre. In particolare i tam</w:t>
      </w:r>
      <w:r>
        <w:rPr>
          <w:color w:val="auto"/>
        </w:rPr>
        <w:t xml:space="preserve">poni rapidi sono aumentati del </w:t>
      </w:r>
      <w:r w:rsidRPr="00234498">
        <w:rPr>
          <w:color w:val="auto"/>
        </w:rPr>
        <w:t xml:space="preserve">23,7% (+203.029) </w:t>
      </w:r>
      <w:r>
        <w:rPr>
          <w:color w:val="auto"/>
        </w:rPr>
        <w:t>e</w:t>
      </w:r>
      <w:r w:rsidRPr="00234498">
        <w:rPr>
          <w:color w:val="auto"/>
        </w:rPr>
        <w:t xml:space="preserve"> quelli molecolari </w:t>
      </w:r>
      <w:r>
        <w:rPr>
          <w:color w:val="auto"/>
        </w:rPr>
        <w:t>dell’</w:t>
      </w:r>
      <w:r w:rsidRPr="00234498">
        <w:rPr>
          <w:color w:val="auto"/>
        </w:rPr>
        <w:t>8,1% (+16.885) (</w:t>
      </w:r>
      <w:r w:rsidRPr="00234498">
        <w:rPr>
          <w:color w:val="auto"/>
          <w:highlight w:val="yellow"/>
        </w:rPr>
        <w:t>figura 5</w:t>
      </w:r>
      <w:r w:rsidRPr="00234498">
        <w:rPr>
          <w:color w:val="auto"/>
        </w:rPr>
        <w:t xml:space="preserve">). La media mobile a 7 giorni del tasso di positività </w:t>
      </w:r>
      <w:r>
        <w:rPr>
          <w:color w:val="auto"/>
        </w:rPr>
        <w:t>sale dall’</w:t>
      </w:r>
      <w:r w:rsidRPr="00234498">
        <w:rPr>
          <w:color w:val="auto"/>
        </w:rPr>
        <w:t xml:space="preserve">8,8% </w:t>
      </w:r>
      <w:r w:rsidR="002B6708" w:rsidRPr="00234498">
        <w:rPr>
          <w:color w:val="auto"/>
        </w:rPr>
        <w:t>a</w:t>
      </w:r>
      <w:r w:rsidR="002B6708">
        <w:rPr>
          <w:color w:val="auto"/>
        </w:rPr>
        <w:t>ll’</w:t>
      </w:r>
      <w:r w:rsidRPr="00234498">
        <w:rPr>
          <w:color w:val="auto"/>
        </w:rPr>
        <w:t>1,7% per</w:t>
      </w:r>
      <w:r>
        <w:rPr>
          <w:color w:val="auto"/>
        </w:rPr>
        <w:t xml:space="preserve"> i tamponi molecolari e </w:t>
      </w:r>
      <w:r w:rsidRPr="00234498">
        <w:rPr>
          <w:color w:val="auto"/>
        </w:rPr>
        <w:t>dal 16,4% al 20,2% per gli antigenici rapidi (</w:t>
      </w:r>
      <w:r w:rsidRPr="00234498">
        <w:rPr>
          <w:color w:val="auto"/>
          <w:highlight w:val="yellow"/>
        </w:rPr>
        <w:t>figura 6</w:t>
      </w:r>
      <w:r w:rsidRPr="00234498">
        <w:rPr>
          <w:color w:val="auto"/>
        </w:rPr>
        <w:t>).</w:t>
      </w:r>
    </w:p>
    <w:p w14:paraId="398D09F3" w14:textId="26FF84B6" w:rsidR="009F1734" w:rsidRPr="00B86338" w:rsidRDefault="009F1734" w:rsidP="009F1734">
      <w:pPr>
        <w:jc w:val="both"/>
        <w:rPr>
          <w:color w:val="FF0000"/>
        </w:rPr>
      </w:pPr>
      <w:r w:rsidRPr="004318F8">
        <w:rPr>
          <w:b/>
          <w:color w:val="auto"/>
        </w:rPr>
        <w:t>Ospedalizzazioni</w:t>
      </w:r>
      <w:r w:rsidRPr="004318F8">
        <w:rPr>
          <w:color w:val="auto"/>
        </w:rPr>
        <w:t xml:space="preserve">. </w:t>
      </w:r>
      <w:bookmarkStart w:id="3" w:name="_Hlk115867154"/>
      <w:r w:rsidRPr="004318F8">
        <w:rPr>
          <w:color w:val="auto"/>
        </w:rPr>
        <w:t xml:space="preserve">«Sul fronte degli ospedali – afferma Marco Mosti, Direttore Operativo della Fondazione GIMBE – </w:t>
      </w:r>
      <w:r w:rsidR="004318F8" w:rsidRPr="004318F8">
        <w:rPr>
          <w:color w:val="auto"/>
        </w:rPr>
        <w:t xml:space="preserve">dopo oltre due mesi di calo </w:t>
      </w:r>
      <w:r w:rsidR="00234498" w:rsidRPr="004318F8">
        <w:rPr>
          <w:color w:val="auto"/>
        </w:rPr>
        <w:t xml:space="preserve">si registra </w:t>
      </w:r>
      <w:r w:rsidR="002B6708" w:rsidRPr="004318F8">
        <w:rPr>
          <w:color w:val="auto"/>
        </w:rPr>
        <w:t>un</w:t>
      </w:r>
      <w:r w:rsidR="002B6708">
        <w:rPr>
          <w:color w:val="auto"/>
        </w:rPr>
        <w:t>’</w:t>
      </w:r>
      <w:r w:rsidR="00234498" w:rsidRPr="004318F8">
        <w:rPr>
          <w:color w:val="auto"/>
        </w:rPr>
        <w:t>inversione di tendenza</w:t>
      </w:r>
      <w:r w:rsidR="005674D3" w:rsidRPr="004318F8">
        <w:rPr>
          <w:color w:val="auto"/>
        </w:rPr>
        <w:t xml:space="preserve"> </w:t>
      </w:r>
      <w:r w:rsidR="002B6708">
        <w:rPr>
          <w:color w:val="auto"/>
        </w:rPr>
        <w:t>nelle</w:t>
      </w:r>
      <w:r w:rsidR="002B6708" w:rsidRPr="004318F8">
        <w:rPr>
          <w:color w:val="auto"/>
        </w:rPr>
        <w:t xml:space="preserve"> terapi</w:t>
      </w:r>
      <w:r w:rsidR="002B6708">
        <w:rPr>
          <w:color w:val="auto"/>
        </w:rPr>
        <w:t>e</w:t>
      </w:r>
      <w:r w:rsidR="002B6708" w:rsidRPr="004318F8">
        <w:rPr>
          <w:color w:val="auto"/>
        </w:rPr>
        <w:t xml:space="preserve"> intensiv</w:t>
      </w:r>
      <w:r w:rsidR="002B6708">
        <w:rPr>
          <w:color w:val="auto"/>
        </w:rPr>
        <w:t>e</w:t>
      </w:r>
      <w:r w:rsidR="002B6708" w:rsidRPr="004318F8">
        <w:rPr>
          <w:color w:val="auto"/>
        </w:rPr>
        <w:t xml:space="preserve"> </w:t>
      </w:r>
      <w:r w:rsidR="005674D3" w:rsidRPr="004318F8">
        <w:rPr>
          <w:color w:val="auto"/>
        </w:rPr>
        <w:t>(</w:t>
      </w:r>
      <w:r w:rsidR="00234498" w:rsidRPr="004318F8">
        <w:rPr>
          <w:color w:val="auto"/>
        </w:rPr>
        <w:t xml:space="preserve">+21,1%), </w:t>
      </w:r>
      <w:r w:rsidR="002B6708">
        <w:rPr>
          <w:color w:val="auto"/>
        </w:rPr>
        <w:t>e</w:t>
      </w:r>
      <w:r w:rsidR="002B6708" w:rsidRPr="004318F8">
        <w:rPr>
          <w:color w:val="auto"/>
        </w:rPr>
        <w:t xml:space="preserve"> </w:t>
      </w:r>
      <w:r w:rsidR="00167912" w:rsidRPr="004318F8">
        <w:rPr>
          <w:color w:val="auto"/>
        </w:rPr>
        <w:t>un netto balzo (+31,8%)</w:t>
      </w:r>
      <w:r w:rsidR="00167912">
        <w:rPr>
          <w:color w:val="auto"/>
        </w:rPr>
        <w:t xml:space="preserve"> </w:t>
      </w:r>
      <w:r w:rsidR="00234498" w:rsidRPr="004318F8">
        <w:rPr>
          <w:color w:val="auto"/>
        </w:rPr>
        <w:t xml:space="preserve">dei ricoveri </w:t>
      </w:r>
      <w:r w:rsidRPr="004318F8">
        <w:rPr>
          <w:color w:val="auto"/>
        </w:rPr>
        <w:t xml:space="preserve">in area </w:t>
      </w:r>
      <w:r w:rsidR="00234498" w:rsidRPr="004318F8">
        <w:rPr>
          <w:color w:val="auto"/>
        </w:rPr>
        <w:t>medica</w:t>
      </w:r>
      <w:r w:rsidRPr="004318F8">
        <w:rPr>
          <w:color w:val="auto"/>
        </w:rPr>
        <w:t xml:space="preserve">». </w:t>
      </w:r>
      <w:bookmarkEnd w:id="3"/>
      <w:r w:rsidR="00167912">
        <w:rPr>
          <w:color w:val="auto"/>
        </w:rPr>
        <w:t xml:space="preserve">In termini assoluti, i </w:t>
      </w:r>
      <w:r w:rsidR="00A65DC3">
        <w:rPr>
          <w:color w:val="auto"/>
        </w:rPr>
        <w:t xml:space="preserve">posti letto COVID </w:t>
      </w:r>
      <w:r w:rsidR="002B6708">
        <w:rPr>
          <w:color w:val="auto"/>
        </w:rPr>
        <w:t>i</w:t>
      </w:r>
      <w:r w:rsidR="002B6708" w:rsidRPr="004318F8">
        <w:rPr>
          <w:color w:val="auto"/>
        </w:rPr>
        <w:t>n area critica</w:t>
      </w:r>
      <w:r w:rsidR="002B6708">
        <w:rPr>
          <w:color w:val="auto"/>
        </w:rPr>
        <w:t>,</w:t>
      </w:r>
      <w:r w:rsidR="002B6708" w:rsidRPr="004318F8">
        <w:rPr>
          <w:color w:val="auto"/>
        </w:rPr>
        <w:t xml:space="preserve"> dopo aver raggiunto il minimo di 125 il 25 settembre</w:t>
      </w:r>
      <w:r w:rsidR="002B6708">
        <w:rPr>
          <w:color w:val="auto"/>
        </w:rPr>
        <w:t>,</w:t>
      </w:r>
      <w:r w:rsidR="002B6708" w:rsidRPr="004318F8">
        <w:rPr>
          <w:color w:val="auto"/>
        </w:rPr>
        <w:t xml:space="preserve"> </w:t>
      </w:r>
      <w:r w:rsidR="004318F8" w:rsidRPr="004318F8">
        <w:rPr>
          <w:color w:val="auto"/>
        </w:rPr>
        <w:t xml:space="preserve">sono </w:t>
      </w:r>
      <w:r w:rsidR="002B6708">
        <w:rPr>
          <w:color w:val="auto"/>
        </w:rPr>
        <w:t>risaliti a quota</w:t>
      </w:r>
      <w:r w:rsidR="002B6708" w:rsidRPr="004318F8">
        <w:rPr>
          <w:color w:val="auto"/>
        </w:rPr>
        <w:t xml:space="preserve"> </w:t>
      </w:r>
      <w:r w:rsidR="004318F8" w:rsidRPr="004318F8">
        <w:rPr>
          <w:color w:val="auto"/>
        </w:rPr>
        <w:t>a 155 il 4 ottobre</w:t>
      </w:r>
      <w:r w:rsidR="002B6708">
        <w:rPr>
          <w:color w:val="auto"/>
        </w:rPr>
        <w:t xml:space="preserve">; </w:t>
      </w:r>
      <w:r w:rsidR="00666904" w:rsidRPr="004318F8">
        <w:rPr>
          <w:color w:val="auto"/>
        </w:rPr>
        <w:t>in area medica</w:t>
      </w:r>
      <w:r w:rsidR="00165CBC" w:rsidRPr="004318F8">
        <w:rPr>
          <w:color w:val="auto"/>
        </w:rPr>
        <w:t xml:space="preserve">, dopo aver </w:t>
      </w:r>
      <w:r w:rsidR="005674D3" w:rsidRPr="004318F8">
        <w:rPr>
          <w:color w:val="auto"/>
        </w:rPr>
        <w:t xml:space="preserve">raggiunto il </w:t>
      </w:r>
      <w:r w:rsidR="00666904" w:rsidRPr="004318F8">
        <w:rPr>
          <w:color w:val="auto"/>
        </w:rPr>
        <w:t xml:space="preserve">minimo di 3.293 </w:t>
      </w:r>
      <w:r w:rsidR="005674D3" w:rsidRPr="004318F8">
        <w:rPr>
          <w:color w:val="auto"/>
        </w:rPr>
        <w:t xml:space="preserve">il </w:t>
      </w:r>
      <w:r w:rsidR="00666904" w:rsidRPr="004318F8">
        <w:rPr>
          <w:color w:val="auto"/>
        </w:rPr>
        <w:t>24 settembre</w:t>
      </w:r>
      <w:r w:rsidR="002B6708">
        <w:rPr>
          <w:color w:val="auto"/>
        </w:rPr>
        <w:t>,</w:t>
      </w:r>
      <w:r w:rsidR="004318F8" w:rsidRPr="004318F8">
        <w:rPr>
          <w:color w:val="auto"/>
        </w:rPr>
        <w:t xml:space="preserve"> </w:t>
      </w:r>
      <w:r w:rsidR="00CD0474" w:rsidRPr="004318F8">
        <w:rPr>
          <w:color w:val="auto"/>
        </w:rPr>
        <w:t xml:space="preserve">sono </w:t>
      </w:r>
      <w:r w:rsidR="002B6708">
        <w:rPr>
          <w:color w:val="auto"/>
        </w:rPr>
        <w:t>arrivati</w:t>
      </w:r>
      <w:r w:rsidR="002B6708" w:rsidRPr="004318F8">
        <w:rPr>
          <w:color w:val="auto"/>
        </w:rPr>
        <w:t xml:space="preserve"> </w:t>
      </w:r>
      <w:r w:rsidR="00E32526" w:rsidRPr="004318F8">
        <w:rPr>
          <w:color w:val="auto"/>
        </w:rPr>
        <w:t>a quota</w:t>
      </w:r>
      <w:r w:rsidR="005674D3" w:rsidRPr="004318F8">
        <w:rPr>
          <w:color w:val="auto"/>
        </w:rPr>
        <w:t xml:space="preserve"> </w:t>
      </w:r>
      <w:r w:rsidR="004318F8" w:rsidRPr="004318F8">
        <w:rPr>
          <w:color w:val="auto"/>
        </w:rPr>
        <w:t>4.814 il 4 ottobre</w:t>
      </w:r>
      <w:r w:rsidR="00666904" w:rsidRPr="004318F8">
        <w:rPr>
          <w:color w:val="auto"/>
        </w:rPr>
        <w:t xml:space="preserve"> </w:t>
      </w:r>
      <w:r w:rsidRPr="004318F8">
        <w:rPr>
          <w:color w:val="auto"/>
        </w:rPr>
        <w:t>(</w:t>
      </w:r>
      <w:r w:rsidRPr="004318F8">
        <w:rPr>
          <w:color w:val="auto"/>
          <w:highlight w:val="yellow"/>
        </w:rPr>
        <w:t>figura 7</w:t>
      </w:r>
      <w:r w:rsidRPr="004318F8">
        <w:rPr>
          <w:color w:val="auto"/>
        </w:rPr>
        <w:t xml:space="preserve">). </w:t>
      </w:r>
      <w:bookmarkStart w:id="4" w:name="_Hlk115869734"/>
      <w:r w:rsidRPr="004318F8">
        <w:rPr>
          <w:color w:val="auto"/>
        </w:rPr>
        <w:t xml:space="preserve">Al </w:t>
      </w:r>
      <w:r w:rsidR="004318F8" w:rsidRPr="004318F8">
        <w:rPr>
          <w:color w:val="auto"/>
        </w:rPr>
        <w:t>4 ottobre</w:t>
      </w:r>
      <w:r w:rsidRPr="004318F8">
        <w:rPr>
          <w:color w:val="auto"/>
        </w:rPr>
        <w:t xml:space="preserve"> il tasso nazionale di </w:t>
      </w:r>
      <w:r w:rsidRPr="007D6C09">
        <w:rPr>
          <w:color w:val="auto"/>
        </w:rPr>
        <w:t xml:space="preserve">occupazione da parte di pazienti COVID è del </w:t>
      </w:r>
      <w:r w:rsidR="007D6C09" w:rsidRPr="007D6C09">
        <w:rPr>
          <w:color w:val="auto"/>
        </w:rPr>
        <w:t>7,6</w:t>
      </w:r>
      <w:r w:rsidRPr="007D6C09">
        <w:rPr>
          <w:color w:val="auto"/>
        </w:rPr>
        <w:t>% in area medica (dal 3,</w:t>
      </w:r>
      <w:r w:rsidR="007D6C09" w:rsidRPr="007D6C09">
        <w:rPr>
          <w:color w:val="auto"/>
        </w:rPr>
        <w:t>8</w:t>
      </w:r>
      <w:r w:rsidRPr="007D6C09">
        <w:rPr>
          <w:color w:val="auto"/>
        </w:rPr>
        <w:t xml:space="preserve">% della </w:t>
      </w:r>
      <w:r w:rsidR="008820F4" w:rsidRPr="007D6C09">
        <w:rPr>
          <w:color w:val="auto"/>
        </w:rPr>
        <w:t>Sardegna</w:t>
      </w:r>
      <w:r w:rsidRPr="007D6C09">
        <w:rPr>
          <w:color w:val="auto"/>
        </w:rPr>
        <w:t xml:space="preserve"> al </w:t>
      </w:r>
      <w:r w:rsidR="007D6C09" w:rsidRPr="007D6C09">
        <w:rPr>
          <w:color w:val="auto"/>
        </w:rPr>
        <w:t>23</w:t>
      </w:r>
      <w:r w:rsidR="008820F4" w:rsidRPr="007D6C09">
        <w:rPr>
          <w:color w:val="auto"/>
        </w:rPr>
        <w:t>,</w:t>
      </w:r>
      <w:r w:rsidR="007D6C09" w:rsidRPr="007D6C09">
        <w:rPr>
          <w:color w:val="auto"/>
        </w:rPr>
        <w:t>2</w:t>
      </w:r>
      <w:r w:rsidR="008820F4" w:rsidRPr="007D6C09">
        <w:rPr>
          <w:color w:val="auto"/>
        </w:rPr>
        <w:t>% dell</w:t>
      </w:r>
      <w:r w:rsidR="007D6C09" w:rsidRPr="007D6C09">
        <w:rPr>
          <w:color w:val="auto"/>
        </w:rPr>
        <w:t>a Provincia Autonoma di Bolzano</w:t>
      </w:r>
      <w:r w:rsidRPr="007D6C09">
        <w:rPr>
          <w:color w:val="auto"/>
        </w:rPr>
        <w:t>) e del</w:t>
      </w:r>
      <w:r w:rsidR="003906D7" w:rsidRPr="007D6C09">
        <w:rPr>
          <w:color w:val="auto"/>
        </w:rPr>
        <w:t>l’</w:t>
      </w:r>
      <w:r w:rsidRPr="007D6C09">
        <w:rPr>
          <w:color w:val="auto"/>
        </w:rPr>
        <w:t>1,</w:t>
      </w:r>
      <w:r w:rsidR="007D6C09" w:rsidRPr="007D6C09">
        <w:rPr>
          <w:color w:val="auto"/>
        </w:rPr>
        <w:t>7</w:t>
      </w:r>
      <w:r w:rsidRPr="007D6C09">
        <w:rPr>
          <w:color w:val="auto"/>
        </w:rPr>
        <w:t xml:space="preserve">% in area critica (dallo 0% </w:t>
      </w:r>
      <w:r w:rsidR="003906D7" w:rsidRPr="007D6C09">
        <w:rPr>
          <w:color w:val="auto"/>
        </w:rPr>
        <w:t xml:space="preserve">di </w:t>
      </w:r>
      <w:r w:rsidR="008820F4" w:rsidRPr="007D6C09">
        <w:rPr>
          <w:color w:val="auto"/>
        </w:rPr>
        <w:t xml:space="preserve">Basilicata, </w:t>
      </w:r>
      <w:r w:rsidRPr="007D6C09">
        <w:rPr>
          <w:color w:val="auto"/>
        </w:rPr>
        <w:t>Molise e Valle d’Aosta al 4</w:t>
      </w:r>
      <w:r w:rsidR="007D6C09" w:rsidRPr="007D6C09">
        <w:rPr>
          <w:color w:val="auto"/>
        </w:rPr>
        <w:t>,6</w:t>
      </w:r>
      <w:r w:rsidRPr="007D6C09">
        <w:rPr>
          <w:color w:val="auto"/>
        </w:rPr>
        <w:t>% del</w:t>
      </w:r>
      <w:r w:rsidR="007D6C09" w:rsidRPr="007D6C09">
        <w:rPr>
          <w:color w:val="auto"/>
        </w:rPr>
        <w:t xml:space="preserve"> Friuli Venezia</w:t>
      </w:r>
      <w:r w:rsidR="007D6C09">
        <w:rPr>
          <w:color w:val="auto"/>
        </w:rPr>
        <w:t>-</w:t>
      </w:r>
      <w:r w:rsidR="007D6C09" w:rsidRPr="007D6C09">
        <w:rPr>
          <w:color w:val="auto"/>
        </w:rPr>
        <w:t>Giulia</w:t>
      </w:r>
      <w:r w:rsidRPr="007D6C09">
        <w:rPr>
          <w:color w:val="auto"/>
        </w:rPr>
        <w:t>) (</w:t>
      </w:r>
      <w:r w:rsidRPr="007D6C09">
        <w:rPr>
          <w:color w:val="auto"/>
          <w:highlight w:val="yellow"/>
        </w:rPr>
        <w:t>figura 8</w:t>
      </w:r>
      <w:r w:rsidR="00666904" w:rsidRPr="007D6C09">
        <w:rPr>
          <w:color w:val="auto"/>
        </w:rPr>
        <w:t xml:space="preserve">). </w:t>
      </w:r>
      <w:bookmarkEnd w:id="4"/>
      <w:r w:rsidR="00666904" w:rsidRPr="007D6C09">
        <w:rPr>
          <w:color w:val="auto"/>
        </w:rPr>
        <w:t>«</w:t>
      </w:r>
      <w:r w:rsidR="002B6708" w:rsidRPr="007D6C09">
        <w:rPr>
          <w:color w:val="auto"/>
        </w:rPr>
        <w:t xml:space="preserve">Gli ingressi </w:t>
      </w:r>
      <w:r w:rsidR="002B6708">
        <w:rPr>
          <w:color w:val="auto"/>
        </w:rPr>
        <w:t xml:space="preserve">in terapia intensiva </w:t>
      </w:r>
      <w:r w:rsidR="002B6708" w:rsidRPr="004318F8">
        <w:rPr>
          <w:color w:val="auto"/>
        </w:rPr>
        <w:t>– puntualizza Mosti</w:t>
      </w:r>
      <w:r w:rsidR="002B6708">
        <w:rPr>
          <w:color w:val="auto"/>
        </w:rPr>
        <w:t xml:space="preserve"> </w:t>
      </w:r>
      <w:r w:rsidR="002B6708" w:rsidRPr="004318F8">
        <w:rPr>
          <w:color w:val="auto"/>
        </w:rPr>
        <w:t>–</w:t>
      </w:r>
      <w:r w:rsidR="002B6708">
        <w:rPr>
          <w:color w:val="auto"/>
        </w:rPr>
        <w:t xml:space="preserve"> d</w:t>
      </w:r>
      <w:r w:rsidR="004318F8">
        <w:rPr>
          <w:color w:val="auto"/>
        </w:rPr>
        <w:t xml:space="preserve">opo </w:t>
      </w:r>
      <w:r w:rsidR="002B6708">
        <w:rPr>
          <w:color w:val="auto"/>
        </w:rPr>
        <w:t xml:space="preserve">aver </w:t>
      </w:r>
      <w:r w:rsidR="00167912">
        <w:rPr>
          <w:color w:val="auto"/>
        </w:rPr>
        <w:t>toccato</w:t>
      </w:r>
      <w:r w:rsidR="002B6708">
        <w:rPr>
          <w:color w:val="auto"/>
        </w:rPr>
        <w:t xml:space="preserve"> </w:t>
      </w:r>
      <w:r w:rsidR="00167912">
        <w:rPr>
          <w:color w:val="auto"/>
        </w:rPr>
        <w:t xml:space="preserve">la scorsa settimana </w:t>
      </w:r>
      <w:r w:rsidR="004318F8">
        <w:rPr>
          <w:color w:val="auto"/>
        </w:rPr>
        <w:t>il minimo dal luglio 2021</w:t>
      </w:r>
      <w:r w:rsidR="00167912">
        <w:rPr>
          <w:color w:val="auto"/>
        </w:rPr>
        <w:t>,</w:t>
      </w:r>
      <w:r w:rsidR="004318F8">
        <w:rPr>
          <w:color w:val="auto"/>
        </w:rPr>
        <w:t xml:space="preserve"> sono quasi raddoppiati</w:t>
      </w:r>
      <w:r w:rsidR="007D6C09">
        <w:rPr>
          <w:color w:val="auto"/>
        </w:rPr>
        <w:t xml:space="preserve"> con una </w:t>
      </w:r>
      <w:r w:rsidR="002B6708">
        <w:rPr>
          <w:color w:val="auto"/>
        </w:rPr>
        <w:t xml:space="preserve">media mobile a 7 giorni di </w:t>
      </w:r>
      <w:r w:rsidR="004318F8">
        <w:rPr>
          <w:color w:val="auto"/>
        </w:rPr>
        <w:t>21 ingressi/die</w:t>
      </w:r>
      <w:r w:rsidR="002B6708">
        <w:rPr>
          <w:color w:val="auto"/>
        </w:rPr>
        <w:t xml:space="preserve"> vs </w:t>
      </w:r>
      <w:r w:rsidR="002B6708" w:rsidRPr="004318F8">
        <w:rPr>
          <w:color w:val="auto"/>
        </w:rPr>
        <w:t>11 ingressi/die</w:t>
      </w:r>
      <w:r w:rsidRPr="004318F8">
        <w:rPr>
          <w:color w:val="auto"/>
        </w:rPr>
        <w:t>» (</w:t>
      </w:r>
      <w:r w:rsidRPr="004318F8">
        <w:rPr>
          <w:color w:val="auto"/>
          <w:highlight w:val="yellow"/>
        </w:rPr>
        <w:t>figura 9</w:t>
      </w:r>
      <w:r w:rsidRPr="004318F8">
        <w:rPr>
          <w:color w:val="auto"/>
        </w:rPr>
        <w:t>).</w:t>
      </w:r>
    </w:p>
    <w:p w14:paraId="72C37EC6" w14:textId="77777777" w:rsidR="00A46DB8" w:rsidRPr="0020277B" w:rsidRDefault="00A46DB8" w:rsidP="008030A9">
      <w:pPr>
        <w:spacing w:line="276" w:lineRule="auto"/>
        <w:jc w:val="both"/>
        <w:rPr>
          <w:color w:val="auto"/>
        </w:rPr>
      </w:pPr>
      <w:r w:rsidRPr="0020277B">
        <w:rPr>
          <w:b/>
          <w:color w:val="auto"/>
        </w:rPr>
        <w:t>Decessi</w:t>
      </w:r>
      <w:r w:rsidRPr="0020277B">
        <w:rPr>
          <w:color w:val="auto"/>
        </w:rPr>
        <w:t xml:space="preserve">. </w:t>
      </w:r>
      <w:r w:rsidR="004516C9" w:rsidRPr="0020277B">
        <w:rPr>
          <w:color w:val="auto"/>
        </w:rPr>
        <w:t>Continuano a diminuire</w:t>
      </w:r>
      <w:r w:rsidRPr="0020277B">
        <w:rPr>
          <w:color w:val="auto"/>
        </w:rPr>
        <w:t xml:space="preserve"> </w:t>
      </w:r>
      <w:r w:rsidR="004516C9" w:rsidRPr="0020277B">
        <w:rPr>
          <w:color w:val="auto"/>
        </w:rPr>
        <w:t>i</w:t>
      </w:r>
      <w:r w:rsidRPr="0020277B">
        <w:rPr>
          <w:color w:val="auto"/>
        </w:rPr>
        <w:t xml:space="preserve"> decessi: </w:t>
      </w:r>
      <w:r w:rsidR="0020277B" w:rsidRPr="0020277B">
        <w:rPr>
          <w:color w:val="auto"/>
        </w:rPr>
        <w:t>281</w:t>
      </w:r>
      <w:r w:rsidRPr="0020277B">
        <w:rPr>
          <w:color w:val="auto"/>
        </w:rPr>
        <w:t xml:space="preserve"> negli ultimi 7 giorni (di cui </w:t>
      </w:r>
      <w:r w:rsidR="0020277B" w:rsidRPr="0020277B">
        <w:rPr>
          <w:color w:val="auto"/>
        </w:rPr>
        <w:t>6</w:t>
      </w:r>
      <w:r w:rsidRPr="0020277B">
        <w:rPr>
          <w:color w:val="auto"/>
        </w:rPr>
        <w:t xml:space="preserve"> riferiti a periodi precedenti), con una media di </w:t>
      </w:r>
      <w:r w:rsidR="0020277B" w:rsidRPr="0020277B">
        <w:rPr>
          <w:color w:val="auto"/>
        </w:rPr>
        <w:t>40</w:t>
      </w:r>
      <w:r w:rsidRPr="0020277B">
        <w:rPr>
          <w:color w:val="auto"/>
        </w:rPr>
        <w:t xml:space="preserve"> al giorno rispetto ai </w:t>
      </w:r>
      <w:r w:rsidR="0020277B" w:rsidRPr="0020277B">
        <w:rPr>
          <w:color w:val="auto"/>
        </w:rPr>
        <w:t>44</w:t>
      </w:r>
      <w:r w:rsidRPr="0020277B">
        <w:rPr>
          <w:color w:val="auto"/>
        </w:rPr>
        <w:t xml:space="preserve"> della settimana precedente.</w:t>
      </w:r>
    </w:p>
    <w:p w14:paraId="50E3676B" w14:textId="77777777" w:rsidR="009117ED" w:rsidRPr="009117ED" w:rsidRDefault="009117ED" w:rsidP="008030A9">
      <w:pPr>
        <w:spacing w:line="276" w:lineRule="auto"/>
        <w:jc w:val="both"/>
        <w:rPr>
          <w:color w:val="auto"/>
        </w:rPr>
      </w:pPr>
      <w:r w:rsidRPr="009117ED">
        <w:rPr>
          <w:b/>
          <w:color w:val="auto"/>
        </w:rPr>
        <w:t>Vaccini: nuovi vaccinati.</w:t>
      </w:r>
      <w:r w:rsidRPr="009117ED">
        <w:rPr>
          <w:color w:val="auto"/>
        </w:rPr>
        <w:t xml:space="preserve"> Nella settimana 28 settembre-4 ottobre calano i nuovi vaccinati: 1.167 rispetto ai 1.310 della settimana precedente (-10,9%). Di questi il 34,1% è rappresentato dalla fascia 5-</w:t>
      </w:r>
      <w:r>
        <w:rPr>
          <w:color w:val="auto"/>
        </w:rPr>
        <w:t xml:space="preserve">11: 398, con una riduzione del </w:t>
      </w:r>
      <w:r w:rsidRPr="009117ED">
        <w:rPr>
          <w:color w:val="auto"/>
        </w:rPr>
        <w:t>15,9% rispetto alla settimana precedente. Cala tra gli over 50, più a rischio di malattia grave, il numero di nuovi vaccinati che si attesta a quota 299 (-9,7% rispetto alla settimana precedente) (</w:t>
      </w:r>
      <w:r w:rsidRPr="009117ED">
        <w:rPr>
          <w:color w:val="auto"/>
          <w:highlight w:val="yellow"/>
        </w:rPr>
        <w:t>figura 10</w:t>
      </w:r>
      <w:r w:rsidRPr="009117ED">
        <w:rPr>
          <w:color w:val="auto"/>
        </w:rPr>
        <w:t>).</w:t>
      </w:r>
    </w:p>
    <w:p w14:paraId="3F034684" w14:textId="77777777" w:rsidR="009117ED" w:rsidRDefault="009117ED" w:rsidP="009117ED">
      <w:pPr>
        <w:spacing w:after="0" w:line="276" w:lineRule="auto"/>
        <w:jc w:val="both"/>
        <w:rPr>
          <w:color w:val="auto"/>
        </w:rPr>
      </w:pPr>
      <w:r w:rsidRPr="009117ED">
        <w:rPr>
          <w:b/>
          <w:color w:val="auto"/>
        </w:rPr>
        <w:t>Vaccini: persone non vaccinate.</w:t>
      </w:r>
      <w:r w:rsidRPr="009117ED">
        <w:rPr>
          <w:color w:val="auto"/>
        </w:rPr>
        <w:t xml:space="preserve"> Al 5 ottobre (aggiornamento ore 06.16) sono 6,81 milioni le persone di età superiore a 5 anni che non hanno ricevuto nemmeno una dose di vaccino (</w:t>
      </w:r>
      <w:r w:rsidRPr="009117ED">
        <w:rPr>
          <w:color w:val="auto"/>
          <w:highlight w:val="yellow"/>
        </w:rPr>
        <w:t>figura 11</w:t>
      </w:r>
      <w:r w:rsidRPr="009117ED">
        <w:rPr>
          <w:color w:val="auto"/>
        </w:rPr>
        <w:t xml:space="preserve">), di cui: </w:t>
      </w:r>
    </w:p>
    <w:p w14:paraId="7BB51D33" w14:textId="77777777" w:rsidR="009117ED" w:rsidRDefault="009117ED" w:rsidP="009117ED">
      <w:pPr>
        <w:pStyle w:val="Paragrafoelenco"/>
        <w:numPr>
          <w:ilvl w:val="0"/>
          <w:numId w:val="41"/>
        </w:numPr>
        <w:spacing w:after="0" w:line="276" w:lineRule="auto"/>
        <w:jc w:val="both"/>
        <w:rPr>
          <w:color w:val="auto"/>
        </w:rPr>
      </w:pPr>
      <w:r w:rsidRPr="009117ED">
        <w:rPr>
          <w:color w:val="auto"/>
        </w:rPr>
        <w:t>5,84 milioni attualmente vaccinabili, pari al 10,1% della platea (dal 7,6% del Lazio a</w:t>
      </w:r>
      <w:r>
        <w:rPr>
          <w:color w:val="auto"/>
        </w:rPr>
        <w:t>l 13,8% della Valle D</w:t>
      </w:r>
      <w:r w:rsidR="0030169F">
        <w:rPr>
          <w:color w:val="auto"/>
        </w:rPr>
        <w:t>’</w:t>
      </w:r>
      <w:r>
        <w:rPr>
          <w:color w:val="auto"/>
        </w:rPr>
        <w:t>Aosta);</w:t>
      </w:r>
    </w:p>
    <w:p w14:paraId="6E2E3944" w14:textId="77777777" w:rsidR="009117ED" w:rsidRPr="009117ED" w:rsidRDefault="009117ED" w:rsidP="009117ED">
      <w:pPr>
        <w:pStyle w:val="Paragrafoelenco"/>
        <w:numPr>
          <w:ilvl w:val="0"/>
          <w:numId w:val="41"/>
        </w:numPr>
        <w:spacing w:line="276" w:lineRule="auto"/>
        <w:jc w:val="both"/>
        <w:rPr>
          <w:color w:val="auto"/>
        </w:rPr>
      </w:pPr>
      <w:r>
        <w:rPr>
          <w:color w:val="auto"/>
        </w:rPr>
        <w:t>0</w:t>
      </w:r>
      <w:r w:rsidRPr="009117ED">
        <w:rPr>
          <w:color w:val="auto"/>
        </w:rPr>
        <w:t>,97 milioni temporaneamente protette in quanto guarite da COVID-19 da meno di 180 giorni,</w:t>
      </w:r>
      <w:r>
        <w:rPr>
          <w:color w:val="auto"/>
        </w:rPr>
        <w:t xml:space="preserve"> pari al</w:t>
      </w:r>
      <w:r w:rsidR="0030169F">
        <w:rPr>
          <w:color w:val="auto"/>
        </w:rPr>
        <w:t>l’</w:t>
      </w:r>
      <w:r>
        <w:rPr>
          <w:color w:val="auto"/>
        </w:rPr>
        <w:t>1,7% della platea (dall’</w:t>
      </w:r>
      <w:r w:rsidRPr="009117ED">
        <w:rPr>
          <w:color w:val="auto"/>
        </w:rPr>
        <w:t>1,1% della Valle D</w:t>
      </w:r>
      <w:r w:rsidR="0030169F">
        <w:rPr>
          <w:color w:val="auto"/>
        </w:rPr>
        <w:t>’</w:t>
      </w:r>
      <w:r w:rsidRPr="009117ED">
        <w:rPr>
          <w:color w:val="auto"/>
        </w:rPr>
        <w:t>Aosta al 2,5% delle Marche).</w:t>
      </w:r>
    </w:p>
    <w:p w14:paraId="7E57DCC3" w14:textId="77777777" w:rsidR="009117ED" w:rsidRPr="009117ED" w:rsidRDefault="009117ED" w:rsidP="008030A9">
      <w:pPr>
        <w:spacing w:line="276" w:lineRule="auto"/>
        <w:jc w:val="both"/>
        <w:rPr>
          <w:color w:val="auto"/>
        </w:rPr>
      </w:pPr>
      <w:r w:rsidRPr="009117ED">
        <w:rPr>
          <w:b/>
          <w:color w:val="auto"/>
        </w:rPr>
        <w:t>Vaccini: fascia 5-11 anni.</w:t>
      </w:r>
      <w:r w:rsidRPr="009117ED">
        <w:rPr>
          <w:color w:val="auto"/>
        </w:rPr>
        <w:t xml:space="preserve"> Al 5 ottobre (aggiornamento ore 06.16) nella fascia 5-11 anni sono state somministrate 2.602.337 dosi: 1.406.513 hanno ricevuto almeno 1 dose di vaccino (di cui 1.286.655 hanno completato il ciclo vaccinale), con un tasso di copertura nazionale al 38,5% con nette differenze regionali: dal 21,1% della Provincia Autonoma di Bolzano al 53,9% della Puglia (</w:t>
      </w:r>
      <w:r w:rsidRPr="009117ED">
        <w:rPr>
          <w:color w:val="auto"/>
          <w:highlight w:val="yellow"/>
        </w:rPr>
        <w:t>figura 1</w:t>
      </w:r>
      <w:r>
        <w:rPr>
          <w:color w:val="auto"/>
          <w:highlight w:val="yellow"/>
        </w:rPr>
        <w:t>2</w:t>
      </w:r>
      <w:r w:rsidRPr="009117ED">
        <w:rPr>
          <w:color w:val="auto"/>
        </w:rPr>
        <w:t>).</w:t>
      </w:r>
    </w:p>
    <w:p w14:paraId="0BBD16CF" w14:textId="77777777" w:rsidR="009117ED" w:rsidRDefault="009117ED" w:rsidP="009117ED">
      <w:pPr>
        <w:spacing w:after="0" w:line="276" w:lineRule="auto"/>
        <w:jc w:val="both"/>
        <w:rPr>
          <w:color w:val="auto"/>
        </w:rPr>
      </w:pPr>
      <w:r w:rsidRPr="009117ED">
        <w:rPr>
          <w:b/>
          <w:color w:val="auto"/>
        </w:rPr>
        <w:t>Vaccini: terza dose.</w:t>
      </w:r>
      <w:r w:rsidRPr="009117ED">
        <w:rPr>
          <w:color w:val="auto"/>
        </w:rPr>
        <w:t xml:space="preserve"> Al 5 ottobre (aggiornamento ore 06.16) sono state somministrate 40.164.920 terze dosi con una media mobile a 7 giorni di 2.022 somministrazioni al giorno. In base alla </w:t>
      </w:r>
      <w:hyperlink r:id="rId9" w:history="1">
        <w:r w:rsidRPr="009117ED">
          <w:rPr>
            <w:rStyle w:val="Collegamentoipertestuale"/>
            <w:color w:val="auto"/>
          </w:rPr>
          <w:t>platea ufficiale</w:t>
        </w:r>
      </w:hyperlink>
      <w:r w:rsidRPr="009117ED">
        <w:rPr>
          <w:color w:val="auto"/>
        </w:rPr>
        <w:t xml:space="preserve"> (n. 47.703.593), aggiornata al 20 maggio</w:t>
      </w:r>
      <w:r w:rsidR="0030169F">
        <w:rPr>
          <w:color w:val="auto"/>
        </w:rPr>
        <w:t>,</w:t>
      </w:r>
      <w:r w:rsidRPr="009117ED">
        <w:rPr>
          <w:color w:val="auto"/>
        </w:rPr>
        <w:t xml:space="preserve"> il tasso di copertura nazionale per le terze dosi è dell’84,2%: dal 78,3% della Sicilia al</w:t>
      </w:r>
      <w:r>
        <w:rPr>
          <w:color w:val="auto"/>
        </w:rPr>
        <w:t>l’</w:t>
      </w:r>
      <w:r w:rsidRPr="009117ED">
        <w:rPr>
          <w:color w:val="auto"/>
        </w:rPr>
        <w:t xml:space="preserve">88,1% della Lombardia. Sono 7,54 milioni le persone che non hanno ancora ricevuto la dose </w:t>
      </w:r>
      <w:r w:rsidRPr="009117ED">
        <w:rPr>
          <w:i/>
          <w:color w:val="auto"/>
        </w:rPr>
        <w:t>booster</w:t>
      </w:r>
      <w:r>
        <w:rPr>
          <w:color w:val="auto"/>
        </w:rPr>
        <w:t xml:space="preserve"> (</w:t>
      </w:r>
      <w:r w:rsidRPr="009117ED">
        <w:rPr>
          <w:color w:val="auto"/>
          <w:highlight w:val="yellow"/>
        </w:rPr>
        <w:t>figura 13</w:t>
      </w:r>
      <w:r w:rsidRPr="009117ED">
        <w:rPr>
          <w:color w:val="auto"/>
        </w:rPr>
        <w:t xml:space="preserve">), di cui: </w:t>
      </w:r>
    </w:p>
    <w:p w14:paraId="7020C150" w14:textId="77777777" w:rsidR="009117ED" w:rsidRPr="009117ED" w:rsidRDefault="009117ED" w:rsidP="009117ED">
      <w:pPr>
        <w:pStyle w:val="Paragrafoelenco"/>
        <w:numPr>
          <w:ilvl w:val="0"/>
          <w:numId w:val="42"/>
        </w:numPr>
        <w:spacing w:after="0" w:line="276" w:lineRule="auto"/>
        <w:jc w:val="both"/>
        <w:rPr>
          <w:color w:val="auto"/>
        </w:rPr>
      </w:pPr>
      <w:r w:rsidRPr="009117ED">
        <w:rPr>
          <w:color w:val="auto"/>
        </w:rPr>
        <w:lastRenderedPageBreak/>
        <w:t>5,32 milioni possono riceverla subito, pari all’11,2% della platea (dall’8,1% della Lombardia al 17,8% della Sicilia);</w:t>
      </w:r>
    </w:p>
    <w:p w14:paraId="33A50A28" w14:textId="77777777" w:rsidR="009117ED" w:rsidRPr="009117ED" w:rsidRDefault="009117ED" w:rsidP="009117ED">
      <w:pPr>
        <w:pStyle w:val="Paragrafoelenco"/>
        <w:numPr>
          <w:ilvl w:val="0"/>
          <w:numId w:val="42"/>
        </w:numPr>
        <w:spacing w:line="276" w:lineRule="auto"/>
        <w:jc w:val="both"/>
        <w:rPr>
          <w:color w:val="auto"/>
        </w:rPr>
      </w:pPr>
      <w:r w:rsidRPr="009117ED">
        <w:rPr>
          <w:color w:val="auto"/>
        </w:rPr>
        <w:t>2,22 milioni non possono riceverla nell’immediato in quanto guarite da meno di 120 giorni, pari al 4,6% della platea (dal 2,2% della Valle D</w:t>
      </w:r>
      <w:r w:rsidR="0030169F">
        <w:rPr>
          <w:color w:val="auto"/>
        </w:rPr>
        <w:t>’</w:t>
      </w:r>
      <w:r w:rsidRPr="009117ED">
        <w:rPr>
          <w:color w:val="auto"/>
        </w:rPr>
        <w:t>Aosta al 6,4% dell</w:t>
      </w:r>
      <w:r w:rsidR="0030169F">
        <w:rPr>
          <w:color w:val="auto"/>
        </w:rPr>
        <w:t>’</w:t>
      </w:r>
      <w:r w:rsidRPr="009117ED">
        <w:rPr>
          <w:color w:val="auto"/>
        </w:rPr>
        <w:t>Abruzzo).</w:t>
      </w:r>
    </w:p>
    <w:p w14:paraId="5D83702E" w14:textId="77777777" w:rsidR="00BD2CFE" w:rsidRDefault="00BD2CFE" w:rsidP="00BD2CFE">
      <w:pPr>
        <w:spacing w:line="276" w:lineRule="auto"/>
        <w:jc w:val="both"/>
        <w:rPr>
          <w:color w:val="FF0000"/>
        </w:rPr>
      </w:pPr>
      <w:r w:rsidRPr="002D2BBD">
        <w:rPr>
          <w:b/>
          <w:color w:val="auto"/>
        </w:rPr>
        <w:t>Vaccini: quarta dose</w:t>
      </w:r>
      <w:r w:rsidRPr="002D2BBD">
        <w:rPr>
          <w:bCs/>
          <w:color w:val="auto"/>
        </w:rPr>
        <w:t xml:space="preserve">. Secondo quanto disposto </w:t>
      </w:r>
      <w:r w:rsidRPr="002D2BBD">
        <w:rPr>
          <w:color w:val="auto"/>
        </w:rPr>
        <w:t xml:space="preserve">dalla </w:t>
      </w:r>
      <w:hyperlink r:id="rId10" w:history="1">
        <w:hyperlink r:id="rId11" w:history="1">
          <w:r w:rsidR="002D2BBD" w:rsidRPr="000B54C3">
            <w:rPr>
              <w:rStyle w:val="Collegamentoipertestuale"/>
              <w:color w:val="auto"/>
            </w:rPr>
            <w:t>Circolare del Ministero della Salute del 23 settembre</w:t>
          </w:r>
        </w:hyperlink>
        <w:r w:rsidRPr="000B54C3">
          <w:rPr>
            <w:rStyle w:val="Collegamentoipertestuale"/>
            <w:color w:val="auto"/>
          </w:rPr>
          <w:t xml:space="preserve"> 2022</w:t>
        </w:r>
      </w:hyperlink>
      <w:r w:rsidRPr="000B54C3">
        <w:rPr>
          <w:color w:val="auto"/>
        </w:rPr>
        <w:t xml:space="preserve">, la platea </w:t>
      </w:r>
      <w:r w:rsidR="0030169F">
        <w:rPr>
          <w:color w:val="auto"/>
        </w:rPr>
        <w:t>per</w:t>
      </w:r>
      <w:r w:rsidRPr="000B54C3">
        <w:rPr>
          <w:color w:val="auto"/>
        </w:rPr>
        <w:t xml:space="preserve"> il secondo richiamo (quarta dose) è di 19,</w:t>
      </w:r>
      <w:r w:rsidR="000B54C3" w:rsidRPr="000B54C3">
        <w:rPr>
          <w:color w:val="auto"/>
        </w:rPr>
        <w:t>1</w:t>
      </w:r>
      <w:r w:rsidRPr="000B54C3">
        <w:rPr>
          <w:color w:val="auto"/>
        </w:rPr>
        <w:t xml:space="preserve"> milioni di </w:t>
      </w:r>
      <w:r w:rsidRPr="00167912">
        <w:rPr>
          <w:color w:val="auto"/>
        </w:rPr>
        <w:t>persone</w:t>
      </w:r>
      <w:bookmarkStart w:id="5" w:name="_Hlk109223496"/>
      <w:r w:rsidRPr="000B54C3">
        <w:rPr>
          <w:color w:val="auto"/>
        </w:rPr>
        <w:t>: di queste,</w:t>
      </w:r>
      <w:r w:rsidRPr="000B54C3">
        <w:rPr>
          <w:rFonts w:eastAsia="Times New Roman"/>
          <w:color w:val="auto"/>
        </w:rPr>
        <w:t xml:space="preserve"> </w:t>
      </w:r>
      <w:r w:rsidR="000B54C3" w:rsidRPr="000B54C3">
        <w:rPr>
          <w:rFonts w:eastAsia="Times New Roman"/>
          <w:color w:val="auto"/>
        </w:rPr>
        <w:t>13,</w:t>
      </w:r>
      <w:r w:rsidR="00AF0A66">
        <w:rPr>
          <w:rFonts w:eastAsia="Times New Roman"/>
          <w:color w:val="auto"/>
        </w:rPr>
        <w:t>9</w:t>
      </w:r>
      <w:r w:rsidR="00167912">
        <w:rPr>
          <w:rFonts w:eastAsia="Times New Roman"/>
          <w:color w:val="auto"/>
        </w:rPr>
        <w:t xml:space="preserve"> </w:t>
      </w:r>
      <w:r w:rsidRPr="000B54C3">
        <w:rPr>
          <w:rFonts w:eastAsia="Times New Roman"/>
          <w:color w:val="auto"/>
        </w:rPr>
        <w:t>milioni possono riceverlo subito</w:t>
      </w:r>
      <w:r w:rsidRPr="000B54C3">
        <w:rPr>
          <w:color w:val="auto"/>
        </w:rPr>
        <w:t xml:space="preserve">, </w:t>
      </w:r>
      <w:r w:rsidR="000B54C3" w:rsidRPr="000B54C3">
        <w:rPr>
          <w:color w:val="auto"/>
        </w:rPr>
        <w:t>1,8</w:t>
      </w:r>
      <w:r w:rsidRPr="000B54C3">
        <w:rPr>
          <w:color w:val="auto"/>
        </w:rPr>
        <w:t xml:space="preserve"> milioni </w:t>
      </w:r>
      <w:r w:rsidRPr="00291C61">
        <w:rPr>
          <w:rFonts w:eastAsia="Times New Roman"/>
          <w:color w:val="auto"/>
        </w:rPr>
        <w:t>non sono eleggibili nell’immediato in quanto guarite da meno di 120 giorni e 3,</w:t>
      </w:r>
      <w:r w:rsidR="003322C4">
        <w:rPr>
          <w:rFonts w:eastAsia="Times New Roman"/>
          <w:color w:val="auto"/>
        </w:rPr>
        <w:t>4</w:t>
      </w:r>
      <w:r w:rsidR="003322C4" w:rsidRPr="00291C61">
        <w:rPr>
          <w:rFonts w:eastAsia="Times New Roman"/>
          <w:color w:val="auto"/>
        </w:rPr>
        <w:t xml:space="preserve"> </w:t>
      </w:r>
      <w:r w:rsidRPr="00291C61">
        <w:rPr>
          <w:rFonts w:eastAsia="Times New Roman"/>
          <w:color w:val="auto"/>
        </w:rPr>
        <w:t>milioni l’hanno già ricevuto</w:t>
      </w:r>
      <w:bookmarkEnd w:id="5"/>
      <w:r w:rsidRPr="00291C61">
        <w:rPr>
          <w:rFonts w:eastAsia="Times New Roman"/>
          <w:color w:val="auto"/>
        </w:rPr>
        <w:t xml:space="preserve">. </w:t>
      </w:r>
      <w:r w:rsidR="00291C61" w:rsidRPr="009117ED">
        <w:rPr>
          <w:color w:val="auto"/>
        </w:rPr>
        <w:t>Al 5 ottobre (aggiornamento ore 06.16) sono state somministrate 3.377.076 quarte dosi, con una media mobile di 15.924 somministrazioni al giorno, in aumento rispetto alle 12.799 della scorsa settimana (</w:t>
      </w:r>
      <w:r w:rsidR="00291C61">
        <w:rPr>
          <w:color w:val="auto"/>
        </w:rPr>
        <w:t>+</w:t>
      </w:r>
      <w:r w:rsidR="00291C61" w:rsidRPr="009117ED">
        <w:rPr>
          <w:color w:val="auto"/>
        </w:rPr>
        <w:t xml:space="preserve">24,4%) </w:t>
      </w:r>
      <w:r w:rsidRPr="00291C61">
        <w:rPr>
          <w:color w:val="auto"/>
        </w:rPr>
        <w:t>(</w:t>
      </w:r>
      <w:r w:rsidRPr="00291C61">
        <w:rPr>
          <w:color w:val="auto"/>
          <w:highlight w:val="yellow"/>
        </w:rPr>
        <w:t>figura 1</w:t>
      </w:r>
      <w:r w:rsidR="004D25FE" w:rsidRPr="00291C61">
        <w:rPr>
          <w:color w:val="auto"/>
          <w:highlight w:val="yellow"/>
        </w:rPr>
        <w:t>4</w:t>
      </w:r>
      <w:r w:rsidRPr="00291C61">
        <w:rPr>
          <w:color w:val="auto"/>
        </w:rPr>
        <w:t xml:space="preserve">). </w:t>
      </w:r>
      <w:r w:rsidRPr="00291C61">
        <w:rPr>
          <w:noProof/>
          <w:color w:val="auto"/>
        </w:rPr>
        <w:t xml:space="preserve">In base alla </w:t>
      </w:r>
      <w:hyperlink r:id="rId12" w:history="1">
        <w:r w:rsidRPr="00291C61">
          <w:rPr>
            <w:rStyle w:val="Collegamentoipertestuale"/>
            <w:color w:val="auto"/>
          </w:rPr>
          <w:t>platea ufficiale</w:t>
        </w:r>
      </w:hyperlink>
      <w:r w:rsidRPr="00291C61">
        <w:rPr>
          <w:noProof/>
          <w:color w:val="auto"/>
        </w:rPr>
        <w:t xml:space="preserve"> (n. 19.119.772 di cui 13.060.462 over 60, 3.990.080 fragili e immunocompromessi, 1.748.256 personale sanitario e 320.974 ospiti delle RSA che non ricadono nelle categorie precedenti), aggiornata al 17 settembre, </w:t>
      </w:r>
      <w:r w:rsidR="00291C61" w:rsidRPr="00291C61">
        <w:rPr>
          <w:color w:val="auto"/>
        </w:rPr>
        <w:t xml:space="preserve">il tasso di copertura nazionale per le quarte dosi </w:t>
      </w:r>
      <w:r w:rsidR="007618E2">
        <w:rPr>
          <w:color w:val="auto"/>
        </w:rPr>
        <w:t>rimane al palo</w:t>
      </w:r>
      <w:r w:rsidR="00291C61" w:rsidRPr="00291C61">
        <w:rPr>
          <w:color w:val="auto"/>
        </w:rPr>
        <w:t>, attestandosi al 17,7% rispetto al 17% della settimana precedente, con nette differenze regionali: dal 7,7% della Sicilia al 28,8% dell</w:t>
      </w:r>
      <w:r w:rsidR="003C39C4">
        <w:rPr>
          <w:color w:val="auto"/>
        </w:rPr>
        <w:t>’</w:t>
      </w:r>
      <w:r w:rsidR="00291C61" w:rsidRPr="00291C61">
        <w:rPr>
          <w:color w:val="auto"/>
        </w:rPr>
        <w:t xml:space="preserve">Emilia Romagna </w:t>
      </w:r>
      <w:r w:rsidRPr="00291C61">
        <w:rPr>
          <w:color w:val="auto"/>
        </w:rPr>
        <w:t>(</w:t>
      </w:r>
      <w:r w:rsidRPr="00291C61">
        <w:rPr>
          <w:color w:val="auto"/>
          <w:highlight w:val="yellow"/>
        </w:rPr>
        <w:t>figura 1</w:t>
      </w:r>
      <w:r w:rsidR="004D25FE" w:rsidRPr="00291C61">
        <w:rPr>
          <w:color w:val="auto"/>
          <w:highlight w:val="yellow"/>
        </w:rPr>
        <w:t>5</w:t>
      </w:r>
      <w:r w:rsidRPr="00291C61">
        <w:rPr>
          <w:color w:val="auto"/>
        </w:rPr>
        <w:t>).</w:t>
      </w:r>
    </w:p>
    <w:p w14:paraId="167371C6" w14:textId="2E31588B" w:rsidR="002273FA" w:rsidRPr="00167912" w:rsidRDefault="007D2BED" w:rsidP="00167912">
      <w:pPr>
        <w:spacing w:after="120" w:line="276" w:lineRule="auto"/>
        <w:jc w:val="both"/>
        <w:rPr>
          <w:color w:val="auto"/>
        </w:rPr>
      </w:pPr>
      <w:r w:rsidRPr="00B86338">
        <w:rPr>
          <w:color w:val="auto"/>
        </w:rPr>
        <w:t>«</w:t>
      </w:r>
      <w:r>
        <w:rPr>
          <w:color w:val="auto"/>
        </w:rPr>
        <w:t>La netta ripresa della circolazione virale</w:t>
      </w:r>
      <w:r w:rsidR="003C39C4">
        <w:rPr>
          <w:color w:val="auto"/>
        </w:rPr>
        <w:t xml:space="preserve"> </w:t>
      </w:r>
      <w:r w:rsidRPr="00B86338">
        <w:rPr>
          <w:color w:val="auto"/>
        </w:rPr>
        <w:t>– conclude Cartabellotta –</w:t>
      </w:r>
      <w:r>
        <w:rPr>
          <w:color w:val="auto"/>
        </w:rPr>
        <w:t xml:space="preserve"> coinvolge l’intero territorio nazionale e sta già facendo sentire i suoi effetti sui ricoveri in area medica e, in misura minore, in terapia intensiva.  All’inizio di questa nuova ondata la preoccupazione è forte per </w:t>
      </w:r>
      <w:r w:rsidR="00167912">
        <w:rPr>
          <w:color w:val="auto"/>
        </w:rPr>
        <w:t>vari</w:t>
      </w:r>
      <w:r>
        <w:rPr>
          <w:color w:val="auto"/>
        </w:rPr>
        <w:t xml:space="preserve"> fattori: la campagna vaccinale è sostanzialmente ferma, la copertura della quarta dose per anziani e fragili non decolla, la stagione influenzale è in arrivo e sui mezzi pubblici si è </w:t>
      </w:r>
      <w:r w:rsidR="003C39C4">
        <w:rPr>
          <w:color w:val="auto"/>
        </w:rPr>
        <w:t xml:space="preserve">detto </w:t>
      </w:r>
      <w:r>
        <w:rPr>
          <w:color w:val="auto"/>
        </w:rPr>
        <w:t xml:space="preserve">addio </w:t>
      </w:r>
      <w:r w:rsidR="003C39C4">
        <w:rPr>
          <w:color w:val="auto"/>
        </w:rPr>
        <w:t>all’obbligo di</w:t>
      </w:r>
      <w:r>
        <w:rPr>
          <w:color w:val="auto"/>
        </w:rPr>
        <w:t xml:space="preserve"> mascherin</w:t>
      </w:r>
      <w:r w:rsidR="003C39C4">
        <w:rPr>
          <w:color w:val="auto"/>
        </w:rPr>
        <w:t>a</w:t>
      </w:r>
      <w:r>
        <w:rPr>
          <w:color w:val="auto"/>
        </w:rPr>
        <w:t>. Ma ancor di più inquieta l’assenza di un piano di preparazione per la stagione autunno-inverno, più volte invocato dalla Fondazione GIMBE</w:t>
      </w:r>
      <w:r w:rsidR="003C39C4">
        <w:rPr>
          <w:color w:val="auto"/>
        </w:rPr>
        <w:t>: l</w:t>
      </w:r>
      <w:r>
        <w:rPr>
          <w:color w:val="auto"/>
        </w:rPr>
        <w:t>a</w:t>
      </w:r>
      <w:r w:rsidR="00167912">
        <w:rPr>
          <w:color w:val="auto"/>
        </w:rPr>
        <w:t xml:space="preserve"> </w:t>
      </w:r>
      <w:r w:rsidRPr="002770DB">
        <w:rPr>
          <w:color w:val="auto"/>
        </w:rPr>
        <w:t>circolare del Ministero della Salute con</w:t>
      </w:r>
      <w:r>
        <w:rPr>
          <w:color w:val="auto"/>
        </w:rPr>
        <w:t xml:space="preserve"> </w:t>
      </w:r>
      <w:r w:rsidRPr="002770DB">
        <w:rPr>
          <w:color w:val="auto"/>
        </w:rPr>
        <w:t xml:space="preserve">le indicazioni per la gestione dell’epidemia </w:t>
      </w:r>
      <w:r w:rsidR="003C39C4">
        <w:rPr>
          <w:color w:val="auto"/>
        </w:rPr>
        <w:t xml:space="preserve">di </w:t>
      </w:r>
      <w:r w:rsidRPr="002770DB">
        <w:rPr>
          <w:color w:val="auto"/>
        </w:rPr>
        <w:t>S</w:t>
      </w:r>
      <w:r>
        <w:rPr>
          <w:color w:val="auto"/>
        </w:rPr>
        <w:t>ARS</w:t>
      </w:r>
      <w:r w:rsidRPr="002770DB">
        <w:rPr>
          <w:color w:val="auto"/>
        </w:rPr>
        <w:t>-CoV-2</w:t>
      </w:r>
      <w:r>
        <w:rPr>
          <w:color w:val="auto"/>
        </w:rPr>
        <w:t>, che pareva di imminente pubblicazione,</w:t>
      </w:r>
      <w:r w:rsidRPr="002770DB">
        <w:rPr>
          <w:color w:val="auto"/>
        </w:rPr>
        <w:t xml:space="preserve"> </w:t>
      </w:r>
      <w:r>
        <w:rPr>
          <w:color w:val="auto"/>
        </w:rPr>
        <w:t xml:space="preserve">è stata </w:t>
      </w:r>
      <w:r w:rsidR="0008128A">
        <w:rPr>
          <w:color w:val="auto"/>
        </w:rPr>
        <w:t xml:space="preserve">ingiustificatamente </w:t>
      </w:r>
      <w:r>
        <w:rPr>
          <w:color w:val="auto"/>
        </w:rPr>
        <w:t xml:space="preserve">bloccata dimostrando che in questa fase </w:t>
      </w:r>
      <w:r w:rsidRPr="00902314">
        <w:rPr>
          <w:color w:val="auto"/>
        </w:rPr>
        <w:t xml:space="preserve">di transizione istituzionale </w:t>
      </w:r>
      <w:r>
        <w:rPr>
          <w:color w:val="auto"/>
        </w:rPr>
        <w:t>l’opportunismo politico prevale sulla</w:t>
      </w:r>
      <w:r w:rsidRPr="00902314">
        <w:rPr>
          <w:color w:val="auto"/>
        </w:rPr>
        <w:t xml:space="preserve"> tutela della salute pubblica</w:t>
      </w:r>
      <w:r>
        <w:rPr>
          <w:color w:val="auto"/>
        </w:rPr>
        <w:t>.</w:t>
      </w:r>
      <w:r w:rsidRPr="005404DF">
        <w:rPr>
          <w:color w:val="auto"/>
        </w:rPr>
        <w:t xml:space="preserve"> </w:t>
      </w:r>
      <w:r>
        <w:rPr>
          <w:color w:val="auto"/>
        </w:rPr>
        <w:t xml:space="preserve">E </w:t>
      </w:r>
      <w:r w:rsidR="0008128A">
        <w:rPr>
          <w:color w:val="auto"/>
        </w:rPr>
        <w:t>nell’attesa che</w:t>
      </w:r>
      <w:r>
        <w:rPr>
          <w:color w:val="auto"/>
        </w:rPr>
        <w:t xml:space="preserve"> il nuovo Esecutivo</w:t>
      </w:r>
      <w:r w:rsidR="0008128A">
        <w:rPr>
          <w:color w:val="auto"/>
        </w:rPr>
        <w:t xml:space="preserve"> sia pienamente operativo</w:t>
      </w:r>
      <w:r>
        <w:rPr>
          <w:color w:val="auto"/>
        </w:rPr>
        <w:t>, si sta concretizzando il rischio</w:t>
      </w:r>
      <w:r w:rsidR="0008128A">
        <w:rPr>
          <w:color w:val="auto"/>
        </w:rPr>
        <w:t xml:space="preserve"> già</w:t>
      </w:r>
      <w:r>
        <w:rPr>
          <w:color w:val="auto"/>
        </w:rPr>
        <w:t xml:space="preserve"> paventato dalla Fondazione GIMBE: </w:t>
      </w:r>
      <w:r w:rsidR="0008128A">
        <w:rPr>
          <w:color w:val="auto"/>
        </w:rPr>
        <w:t>l’ennesima corsa all’inseguimento del virus</w:t>
      </w:r>
      <w:r>
        <w:rPr>
          <w:color w:val="auto"/>
        </w:rPr>
        <w:t xml:space="preserve"> </w:t>
      </w:r>
      <w:r w:rsidR="0008128A">
        <w:rPr>
          <w:color w:val="auto"/>
        </w:rPr>
        <w:t xml:space="preserve">che compromette </w:t>
      </w:r>
      <w:r>
        <w:rPr>
          <w:color w:val="auto"/>
        </w:rPr>
        <w:t>la salute e la vita delle persone più fragili</w:t>
      </w:r>
      <w:r w:rsidRPr="001A3091">
        <w:rPr>
          <w:color w:val="auto"/>
        </w:rPr>
        <w:t xml:space="preserve"> </w:t>
      </w:r>
      <w:r>
        <w:rPr>
          <w:color w:val="auto"/>
        </w:rPr>
        <w:t xml:space="preserve">e ritarda l’assistenza sanitaria per i pazienti con altre patologie. </w:t>
      </w:r>
      <w:r w:rsidR="00373DE4">
        <w:rPr>
          <w:color w:val="auto"/>
        </w:rPr>
        <w:t xml:space="preserve">Ecco perché la </w:t>
      </w:r>
      <w:r>
        <w:rPr>
          <w:color w:val="auto"/>
        </w:rPr>
        <w:t>Fondazione GIMBE</w:t>
      </w:r>
      <w:r w:rsidR="007D35EE">
        <w:rPr>
          <w:color w:val="auto"/>
        </w:rPr>
        <w:t xml:space="preserve"> chiede</w:t>
      </w:r>
      <w:r w:rsidR="00A22979">
        <w:rPr>
          <w:color w:val="auto"/>
        </w:rPr>
        <w:t xml:space="preserve"> al </w:t>
      </w:r>
      <w:r>
        <w:rPr>
          <w:color w:val="auto"/>
        </w:rPr>
        <w:t xml:space="preserve">Ministro </w:t>
      </w:r>
      <w:r w:rsidR="00A22979">
        <w:rPr>
          <w:color w:val="auto"/>
        </w:rPr>
        <w:t>Speranza</w:t>
      </w:r>
      <w:r w:rsidR="00C97E39">
        <w:rPr>
          <w:color w:val="auto"/>
        </w:rPr>
        <w:t xml:space="preserve"> </w:t>
      </w:r>
      <w:r w:rsidR="00A22979">
        <w:rPr>
          <w:color w:val="auto"/>
        </w:rPr>
        <w:t xml:space="preserve">di </w:t>
      </w:r>
      <w:r>
        <w:rPr>
          <w:color w:val="auto"/>
        </w:rPr>
        <w:t xml:space="preserve">pubblicare </w:t>
      </w:r>
      <w:r w:rsidR="00C97E39">
        <w:rPr>
          <w:color w:val="auto"/>
        </w:rPr>
        <w:t xml:space="preserve">subito </w:t>
      </w:r>
      <w:r>
        <w:rPr>
          <w:color w:val="auto"/>
        </w:rPr>
        <w:t xml:space="preserve">la circolare sulla gestione </w:t>
      </w:r>
      <w:r w:rsidR="0030169F">
        <w:rPr>
          <w:color w:val="auto"/>
        </w:rPr>
        <w:t>pandemica</w:t>
      </w:r>
      <w:r w:rsidR="00A122CF">
        <w:rPr>
          <w:color w:val="auto"/>
        </w:rPr>
        <w:t xml:space="preserve"> </w:t>
      </w:r>
      <w:r w:rsidR="00167912">
        <w:rPr>
          <w:color w:val="auto"/>
        </w:rPr>
        <w:t xml:space="preserve">e </w:t>
      </w:r>
      <w:r>
        <w:rPr>
          <w:color w:val="auto"/>
        </w:rPr>
        <w:t>ribadisce</w:t>
      </w:r>
      <w:r w:rsidR="00A122CF">
        <w:rPr>
          <w:color w:val="auto"/>
        </w:rPr>
        <w:t xml:space="preserve"> </w:t>
      </w:r>
      <w:r>
        <w:rPr>
          <w:color w:val="auto"/>
        </w:rPr>
        <w:t>le 5 azioni fondamentali raccomandate dall’</w:t>
      </w:r>
      <w:hyperlink r:id="rId13" w:history="1">
        <w:r w:rsidRPr="00E43605">
          <w:rPr>
            <w:rStyle w:val="Collegamentoipertestuale"/>
          </w:rPr>
          <w:t>OMS Europa</w:t>
        </w:r>
      </w:hyperlink>
      <w:r>
        <w:rPr>
          <w:color w:val="auto"/>
        </w:rPr>
        <w:t xml:space="preserve">: aumentare le coperture vaccinali (con tre dosi) nella popolazione generale; offrire la quarta dose alle persone a rischio dopo 120 dalla somministrazione della terza; promuovere l’utilizzo delle mascherine al chiuso e sui mezzi pubblici; areare </w:t>
      </w:r>
      <w:r w:rsidRPr="00CC3BDD">
        <w:rPr>
          <w:color w:val="auto"/>
        </w:rPr>
        <w:t>gli spazi pubblici affollati</w:t>
      </w:r>
      <w:r>
        <w:rPr>
          <w:color w:val="auto"/>
        </w:rPr>
        <w:t xml:space="preserve">, quali </w:t>
      </w:r>
      <w:r w:rsidRPr="00CC3BDD">
        <w:rPr>
          <w:color w:val="auto"/>
        </w:rPr>
        <w:t>scuole, uffici</w:t>
      </w:r>
      <w:r>
        <w:rPr>
          <w:color w:val="auto"/>
        </w:rPr>
        <w:t xml:space="preserve">, bar e ristoranti, mezzi di </w:t>
      </w:r>
      <w:r w:rsidRPr="00CC3BDD">
        <w:rPr>
          <w:color w:val="auto"/>
        </w:rPr>
        <w:t>trasport</w:t>
      </w:r>
      <w:r>
        <w:rPr>
          <w:color w:val="auto"/>
        </w:rPr>
        <w:t xml:space="preserve">o pubblico; </w:t>
      </w:r>
      <w:r w:rsidRPr="00CC3BDD">
        <w:rPr>
          <w:color w:val="auto"/>
        </w:rPr>
        <w:t xml:space="preserve">applicare rigorosi protocolli terapeutici per </w:t>
      </w:r>
      <w:r>
        <w:rPr>
          <w:color w:val="auto"/>
        </w:rPr>
        <w:t xml:space="preserve">le persone a rischio di </w:t>
      </w:r>
      <w:r w:rsidRPr="00CC3BDD">
        <w:rPr>
          <w:color w:val="auto"/>
        </w:rPr>
        <w:t>malattia grave</w:t>
      </w:r>
      <w:r w:rsidRPr="00B86338">
        <w:rPr>
          <w:color w:val="auto"/>
        </w:rPr>
        <w:t>».</w:t>
      </w:r>
    </w:p>
    <w:p w14:paraId="65E08355" w14:textId="77777777" w:rsidR="008030A9" w:rsidRPr="004A7793" w:rsidRDefault="008030A9" w:rsidP="008030A9">
      <w:pPr>
        <w:spacing w:after="120" w:line="276" w:lineRule="auto"/>
        <w:rPr>
          <w:rStyle w:val="Hyperlink0"/>
          <w:color w:val="auto"/>
        </w:rPr>
      </w:pPr>
      <w:r w:rsidRPr="004A7793">
        <w:rPr>
          <w:i/>
          <w:iCs/>
          <w:color w:val="auto"/>
        </w:rPr>
        <w:t>Il monitoraggio GIMBE dell'epidemia COVID-19 è disponibile</w:t>
      </w:r>
      <w:r w:rsidRPr="004A7793">
        <w:rPr>
          <w:i/>
          <w:iCs/>
          <w:color w:val="000000" w:themeColor="text1"/>
        </w:rPr>
        <w:t xml:space="preserve"> a:</w:t>
      </w:r>
      <w:r w:rsidRPr="004A7793">
        <w:t xml:space="preserve"> </w:t>
      </w:r>
      <w:hyperlink r:id="rId14" w:history="1">
        <w:r w:rsidRPr="00946483">
          <w:rPr>
            <w:rStyle w:val="Collegamentoipertestuale"/>
            <w:i/>
            <w:iCs/>
          </w:rPr>
          <w:t>https://coronavirus.gimbe.org</w:t>
        </w:r>
      </w:hyperlink>
      <w:r>
        <w:rPr>
          <w:i/>
          <w:iCs/>
          <w:color w:val="000000" w:themeColor="text1"/>
        </w:rPr>
        <w:t xml:space="preserve"> </w:t>
      </w:r>
    </w:p>
    <w:p w14:paraId="711B3BE0" w14:textId="77777777" w:rsidR="00923333"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w:t>
      </w:r>
      <w:r w:rsidR="00B443E3">
        <w:rPr>
          <w:sz w:val="20"/>
          <w:szCs w:val="20"/>
        </w:rPr>
        <w:t>a</w:t>
      </w:r>
      <w:r w:rsidRPr="00D44AA7">
        <w:rPr>
          <w:sz w:val="20"/>
          <w:szCs w:val="20"/>
        </w:rPr>
        <w:br/>
        <w:t>Tel. 051 5883920 - Fax 051 4075774</w:t>
      </w:r>
      <w:r w:rsidRPr="00D44AA7">
        <w:rPr>
          <w:sz w:val="20"/>
          <w:szCs w:val="20"/>
        </w:rPr>
        <w:br/>
        <w:t xml:space="preserve">E-mail: </w:t>
      </w:r>
      <w:hyperlink r:id="rId15" w:history="1">
        <w:r w:rsidRPr="00D44AA7">
          <w:rPr>
            <w:rStyle w:val="Hyperlink1"/>
          </w:rPr>
          <w:t>ufficio.stampa@gimbe.org</w:t>
        </w:r>
      </w:hyperlink>
    </w:p>
    <w:p w14:paraId="3CD50513" w14:textId="77777777" w:rsidR="00923333" w:rsidRPr="00D44AA7" w:rsidRDefault="00923333" w:rsidP="00C46A82">
      <w:pPr>
        <w:spacing w:after="120"/>
        <w:rPr>
          <w:rFonts w:eastAsia="Calibri" w:cs="Calibri"/>
          <w:color w:val="0563C1"/>
          <w:sz w:val="20"/>
          <w:szCs w:val="20"/>
          <w:u w:val="single" w:color="0563C1"/>
        </w:rPr>
      </w:pPr>
    </w:p>
    <w:p w14:paraId="533077C1"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056EF664" w14:textId="2299299E" w:rsidR="00873628" w:rsidRPr="00D44AA7" w:rsidRDefault="005F1DE0" w:rsidP="00EA300B">
      <w:pPr>
        <w:jc w:val="center"/>
        <w:rPr>
          <w:b/>
          <w:bCs/>
          <w:color w:val="00457D"/>
          <w:sz w:val="24"/>
          <w:szCs w:val="24"/>
          <w:u w:color="00457D"/>
        </w:rPr>
      </w:pPr>
      <w:r>
        <w:rPr>
          <w:b/>
          <w:bCs/>
          <w:noProof/>
          <w:color w:val="00457D"/>
          <w:sz w:val="24"/>
          <w:szCs w:val="24"/>
          <w:u w:color="00457D"/>
        </w:rPr>
        <w:pict w14:anchorId="43D63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7pt">
            <v:imagedata r:id="rId16" o:title="Figura_01_20221004"/>
          </v:shape>
        </w:pict>
      </w:r>
    </w:p>
    <w:p w14:paraId="0CEF148D" w14:textId="77777777" w:rsidR="00266D51" w:rsidRPr="00D44AA7" w:rsidRDefault="00266D51">
      <w:pPr>
        <w:jc w:val="center"/>
        <w:rPr>
          <w:b/>
          <w:bCs/>
          <w:color w:val="00457D"/>
          <w:sz w:val="24"/>
          <w:szCs w:val="24"/>
          <w:u w:color="00457D"/>
        </w:rPr>
      </w:pPr>
    </w:p>
    <w:p w14:paraId="4AF41DDE"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122AB3C7" w14:textId="2FF33897" w:rsidR="00873628" w:rsidRPr="00D44AA7" w:rsidRDefault="005F1DE0" w:rsidP="00EA300B">
      <w:pPr>
        <w:jc w:val="center"/>
        <w:rPr>
          <w:b/>
          <w:bCs/>
          <w:color w:val="00457D"/>
          <w:sz w:val="24"/>
          <w:szCs w:val="24"/>
          <w:u w:color="00457D"/>
        </w:rPr>
      </w:pPr>
      <w:r>
        <w:rPr>
          <w:b/>
          <w:bCs/>
          <w:noProof/>
          <w:color w:val="00457D"/>
          <w:sz w:val="24"/>
          <w:szCs w:val="24"/>
          <w:u w:color="00457D"/>
        </w:rPr>
        <w:pict w14:anchorId="22241DEA">
          <v:shape id="_x0000_i1026" type="#_x0000_t75" style="width:481.5pt;height:267pt">
            <v:imagedata r:id="rId17" o:title="Figura_02_20221004"/>
          </v:shape>
        </w:pict>
      </w:r>
    </w:p>
    <w:p w14:paraId="0B3FA2E0" w14:textId="77777777" w:rsidR="007B682B" w:rsidRPr="00D44AA7" w:rsidRDefault="00CE577D">
      <w:pPr>
        <w:jc w:val="center"/>
        <w:sectPr w:rsidR="007B682B" w:rsidRPr="00D44AA7" w:rsidSect="00AC5C5B">
          <w:headerReference w:type="default" r:id="rId18"/>
          <w:pgSz w:w="11900" w:h="16840"/>
          <w:pgMar w:top="993" w:right="1134" w:bottom="993" w:left="1134" w:header="709" w:footer="709" w:gutter="0"/>
          <w:cols w:space="720"/>
        </w:sectPr>
      </w:pPr>
      <w:r w:rsidRPr="00D44AA7">
        <w:rPr>
          <w:b/>
          <w:bCs/>
          <w:color w:val="00457D"/>
          <w:sz w:val="24"/>
          <w:szCs w:val="24"/>
          <w:u w:color="00457D"/>
        </w:rPr>
        <w:br/>
      </w:r>
    </w:p>
    <w:p w14:paraId="23582D17" w14:textId="77777777" w:rsidR="007B682B"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08C68A4D" w14:textId="742DA5B1" w:rsidR="00C74120" w:rsidRDefault="005F1DE0" w:rsidP="00C74120">
      <w:pPr>
        <w:spacing w:after="0" w:line="360" w:lineRule="auto"/>
        <w:jc w:val="center"/>
        <w:rPr>
          <w:noProof/>
        </w:rPr>
      </w:pPr>
      <w:r>
        <w:rPr>
          <w:noProof/>
        </w:rPr>
        <w:pict w14:anchorId="51FC799F">
          <v:shape id="_x0000_i1027" type="#_x0000_t75" style="width:727.5pt;height:374.25pt">
            <v:imagedata r:id="rId19" o:title="Figura_03_20221004"/>
          </v:shape>
        </w:pict>
      </w:r>
    </w:p>
    <w:p w14:paraId="43B44F44" w14:textId="77777777" w:rsidR="00873628" w:rsidRPr="00D44AA7" w:rsidRDefault="00873628" w:rsidP="00C74120">
      <w:pPr>
        <w:spacing w:after="0" w:line="360" w:lineRule="auto"/>
        <w:sectPr w:rsidR="00873628" w:rsidRPr="00D44AA7" w:rsidSect="005B4AE1">
          <w:pgSz w:w="16840" w:h="11900" w:orient="landscape"/>
          <w:pgMar w:top="992" w:right="1134" w:bottom="709" w:left="1134" w:header="709" w:footer="709" w:gutter="0"/>
          <w:cols w:space="720"/>
          <w:docGrid w:linePitch="299"/>
        </w:sectPr>
      </w:pPr>
    </w:p>
    <w:p w14:paraId="7751AC61"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134F0CC9" w14:textId="6DFD4C97" w:rsidR="00344D84" w:rsidRPr="00D44AA7" w:rsidRDefault="005F1DE0" w:rsidP="00E10DC3">
      <w:pPr>
        <w:spacing w:after="0"/>
        <w:jc w:val="center"/>
        <w:rPr>
          <w:color w:val="auto"/>
        </w:rPr>
      </w:pPr>
      <w:r>
        <w:rPr>
          <w:noProof/>
          <w:color w:val="auto"/>
        </w:rPr>
        <w:pict w14:anchorId="194D626F">
          <v:shape id="_x0000_i1028" type="#_x0000_t75" style="width:481.5pt;height:235.5pt">
            <v:imagedata r:id="rId20" o:title="Figura_04_20221004"/>
          </v:shape>
        </w:pict>
      </w:r>
    </w:p>
    <w:p w14:paraId="5AAA451F" w14:textId="77777777" w:rsidR="00FB6128" w:rsidRPr="00D44AA7" w:rsidRDefault="00FB6128" w:rsidP="00E10DC3">
      <w:pPr>
        <w:spacing w:after="0"/>
        <w:jc w:val="center"/>
        <w:rPr>
          <w:color w:val="auto"/>
        </w:rPr>
      </w:pPr>
    </w:p>
    <w:p w14:paraId="512AA8C0"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6C98BC91" w14:textId="5CF9B561" w:rsidR="00C74120" w:rsidRDefault="005F1DE0" w:rsidP="000E770E">
      <w:pPr>
        <w:spacing w:after="0" w:line="276" w:lineRule="auto"/>
        <w:jc w:val="center"/>
        <w:rPr>
          <w:noProof/>
          <w:color w:val="auto"/>
        </w:rPr>
      </w:pPr>
      <w:r>
        <w:rPr>
          <w:noProof/>
          <w:color w:val="auto"/>
        </w:rPr>
        <w:pict w14:anchorId="192B673E">
          <v:shape id="_x0000_i1029" type="#_x0000_t75" style="width:480.75pt;height:260.25pt">
            <v:imagedata r:id="rId21" o:title="Figura_05_20221004"/>
          </v:shape>
        </w:pict>
      </w:r>
    </w:p>
    <w:p w14:paraId="3A86F951" w14:textId="77777777" w:rsidR="00344D84" w:rsidRPr="00D44AA7" w:rsidRDefault="00344D84" w:rsidP="000E770E">
      <w:pPr>
        <w:spacing w:after="0" w:line="276" w:lineRule="auto"/>
        <w:jc w:val="center"/>
        <w:rPr>
          <w:color w:val="auto"/>
        </w:rPr>
      </w:pPr>
    </w:p>
    <w:p w14:paraId="67176EF7" w14:textId="77777777" w:rsidR="000E770E" w:rsidRPr="00D44AA7" w:rsidRDefault="000E770E" w:rsidP="00626103">
      <w:pPr>
        <w:spacing w:after="0"/>
        <w:jc w:val="center"/>
        <w:rPr>
          <w:b/>
          <w:bCs/>
          <w:color w:val="00457D"/>
          <w:sz w:val="24"/>
          <w:szCs w:val="24"/>
          <w:u w:color="00457D"/>
        </w:rPr>
      </w:pPr>
    </w:p>
    <w:p w14:paraId="0908F212"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373B4513"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77D5CE01" w14:textId="106B7625" w:rsidR="00F72C6B" w:rsidRPr="00D44AA7" w:rsidRDefault="005F1DE0" w:rsidP="00F9470A">
      <w:pPr>
        <w:spacing w:after="0"/>
        <w:jc w:val="center"/>
        <w:rPr>
          <w:b/>
          <w:bCs/>
          <w:color w:val="00457D"/>
          <w:sz w:val="24"/>
          <w:szCs w:val="24"/>
          <w:u w:color="00457D"/>
        </w:rPr>
      </w:pPr>
      <w:r>
        <w:rPr>
          <w:b/>
          <w:bCs/>
          <w:noProof/>
          <w:color w:val="00457D"/>
          <w:sz w:val="24"/>
          <w:szCs w:val="24"/>
          <w:u w:color="00457D"/>
        </w:rPr>
        <w:pict w14:anchorId="460D9E92">
          <v:shape id="_x0000_i1030" type="#_x0000_t75" style="width:481.5pt;height:257.25pt">
            <v:imagedata r:id="rId22" o:title="Figura_06_20221004"/>
          </v:shape>
        </w:pict>
      </w:r>
    </w:p>
    <w:p w14:paraId="604CEFFA" w14:textId="77777777" w:rsidR="00D93FAE" w:rsidRPr="00D44AA7" w:rsidRDefault="00D93FAE" w:rsidP="00D93FAE">
      <w:pPr>
        <w:spacing w:after="0" w:line="240" w:lineRule="auto"/>
        <w:jc w:val="center"/>
        <w:rPr>
          <w:b/>
          <w:bCs/>
          <w:color w:val="00457D"/>
          <w:sz w:val="8"/>
          <w:szCs w:val="14"/>
          <w:u w:color="00457D"/>
        </w:rPr>
      </w:pPr>
    </w:p>
    <w:p w14:paraId="029F2E27" w14:textId="77777777" w:rsidR="00061647" w:rsidRPr="00D44AA7" w:rsidRDefault="00061647">
      <w:pPr>
        <w:spacing w:after="0" w:line="240" w:lineRule="auto"/>
        <w:rPr>
          <w:b/>
          <w:bCs/>
          <w:color w:val="00457D"/>
          <w:sz w:val="24"/>
          <w:szCs w:val="24"/>
          <w:u w:color="00457D"/>
        </w:rPr>
      </w:pPr>
    </w:p>
    <w:p w14:paraId="2FBA49F6"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18B43A43" w14:textId="465109CF" w:rsidR="00F72C6B" w:rsidRPr="00D44AA7" w:rsidRDefault="005F1DE0" w:rsidP="00D93FAE">
      <w:pPr>
        <w:spacing w:after="0"/>
        <w:jc w:val="center"/>
        <w:rPr>
          <w:b/>
          <w:bCs/>
          <w:color w:val="00457D"/>
          <w:sz w:val="24"/>
          <w:szCs w:val="24"/>
          <w:u w:color="00457D"/>
        </w:rPr>
      </w:pPr>
      <w:r>
        <w:rPr>
          <w:b/>
          <w:bCs/>
          <w:noProof/>
          <w:color w:val="00457D"/>
          <w:sz w:val="24"/>
          <w:szCs w:val="24"/>
          <w:u w:color="00457D"/>
        </w:rPr>
        <w:pict w14:anchorId="02E6E53D">
          <v:shape id="_x0000_i1031" type="#_x0000_t75" style="width:480.75pt;height:240.75pt">
            <v:imagedata r:id="rId23" o:title="Figura_07_20221004"/>
          </v:shape>
        </w:pict>
      </w:r>
    </w:p>
    <w:p w14:paraId="552BE94A" w14:textId="77777777" w:rsidR="008751B7" w:rsidRPr="00D44AA7" w:rsidRDefault="008751B7" w:rsidP="008751B7">
      <w:pPr>
        <w:spacing w:after="0"/>
        <w:jc w:val="center"/>
        <w:rPr>
          <w:b/>
          <w:bCs/>
          <w:color w:val="00457D"/>
          <w:sz w:val="24"/>
          <w:szCs w:val="24"/>
          <w:u w:color="00457D"/>
        </w:rPr>
      </w:pPr>
    </w:p>
    <w:p w14:paraId="10A1AAA1"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251BA7CD" w14:textId="77777777" w:rsidR="006B2A7B" w:rsidRPr="007D6C09" w:rsidRDefault="00C531A3" w:rsidP="00C531A3">
      <w:pPr>
        <w:spacing w:after="0"/>
        <w:jc w:val="center"/>
        <w:rPr>
          <w:b/>
          <w:bCs/>
          <w:color w:val="00457D"/>
          <w:sz w:val="24"/>
          <w:szCs w:val="24"/>
          <w:u w:color="00457D"/>
        </w:rPr>
      </w:pPr>
      <w:r w:rsidRPr="007D6C09">
        <w:rPr>
          <w:b/>
          <w:bCs/>
          <w:color w:val="00457D"/>
          <w:sz w:val="24"/>
          <w:szCs w:val="24"/>
          <w:u w:color="00457D"/>
        </w:rPr>
        <w:lastRenderedPageBreak/>
        <w:t>Figura 8</w:t>
      </w:r>
    </w:p>
    <w:p w14:paraId="310117A0" w14:textId="13BE08A4" w:rsidR="00CC253D" w:rsidRPr="00D44AA7" w:rsidRDefault="005F1DE0" w:rsidP="00D93FAE">
      <w:pPr>
        <w:spacing w:after="0"/>
        <w:jc w:val="center"/>
        <w:rPr>
          <w:b/>
          <w:bCs/>
          <w:color w:val="00457D"/>
          <w:sz w:val="24"/>
          <w:szCs w:val="24"/>
          <w:u w:color="00457D"/>
        </w:rPr>
      </w:pPr>
      <w:r>
        <w:rPr>
          <w:b/>
          <w:bCs/>
          <w:noProof/>
          <w:color w:val="00457D"/>
          <w:sz w:val="24"/>
          <w:szCs w:val="24"/>
          <w:u w:color="00457D"/>
        </w:rPr>
        <w:pict w14:anchorId="2314C41D">
          <v:shape id="_x0000_i1032" type="#_x0000_t75" style="width:452.25pt;height:420.75pt">
            <v:imagedata r:id="rId24" o:title="Figura_08_20221004"/>
          </v:shape>
        </w:pict>
      </w:r>
    </w:p>
    <w:p w14:paraId="11F418CA" w14:textId="77777777" w:rsidR="002879EE" w:rsidRPr="00D44AA7" w:rsidRDefault="002879EE">
      <w:pPr>
        <w:spacing w:after="0"/>
        <w:jc w:val="center"/>
        <w:rPr>
          <w:b/>
          <w:bCs/>
          <w:color w:val="00457D"/>
          <w:sz w:val="10"/>
          <w:szCs w:val="12"/>
          <w:u w:color="00457D"/>
        </w:rPr>
      </w:pPr>
    </w:p>
    <w:p w14:paraId="5C67B1AE"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1118582D" w14:textId="5180510B" w:rsidR="00F72C6B" w:rsidRPr="00D44AA7" w:rsidRDefault="005F1DE0" w:rsidP="003274E5">
      <w:pPr>
        <w:spacing w:after="0"/>
        <w:jc w:val="center"/>
        <w:rPr>
          <w:b/>
          <w:bCs/>
          <w:color w:val="00457D"/>
          <w:sz w:val="24"/>
          <w:szCs w:val="24"/>
          <w:u w:color="00457D"/>
        </w:rPr>
      </w:pPr>
      <w:r>
        <w:rPr>
          <w:b/>
          <w:bCs/>
          <w:noProof/>
          <w:color w:val="00457D"/>
          <w:sz w:val="24"/>
          <w:szCs w:val="24"/>
          <w:u w:color="00457D"/>
        </w:rPr>
        <w:pict w14:anchorId="037E6741">
          <v:shape id="_x0000_i1033" type="#_x0000_t75" style="width:463.5pt;height:224.25pt">
            <v:imagedata r:id="rId25" o:title="Figura_09_20221004"/>
          </v:shape>
        </w:pict>
      </w:r>
    </w:p>
    <w:p w14:paraId="6DFB6267" w14:textId="77777777" w:rsidR="00DF4F27" w:rsidRDefault="00DF4F27" w:rsidP="00DB1360">
      <w:pPr>
        <w:spacing w:after="0" w:line="240" w:lineRule="auto"/>
        <w:jc w:val="center"/>
        <w:rPr>
          <w:b/>
          <w:bCs/>
          <w:color w:val="00457D"/>
          <w:sz w:val="24"/>
          <w:szCs w:val="24"/>
          <w:u w:color="00457D"/>
        </w:rPr>
      </w:pPr>
    </w:p>
    <w:p w14:paraId="5FFB0220" w14:textId="77777777" w:rsidR="00DF4F27" w:rsidRDefault="00DF4F27">
      <w:pPr>
        <w:spacing w:after="0" w:line="240" w:lineRule="auto"/>
        <w:rPr>
          <w:b/>
          <w:bCs/>
          <w:color w:val="00457D"/>
          <w:sz w:val="24"/>
          <w:szCs w:val="24"/>
          <w:u w:color="00457D"/>
        </w:rPr>
      </w:pPr>
      <w:r>
        <w:rPr>
          <w:b/>
          <w:bCs/>
          <w:color w:val="00457D"/>
          <w:sz w:val="24"/>
          <w:szCs w:val="24"/>
          <w:u w:color="00457D"/>
        </w:rPr>
        <w:br w:type="page"/>
      </w:r>
    </w:p>
    <w:p w14:paraId="3B8D7771"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3D2C0085" w14:textId="425E9DE8" w:rsidR="00F72C6B" w:rsidRPr="00CF6F3B" w:rsidRDefault="005F1DE0" w:rsidP="005C1E56">
      <w:pPr>
        <w:spacing w:after="0" w:line="240" w:lineRule="auto"/>
        <w:jc w:val="center"/>
        <w:rPr>
          <w:b/>
          <w:bCs/>
          <w:color w:val="FF0000"/>
          <w:sz w:val="24"/>
          <w:szCs w:val="24"/>
          <w:u w:color="00457D"/>
        </w:rPr>
      </w:pPr>
      <w:r>
        <w:rPr>
          <w:b/>
          <w:bCs/>
          <w:noProof/>
          <w:color w:val="FF0000"/>
          <w:sz w:val="24"/>
          <w:szCs w:val="24"/>
          <w:u w:color="00457D"/>
        </w:rPr>
        <w:pict w14:anchorId="649829D9">
          <v:shape id="_x0000_i1034" type="#_x0000_t75" style="width:448.5pt;height:284.25pt">
            <v:imagedata r:id="rId26" o:title="Figura_10_20221004"/>
          </v:shape>
        </w:pict>
      </w:r>
    </w:p>
    <w:p w14:paraId="5C1CB951" w14:textId="77777777" w:rsidR="004D25FE" w:rsidRDefault="004D25FE" w:rsidP="00DB2332">
      <w:pPr>
        <w:spacing w:after="0" w:line="240" w:lineRule="auto"/>
        <w:jc w:val="center"/>
        <w:rPr>
          <w:b/>
          <w:bCs/>
          <w:color w:val="00457D"/>
          <w:sz w:val="24"/>
          <w:szCs w:val="24"/>
          <w:u w:color="00457D"/>
        </w:rPr>
      </w:pPr>
    </w:p>
    <w:p w14:paraId="54FE51CF" w14:textId="77777777" w:rsidR="00D54DDF" w:rsidRPr="00D33A53" w:rsidRDefault="004D25FE" w:rsidP="00DB2332">
      <w:pPr>
        <w:spacing w:after="0" w:line="240" w:lineRule="auto"/>
        <w:jc w:val="center"/>
        <w:rPr>
          <w:b/>
          <w:bCs/>
          <w:color w:val="00457D"/>
          <w:sz w:val="24"/>
          <w:szCs w:val="24"/>
          <w:u w:color="00457D"/>
        </w:rPr>
      </w:pPr>
      <w:r>
        <w:rPr>
          <w:b/>
          <w:bCs/>
          <w:color w:val="00457D"/>
          <w:sz w:val="24"/>
          <w:szCs w:val="24"/>
          <w:u w:color="00457D"/>
        </w:rPr>
        <w:t>Figura 11</w:t>
      </w:r>
    </w:p>
    <w:p w14:paraId="3B9555EE" w14:textId="07B85E34" w:rsidR="00F72C6B" w:rsidRPr="00CF6F3B" w:rsidRDefault="005F1DE0" w:rsidP="004B6DC2">
      <w:pPr>
        <w:spacing w:after="0" w:line="240" w:lineRule="auto"/>
        <w:jc w:val="center"/>
        <w:rPr>
          <w:b/>
          <w:bCs/>
          <w:color w:val="FF0000"/>
          <w:sz w:val="12"/>
          <w:szCs w:val="12"/>
          <w:u w:color="00457D"/>
        </w:rPr>
      </w:pPr>
      <w:r>
        <w:rPr>
          <w:b/>
          <w:bCs/>
          <w:noProof/>
          <w:color w:val="FF0000"/>
          <w:sz w:val="12"/>
          <w:szCs w:val="12"/>
          <w:u w:color="00457D"/>
        </w:rPr>
        <w:pict w14:anchorId="3022BE9C">
          <v:shape id="_x0000_i1035" type="#_x0000_t75" style="width:481.5pt;height:361.5pt">
            <v:imagedata r:id="rId27" o:title="Figura_11_20221004"/>
          </v:shape>
        </w:pict>
      </w:r>
    </w:p>
    <w:p w14:paraId="6B0E5C3B" w14:textId="77777777" w:rsidR="004D2B35" w:rsidRPr="00CF6F3B" w:rsidRDefault="004D2B35" w:rsidP="00E03BC7">
      <w:pPr>
        <w:spacing w:after="0" w:line="240" w:lineRule="auto"/>
        <w:jc w:val="center"/>
        <w:rPr>
          <w:b/>
          <w:bCs/>
          <w:color w:val="FF0000"/>
          <w:sz w:val="12"/>
          <w:szCs w:val="12"/>
          <w:u w:color="00457D"/>
        </w:rPr>
      </w:pPr>
    </w:p>
    <w:p w14:paraId="20F53C4C" w14:textId="77777777" w:rsidR="004D25FE" w:rsidRDefault="004D25FE">
      <w:pPr>
        <w:spacing w:after="0" w:line="240" w:lineRule="auto"/>
        <w:rPr>
          <w:b/>
          <w:bCs/>
          <w:color w:val="00457D"/>
          <w:sz w:val="24"/>
          <w:szCs w:val="24"/>
          <w:u w:color="00457D"/>
        </w:rPr>
      </w:pPr>
      <w:r>
        <w:rPr>
          <w:b/>
          <w:bCs/>
          <w:color w:val="00457D"/>
          <w:sz w:val="24"/>
          <w:szCs w:val="24"/>
          <w:u w:color="00457D"/>
        </w:rPr>
        <w:br w:type="page"/>
      </w:r>
    </w:p>
    <w:p w14:paraId="7B16E2A2"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4D25FE">
        <w:rPr>
          <w:b/>
          <w:bCs/>
          <w:color w:val="00457D"/>
          <w:sz w:val="24"/>
          <w:szCs w:val="24"/>
          <w:u w:color="00457D"/>
        </w:rPr>
        <w:t>2</w:t>
      </w:r>
    </w:p>
    <w:p w14:paraId="38015571" w14:textId="6366E014" w:rsidR="00F72C6B" w:rsidRDefault="005F1DE0" w:rsidP="00E03BC7">
      <w:pPr>
        <w:spacing w:after="0" w:line="240" w:lineRule="auto"/>
        <w:jc w:val="center"/>
        <w:rPr>
          <w:b/>
          <w:bCs/>
          <w:noProof/>
          <w:color w:val="FF0000"/>
          <w:sz w:val="24"/>
          <w:szCs w:val="24"/>
          <w:u w:color="00457D"/>
        </w:rPr>
      </w:pPr>
      <w:r>
        <w:rPr>
          <w:b/>
          <w:bCs/>
          <w:noProof/>
          <w:color w:val="FF0000"/>
          <w:sz w:val="24"/>
          <w:szCs w:val="24"/>
          <w:u w:color="00457D"/>
        </w:rPr>
        <w:pict w14:anchorId="188891C3">
          <v:shape id="_x0000_i1036" type="#_x0000_t75" style="width:447.75pt;height:335.25pt">
            <v:imagedata r:id="rId28" o:title="Figura_12_20221004"/>
          </v:shape>
        </w:pict>
      </w:r>
    </w:p>
    <w:p w14:paraId="26379BCE" w14:textId="77777777" w:rsidR="004D25FE" w:rsidRDefault="004D25FE" w:rsidP="00040108">
      <w:pPr>
        <w:spacing w:after="0" w:line="240" w:lineRule="auto"/>
        <w:jc w:val="center"/>
        <w:rPr>
          <w:b/>
          <w:bCs/>
          <w:color w:val="00457D"/>
          <w:sz w:val="24"/>
          <w:szCs w:val="24"/>
          <w:u w:color="00457D"/>
        </w:rPr>
      </w:pPr>
    </w:p>
    <w:p w14:paraId="3E60F9D0" w14:textId="77777777" w:rsidR="00E24DCD" w:rsidRDefault="004D25FE" w:rsidP="00040108">
      <w:pPr>
        <w:spacing w:after="0" w:line="240" w:lineRule="auto"/>
        <w:jc w:val="center"/>
        <w:rPr>
          <w:b/>
          <w:bCs/>
          <w:color w:val="00457D"/>
          <w:sz w:val="24"/>
          <w:szCs w:val="24"/>
          <w:u w:color="00457D"/>
        </w:rPr>
      </w:pPr>
      <w:r>
        <w:rPr>
          <w:b/>
          <w:bCs/>
          <w:color w:val="00457D"/>
          <w:sz w:val="24"/>
          <w:szCs w:val="24"/>
          <w:u w:color="00457D"/>
        </w:rPr>
        <w:t>Figura 13</w:t>
      </w:r>
    </w:p>
    <w:p w14:paraId="295C8172" w14:textId="64EEEA7C" w:rsidR="00060277" w:rsidRDefault="005F1DE0" w:rsidP="00040108">
      <w:pPr>
        <w:spacing w:after="0" w:line="240" w:lineRule="auto"/>
        <w:jc w:val="center"/>
        <w:rPr>
          <w:b/>
          <w:bCs/>
          <w:color w:val="00457D"/>
          <w:sz w:val="24"/>
          <w:szCs w:val="24"/>
          <w:u w:color="00457D"/>
        </w:rPr>
      </w:pPr>
      <w:r>
        <w:rPr>
          <w:b/>
          <w:bCs/>
          <w:noProof/>
          <w:color w:val="00457D"/>
          <w:sz w:val="24"/>
          <w:szCs w:val="24"/>
          <w:u w:color="00457D"/>
        </w:rPr>
        <w:pict w14:anchorId="23292970">
          <v:shape id="_x0000_i1037" type="#_x0000_t75" style="width:435.75pt;height:327.75pt">
            <v:imagedata r:id="rId29" o:title="Figura_13_20221004"/>
          </v:shape>
        </w:pict>
      </w:r>
    </w:p>
    <w:p w14:paraId="5CDEC6EF" w14:textId="77777777" w:rsidR="00F72C6B" w:rsidRPr="00CF6F3B" w:rsidRDefault="00F72C6B" w:rsidP="00040108">
      <w:pPr>
        <w:spacing w:after="0" w:line="240" w:lineRule="auto"/>
        <w:jc w:val="center"/>
        <w:rPr>
          <w:b/>
          <w:bCs/>
          <w:color w:val="FF0000"/>
          <w:sz w:val="24"/>
          <w:szCs w:val="24"/>
          <w:u w:color="00457D"/>
        </w:rPr>
        <w:sectPr w:rsidR="00F72C6B" w:rsidRPr="00CF6F3B" w:rsidSect="00DF4F27">
          <w:pgSz w:w="11900" w:h="16840"/>
          <w:pgMar w:top="1171" w:right="1134" w:bottom="1134" w:left="1134" w:header="709" w:footer="709" w:gutter="0"/>
          <w:cols w:space="720"/>
          <w:docGrid w:linePitch="299"/>
        </w:sectPr>
      </w:pPr>
    </w:p>
    <w:p w14:paraId="69829477"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4D25FE">
        <w:rPr>
          <w:b/>
          <w:bCs/>
          <w:color w:val="00457D"/>
          <w:sz w:val="24"/>
          <w:szCs w:val="24"/>
          <w:u w:color="00457D"/>
        </w:rPr>
        <w:t>4</w:t>
      </w:r>
    </w:p>
    <w:p w14:paraId="51868AAC" w14:textId="36F54839" w:rsidR="00F72C6B" w:rsidRPr="00CF6F3B" w:rsidRDefault="005F1DE0" w:rsidP="006E14AA">
      <w:pPr>
        <w:spacing w:after="0" w:line="240" w:lineRule="auto"/>
        <w:jc w:val="center"/>
        <w:rPr>
          <w:b/>
          <w:bCs/>
          <w:color w:val="FF0000"/>
          <w:sz w:val="24"/>
          <w:szCs w:val="24"/>
          <w:u w:color="00457D"/>
        </w:rPr>
      </w:pPr>
      <w:r>
        <w:rPr>
          <w:b/>
          <w:bCs/>
          <w:noProof/>
          <w:color w:val="FF0000"/>
          <w:sz w:val="24"/>
          <w:szCs w:val="24"/>
          <w:u w:color="00457D"/>
        </w:rPr>
        <w:pict w14:anchorId="6D14EEBC">
          <v:shape id="_x0000_i1038" type="#_x0000_t75" style="width:437.25pt;height:255.75pt">
            <v:imagedata r:id="rId30" o:title="Figura_14_20221004"/>
          </v:shape>
        </w:pict>
      </w:r>
    </w:p>
    <w:p w14:paraId="3182C279" w14:textId="77777777" w:rsidR="009D0980" w:rsidRPr="00CF6F3B" w:rsidRDefault="009D0980" w:rsidP="006E14AA">
      <w:pPr>
        <w:spacing w:after="0" w:line="240" w:lineRule="auto"/>
        <w:jc w:val="center"/>
        <w:rPr>
          <w:b/>
          <w:bCs/>
          <w:color w:val="FF0000"/>
          <w:sz w:val="24"/>
          <w:szCs w:val="24"/>
          <w:u w:color="00457D"/>
        </w:rPr>
      </w:pPr>
    </w:p>
    <w:p w14:paraId="006B7B92"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4D25FE">
        <w:rPr>
          <w:b/>
          <w:bCs/>
          <w:color w:val="00457D"/>
          <w:sz w:val="24"/>
          <w:szCs w:val="24"/>
          <w:u w:color="00457D"/>
        </w:rPr>
        <w:t>5</w:t>
      </w:r>
    </w:p>
    <w:p w14:paraId="36703AD3" w14:textId="1FBF75EB" w:rsidR="00F72C6B" w:rsidRDefault="005F1DE0" w:rsidP="009F62FA">
      <w:pPr>
        <w:spacing w:after="0" w:line="240" w:lineRule="auto"/>
        <w:jc w:val="center"/>
        <w:rPr>
          <w:b/>
          <w:bCs/>
          <w:noProof/>
          <w:color w:val="FF0000"/>
          <w:sz w:val="24"/>
          <w:szCs w:val="24"/>
          <w:u w:color="00457D"/>
        </w:rPr>
      </w:pPr>
      <w:r>
        <w:rPr>
          <w:b/>
          <w:bCs/>
          <w:noProof/>
          <w:color w:val="FF0000"/>
          <w:sz w:val="24"/>
          <w:szCs w:val="24"/>
          <w:u w:color="00457D"/>
        </w:rPr>
        <w:pict w14:anchorId="42192363">
          <v:shape id="_x0000_i1039" type="#_x0000_t75" style="width:481.5pt;height:363pt">
            <v:imagedata r:id="rId31" o:title="Figura_15_20221004"/>
          </v:shape>
        </w:pict>
      </w:r>
    </w:p>
    <w:p w14:paraId="0A8D7FA2" w14:textId="77777777" w:rsidR="00A133AA" w:rsidRPr="00CF6F3B" w:rsidRDefault="009D0980" w:rsidP="00D46A80">
      <w:pPr>
        <w:spacing w:after="0" w:line="240" w:lineRule="auto"/>
        <w:jc w:val="center"/>
        <w:rPr>
          <w:b/>
          <w:bCs/>
          <w:color w:val="FF0000"/>
          <w:sz w:val="24"/>
          <w:szCs w:val="24"/>
          <w:u w:color="00457D"/>
        </w:rPr>
      </w:pPr>
      <w:r w:rsidRPr="00CF6F3B">
        <w:rPr>
          <w:b/>
          <w:bCs/>
          <w:color w:val="FF0000"/>
          <w:sz w:val="24"/>
          <w:szCs w:val="24"/>
          <w:u w:color="00457D"/>
        </w:rPr>
        <w:br w:type="page"/>
      </w:r>
    </w:p>
    <w:p w14:paraId="716613A9"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740D21DE" w14:textId="77777777" w:rsidR="007D6C09" w:rsidRPr="007D6C09" w:rsidRDefault="004D16FF" w:rsidP="007D6C09">
      <w:pPr>
        <w:spacing w:after="60" w:line="276" w:lineRule="auto"/>
        <w:jc w:val="center"/>
        <w:rPr>
          <w:b/>
          <w:bCs/>
          <w:color w:val="00457D"/>
          <w:sz w:val="24"/>
          <w:szCs w:val="24"/>
          <w:u w:color="00457D"/>
        </w:rPr>
      </w:pPr>
      <w:r w:rsidRPr="007D6C09">
        <w:rPr>
          <w:b/>
          <w:bCs/>
          <w:color w:val="00457D"/>
          <w:sz w:val="24"/>
          <w:szCs w:val="24"/>
          <w:u w:color="00457D"/>
        </w:rPr>
        <w:lastRenderedPageBreak/>
        <w:t xml:space="preserve">Tabella 1. Indicatori regionali: settimana </w:t>
      </w:r>
      <w:r w:rsidR="007D6C09" w:rsidRPr="007D6C09">
        <w:rPr>
          <w:b/>
          <w:bCs/>
          <w:color w:val="00457D"/>
          <w:sz w:val="24"/>
          <w:szCs w:val="24"/>
          <w:u w:color="00457D"/>
        </w:rPr>
        <w:t>28</w:t>
      </w:r>
      <w:r w:rsidR="00C7209E" w:rsidRPr="007D6C09">
        <w:rPr>
          <w:b/>
          <w:bCs/>
          <w:color w:val="00457D"/>
          <w:sz w:val="24"/>
          <w:szCs w:val="24"/>
          <w:u w:color="00457D"/>
        </w:rPr>
        <w:t xml:space="preserve"> settembre</w:t>
      </w:r>
      <w:r w:rsidRPr="007D6C09">
        <w:rPr>
          <w:b/>
          <w:bCs/>
          <w:color w:val="00457D"/>
          <w:sz w:val="24"/>
          <w:szCs w:val="24"/>
          <w:u w:color="00457D"/>
        </w:rPr>
        <w:t xml:space="preserve"> </w:t>
      </w:r>
      <w:r w:rsidR="007D6C09" w:rsidRPr="007D6C09">
        <w:rPr>
          <w:b/>
          <w:bCs/>
          <w:color w:val="00457D"/>
          <w:sz w:val="24"/>
          <w:szCs w:val="24"/>
          <w:u w:color="00457D"/>
        </w:rPr>
        <w:t xml:space="preserve">– 4 ottobre </w:t>
      </w:r>
      <w:r w:rsidRPr="007D6C09">
        <w:rPr>
          <w:b/>
          <w:bCs/>
          <w:color w:val="00457D"/>
          <w:sz w:val="24"/>
          <w:szCs w:val="24"/>
          <w:u w:color="00457D"/>
        </w:rPr>
        <w:t>2022</w:t>
      </w:r>
    </w:p>
    <w:tbl>
      <w:tblPr>
        <w:tblW w:w="9918" w:type="dxa"/>
        <w:tblLayout w:type="fixed"/>
        <w:tblCellMar>
          <w:left w:w="0" w:type="dxa"/>
          <w:right w:w="0" w:type="dxa"/>
        </w:tblCellMar>
        <w:tblLook w:val="04A0" w:firstRow="1" w:lastRow="0" w:firstColumn="1" w:lastColumn="0" w:noHBand="0" w:noVBand="1"/>
      </w:tblPr>
      <w:tblGrid>
        <w:gridCol w:w="1980"/>
        <w:gridCol w:w="1660"/>
        <w:gridCol w:w="1458"/>
        <w:gridCol w:w="2410"/>
        <w:gridCol w:w="2410"/>
      </w:tblGrid>
      <w:tr w:rsidR="007D6C09" w14:paraId="447E787E" w14:textId="77777777" w:rsidTr="007D6C09">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36D93C02" w14:textId="77777777" w:rsidR="007D6C09" w:rsidRDefault="007D6C09" w:rsidP="007D6C09">
            <w:pPr>
              <w:spacing w:after="0" w:line="240" w:lineRule="auto"/>
              <w:rPr>
                <w:rFonts w:cs="Calibri"/>
                <w:b/>
                <w:bCs/>
                <w:color w:val="FFFFFF"/>
              </w:rPr>
            </w:pPr>
            <w:r>
              <w:rPr>
                <w:rFonts w:cs="Calibri"/>
                <w:b/>
                <w:bCs/>
                <w:color w:val="FFFFFF"/>
              </w:rPr>
              <w:t>Regione</w:t>
            </w:r>
          </w:p>
        </w:tc>
        <w:tc>
          <w:tcPr>
            <w:tcW w:w="1660" w:type="dxa"/>
            <w:tcBorders>
              <w:top w:val="single" w:sz="4" w:space="0" w:color="00457D"/>
              <w:left w:val="nil"/>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46DFE408" w14:textId="77777777" w:rsidR="007D6C09" w:rsidRDefault="007D6C09" w:rsidP="007D6C09">
            <w:pPr>
              <w:spacing w:after="0" w:line="240" w:lineRule="auto"/>
              <w:jc w:val="center"/>
              <w:rPr>
                <w:rFonts w:cs="Calibri"/>
                <w:b/>
                <w:bCs/>
                <w:color w:val="FFFFFF"/>
                <w:sz w:val="21"/>
                <w:szCs w:val="21"/>
              </w:rPr>
            </w:pPr>
            <w:r>
              <w:rPr>
                <w:rFonts w:cs="Calibri"/>
                <w:b/>
                <w:bCs/>
                <w:color w:val="FFFFFF"/>
                <w:sz w:val="21"/>
                <w:szCs w:val="21"/>
              </w:rPr>
              <w:t>Casi attualmente positivi per 100.000 abitanti</w:t>
            </w:r>
          </w:p>
        </w:tc>
        <w:tc>
          <w:tcPr>
            <w:tcW w:w="1458" w:type="dxa"/>
            <w:tcBorders>
              <w:top w:val="single" w:sz="4" w:space="0" w:color="00457D"/>
              <w:left w:val="nil"/>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163BCF71" w14:textId="77777777" w:rsidR="007D6C09" w:rsidRDefault="007D6C09" w:rsidP="007D6C09">
            <w:pPr>
              <w:spacing w:after="0" w:line="240" w:lineRule="auto"/>
              <w:jc w:val="center"/>
              <w:rPr>
                <w:rFonts w:cs="Calibri"/>
                <w:b/>
                <w:bCs/>
                <w:color w:val="FFFFFF"/>
              </w:rPr>
            </w:pPr>
            <w:r>
              <w:rPr>
                <w:rFonts w:cs="Calibri"/>
                <w:b/>
                <w:bCs/>
                <w:color w:val="FFFFFF"/>
              </w:rPr>
              <w:t xml:space="preserve">Variazione </w:t>
            </w:r>
            <w:r>
              <w:rPr>
                <w:rFonts w:cs="Calibri"/>
                <w:b/>
                <w:bCs/>
                <w:color w:val="FFFFFF"/>
              </w:rPr>
              <w:br/>
              <w:t>% nuovi casi</w:t>
            </w:r>
          </w:p>
        </w:tc>
        <w:tc>
          <w:tcPr>
            <w:tcW w:w="2410" w:type="dxa"/>
            <w:tcBorders>
              <w:top w:val="single" w:sz="4" w:space="0" w:color="00457D"/>
              <w:left w:val="nil"/>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0F91CEF0" w14:textId="77777777" w:rsidR="007D6C09" w:rsidRDefault="007D6C09" w:rsidP="007D6C09">
            <w:pPr>
              <w:spacing w:after="0" w:line="240" w:lineRule="auto"/>
              <w:jc w:val="center"/>
              <w:rPr>
                <w:rFonts w:cs="Calibri"/>
                <w:b/>
                <w:bCs/>
                <w:color w:val="FFFFFF"/>
              </w:rPr>
            </w:pPr>
            <w:r>
              <w:rPr>
                <w:rFonts w:cs="Calibri"/>
                <w:b/>
                <w:bCs/>
                <w:color w:val="FFFFFF"/>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tcMar>
              <w:top w:w="15" w:type="dxa"/>
              <w:left w:w="15" w:type="dxa"/>
              <w:bottom w:w="0" w:type="dxa"/>
              <w:right w:w="15" w:type="dxa"/>
            </w:tcMar>
            <w:vAlign w:val="center"/>
            <w:hideMark/>
          </w:tcPr>
          <w:p w14:paraId="67BC7918" w14:textId="77777777" w:rsidR="007D6C09" w:rsidRDefault="007D6C09" w:rsidP="007D6C09">
            <w:pPr>
              <w:spacing w:after="0" w:line="240" w:lineRule="auto"/>
              <w:jc w:val="center"/>
              <w:rPr>
                <w:rFonts w:cs="Calibri"/>
                <w:b/>
                <w:bCs/>
                <w:color w:val="FFFFFF"/>
              </w:rPr>
            </w:pPr>
            <w:r>
              <w:rPr>
                <w:rFonts w:cs="Calibri"/>
                <w:b/>
                <w:bCs/>
                <w:color w:val="FFFFFF"/>
              </w:rPr>
              <w:t xml:space="preserve">Posti letto in terapia intensiva occupati da </w:t>
            </w:r>
            <w:r>
              <w:rPr>
                <w:rFonts w:cs="Calibri"/>
                <w:b/>
                <w:bCs/>
                <w:color w:val="FFFFFF"/>
              </w:rPr>
              <w:br/>
              <w:t>pazienti COVID−19</w:t>
            </w:r>
          </w:p>
        </w:tc>
      </w:tr>
      <w:tr w:rsidR="007D6C09" w14:paraId="79EBF81D"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42E14D65" w14:textId="77777777" w:rsidR="007D6C09" w:rsidRDefault="007D6C09" w:rsidP="007D6C09">
            <w:pPr>
              <w:spacing w:after="0" w:line="240" w:lineRule="auto"/>
              <w:rPr>
                <w:rFonts w:cs="Calibri"/>
              </w:rPr>
            </w:pPr>
            <w:r>
              <w:rPr>
                <w:rFonts w:cs="Calibri"/>
              </w:rPr>
              <w:t>Abruzzo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862EA71" w14:textId="77777777" w:rsidR="007D6C09" w:rsidRDefault="007D6C09" w:rsidP="007D6C09">
            <w:pPr>
              <w:spacing w:after="0" w:line="240" w:lineRule="auto"/>
              <w:jc w:val="center"/>
              <w:rPr>
                <w:rFonts w:cs="Calibri"/>
                <w:color w:val="9C0006"/>
              </w:rPr>
            </w:pPr>
            <w:r>
              <w:rPr>
                <w:rFonts w:cs="Calibri"/>
                <w:color w:val="9C0006"/>
              </w:rPr>
              <w:t>2.485</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5C8C737" w14:textId="77777777" w:rsidR="007D6C09" w:rsidRDefault="007D6C09" w:rsidP="007D6C09">
            <w:pPr>
              <w:spacing w:after="0" w:line="240" w:lineRule="auto"/>
              <w:jc w:val="center"/>
              <w:rPr>
                <w:rFonts w:cs="Calibri"/>
                <w:color w:val="9C0006"/>
              </w:rPr>
            </w:pPr>
            <w:r>
              <w:rPr>
                <w:rFonts w:cs="Calibri"/>
                <w:color w:val="9C0006"/>
              </w:rPr>
              <w:t>45,8%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28F84D6" w14:textId="77777777" w:rsidR="007D6C09" w:rsidRDefault="007D6C09" w:rsidP="007D6C09">
            <w:pPr>
              <w:spacing w:after="0" w:line="240" w:lineRule="auto"/>
              <w:jc w:val="center"/>
              <w:rPr>
                <w:rFonts w:cs="Calibri"/>
                <w:color w:val="9C0006"/>
              </w:rPr>
            </w:pPr>
            <w:r>
              <w:rPr>
                <w:rFonts w:cs="Calibri"/>
                <w:color w:val="9C0006"/>
              </w:rPr>
              <w:t>10,7%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6E7E93F" w14:textId="77777777" w:rsidR="007D6C09" w:rsidRDefault="007D6C09" w:rsidP="007D6C09">
            <w:pPr>
              <w:spacing w:after="0" w:line="240" w:lineRule="auto"/>
              <w:jc w:val="center"/>
              <w:rPr>
                <w:rFonts w:cs="Calibri"/>
                <w:color w:val="006100"/>
              </w:rPr>
            </w:pPr>
            <w:r>
              <w:rPr>
                <w:rFonts w:cs="Calibri"/>
                <w:color w:val="006100"/>
              </w:rPr>
              <w:t>0,6%</w:t>
            </w:r>
          </w:p>
        </w:tc>
      </w:tr>
      <w:tr w:rsidR="007D6C09" w14:paraId="622F0B8A"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6C9A75C1" w14:textId="77777777" w:rsidR="007D6C09" w:rsidRDefault="007D6C09" w:rsidP="007D6C09">
            <w:pPr>
              <w:spacing w:after="0" w:line="240" w:lineRule="auto"/>
              <w:rPr>
                <w:rFonts w:cs="Calibri"/>
              </w:rPr>
            </w:pPr>
            <w:r>
              <w:rPr>
                <w:rFonts w:cs="Calibri"/>
              </w:rPr>
              <w:t>Basilicata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CA46BD0" w14:textId="77777777" w:rsidR="007D6C09" w:rsidRDefault="007D6C09" w:rsidP="007D6C09">
            <w:pPr>
              <w:spacing w:after="0" w:line="240" w:lineRule="auto"/>
              <w:jc w:val="center"/>
              <w:rPr>
                <w:rFonts w:cs="Calibri"/>
                <w:color w:val="9C0006"/>
              </w:rPr>
            </w:pPr>
            <w:r>
              <w:rPr>
                <w:rFonts w:cs="Calibri"/>
                <w:color w:val="9C0006"/>
              </w:rPr>
              <w:t>981</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AC910C2" w14:textId="77777777" w:rsidR="007D6C09" w:rsidRDefault="007D6C09" w:rsidP="007D6C09">
            <w:pPr>
              <w:spacing w:after="0" w:line="240" w:lineRule="auto"/>
              <w:jc w:val="center"/>
              <w:rPr>
                <w:rFonts w:cs="Calibri"/>
                <w:color w:val="9C0006"/>
              </w:rPr>
            </w:pPr>
            <w:r>
              <w:rPr>
                <w:rFonts w:cs="Calibri"/>
                <w:color w:val="9C0006"/>
              </w:rPr>
              <w:t>34,5%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1E94C89B" w14:textId="77777777" w:rsidR="007D6C09" w:rsidRDefault="007D6C09" w:rsidP="007D6C09">
            <w:pPr>
              <w:spacing w:after="0" w:line="240" w:lineRule="auto"/>
              <w:jc w:val="center"/>
              <w:rPr>
                <w:rFonts w:cs="Calibri"/>
                <w:color w:val="006100"/>
              </w:rPr>
            </w:pPr>
            <w:r>
              <w:rPr>
                <w:rFonts w:cs="Calibri"/>
                <w:color w:val="006100"/>
              </w:rPr>
              <w:t>6,8%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4CE0ABE3" w14:textId="77777777" w:rsidR="007D6C09" w:rsidRDefault="007D6C09" w:rsidP="007D6C09">
            <w:pPr>
              <w:spacing w:after="0" w:line="240" w:lineRule="auto"/>
              <w:jc w:val="center"/>
              <w:rPr>
                <w:rFonts w:cs="Calibri"/>
                <w:color w:val="006100"/>
              </w:rPr>
            </w:pPr>
            <w:r>
              <w:rPr>
                <w:rFonts w:cs="Calibri"/>
                <w:color w:val="006100"/>
              </w:rPr>
              <w:t>0,0%</w:t>
            </w:r>
          </w:p>
        </w:tc>
      </w:tr>
      <w:tr w:rsidR="007D6C09" w14:paraId="67B295FD"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41DA9270" w14:textId="77777777" w:rsidR="007D6C09" w:rsidRDefault="007D6C09" w:rsidP="007D6C09">
            <w:pPr>
              <w:spacing w:after="0" w:line="240" w:lineRule="auto"/>
              <w:rPr>
                <w:rFonts w:cs="Calibri"/>
              </w:rPr>
            </w:pPr>
            <w:r>
              <w:rPr>
                <w:rFonts w:cs="Calibri"/>
              </w:rPr>
              <w:t>Calabria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9309C57" w14:textId="77777777" w:rsidR="007D6C09" w:rsidRDefault="007D6C09" w:rsidP="007D6C09">
            <w:pPr>
              <w:spacing w:after="0" w:line="240" w:lineRule="auto"/>
              <w:jc w:val="center"/>
              <w:rPr>
                <w:rFonts w:cs="Calibri"/>
                <w:color w:val="9C0006"/>
              </w:rPr>
            </w:pPr>
            <w:r>
              <w:rPr>
                <w:rFonts w:cs="Calibri"/>
                <w:color w:val="9C0006"/>
              </w:rPr>
              <w:t>2.174</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8EAA4A6" w14:textId="77777777" w:rsidR="007D6C09" w:rsidRDefault="007D6C09" w:rsidP="007D6C09">
            <w:pPr>
              <w:spacing w:after="0" w:line="240" w:lineRule="auto"/>
              <w:jc w:val="center"/>
              <w:rPr>
                <w:rFonts w:cs="Calibri"/>
                <w:color w:val="9C0006"/>
              </w:rPr>
            </w:pPr>
            <w:r>
              <w:rPr>
                <w:rFonts w:cs="Calibri"/>
                <w:color w:val="9C0006"/>
              </w:rPr>
              <w:t>35,6%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CBB55A3" w14:textId="77777777" w:rsidR="007D6C09" w:rsidRDefault="007D6C09" w:rsidP="007D6C09">
            <w:pPr>
              <w:spacing w:after="0" w:line="240" w:lineRule="auto"/>
              <w:jc w:val="center"/>
              <w:rPr>
                <w:rFonts w:cs="Calibri"/>
                <w:color w:val="9C0006"/>
              </w:rPr>
            </w:pPr>
            <w:r>
              <w:rPr>
                <w:rFonts w:cs="Calibri"/>
                <w:color w:val="9C0006"/>
              </w:rPr>
              <w:t>13,9%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9D1262D" w14:textId="77777777" w:rsidR="007D6C09" w:rsidRDefault="007D6C09" w:rsidP="007D6C09">
            <w:pPr>
              <w:spacing w:after="0" w:line="240" w:lineRule="auto"/>
              <w:jc w:val="center"/>
              <w:rPr>
                <w:rFonts w:cs="Calibri"/>
                <w:color w:val="9C0006"/>
              </w:rPr>
            </w:pPr>
            <w:r>
              <w:rPr>
                <w:rFonts w:cs="Calibri"/>
                <w:color w:val="9C0006"/>
              </w:rPr>
              <w:t>3,4%</w:t>
            </w:r>
          </w:p>
        </w:tc>
      </w:tr>
      <w:tr w:rsidR="007D6C09" w14:paraId="0A99926D"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4930FEAD" w14:textId="77777777" w:rsidR="007D6C09" w:rsidRDefault="007D6C09" w:rsidP="007D6C09">
            <w:pPr>
              <w:spacing w:after="0" w:line="240" w:lineRule="auto"/>
              <w:rPr>
                <w:rFonts w:cs="Calibri"/>
              </w:rPr>
            </w:pPr>
            <w:r>
              <w:rPr>
                <w:rFonts w:cs="Calibri"/>
              </w:rPr>
              <w:t>Campania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7A6FEAC" w14:textId="77777777" w:rsidR="007D6C09" w:rsidRDefault="007D6C09" w:rsidP="007D6C09">
            <w:pPr>
              <w:spacing w:after="0" w:line="240" w:lineRule="auto"/>
              <w:jc w:val="center"/>
              <w:rPr>
                <w:rFonts w:cs="Calibri"/>
                <w:color w:val="9C0006"/>
              </w:rPr>
            </w:pPr>
            <w:r>
              <w:rPr>
                <w:rFonts w:cs="Calibri"/>
                <w:color w:val="9C0006"/>
              </w:rPr>
              <w:t>791</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C8505CB" w14:textId="77777777" w:rsidR="007D6C09" w:rsidRDefault="007D6C09" w:rsidP="007D6C09">
            <w:pPr>
              <w:spacing w:after="0" w:line="240" w:lineRule="auto"/>
              <w:jc w:val="center"/>
              <w:rPr>
                <w:rFonts w:cs="Calibri"/>
                <w:color w:val="9C0006"/>
              </w:rPr>
            </w:pPr>
            <w:r>
              <w:rPr>
                <w:rFonts w:cs="Calibri"/>
                <w:color w:val="9C0006"/>
              </w:rPr>
              <w:t>27,0%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63C1994" w14:textId="77777777" w:rsidR="007D6C09" w:rsidRDefault="007D6C09" w:rsidP="007D6C09">
            <w:pPr>
              <w:spacing w:after="0" w:line="240" w:lineRule="auto"/>
              <w:jc w:val="center"/>
              <w:rPr>
                <w:rFonts w:cs="Calibri"/>
                <w:color w:val="006100"/>
              </w:rPr>
            </w:pPr>
            <w:r>
              <w:rPr>
                <w:rFonts w:cs="Calibri"/>
                <w:color w:val="006100"/>
              </w:rPr>
              <w:t>6,8%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AAE44FD" w14:textId="77777777" w:rsidR="007D6C09" w:rsidRDefault="007D6C09" w:rsidP="007D6C09">
            <w:pPr>
              <w:spacing w:after="0" w:line="240" w:lineRule="auto"/>
              <w:jc w:val="center"/>
              <w:rPr>
                <w:rFonts w:cs="Calibri"/>
                <w:color w:val="006100"/>
              </w:rPr>
            </w:pPr>
            <w:r>
              <w:rPr>
                <w:rFonts w:cs="Calibri"/>
                <w:color w:val="006100"/>
              </w:rPr>
              <w:t>1,0%</w:t>
            </w:r>
          </w:p>
        </w:tc>
      </w:tr>
      <w:tr w:rsidR="007D6C09" w14:paraId="0E1D33E4"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40932475" w14:textId="77777777" w:rsidR="007D6C09" w:rsidRDefault="007D6C09" w:rsidP="007D6C09">
            <w:pPr>
              <w:spacing w:after="0" w:line="240" w:lineRule="auto"/>
              <w:rPr>
                <w:rFonts w:cs="Calibri"/>
              </w:rPr>
            </w:pPr>
            <w:r>
              <w:rPr>
                <w:rFonts w:cs="Calibri"/>
              </w:rPr>
              <w:t>Emilia Romagna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7EA7392" w14:textId="77777777" w:rsidR="007D6C09" w:rsidRDefault="007D6C09" w:rsidP="007D6C09">
            <w:pPr>
              <w:spacing w:after="0" w:line="240" w:lineRule="auto"/>
              <w:jc w:val="center"/>
              <w:rPr>
                <w:rFonts w:cs="Calibri"/>
                <w:color w:val="9C0006"/>
              </w:rPr>
            </w:pPr>
            <w:r>
              <w:rPr>
                <w:rFonts w:cs="Calibri"/>
                <w:color w:val="9C0006"/>
              </w:rPr>
              <w:t>641</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860846D" w14:textId="77777777" w:rsidR="007D6C09" w:rsidRDefault="007D6C09" w:rsidP="007D6C09">
            <w:pPr>
              <w:spacing w:after="0" w:line="240" w:lineRule="auto"/>
              <w:jc w:val="center"/>
              <w:rPr>
                <w:rFonts w:cs="Calibri"/>
                <w:color w:val="9C0006"/>
              </w:rPr>
            </w:pPr>
            <w:r>
              <w:rPr>
                <w:rFonts w:cs="Calibri"/>
                <w:color w:val="9C0006"/>
              </w:rPr>
              <w:t>80,4%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9C52204" w14:textId="77777777" w:rsidR="007D6C09" w:rsidRDefault="007D6C09" w:rsidP="007D6C09">
            <w:pPr>
              <w:spacing w:after="0" w:line="240" w:lineRule="auto"/>
              <w:jc w:val="center"/>
              <w:rPr>
                <w:rFonts w:cs="Calibri"/>
                <w:color w:val="9C0006"/>
              </w:rPr>
            </w:pPr>
            <w:r>
              <w:rPr>
                <w:rFonts w:cs="Calibri"/>
                <w:color w:val="9C0006"/>
              </w:rPr>
              <w:t>8,2%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AB6B3D1" w14:textId="77777777" w:rsidR="007D6C09" w:rsidRDefault="007D6C09" w:rsidP="007D6C09">
            <w:pPr>
              <w:spacing w:after="0" w:line="240" w:lineRule="auto"/>
              <w:jc w:val="center"/>
              <w:rPr>
                <w:rFonts w:cs="Calibri"/>
                <w:color w:val="9C0006"/>
              </w:rPr>
            </w:pPr>
            <w:r>
              <w:rPr>
                <w:rFonts w:cs="Calibri"/>
                <w:color w:val="9C0006"/>
              </w:rPr>
              <w:t>2,1%</w:t>
            </w:r>
          </w:p>
        </w:tc>
      </w:tr>
      <w:tr w:rsidR="007D6C09" w14:paraId="0BF77FB5"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115C78F0" w14:textId="77777777" w:rsidR="007D6C09" w:rsidRDefault="007D6C09" w:rsidP="007D6C09">
            <w:pPr>
              <w:spacing w:after="0" w:line="240" w:lineRule="auto"/>
              <w:rPr>
                <w:rFonts w:cs="Calibri"/>
              </w:rPr>
            </w:pPr>
            <w:r>
              <w:rPr>
                <w:rFonts w:cs="Calibri"/>
              </w:rPr>
              <w:t>Friuli Venezia Giulia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3985120" w14:textId="77777777" w:rsidR="007D6C09" w:rsidRDefault="007D6C09" w:rsidP="007D6C09">
            <w:pPr>
              <w:spacing w:after="0" w:line="240" w:lineRule="auto"/>
              <w:jc w:val="center"/>
              <w:rPr>
                <w:rFonts w:cs="Calibri"/>
                <w:color w:val="9C0006"/>
              </w:rPr>
            </w:pPr>
            <w:r>
              <w:rPr>
                <w:rFonts w:cs="Calibri"/>
                <w:color w:val="9C0006"/>
              </w:rPr>
              <w:t>906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56D0C79" w14:textId="77777777" w:rsidR="007D6C09" w:rsidRDefault="007D6C09" w:rsidP="007D6C09">
            <w:pPr>
              <w:spacing w:after="0" w:line="240" w:lineRule="auto"/>
              <w:jc w:val="center"/>
              <w:rPr>
                <w:rFonts w:cs="Calibri"/>
                <w:color w:val="9C0006"/>
              </w:rPr>
            </w:pPr>
            <w:r>
              <w:rPr>
                <w:rFonts w:cs="Calibri"/>
                <w:color w:val="9C0006"/>
              </w:rPr>
              <w:t>63,9%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3843B3F" w14:textId="77777777" w:rsidR="007D6C09" w:rsidRDefault="007D6C09" w:rsidP="007D6C09">
            <w:pPr>
              <w:spacing w:after="0" w:line="240" w:lineRule="auto"/>
              <w:jc w:val="center"/>
              <w:rPr>
                <w:rFonts w:cs="Calibri"/>
                <w:color w:val="9C0006"/>
              </w:rPr>
            </w:pPr>
            <w:r>
              <w:rPr>
                <w:rFonts w:cs="Calibri"/>
                <w:color w:val="9C0006"/>
              </w:rPr>
              <w:t>15,1%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2E1D00D" w14:textId="77777777" w:rsidR="007D6C09" w:rsidRDefault="007D6C09" w:rsidP="007D6C09">
            <w:pPr>
              <w:spacing w:after="0" w:line="240" w:lineRule="auto"/>
              <w:jc w:val="center"/>
              <w:rPr>
                <w:rFonts w:cs="Calibri"/>
                <w:color w:val="9C0006"/>
              </w:rPr>
            </w:pPr>
            <w:r>
              <w:rPr>
                <w:rFonts w:cs="Calibri"/>
                <w:color w:val="9C0006"/>
              </w:rPr>
              <w:t>4,6%</w:t>
            </w:r>
          </w:p>
        </w:tc>
      </w:tr>
      <w:tr w:rsidR="007D6C09" w14:paraId="26041AC0"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30EAF555" w14:textId="77777777" w:rsidR="007D6C09" w:rsidRDefault="007D6C09" w:rsidP="007D6C09">
            <w:pPr>
              <w:spacing w:after="0" w:line="240" w:lineRule="auto"/>
              <w:rPr>
                <w:rFonts w:cs="Calibri"/>
              </w:rPr>
            </w:pPr>
            <w:r>
              <w:rPr>
                <w:rFonts w:cs="Calibri"/>
              </w:rPr>
              <w:t>Lazio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0D288A8" w14:textId="77777777" w:rsidR="007D6C09" w:rsidRDefault="007D6C09" w:rsidP="007D6C09">
            <w:pPr>
              <w:spacing w:after="0" w:line="240" w:lineRule="auto"/>
              <w:jc w:val="center"/>
              <w:rPr>
                <w:rFonts w:cs="Calibri"/>
                <w:color w:val="9C0006"/>
              </w:rPr>
            </w:pPr>
            <w:r>
              <w:rPr>
                <w:rFonts w:cs="Calibri"/>
                <w:color w:val="9C0006"/>
              </w:rPr>
              <w:t>819</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7D17982" w14:textId="77777777" w:rsidR="007D6C09" w:rsidRDefault="007D6C09" w:rsidP="007D6C09">
            <w:pPr>
              <w:spacing w:after="0" w:line="240" w:lineRule="auto"/>
              <w:jc w:val="center"/>
              <w:rPr>
                <w:rFonts w:cs="Calibri"/>
                <w:color w:val="9C0006"/>
              </w:rPr>
            </w:pPr>
            <w:r>
              <w:rPr>
                <w:rFonts w:cs="Calibri"/>
                <w:color w:val="9C0006"/>
              </w:rPr>
              <w:t>42,9%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A2F6051" w14:textId="77777777" w:rsidR="007D6C09" w:rsidRDefault="007D6C09" w:rsidP="007D6C09">
            <w:pPr>
              <w:spacing w:after="0" w:line="240" w:lineRule="auto"/>
              <w:jc w:val="center"/>
              <w:rPr>
                <w:rFonts w:cs="Calibri"/>
                <w:color w:val="006100"/>
              </w:rPr>
            </w:pPr>
            <w:r>
              <w:rPr>
                <w:rFonts w:cs="Calibri"/>
                <w:color w:val="006100"/>
              </w:rPr>
              <w:t>7,1%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68EF970" w14:textId="77777777" w:rsidR="007D6C09" w:rsidRDefault="007D6C09" w:rsidP="007D6C09">
            <w:pPr>
              <w:spacing w:after="0" w:line="240" w:lineRule="auto"/>
              <w:jc w:val="center"/>
              <w:rPr>
                <w:rFonts w:cs="Calibri"/>
                <w:color w:val="9C0006"/>
              </w:rPr>
            </w:pPr>
            <w:r>
              <w:rPr>
                <w:rFonts w:cs="Calibri"/>
                <w:color w:val="9C0006"/>
              </w:rPr>
              <w:t>3,0%</w:t>
            </w:r>
          </w:p>
        </w:tc>
      </w:tr>
      <w:tr w:rsidR="007D6C09" w14:paraId="1D3CB4F7"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06830228" w14:textId="77777777" w:rsidR="007D6C09" w:rsidRDefault="007D6C09" w:rsidP="007D6C09">
            <w:pPr>
              <w:spacing w:after="0" w:line="240" w:lineRule="auto"/>
              <w:rPr>
                <w:rFonts w:cs="Calibri"/>
              </w:rPr>
            </w:pPr>
            <w:r>
              <w:rPr>
                <w:rFonts w:cs="Calibri"/>
              </w:rPr>
              <w:t>Liguria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AF67A2B" w14:textId="77777777" w:rsidR="007D6C09" w:rsidRDefault="007D6C09" w:rsidP="007D6C09">
            <w:pPr>
              <w:spacing w:after="0" w:line="240" w:lineRule="auto"/>
              <w:jc w:val="center"/>
              <w:rPr>
                <w:rFonts w:cs="Calibri"/>
                <w:color w:val="9C0006"/>
              </w:rPr>
            </w:pPr>
            <w:r>
              <w:rPr>
                <w:rFonts w:cs="Calibri"/>
                <w:color w:val="9C0006"/>
              </w:rPr>
              <w:t>488</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CB9A1F6" w14:textId="77777777" w:rsidR="007D6C09" w:rsidRDefault="007D6C09" w:rsidP="007D6C09">
            <w:pPr>
              <w:spacing w:after="0" w:line="240" w:lineRule="auto"/>
              <w:jc w:val="center"/>
              <w:rPr>
                <w:rFonts w:cs="Calibri"/>
                <w:color w:val="9C0006"/>
              </w:rPr>
            </w:pPr>
            <w:r>
              <w:rPr>
                <w:rFonts w:cs="Calibri"/>
                <w:color w:val="9C0006"/>
              </w:rPr>
              <w:t>54,4%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88701DB" w14:textId="77777777" w:rsidR="007D6C09" w:rsidRDefault="007D6C09" w:rsidP="007D6C09">
            <w:pPr>
              <w:spacing w:after="0" w:line="240" w:lineRule="auto"/>
              <w:jc w:val="center"/>
              <w:rPr>
                <w:rFonts w:cs="Calibri"/>
                <w:color w:val="9C0006"/>
              </w:rPr>
            </w:pPr>
            <w:r>
              <w:rPr>
                <w:rFonts w:cs="Calibri"/>
                <w:color w:val="9C0006"/>
              </w:rPr>
              <w:t>8,5%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E5EFDD4" w14:textId="77777777" w:rsidR="007D6C09" w:rsidRDefault="007D6C09" w:rsidP="007D6C09">
            <w:pPr>
              <w:spacing w:after="0" w:line="240" w:lineRule="auto"/>
              <w:jc w:val="center"/>
              <w:rPr>
                <w:rFonts w:cs="Calibri"/>
                <w:color w:val="9C0006"/>
              </w:rPr>
            </w:pPr>
            <w:r>
              <w:rPr>
                <w:rFonts w:cs="Calibri"/>
                <w:color w:val="9C0006"/>
              </w:rPr>
              <w:t>2,8%</w:t>
            </w:r>
          </w:p>
        </w:tc>
      </w:tr>
      <w:tr w:rsidR="007D6C09" w14:paraId="735DC669"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3CF72074" w14:textId="77777777" w:rsidR="007D6C09" w:rsidRDefault="007D6C09" w:rsidP="007D6C09">
            <w:pPr>
              <w:spacing w:after="0" w:line="240" w:lineRule="auto"/>
              <w:rPr>
                <w:rFonts w:cs="Calibri"/>
              </w:rPr>
            </w:pPr>
            <w:r>
              <w:rPr>
                <w:rFonts w:cs="Calibri"/>
              </w:rPr>
              <w:t>Lombardia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FA4C8DF" w14:textId="77777777" w:rsidR="007D6C09" w:rsidRDefault="007D6C09" w:rsidP="007D6C09">
            <w:pPr>
              <w:spacing w:after="0" w:line="240" w:lineRule="auto"/>
              <w:jc w:val="center"/>
              <w:rPr>
                <w:rFonts w:cs="Calibri"/>
                <w:color w:val="9C0006"/>
              </w:rPr>
            </w:pPr>
            <w:r>
              <w:rPr>
                <w:rFonts w:cs="Calibri"/>
                <w:color w:val="9C0006"/>
              </w:rPr>
              <w:t>636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FBAFED6" w14:textId="77777777" w:rsidR="007D6C09" w:rsidRDefault="007D6C09" w:rsidP="007D6C09">
            <w:pPr>
              <w:spacing w:after="0" w:line="240" w:lineRule="auto"/>
              <w:jc w:val="center"/>
              <w:rPr>
                <w:rFonts w:cs="Calibri"/>
                <w:color w:val="9C0006"/>
              </w:rPr>
            </w:pPr>
            <w:r>
              <w:rPr>
                <w:rFonts w:cs="Calibri"/>
                <w:color w:val="9C0006"/>
              </w:rPr>
              <w:t>55,8%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3CF19E7" w14:textId="77777777" w:rsidR="007D6C09" w:rsidRDefault="007D6C09" w:rsidP="007D6C09">
            <w:pPr>
              <w:spacing w:after="0" w:line="240" w:lineRule="auto"/>
              <w:jc w:val="center"/>
              <w:rPr>
                <w:rFonts w:cs="Calibri"/>
                <w:color w:val="006100"/>
              </w:rPr>
            </w:pPr>
            <w:r>
              <w:rPr>
                <w:rFonts w:cs="Calibri"/>
                <w:color w:val="006100"/>
              </w:rPr>
              <w:t>7,0%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1B219BAC" w14:textId="77777777" w:rsidR="007D6C09" w:rsidRDefault="007D6C09" w:rsidP="007D6C09">
            <w:pPr>
              <w:spacing w:after="0" w:line="240" w:lineRule="auto"/>
              <w:jc w:val="center"/>
              <w:rPr>
                <w:rFonts w:cs="Calibri"/>
                <w:color w:val="006100"/>
              </w:rPr>
            </w:pPr>
            <w:r>
              <w:rPr>
                <w:rFonts w:cs="Calibri"/>
                <w:color w:val="006100"/>
              </w:rPr>
              <w:t>0,8%</w:t>
            </w:r>
          </w:p>
        </w:tc>
      </w:tr>
      <w:tr w:rsidR="007D6C09" w14:paraId="3D9C5338"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6F919B6F" w14:textId="77777777" w:rsidR="007D6C09" w:rsidRDefault="007D6C09" w:rsidP="007D6C09">
            <w:pPr>
              <w:spacing w:after="0" w:line="240" w:lineRule="auto"/>
              <w:rPr>
                <w:rFonts w:cs="Calibri"/>
              </w:rPr>
            </w:pPr>
            <w:r>
              <w:rPr>
                <w:rFonts w:cs="Calibri"/>
              </w:rPr>
              <w:t>Marche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004E3BD" w14:textId="77777777" w:rsidR="007D6C09" w:rsidRDefault="007D6C09" w:rsidP="007D6C09">
            <w:pPr>
              <w:spacing w:after="0" w:line="240" w:lineRule="auto"/>
              <w:jc w:val="center"/>
              <w:rPr>
                <w:rFonts w:cs="Calibri"/>
                <w:color w:val="9C0006"/>
              </w:rPr>
            </w:pPr>
            <w:r>
              <w:rPr>
                <w:rFonts w:cs="Calibri"/>
                <w:color w:val="9C0006"/>
              </w:rPr>
              <w:t>481</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6A1B197" w14:textId="77777777" w:rsidR="007D6C09" w:rsidRDefault="007D6C09" w:rsidP="007D6C09">
            <w:pPr>
              <w:spacing w:after="0" w:line="240" w:lineRule="auto"/>
              <w:jc w:val="center"/>
              <w:rPr>
                <w:rFonts w:cs="Calibri"/>
                <w:color w:val="9C0006"/>
              </w:rPr>
            </w:pPr>
            <w:r>
              <w:rPr>
                <w:rFonts w:cs="Calibri"/>
                <w:color w:val="9C0006"/>
              </w:rPr>
              <w:t>61,6%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4269EDC" w14:textId="77777777" w:rsidR="007D6C09" w:rsidRDefault="007D6C09" w:rsidP="007D6C09">
            <w:pPr>
              <w:spacing w:after="0" w:line="240" w:lineRule="auto"/>
              <w:jc w:val="center"/>
              <w:rPr>
                <w:rFonts w:cs="Calibri"/>
                <w:color w:val="9C0006"/>
              </w:rPr>
            </w:pPr>
            <w:r>
              <w:rPr>
                <w:rFonts w:cs="Calibri"/>
                <w:color w:val="9C0006"/>
              </w:rPr>
              <w:t>7,7%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8A92FD1" w14:textId="77777777" w:rsidR="007D6C09" w:rsidRDefault="007D6C09" w:rsidP="007D6C09">
            <w:pPr>
              <w:spacing w:after="0" w:line="240" w:lineRule="auto"/>
              <w:jc w:val="center"/>
              <w:rPr>
                <w:rFonts w:cs="Calibri"/>
                <w:color w:val="006100"/>
              </w:rPr>
            </w:pPr>
            <w:r>
              <w:rPr>
                <w:rFonts w:cs="Calibri"/>
                <w:color w:val="006100"/>
              </w:rPr>
              <w:t>0,4%</w:t>
            </w:r>
          </w:p>
        </w:tc>
      </w:tr>
      <w:tr w:rsidR="007D6C09" w14:paraId="300953A1"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31317392" w14:textId="77777777" w:rsidR="007D6C09" w:rsidRDefault="007D6C09" w:rsidP="007D6C09">
            <w:pPr>
              <w:spacing w:after="0" w:line="240" w:lineRule="auto"/>
              <w:rPr>
                <w:rFonts w:cs="Calibri"/>
              </w:rPr>
            </w:pPr>
            <w:r>
              <w:rPr>
                <w:rFonts w:cs="Calibri"/>
              </w:rPr>
              <w:t>Molise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12B74EA" w14:textId="77777777" w:rsidR="007D6C09" w:rsidRDefault="007D6C09" w:rsidP="007D6C09">
            <w:pPr>
              <w:spacing w:after="0" w:line="240" w:lineRule="auto"/>
              <w:jc w:val="center"/>
              <w:rPr>
                <w:rFonts w:cs="Calibri"/>
                <w:color w:val="9C0006"/>
              </w:rPr>
            </w:pPr>
            <w:r>
              <w:rPr>
                <w:rFonts w:cs="Calibri"/>
                <w:color w:val="9C0006"/>
              </w:rPr>
              <w:t>1.322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B311CC9" w14:textId="77777777" w:rsidR="007D6C09" w:rsidRDefault="007D6C09" w:rsidP="007D6C09">
            <w:pPr>
              <w:spacing w:after="0" w:line="240" w:lineRule="auto"/>
              <w:jc w:val="center"/>
              <w:rPr>
                <w:rFonts w:cs="Calibri"/>
                <w:color w:val="9C0006"/>
              </w:rPr>
            </w:pPr>
            <w:r>
              <w:rPr>
                <w:rFonts w:cs="Calibri"/>
                <w:color w:val="9C0006"/>
              </w:rPr>
              <w:t>40,0%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62A1472" w14:textId="77777777" w:rsidR="007D6C09" w:rsidRDefault="007D6C09" w:rsidP="007D6C09">
            <w:pPr>
              <w:spacing w:after="0" w:line="240" w:lineRule="auto"/>
              <w:jc w:val="center"/>
              <w:rPr>
                <w:rFonts w:cs="Calibri"/>
                <w:color w:val="006100"/>
              </w:rPr>
            </w:pPr>
            <w:r>
              <w:rPr>
                <w:rFonts w:cs="Calibri"/>
                <w:color w:val="006100"/>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475F59EA" w14:textId="77777777" w:rsidR="007D6C09" w:rsidRDefault="007D6C09" w:rsidP="007D6C09">
            <w:pPr>
              <w:spacing w:after="0" w:line="240" w:lineRule="auto"/>
              <w:jc w:val="center"/>
              <w:rPr>
                <w:rFonts w:cs="Calibri"/>
                <w:color w:val="006100"/>
              </w:rPr>
            </w:pPr>
            <w:r>
              <w:rPr>
                <w:rFonts w:cs="Calibri"/>
                <w:color w:val="006100"/>
              </w:rPr>
              <w:t>0,0%</w:t>
            </w:r>
          </w:p>
        </w:tc>
      </w:tr>
      <w:tr w:rsidR="007D6C09" w14:paraId="5750774E"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70DA175C" w14:textId="77777777" w:rsidR="007D6C09" w:rsidRDefault="007D6C09" w:rsidP="007D6C09">
            <w:pPr>
              <w:spacing w:after="0" w:line="240" w:lineRule="auto"/>
              <w:rPr>
                <w:rFonts w:cs="Calibri"/>
              </w:rPr>
            </w:pPr>
            <w:r>
              <w:rPr>
                <w:rFonts w:cs="Calibri"/>
              </w:rPr>
              <w:t>Piemonte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9BF1662" w14:textId="77777777" w:rsidR="007D6C09" w:rsidRDefault="007D6C09" w:rsidP="007D6C09">
            <w:pPr>
              <w:spacing w:after="0" w:line="240" w:lineRule="auto"/>
              <w:jc w:val="center"/>
              <w:rPr>
                <w:rFonts w:cs="Calibri"/>
                <w:color w:val="9C0006"/>
              </w:rPr>
            </w:pPr>
            <w:r>
              <w:rPr>
                <w:rFonts w:cs="Calibri"/>
                <w:color w:val="9C0006"/>
              </w:rPr>
              <w:t>1.083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2CAB872" w14:textId="77777777" w:rsidR="007D6C09" w:rsidRDefault="007D6C09" w:rsidP="007D6C09">
            <w:pPr>
              <w:spacing w:after="0" w:line="240" w:lineRule="auto"/>
              <w:jc w:val="center"/>
              <w:rPr>
                <w:rFonts w:cs="Calibri"/>
                <w:color w:val="9C0006"/>
              </w:rPr>
            </w:pPr>
            <w:r>
              <w:rPr>
                <w:rFonts w:cs="Calibri"/>
                <w:color w:val="9C0006"/>
              </w:rPr>
              <w:t>76,1%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612B738" w14:textId="77777777" w:rsidR="007D6C09" w:rsidRDefault="007D6C09" w:rsidP="007D6C09">
            <w:pPr>
              <w:spacing w:after="0" w:line="240" w:lineRule="auto"/>
              <w:jc w:val="center"/>
              <w:rPr>
                <w:rFonts w:cs="Calibri"/>
                <w:color w:val="006100"/>
              </w:rPr>
            </w:pPr>
            <w:r>
              <w:rPr>
                <w:rFonts w:cs="Calibri"/>
                <w:color w:val="006100"/>
              </w:rPr>
              <w:t>7,1%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70BB5F6" w14:textId="77777777" w:rsidR="007D6C09" w:rsidRDefault="007D6C09" w:rsidP="007D6C09">
            <w:pPr>
              <w:spacing w:after="0" w:line="240" w:lineRule="auto"/>
              <w:jc w:val="center"/>
              <w:rPr>
                <w:rFonts w:cs="Calibri"/>
                <w:color w:val="006100"/>
              </w:rPr>
            </w:pPr>
            <w:r>
              <w:rPr>
                <w:rFonts w:cs="Calibri"/>
                <w:color w:val="006100"/>
              </w:rPr>
              <w:t>1,3%</w:t>
            </w:r>
          </w:p>
        </w:tc>
      </w:tr>
      <w:tr w:rsidR="007D6C09" w14:paraId="7EE9D390"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44FDDC7A" w14:textId="77777777" w:rsidR="007D6C09" w:rsidRDefault="007D6C09" w:rsidP="007D6C09">
            <w:pPr>
              <w:spacing w:after="0" w:line="240" w:lineRule="auto"/>
              <w:rPr>
                <w:rFonts w:cs="Calibri"/>
              </w:rPr>
            </w:pPr>
            <w:r>
              <w:rPr>
                <w:rFonts w:cs="Calibri"/>
              </w:rPr>
              <w:t>Prov. Aut. Bolzano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A0018CC" w14:textId="77777777" w:rsidR="007D6C09" w:rsidRDefault="007D6C09" w:rsidP="007D6C09">
            <w:pPr>
              <w:spacing w:after="0" w:line="240" w:lineRule="auto"/>
              <w:jc w:val="center"/>
              <w:rPr>
                <w:rFonts w:cs="Calibri"/>
                <w:color w:val="9C0006"/>
              </w:rPr>
            </w:pPr>
            <w:r>
              <w:rPr>
                <w:rFonts w:cs="Calibri"/>
                <w:color w:val="9C0006"/>
              </w:rPr>
              <w:t>944</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0C43A34" w14:textId="77777777" w:rsidR="007D6C09" w:rsidRDefault="007D6C09" w:rsidP="007D6C09">
            <w:pPr>
              <w:spacing w:after="0" w:line="240" w:lineRule="auto"/>
              <w:jc w:val="center"/>
              <w:rPr>
                <w:rFonts w:cs="Calibri"/>
                <w:color w:val="9C0006"/>
              </w:rPr>
            </w:pPr>
            <w:r>
              <w:rPr>
                <w:rFonts w:cs="Calibri"/>
                <w:color w:val="9C0006"/>
              </w:rPr>
              <w:t>61,5%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2F9AC8B" w14:textId="77777777" w:rsidR="007D6C09" w:rsidRDefault="007D6C09" w:rsidP="007D6C09">
            <w:pPr>
              <w:spacing w:after="0" w:line="240" w:lineRule="auto"/>
              <w:jc w:val="center"/>
              <w:rPr>
                <w:rFonts w:cs="Calibri"/>
                <w:color w:val="9C0006"/>
              </w:rPr>
            </w:pPr>
            <w:r>
              <w:rPr>
                <w:rFonts w:cs="Calibri"/>
                <w:color w:val="9C0006"/>
              </w:rPr>
              <w:t>23,2%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F5D0732" w14:textId="77777777" w:rsidR="007D6C09" w:rsidRDefault="007D6C09" w:rsidP="007D6C09">
            <w:pPr>
              <w:spacing w:after="0" w:line="240" w:lineRule="auto"/>
              <w:jc w:val="center"/>
              <w:rPr>
                <w:rFonts w:cs="Calibri"/>
                <w:color w:val="9C0006"/>
              </w:rPr>
            </w:pPr>
            <w:r>
              <w:rPr>
                <w:rFonts w:cs="Calibri"/>
                <w:color w:val="9C0006"/>
              </w:rPr>
              <w:t>2,0%</w:t>
            </w:r>
          </w:p>
        </w:tc>
      </w:tr>
      <w:tr w:rsidR="007D6C09" w14:paraId="4D39B3CD"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6B6649AD" w14:textId="77777777" w:rsidR="007D6C09" w:rsidRDefault="007D6C09" w:rsidP="007D6C09">
            <w:pPr>
              <w:spacing w:after="0" w:line="240" w:lineRule="auto"/>
              <w:rPr>
                <w:rFonts w:cs="Calibri"/>
              </w:rPr>
            </w:pPr>
            <w:r>
              <w:rPr>
                <w:rFonts w:cs="Calibri"/>
              </w:rPr>
              <w:t>Prov. Aut. Trento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E25502F" w14:textId="77777777" w:rsidR="007D6C09" w:rsidRDefault="007D6C09" w:rsidP="007D6C09">
            <w:pPr>
              <w:spacing w:after="0" w:line="240" w:lineRule="auto"/>
              <w:jc w:val="center"/>
              <w:rPr>
                <w:rFonts w:cs="Calibri"/>
                <w:color w:val="9C0006"/>
              </w:rPr>
            </w:pPr>
            <w:r>
              <w:rPr>
                <w:rFonts w:cs="Calibri"/>
                <w:color w:val="9C0006"/>
              </w:rPr>
              <w:t>818</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881E8EE" w14:textId="77777777" w:rsidR="007D6C09" w:rsidRDefault="007D6C09" w:rsidP="007D6C09">
            <w:pPr>
              <w:spacing w:after="0" w:line="240" w:lineRule="auto"/>
              <w:jc w:val="center"/>
              <w:rPr>
                <w:rFonts w:cs="Calibri"/>
                <w:color w:val="9C0006"/>
              </w:rPr>
            </w:pPr>
            <w:r>
              <w:rPr>
                <w:rFonts w:cs="Calibri"/>
                <w:color w:val="9C0006"/>
              </w:rPr>
              <w:t>48,0%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AD19B5E" w14:textId="77777777" w:rsidR="007D6C09" w:rsidRDefault="007D6C09" w:rsidP="007D6C09">
            <w:pPr>
              <w:spacing w:after="0" w:line="240" w:lineRule="auto"/>
              <w:jc w:val="center"/>
              <w:rPr>
                <w:rFonts w:cs="Calibri"/>
                <w:color w:val="9C0006"/>
              </w:rPr>
            </w:pPr>
            <w:r>
              <w:rPr>
                <w:rFonts w:cs="Calibri"/>
                <w:color w:val="9C0006"/>
              </w:rPr>
              <w:t>13,3%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6426C18" w14:textId="77777777" w:rsidR="007D6C09" w:rsidRDefault="007D6C09" w:rsidP="007D6C09">
            <w:pPr>
              <w:spacing w:after="0" w:line="240" w:lineRule="auto"/>
              <w:jc w:val="center"/>
              <w:rPr>
                <w:rFonts w:cs="Calibri"/>
                <w:color w:val="9C0006"/>
              </w:rPr>
            </w:pPr>
            <w:r>
              <w:rPr>
                <w:rFonts w:cs="Calibri"/>
                <w:color w:val="9C0006"/>
              </w:rPr>
              <w:t>4,4%</w:t>
            </w:r>
          </w:p>
        </w:tc>
      </w:tr>
      <w:tr w:rsidR="007D6C09" w14:paraId="6040CF05"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39B3AC92" w14:textId="77777777" w:rsidR="007D6C09" w:rsidRDefault="007D6C09" w:rsidP="007D6C09">
            <w:pPr>
              <w:spacing w:after="0" w:line="240" w:lineRule="auto"/>
              <w:rPr>
                <w:rFonts w:cs="Calibri"/>
              </w:rPr>
            </w:pPr>
            <w:r>
              <w:rPr>
                <w:rFonts w:cs="Calibri"/>
              </w:rPr>
              <w:t>Puglia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CF02280" w14:textId="77777777" w:rsidR="007D6C09" w:rsidRDefault="007D6C09" w:rsidP="007D6C09">
            <w:pPr>
              <w:spacing w:after="0" w:line="240" w:lineRule="auto"/>
              <w:jc w:val="center"/>
              <w:rPr>
                <w:rFonts w:cs="Calibri"/>
                <w:color w:val="9C0006"/>
              </w:rPr>
            </w:pPr>
            <w:r>
              <w:rPr>
                <w:rFonts w:cs="Calibri"/>
                <w:color w:val="9C0006"/>
              </w:rPr>
              <w:t>320</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3684A96" w14:textId="77777777" w:rsidR="007D6C09" w:rsidRDefault="007D6C09" w:rsidP="007D6C09">
            <w:pPr>
              <w:spacing w:after="0" w:line="240" w:lineRule="auto"/>
              <w:jc w:val="center"/>
              <w:rPr>
                <w:rFonts w:cs="Calibri"/>
                <w:color w:val="9C0006"/>
              </w:rPr>
            </w:pPr>
            <w:r>
              <w:rPr>
                <w:rFonts w:cs="Calibri"/>
                <w:color w:val="9C0006"/>
              </w:rPr>
              <w:t>41,3%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3023E46" w14:textId="77777777" w:rsidR="007D6C09" w:rsidRDefault="007D6C09" w:rsidP="007D6C09">
            <w:pPr>
              <w:spacing w:after="0" w:line="240" w:lineRule="auto"/>
              <w:jc w:val="center"/>
              <w:rPr>
                <w:rFonts w:cs="Calibri"/>
                <w:color w:val="006100"/>
              </w:rPr>
            </w:pPr>
            <w:r>
              <w:rPr>
                <w:rFonts w:cs="Calibri"/>
                <w:color w:val="006100"/>
              </w:rPr>
              <w:t>4,9%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81BDED7" w14:textId="77777777" w:rsidR="007D6C09" w:rsidRDefault="007D6C09" w:rsidP="007D6C09">
            <w:pPr>
              <w:spacing w:after="0" w:line="240" w:lineRule="auto"/>
              <w:jc w:val="center"/>
              <w:rPr>
                <w:rFonts w:cs="Calibri"/>
                <w:color w:val="9C0006"/>
              </w:rPr>
            </w:pPr>
            <w:r>
              <w:rPr>
                <w:rFonts w:cs="Calibri"/>
                <w:color w:val="9C0006"/>
              </w:rPr>
              <w:t>2,0%</w:t>
            </w:r>
          </w:p>
        </w:tc>
      </w:tr>
      <w:tr w:rsidR="007D6C09" w14:paraId="6DB1115B"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3152E8D4" w14:textId="77777777" w:rsidR="007D6C09" w:rsidRDefault="007D6C09" w:rsidP="007D6C09">
            <w:pPr>
              <w:spacing w:after="0" w:line="240" w:lineRule="auto"/>
              <w:rPr>
                <w:rFonts w:cs="Calibri"/>
              </w:rPr>
            </w:pPr>
            <w:r>
              <w:rPr>
                <w:rFonts w:cs="Calibri"/>
              </w:rPr>
              <w:t>Sardegna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4BAEA13" w14:textId="77777777" w:rsidR="007D6C09" w:rsidRDefault="007D6C09" w:rsidP="007D6C09">
            <w:pPr>
              <w:spacing w:after="0" w:line="240" w:lineRule="auto"/>
              <w:jc w:val="center"/>
              <w:rPr>
                <w:rFonts w:cs="Calibri"/>
                <w:color w:val="9C0006"/>
              </w:rPr>
            </w:pPr>
            <w:r>
              <w:rPr>
                <w:rFonts w:cs="Calibri"/>
                <w:color w:val="9C0006"/>
              </w:rPr>
              <w:t>306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1B2CBAC" w14:textId="77777777" w:rsidR="007D6C09" w:rsidRDefault="007D6C09" w:rsidP="007D6C09">
            <w:pPr>
              <w:spacing w:after="0" w:line="240" w:lineRule="auto"/>
              <w:jc w:val="center"/>
              <w:rPr>
                <w:rFonts w:cs="Calibri"/>
                <w:color w:val="9C0006"/>
              </w:rPr>
            </w:pPr>
            <w:r>
              <w:rPr>
                <w:rFonts w:cs="Calibri"/>
                <w:color w:val="9C0006"/>
              </w:rPr>
              <w:t>18,4%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33C471F" w14:textId="77777777" w:rsidR="007D6C09" w:rsidRDefault="007D6C09" w:rsidP="007D6C09">
            <w:pPr>
              <w:spacing w:after="0" w:line="240" w:lineRule="auto"/>
              <w:jc w:val="center"/>
              <w:rPr>
                <w:rFonts w:cs="Calibri"/>
                <w:color w:val="006100"/>
              </w:rPr>
            </w:pPr>
            <w:r>
              <w:rPr>
                <w:rFonts w:cs="Calibri"/>
                <w:color w:val="006100"/>
              </w:rPr>
              <w:t>3,8%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1A814E99" w14:textId="77777777" w:rsidR="007D6C09" w:rsidRDefault="007D6C09" w:rsidP="007D6C09">
            <w:pPr>
              <w:spacing w:after="0" w:line="240" w:lineRule="auto"/>
              <w:jc w:val="center"/>
              <w:rPr>
                <w:rFonts w:cs="Calibri"/>
                <w:color w:val="006100"/>
              </w:rPr>
            </w:pPr>
            <w:r>
              <w:rPr>
                <w:rFonts w:cs="Calibri"/>
                <w:color w:val="006100"/>
              </w:rPr>
              <w:t>0,5%</w:t>
            </w:r>
          </w:p>
        </w:tc>
      </w:tr>
      <w:tr w:rsidR="007D6C09" w14:paraId="41B6A64B"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3CF3BEBA" w14:textId="77777777" w:rsidR="007D6C09" w:rsidRDefault="007D6C09" w:rsidP="007D6C09">
            <w:pPr>
              <w:spacing w:after="0" w:line="240" w:lineRule="auto"/>
              <w:rPr>
                <w:rFonts w:cs="Calibri"/>
              </w:rPr>
            </w:pPr>
            <w:r>
              <w:rPr>
                <w:rFonts w:cs="Calibri"/>
              </w:rPr>
              <w:t>Sicilia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DE8CA59" w14:textId="77777777" w:rsidR="007D6C09" w:rsidRDefault="007D6C09" w:rsidP="007D6C09">
            <w:pPr>
              <w:spacing w:after="0" w:line="240" w:lineRule="auto"/>
              <w:jc w:val="center"/>
              <w:rPr>
                <w:rFonts w:cs="Calibri"/>
                <w:color w:val="9C0006"/>
              </w:rPr>
            </w:pPr>
            <w:r>
              <w:rPr>
                <w:rFonts w:cs="Calibri"/>
                <w:color w:val="9C0006"/>
              </w:rPr>
              <w:t>542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6A79DF0" w14:textId="77777777" w:rsidR="007D6C09" w:rsidRDefault="007D6C09" w:rsidP="007D6C09">
            <w:pPr>
              <w:spacing w:after="0" w:line="240" w:lineRule="auto"/>
              <w:jc w:val="center"/>
              <w:rPr>
                <w:rFonts w:cs="Calibri"/>
                <w:color w:val="9C0006"/>
              </w:rPr>
            </w:pPr>
            <w:r>
              <w:rPr>
                <w:rFonts w:cs="Calibri"/>
                <w:color w:val="9C0006"/>
              </w:rPr>
              <w:t>26,1%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762BF5A" w14:textId="77777777" w:rsidR="007D6C09" w:rsidRDefault="007D6C09" w:rsidP="007D6C09">
            <w:pPr>
              <w:spacing w:after="0" w:line="240" w:lineRule="auto"/>
              <w:jc w:val="center"/>
              <w:rPr>
                <w:rFonts w:cs="Calibri"/>
                <w:color w:val="006100"/>
              </w:rPr>
            </w:pPr>
            <w:r>
              <w:rPr>
                <w:rFonts w:cs="Calibri"/>
                <w:color w:val="006100"/>
              </w:rPr>
              <w:t>5,8%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253BE41" w14:textId="77777777" w:rsidR="007D6C09" w:rsidRDefault="007D6C09" w:rsidP="007D6C09">
            <w:pPr>
              <w:spacing w:after="0" w:line="240" w:lineRule="auto"/>
              <w:jc w:val="center"/>
              <w:rPr>
                <w:rFonts w:cs="Calibri"/>
                <w:color w:val="006100"/>
              </w:rPr>
            </w:pPr>
            <w:r>
              <w:rPr>
                <w:rFonts w:cs="Calibri"/>
                <w:color w:val="006100"/>
              </w:rPr>
              <w:t>1,5%</w:t>
            </w:r>
          </w:p>
        </w:tc>
      </w:tr>
      <w:tr w:rsidR="007D6C09" w14:paraId="6F6B3ACC"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17166D8E" w14:textId="77777777" w:rsidR="007D6C09" w:rsidRDefault="007D6C09" w:rsidP="007D6C09">
            <w:pPr>
              <w:spacing w:after="0" w:line="240" w:lineRule="auto"/>
              <w:rPr>
                <w:rFonts w:cs="Calibri"/>
              </w:rPr>
            </w:pPr>
            <w:r>
              <w:rPr>
                <w:rFonts w:cs="Calibri"/>
              </w:rPr>
              <w:t>Toscana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5275A00D" w14:textId="77777777" w:rsidR="007D6C09" w:rsidRDefault="007D6C09" w:rsidP="007D6C09">
            <w:pPr>
              <w:spacing w:after="0" w:line="240" w:lineRule="auto"/>
              <w:jc w:val="center"/>
              <w:rPr>
                <w:rFonts w:cs="Calibri"/>
                <w:color w:val="006100"/>
              </w:rPr>
            </w:pPr>
            <w:r>
              <w:rPr>
                <w:rFonts w:cs="Calibri"/>
                <w:color w:val="006100"/>
              </w:rPr>
              <w:t>1.076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589E6CC" w14:textId="77777777" w:rsidR="007D6C09" w:rsidRDefault="007D6C09" w:rsidP="007D6C09">
            <w:pPr>
              <w:spacing w:after="0" w:line="240" w:lineRule="auto"/>
              <w:jc w:val="center"/>
              <w:rPr>
                <w:rFonts w:cs="Calibri"/>
                <w:color w:val="9C0006"/>
              </w:rPr>
            </w:pPr>
            <w:r>
              <w:rPr>
                <w:rFonts w:cs="Calibri"/>
                <w:color w:val="9C0006"/>
              </w:rPr>
              <w:t>63,7%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1667CBF2" w14:textId="77777777" w:rsidR="007D6C09" w:rsidRDefault="007D6C09" w:rsidP="007D6C09">
            <w:pPr>
              <w:spacing w:after="0" w:line="240" w:lineRule="auto"/>
              <w:jc w:val="center"/>
              <w:rPr>
                <w:rFonts w:cs="Calibri"/>
                <w:color w:val="006100"/>
              </w:rPr>
            </w:pPr>
            <w:r>
              <w:rPr>
                <w:rFonts w:cs="Calibri"/>
                <w:color w:val="006100"/>
              </w:rPr>
              <w:t>5,5%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707C05B" w14:textId="77777777" w:rsidR="007D6C09" w:rsidRDefault="007D6C09" w:rsidP="007D6C09">
            <w:pPr>
              <w:spacing w:after="0" w:line="240" w:lineRule="auto"/>
              <w:jc w:val="center"/>
              <w:rPr>
                <w:rFonts w:cs="Calibri"/>
                <w:color w:val="9C0006"/>
              </w:rPr>
            </w:pPr>
            <w:r>
              <w:rPr>
                <w:rFonts w:cs="Calibri"/>
                <w:color w:val="9C0006"/>
              </w:rPr>
              <w:t>1,9%</w:t>
            </w:r>
          </w:p>
        </w:tc>
      </w:tr>
      <w:tr w:rsidR="007D6C09" w14:paraId="348DD566"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7FBB98D8" w14:textId="77777777" w:rsidR="007D6C09" w:rsidRDefault="007D6C09" w:rsidP="007D6C09">
            <w:pPr>
              <w:spacing w:after="0" w:line="240" w:lineRule="auto"/>
              <w:rPr>
                <w:rFonts w:cs="Calibri"/>
              </w:rPr>
            </w:pPr>
            <w:r>
              <w:rPr>
                <w:rFonts w:cs="Calibri"/>
              </w:rPr>
              <w:t>Umbria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AE396AB" w14:textId="77777777" w:rsidR="007D6C09" w:rsidRDefault="007D6C09" w:rsidP="007D6C09">
            <w:pPr>
              <w:spacing w:after="0" w:line="240" w:lineRule="auto"/>
              <w:jc w:val="center"/>
              <w:rPr>
                <w:rFonts w:cs="Calibri"/>
                <w:color w:val="9C0006"/>
              </w:rPr>
            </w:pPr>
            <w:r>
              <w:rPr>
                <w:rFonts w:cs="Calibri"/>
                <w:color w:val="9C0006"/>
              </w:rPr>
              <w:t>728</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818163B" w14:textId="77777777" w:rsidR="007D6C09" w:rsidRDefault="007D6C09" w:rsidP="007D6C09">
            <w:pPr>
              <w:spacing w:after="0" w:line="240" w:lineRule="auto"/>
              <w:jc w:val="center"/>
              <w:rPr>
                <w:rFonts w:cs="Calibri"/>
                <w:color w:val="9C0006"/>
              </w:rPr>
            </w:pPr>
            <w:r>
              <w:rPr>
                <w:rFonts w:cs="Calibri"/>
                <w:color w:val="9C0006"/>
              </w:rPr>
              <w:t>49,7%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F19B5CA" w14:textId="77777777" w:rsidR="007D6C09" w:rsidRDefault="007D6C09" w:rsidP="007D6C09">
            <w:pPr>
              <w:spacing w:after="0" w:line="240" w:lineRule="auto"/>
              <w:jc w:val="center"/>
              <w:rPr>
                <w:rFonts w:cs="Calibri"/>
                <w:color w:val="9C0006"/>
              </w:rPr>
            </w:pPr>
            <w:r>
              <w:rPr>
                <w:rFonts w:cs="Calibri"/>
                <w:color w:val="9C0006"/>
              </w:rPr>
              <w:t>20,1%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85FF6DA" w14:textId="77777777" w:rsidR="007D6C09" w:rsidRDefault="007D6C09" w:rsidP="007D6C09">
            <w:pPr>
              <w:spacing w:after="0" w:line="240" w:lineRule="auto"/>
              <w:jc w:val="center"/>
              <w:rPr>
                <w:rFonts w:cs="Calibri"/>
                <w:color w:val="9C0006"/>
              </w:rPr>
            </w:pPr>
            <w:r>
              <w:rPr>
                <w:rFonts w:cs="Calibri"/>
                <w:color w:val="9C0006"/>
              </w:rPr>
              <w:t>3,5%</w:t>
            </w:r>
          </w:p>
        </w:tc>
      </w:tr>
      <w:tr w:rsidR="007D6C09" w14:paraId="3511E804"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4040797B" w14:textId="77777777" w:rsidR="007D6C09" w:rsidRDefault="007D6C09" w:rsidP="007D6C09">
            <w:pPr>
              <w:spacing w:after="0" w:line="240" w:lineRule="auto"/>
              <w:rPr>
                <w:rFonts w:cs="Calibri"/>
              </w:rPr>
            </w:pPr>
            <w:r>
              <w:rPr>
                <w:rFonts w:cs="Calibri"/>
              </w:rPr>
              <w:t>Valle D'Aosta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4812BD8" w14:textId="77777777" w:rsidR="007D6C09" w:rsidRDefault="007D6C09" w:rsidP="007D6C09">
            <w:pPr>
              <w:spacing w:after="0" w:line="240" w:lineRule="auto"/>
              <w:jc w:val="center"/>
              <w:rPr>
                <w:rFonts w:cs="Calibri"/>
                <w:color w:val="9C0006"/>
              </w:rPr>
            </w:pPr>
            <w:r>
              <w:rPr>
                <w:rFonts w:cs="Calibri"/>
                <w:color w:val="9C0006"/>
              </w:rPr>
              <w:t>776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A7BADDF" w14:textId="77777777" w:rsidR="007D6C09" w:rsidRDefault="007D6C09" w:rsidP="007D6C09">
            <w:pPr>
              <w:spacing w:after="0" w:line="240" w:lineRule="auto"/>
              <w:jc w:val="center"/>
              <w:rPr>
                <w:rFonts w:cs="Calibri"/>
                <w:color w:val="9C0006"/>
              </w:rPr>
            </w:pPr>
            <w:r>
              <w:rPr>
                <w:rFonts w:cs="Calibri"/>
                <w:color w:val="9C0006"/>
              </w:rPr>
              <w:t>132,0%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5CA2AE4" w14:textId="77777777" w:rsidR="007D6C09" w:rsidRDefault="007D6C09" w:rsidP="007D6C09">
            <w:pPr>
              <w:spacing w:after="0" w:line="240" w:lineRule="auto"/>
              <w:jc w:val="center"/>
              <w:rPr>
                <w:rFonts w:cs="Calibri"/>
                <w:color w:val="9C0006"/>
              </w:rPr>
            </w:pPr>
            <w:r>
              <w:rPr>
                <w:rFonts w:cs="Calibri"/>
                <w:color w:val="9C0006"/>
              </w:rPr>
              <w:t>14,9%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57DC2F5D" w14:textId="77777777" w:rsidR="007D6C09" w:rsidRDefault="007D6C09" w:rsidP="007D6C09">
            <w:pPr>
              <w:spacing w:after="0" w:line="240" w:lineRule="auto"/>
              <w:jc w:val="center"/>
              <w:rPr>
                <w:rFonts w:cs="Calibri"/>
                <w:color w:val="006100"/>
              </w:rPr>
            </w:pPr>
            <w:r>
              <w:rPr>
                <w:rFonts w:cs="Calibri"/>
                <w:color w:val="006100"/>
              </w:rPr>
              <w:t>0,0%</w:t>
            </w:r>
          </w:p>
        </w:tc>
      </w:tr>
      <w:tr w:rsidR="007D6C09" w14:paraId="1145AB80"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15" w:type="dxa"/>
              <w:bottom w:w="0" w:type="dxa"/>
              <w:right w:w="15" w:type="dxa"/>
            </w:tcMar>
            <w:vAlign w:val="center"/>
            <w:hideMark/>
          </w:tcPr>
          <w:p w14:paraId="0AFEA425" w14:textId="77777777" w:rsidR="007D6C09" w:rsidRDefault="007D6C09" w:rsidP="007D6C09">
            <w:pPr>
              <w:spacing w:after="0" w:line="240" w:lineRule="auto"/>
              <w:rPr>
                <w:rFonts w:cs="Calibri"/>
              </w:rPr>
            </w:pPr>
            <w:r>
              <w:rPr>
                <w:rFonts w:cs="Calibri"/>
              </w:rPr>
              <w:t>Veneto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5EBC5E1" w14:textId="77777777" w:rsidR="007D6C09" w:rsidRDefault="007D6C09" w:rsidP="007D6C09">
            <w:pPr>
              <w:spacing w:after="0" w:line="240" w:lineRule="auto"/>
              <w:jc w:val="center"/>
              <w:rPr>
                <w:rFonts w:cs="Calibri"/>
                <w:color w:val="9C0006"/>
              </w:rPr>
            </w:pPr>
            <w:r>
              <w:rPr>
                <w:rFonts w:cs="Calibri"/>
                <w:color w:val="9C0006"/>
              </w:rPr>
              <w:t>1.129</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113298C" w14:textId="77777777" w:rsidR="007D6C09" w:rsidRDefault="007D6C09" w:rsidP="007D6C09">
            <w:pPr>
              <w:spacing w:after="0" w:line="240" w:lineRule="auto"/>
              <w:jc w:val="center"/>
              <w:rPr>
                <w:rFonts w:cs="Calibri"/>
                <w:color w:val="9C0006"/>
              </w:rPr>
            </w:pPr>
            <w:r>
              <w:rPr>
                <w:rFonts w:cs="Calibri"/>
                <w:color w:val="9C0006"/>
              </w:rPr>
              <w:t>46,3%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72DAD68" w14:textId="77777777" w:rsidR="007D6C09" w:rsidRDefault="007D6C09" w:rsidP="007D6C09">
            <w:pPr>
              <w:spacing w:after="0" w:line="240" w:lineRule="auto"/>
              <w:jc w:val="center"/>
              <w:rPr>
                <w:rFonts w:cs="Calibri"/>
                <w:color w:val="006100"/>
              </w:rPr>
            </w:pPr>
            <w:r>
              <w:rPr>
                <w:rFonts w:cs="Calibri"/>
                <w:color w:val="006100"/>
              </w:rPr>
              <w:t>7,3%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E626EE9" w14:textId="77777777" w:rsidR="007D6C09" w:rsidRDefault="007D6C09" w:rsidP="007D6C09">
            <w:pPr>
              <w:spacing w:after="0" w:line="240" w:lineRule="auto"/>
              <w:jc w:val="center"/>
              <w:rPr>
                <w:rFonts w:cs="Calibri"/>
                <w:color w:val="006100"/>
              </w:rPr>
            </w:pPr>
            <w:r>
              <w:rPr>
                <w:rFonts w:cs="Calibri"/>
                <w:color w:val="006100"/>
              </w:rPr>
              <w:t>1,6%</w:t>
            </w:r>
          </w:p>
        </w:tc>
      </w:tr>
      <w:tr w:rsidR="007D6C09" w14:paraId="0D5CDF78" w14:textId="77777777" w:rsidTr="007D6C09">
        <w:trPr>
          <w:trHeight w:val="340"/>
        </w:trPr>
        <w:tc>
          <w:tcPr>
            <w:tcW w:w="1980" w:type="dxa"/>
            <w:tcBorders>
              <w:top w:val="nil"/>
              <w:left w:val="single" w:sz="4" w:space="0" w:color="00457D"/>
              <w:bottom w:val="single" w:sz="4" w:space="0" w:color="00457D"/>
              <w:right w:val="single" w:sz="4" w:space="0" w:color="00457D"/>
            </w:tcBorders>
            <w:shd w:val="clear" w:color="000000" w:fill="00457D"/>
            <w:noWrap/>
            <w:tcMar>
              <w:top w:w="15" w:type="dxa"/>
              <w:left w:w="15" w:type="dxa"/>
              <w:bottom w:w="0" w:type="dxa"/>
              <w:right w:w="15" w:type="dxa"/>
            </w:tcMar>
            <w:vAlign w:val="center"/>
            <w:hideMark/>
          </w:tcPr>
          <w:p w14:paraId="38D11296" w14:textId="77777777" w:rsidR="007D6C09" w:rsidRDefault="007D6C09" w:rsidP="007D6C09">
            <w:pPr>
              <w:spacing w:after="0" w:line="240" w:lineRule="auto"/>
              <w:rPr>
                <w:rFonts w:cs="Calibri"/>
                <w:b/>
                <w:bCs/>
                <w:color w:val="FFFFFF"/>
              </w:rPr>
            </w:pPr>
            <w:r>
              <w:rPr>
                <w:rFonts w:cs="Calibri"/>
                <w:b/>
                <w:bCs/>
                <w:color w:val="FFFFFF"/>
              </w:rPr>
              <w:t>ITALIA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7C2CA1A" w14:textId="77777777" w:rsidR="007D6C09" w:rsidRDefault="007D6C09" w:rsidP="007D6C09">
            <w:pPr>
              <w:spacing w:after="0" w:line="240" w:lineRule="auto"/>
              <w:jc w:val="center"/>
              <w:rPr>
                <w:rFonts w:cs="Calibri"/>
                <w:b/>
                <w:bCs/>
                <w:color w:val="9C0006"/>
              </w:rPr>
            </w:pPr>
            <w:r>
              <w:rPr>
                <w:rFonts w:cs="Calibri"/>
                <w:b/>
                <w:bCs/>
                <w:color w:val="9C0006"/>
              </w:rPr>
              <w:t>830</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6D01779" w14:textId="77777777" w:rsidR="007D6C09" w:rsidRDefault="007D6C09" w:rsidP="007D6C09">
            <w:pPr>
              <w:spacing w:after="0" w:line="240" w:lineRule="auto"/>
              <w:jc w:val="center"/>
              <w:rPr>
                <w:rFonts w:cs="Calibri"/>
                <w:b/>
                <w:bCs/>
                <w:color w:val="9C0006"/>
              </w:rPr>
            </w:pPr>
            <w:r>
              <w:rPr>
                <w:rFonts w:cs="Calibri"/>
                <w:b/>
                <w:bCs/>
                <w:color w:val="9C0006"/>
              </w:rPr>
              <w:t>51,9%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48213022" w14:textId="77777777" w:rsidR="007D6C09" w:rsidRDefault="007D6C09" w:rsidP="007D6C09">
            <w:pPr>
              <w:spacing w:after="0" w:line="240" w:lineRule="auto"/>
              <w:jc w:val="center"/>
              <w:rPr>
                <w:rFonts w:cs="Calibri"/>
                <w:b/>
                <w:bCs/>
                <w:color w:val="006100"/>
              </w:rPr>
            </w:pPr>
            <w:r>
              <w:rPr>
                <w:rFonts w:cs="Calibri"/>
                <w:b/>
                <w:bCs/>
                <w:color w:val="006100"/>
              </w:rPr>
              <w:t>7,6%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C406484" w14:textId="77777777" w:rsidR="007D6C09" w:rsidRDefault="007D6C09" w:rsidP="007D6C09">
            <w:pPr>
              <w:spacing w:after="0" w:line="240" w:lineRule="auto"/>
              <w:jc w:val="center"/>
              <w:rPr>
                <w:rFonts w:cs="Calibri"/>
                <w:b/>
                <w:bCs/>
                <w:color w:val="006100"/>
              </w:rPr>
            </w:pPr>
            <w:r>
              <w:rPr>
                <w:rFonts w:cs="Calibri"/>
                <w:b/>
                <w:bCs/>
                <w:color w:val="006100"/>
              </w:rPr>
              <w:t>1,7%</w:t>
            </w:r>
          </w:p>
        </w:tc>
      </w:tr>
      <w:tr w:rsidR="007D6C09" w14:paraId="70C624D7" w14:textId="77777777" w:rsidTr="007D6C09">
        <w:trPr>
          <w:trHeight w:val="1710"/>
        </w:trPr>
        <w:tc>
          <w:tcPr>
            <w:tcW w:w="9918" w:type="dxa"/>
            <w:gridSpan w:val="5"/>
            <w:tcBorders>
              <w:top w:val="single" w:sz="4" w:space="0" w:color="00457D"/>
              <w:left w:val="single" w:sz="4" w:space="0" w:color="00457D"/>
              <w:bottom w:val="single" w:sz="4" w:space="0" w:color="00457D"/>
              <w:right w:val="single" w:sz="4" w:space="0" w:color="00457D"/>
            </w:tcBorders>
            <w:shd w:val="clear" w:color="auto" w:fill="auto"/>
            <w:tcMar>
              <w:top w:w="15" w:type="dxa"/>
              <w:left w:w="15" w:type="dxa"/>
              <w:bottom w:w="0" w:type="dxa"/>
              <w:right w:w="15" w:type="dxa"/>
            </w:tcMar>
            <w:vAlign w:val="center"/>
            <w:hideMark/>
          </w:tcPr>
          <w:p w14:paraId="3EF5A4F5" w14:textId="77777777" w:rsidR="007D6C09" w:rsidRDefault="007D6C09" w:rsidP="007D6C09">
            <w:pPr>
              <w:spacing w:after="0" w:line="240" w:lineRule="auto"/>
              <w:rPr>
                <w:rFonts w:cs="Calibri"/>
                <w:color w:val="auto"/>
                <w:sz w:val="20"/>
                <w:szCs w:val="20"/>
              </w:rPr>
            </w:pPr>
            <w:r w:rsidRPr="002739EC">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2739EC">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2739EC">
              <w:rPr>
                <w:rFonts w:eastAsia="Times New Roman" w:cs="Calibri"/>
                <w:color w:val="auto"/>
                <w:sz w:val="20"/>
                <w:szCs w:val="20"/>
                <w:bdr w:val="none" w:sz="0" w:space="0" w:color="auto"/>
              </w:rPr>
              <w:br/>
              <w:t>Nelle ultime 2 colonne i colori rosso e verde indicano rispettivamente un valore superiore o inferiore rispetto alla media nazionale (dati Agenas).</w:t>
            </w:r>
          </w:p>
        </w:tc>
      </w:tr>
    </w:tbl>
    <w:p w14:paraId="7C804423" w14:textId="77777777" w:rsidR="00A133AA" w:rsidRDefault="007D6C09">
      <w:pPr>
        <w:spacing w:after="0" w:line="240" w:lineRule="auto"/>
        <w:rPr>
          <w:b/>
          <w:bCs/>
          <w:color w:val="00457D"/>
          <w:sz w:val="24"/>
          <w:szCs w:val="24"/>
          <w:u w:color="00457D"/>
        </w:rPr>
      </w:pPr>
      <w:r>
        <w:rPr>
          <w:b/>
          <w:bCs/>
          <w:color w:val="00457D"/>
          <w:sz w:val="24"/>
          <w:szCs w:val="24"/>
          <w:u w:color="00457D"/>
        </w:rPr>
        <w:t xml:space="preserve"> </w:t>
      </w:r>
      <w:r w:rsidR="00A133AA">
        <w:rPr>
          <w:b/>
          <w:bCs/>
          <w:color w:val="00457D"/>
          <w:sz w:val="24"/>
          <w:szCs w:val="24"/>
          <w:u w:color="00457D"/>
        </w:rPr>
        <w:br w:type="page"/>
      </w:r>
    </w:p>
    <w:p w14:paraId="5FC2F29E"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1"/>
      </w:tblGrid>
      <w:tr w:rsidR="006A3502" w:rsidRPr="0008778C" w14:paraId="5AFD384E" w14:textId="77777777" w:rsidTr="00636A1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54E273A2" w14:textId="77777777" w:rsidR="006A3502" w:rsidRPr="0008778C" w:rsidRDefault="006A3502" w:rsidP="00636A1A">
            <w:pPr>
              <w:spacing w:after="0" w:line="240" w:lineRule="auto"/>
              <w:rPr>
                <w:rFonts w:cs="Calibri"/>
                <w:szCs w:val="21"/>
              </w:rPr>
            </w:pPr>
            <w:r w:rsidRPr="0008778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0E7AFEB2" w14:textId="77777777" w:rsidR="006A3502" w:rsidRPr="0008778C" w:rsidRDefault="006A3502" w:rsidP="00636A1A">
            <w:pPr>
              <w:spacing w:after="0" w:line="240" w:lineRule="auto"/>
              <w:rPr>
                <w:rFonts w:cs="Calibri"/>
                <w:szCs w:val="21"/>
              </w:rPr>
            </w:pPr>
            <w:r w:rsidRPr="0008778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1F89BB46" w14:textId="77777777" w:rsidR="006A3502" w:rsidRPr="0008778C" w:rsidRDefault="006A3502" w:rsidP="000D4F6F">
            <w:pPr>
              <w:spacing w:after="0" w:line="240" w:lineRule="auto"/>
              <w:jc w:val="center"/>
              <w:rPr>
                <w:rFonts w:cs="Calibri"/>
                <w:szCs w:val="21"/>
              </w:rPr>
            </w:pPr>
            <w:r w:rsidRPr="0008778C">
              <w:rPr>
                <w:rFonts w:cs="Calibri"/>
                <w:b/>
                <w:bCs/>
                <w:color w:val="FFFFFF"/>
                <w:szCs w:val="21"/>
                <w:u w:color="FFFFFF"/>
              </w:rPr>
              <w:t xml:space="preserve">Nuovi casi per </w:t>
            </w:r>
            <w:r w:rsidRPr="0008778C">
              <w:rPr>
                <w:rFonts w:cs="Calibri"/>
                <w:b/>
                <w:bCs/>
                <w:color w:val="FFFFFF"/>
                <w:szCs w:val="21"/>
                <w:u w:color="FFFFFF"/>
              </w:rPr>
              <w:br/>
              <w:t xml:space="preserve">100.000 abitanti </w:t>
            </w:r>
            <w:r w:rsidRPr="0008778C">
              <w:rPr>
                <w:rFonts w:cs="Calibri"/>
                <w:b/>
                <w:bCs/>
                <w:color w:val="FFFFFF"/>
                <w:szCs w:val="21"/>
                <w:u w:color="FFFFFF"/>
              </w:rPr>
              <w:br/>
            </w:r>
            <w:r w:rsidR="000D4F6F">
              <w:rPr>
                <w:rFonts w:cs="Calibri"/>
                <w:b/>
                <w:bCs/>
                <w:color w:val="FFFFFF"/>
                <w:szCs w:val="21"/>
                <w:u w:color="FFFFFF"/>
              </w:rPr>
              <w:t>28</w:t>
            </w:r>
            <w:r>
              <w:rPr>
                <w:rFonts w:cs="Calibri"/>
                <w:b/>
                <w:bCs/>
                <w:color w:val="FFFFFF"/>
                <w:szCs w:val="21"/>
                <w:u w:color="FFFFFF"/>
              </w:rPr>
              <w:t xml:space="preserve"> settembre</w:t>
            </w:r>
            <w:r w:rsidR="000D4F6F">
              <w:rPr>
                <w:rFonts w:cs="Calibri"/>
                <w:b/>
                <w:bCs/>
                <w:color w:val="FFFFFF"/>
                <w:szCs w:val="21"/>
                <w:u w:color="FFFFFF"/>
              </w:rPr>
              <w:t>-</w:t>
            </w:r>
            <w:r w:rsidR="000D4F6F">
              <w:rPr>
                <w:rFonts w:cs="Calibri"/>
                <w:b/>
                <w:bCs/>
                <w:color w:val="FFFFFF"/>
                <w:szCs w:val="21"/>
                <w:u w:color="FFFFFF"/>
              </w:rPr>
              <w:br/>
              <w:t>4 ottobre</w:t>
            </w:r>
            <w:r>
              <w:rPr>
                <w:rFonts w:cs="Calibri"/>
                <w:b/>
                <w:bCs/>
                <w:color w:val="FFFFFF"/>
                <w:szCs w:val="21"/>
                <w:u w:color="FFFFFF"/>
              </w:rPr>
              <w:t xml:space="preserve"> 2</w:t>
            </w:r>
            <w:r w:rsidRPr="0008778C">
              <w:rPr>
                <w:rFonts w:cs="Calibri"/>
                <w:b/>
                <w:bCs/>
                <w:color w:val="FFFFFF"/>
                <w:szCs w:val="21"/>
                <w:u w:color="FFFFFF"/>
              </w:rPr>
              <w:t>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01E22049" w14:textId="77777777" w:rsidR="006A3502" w:rsidRPr="0008778C" w:rsidRDefault="006A3502" w:rsidP="00B27D7D">
            <w:pPr>
              <w:spacing w:after="0" w:line="240" w:lineRule="auto"/>
              <w:jc w:val="center"/>
              <w:rPr>
                <w:rFonts w:cs="Calibri"/>
                <w:b/>
                <w:bCs/>
                <w:color w:val="FFFFFF"/>
                <w:szCs w:val="21"/>
                <w:u w:color="FFFFFF"/>
              </w:rPr>
            </w:pPr>
            <w:r w:rsidRPr="0008778C">
              <w:rPr>
                <w:rFonts w:cs="Calibri"/>
                <w:b/>
                <w:bCs/>
                <w:color w:val="FFFFFF"/>
                <w:szCs w:val="21"/>
                <w:u w:color="FFFFFF"/>
              </w:rPr>
              <w:t>Variazione % nuovi casi</w:t>
            </w:r>
          </w:p>
        </w:tc>
      </w:tr>
      <w:tr w:rsidR="000D4F6F" w:rsidRPr="0008778C" w14:paraId="6448951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65F37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AC32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5D603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630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B4229C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9,8%</w:t>
            </w:r>
          </w:p>
        </w:tc>
      </w:tr>
      <w:tr w:rsidR="000D4F6F" w:rsidRPr="0008778C" w14:paraId="2A01EF9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8BCA2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D7024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7E210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582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C6B45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36,0%</w:t>
            </w:r>
          </w:p>
        </w:tc>
      </w:tr>
      <w:tr w:rsidR="000D4F6F" w:rsidRPr="0008778C" w14:paraId="52E14B9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510FE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DB020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E9B7D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527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3E58C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56,6%</w:t>
            </w:r>
          </w:p>
        </w:tc>
      </w:tr>
      <w:tr w:rsidR="000D4F6F" w:rsidRPr="0008778C" w14:paraId="55C3006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1DFCF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7EFF3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113573"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501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3C422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40,0%</w:t>
            </w:r>
          </w:p>
        </w:tc>
      </w:tr>
      <w:tr w:rsidR="000D4F6F" w:rsidRPr="0008778C" w14:paraId="160CF39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F248C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DED55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AAEBF3"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308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2AD3D2"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43,0%</w:t>
            </w:r>
          </w:p>
        </w:tc>
      </w:tr>
      <w:tr w:rsidR="000D4F6F" w:rsidRPr="0008778C" w14:paraId="16317D7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E9823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35E8E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33B23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180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B49B856"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16,1%</w:t>
            </w:r>
          </w:p>
        </w:tc>
      </w:tr>
      <w:tr w:rsidR="000D4F6F" w:rsidRPr="0008778C" w14:paraId="663011E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A7A10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D9CFC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05DD23"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431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F01769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57,7%</w:t>
            </w:r>
          </w:p>
        </w:tc>
      </w:tr>
      <w:tr w:rsidR="000D4F6F" w:rsidRPr="0008778C" w14:paraId="52C5DA8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C36A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391C5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017C51"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A0AFE2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23,2%</w:t>
            </w:r>
          </w:p>
        </w:tc>
      </w:tr>
      <w:tr w:rsidR="000D4F6F" w:rsidRPr="0008778C" w14:paraId="26C3300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5CCF7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8F2BE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94B89A"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224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97ACACE"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18,7%</w:t>
            </w:r>
          </w:p>
        </w:tc>
      </w:tr>
      <w:tr w:rsidR="000D4F6F" w:rsidRPr="0008778C" w14:paraId="30012F80"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166BA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2D1A8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6032C4"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197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88751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006100"/>
                <w:sz w:val="21"/>
                <w:szCs w:val="21"/>
              </w:rPr>
              <w:t>-2,4%</w:t>
            </w:r>
          </w:p>
        </w:tc>
      </w:tr>
      <w:tr w:rsidR="000D4F6F" w:rsidRPr="0008778C" w14:paraId="1ADD898C"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881F2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043A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D1579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174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1AB6A5" w14:textId="77777777" w:rsidR="000D4F6F" w:rsidRPr="000D4F6F" w:rsidRDefault="000D4F6F" w:rsidP="000D4F6F">
            <w:pPr>
              <w:spacing w:after="0" w:line="240" w:lineRule="auto"/>
              <w:contextualSpacing/>
              <w:jc w:val="center"/>
              <w:rPr>
                <w:rFonts w:cs="Calibri"/>
                <w:color w:val="006100"/>
                <w:sz w:val="21"/>
                <w:szCs w:val="21"/>
              </w:rPr>
            </w:pPr>
            <w:r w:rsidRPr="000D4F6F">
              <w:rPr>
                <w:rFonts w:cs="Calibri"/>
                <w:color w:val="9C0006"/>
                <w:sz w:val="21"/>
                <w:szCs w:val="21"/>
              </w:rPr>
              <w:t>13,7%</w:t>
            </w:r>
          </w:p>
        </w:tc>
      </w:tr>
      <w:tr w:rsidR="000D4F6F" w:rsidRPr="0008778C" w14:paraId="4A96126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F27CC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A9AB9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29B7A0"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7625D4"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34,2%</w:t>
            </w:r>
          </w:p>
        </w:tc>
      </w:tr>
      <w:tr w:rsidR="000D4F6F" w:rsidRPr="0008778C" w14:paraId="0BA5A35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4CD1D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1ABF1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2249D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380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77D7F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26,2%</w:t>
            </w:r>
          </w:p>
        </w:tc>
      </w:tr>
      <w:tr w:rsidR="000D4F6F" w:rsidRPr="0008778C" w14:paraId="573AEBF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77C3F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62E5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4C248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363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F2345D6"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27,6%</w:t>
            </w:r>
          </w:p>
        </w:tc>
      </w:tr>
      <w:tr w:rsidR="000D4F6F" w:rsidRPr="0008778C" w14:paraId="2A0D31C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7A8E8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BA0B2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4A057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243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8C1B36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31,8%</w:t>
            </w:r>
          </w:p>
        </w:tc>
      </w:tr>
      <w:tr w:rsidR="000D4F6F" w:rsidRPr="0008778C" w14:paraId="66ED667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3C006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E7559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CB5F37"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203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110A742"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24,5%</w:t>
            </w:r>
          </w:p>
        </w:tc>
      </w:tr>
      <w:tr w:rsidR="000D4F6F" w:rsidRPr="0008778C" w14:paraId="0ACB606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81CF9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6535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B8D96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571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A78E3E2"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73,7%</w:t>
            </w:r>
          </w:p>
        </w:tc>
      </w:tr>
      <w:tr w:rsidR="000D4F6F" w:rsidRPr="0008778C" w14:paraId="5902BBB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3DCFF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5F34C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799E0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516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8B0283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82,2%</w:t>
            </w:r>
          </w:p>
        </w:tc>
      </w:tr>
      <w:tr w:rsidR="000D4F6F" w:rsidRPr="0008778C" w14:paraId="01DD9EA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E916A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15F79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C7C17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508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5667E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71,7%</w:t>
            </w:r>
          </w:p>
        </w:tc>
      </w:tr>
      <w:tr w:rsidR="000D4F6F" w:rsidRPr="0008778C" w14:paraId="3784D06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1D39C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3F36F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2D0CE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450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55E6D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93,5%</w:t>
            </w:r>
          </w:p>
        </w:tc>
      </w:tr>
      <w:tr w:rsidR="000D4F6F" w:rsidRPr="0008778C" w14:paraId="19CC16F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3B7ED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7D06B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7899B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419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6AEC51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91,7%</w:t>
            </w:r>
          </w:p>
        </w:tc>
      </w:tr>
      <w:tr w:rsidR="000D4F6F" w:rsidRPr="0008778C" w14:paraId="0B7FF52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99D52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920CD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0329E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410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B6BA404"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77,3%</w:t>
            </w:r>
          </w:p>
        </w:tc>
      </w:tr>
      <w:tr w:rsidR="000D4F6F" w:rsidRPr="0008778C" w14:paraId="178C8A2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ECF93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218C3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0D26F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408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99DD8A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90,4%</w:t>
            </w:r>
          </w:p>
        </w:tc>
      </w:tr>
      <w:tr w:rsidR="000D4F6F" w:rsidRPr="0008778C" w14:paraId="467C58C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9CE91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A5DE0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44B7B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378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48F8C4"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58,4%</w:t>
            </w:r>
          </w:p>
        </w:tc>
      </w:tr>
      <w:tr w:rsidR="000D4F6F" w:rsidRPr="0008778C" w14:paraId="78D7C14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65F78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D4A7F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D817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370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9D2D1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82,3%</w:t>
            </w:r>
          </w:p>
        </w:tc>
      </w:tr>
      <w:tr w:rsidR="000D4F6F" w:rsidRPr="0008778C" w14:paraId="2564EE6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F305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E483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74E17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759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FB2FC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67,1%</w:t>
            </w:r>
          </w:p>
        </w:tc>
      </w:tr>
      <w:tr w:rsidR="000D4F6F" w:rsidRPr="0008778C" w14:paraId="7099EC9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1B26E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B0F5B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FB56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619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66FF86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67,5%</w:t>
            </w:r>
          </w:p>
        </w:tc>
      </w:tr>
      <w:tr w:rsidR="000D4F6F" w:rsidRPr="0008778C" w14:paraId="01BEDF5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16123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C53B5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8177E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544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E0CA5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49,6%</w:t>
            </w:r>
          </w:p>
        </w:tc>
      </w:tr>
      <w:tr w:rsidR="000D4F6F" w:rsidRPr="0008778C" w14:paraId="5DE5BA7F"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8A085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6F746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D1B97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445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C4AB20" w14:textId="77777777" w:rsidR="000D4F6F" w:rsidRPr="000D4F6F" w:rsidRDefault="000D4F6F" w:rsidP="000D4F6F">
            <w:pPr>
              <w:spacing w:after="0" w:line="240" w:lineRule="auto"/>
              <w:contextualSpacing/>
              <w:jc w:val="center"/>
              <w:rPr>
                <w:rFonts w:cs="Calibri"/>
                <w:color w:val="006100"/>
                <w:sz w:val="21"/>
                <w:szCs w:val="21"/>
              </w:rPr>
            </w:pPr>
            <w:r w:rsidRPr="000D4F6F">
              <w:rPr>
                <w:rFonts w:cs="Calibri"/>
                <w:color w:val="9C0006"/>
                <w:sz w:val="21"/>
                <w:szCs w:val="21"/>
              </w:rPr>
              <w:t>81,5%</w:t>
            </w:r>
          </w:p>
        </w:tc>
      </w:tr>
      <w:tr w:rsidR="000D4F6F" w:rsidRPr="0008778C" w14:paraId="2A1B78C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308C1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BA5D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965EF4"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501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BC5B0C6"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35,1%</w:t>
            </w:r>
          </w:p>
        </w:tc>
      </w:tr>
      <w:tr w:rsidR="000D4F6F" w:rsidRPr="0008778C" w14:paraId="526B868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F4D31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52012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03F8A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473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663E2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38,2%</w:t>
            </w:r>
          </w:p>
        </w:tc>
      </w:tr>
      <w:tr w:rsidR="000D4F6F" w:rsidRPr="0008778C" w14:paraId="6133850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14EED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1C7DD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153823"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361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17981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22,6%</w:t>
            </w:r>
          </w:p>
        </w:tc>
      </w:tr>
      <w:tr w:rsidR="000D4F6F" w:rsidRPr="0008778C" w14:paraId="7788FA9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84088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47335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88D7A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355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C6466F"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46,3%</w:t>
            </w:r>
          </w:p>
        </w:tc>
      </w:tr>
      <w:tr w:rsidR="000D4F6F" w:rsidRPr="0008778C" w14:paraId="586722A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01A29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C7FFF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B41AB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352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17108B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59,5%</w:t>
            </w:r>
          </w:p>
        </w:tc>
      </w:tr>
      <w:tr w:rsidR="000D4F6F" w:rsidRPr="0008778C" w14:paraId="52B1813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AA1F6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83F3C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2D1EE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452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080B97"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57,7%</w:t>
            </w:r>
          </w:p>
        </w:tc>
      </w:tr>
      <w:tr w:rsidR="000D4F6F" w:rsidRPr="0008778C" w14:paraId="603CE35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B5E66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54E0B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3D006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436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4647C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69,6%</w:t>
            </w:r>
          </w:p>
        </w:tc>
      </w:tr>
      <w:tr w:rsidR="000D4F6F" w:rsidRPr="0008778C" w14:paraId="58C09C6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E9EA4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CD7AB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E8840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435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E1F104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65,6%</w:t>
            </w:r>
          </w:p>
        </w:tc>
      </w:tr>
      <w:tr w:rsidR="000D4F6F" w:rsidRPr="0008778C" w14:paraId="62577AC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3C299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14D62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6894D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360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240EC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46,8%</w:t>
            </w:r>
          </w:p>
        </w:tc>
      </w:tr>
      <w:tr w:rsidR="000D4F6F" w:rsidRPr="0008778C" w14:paraId="33FED78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EDF2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934BA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A553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704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834932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55,1%</w:t>
            </w:r>
          </w:p>
        </w:tc>
      </w:tr>
      <w:tr w:rsidR="000D4F6F" w:rsidRPr="0008778C" w14:paraId="4B2532E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A00A8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C0896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63FC4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625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7D1EAAF"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83,8%</w:t>
            </w:r>
          </w:p>
        </w:tc>
      </w:tr>
      <w:tr w:rsidR="000D4F6F" w:rsidRPr="0008778C" w14:paraId="167D508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1FE24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3977E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B95073"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544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5037E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59,3%</w:t>
            </w:r>
          </w:p>
        </w:tc>
      </w:tr>
      <w:tr w:rsidR="000D4F6F" w:rsidRPr="0008778C" w14:paraId="6055E91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86A96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1D98E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7FB081"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A335D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46,9%</w:t>
            </w:r>
          </w:p>
        </w:tc>
      </w:tr>
      <w:tr w:rsidR="000D4F6F" w:rsidRPr="0008778C" w14:paraId="4843378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DC5C6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D243C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7EC0A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476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B253B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67,7%</w:t>
            </w:r>
          </w:p>
        </w:tc>
      </w:tr>
      <w:tr w:rsidR="000D4F6F" w:rsidRPr="0008778C" w14:paraId="7902C66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B6F76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3E532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09017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452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D8A2D9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74,1%</w:t>
            </w:r>
          </w:p>
        </w:tc>
      </w:tr>
      <w:tr w:rsidR="000D4F6F" w:rsidRPr="0008778C" w14:paraId="4CFBA4C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82362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63929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FB756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439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7D40CC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54,4%</w:t>
            </w:r>
          </w:p>
        </w:tc>
      </w:tr>
      <w:tr w:rsidR="000D4F6F" w:rsidRPr="0008778C" w14:paraId="001BF1D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EE639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6FF2F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80C40"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439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8AC106"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30,7%</w:t>
            </w:r>
          </w:p>
        </w:tc>
      </w:tr>
      <w:tr w:rsidR="000D4F6F" w:rsidRPr="0008778C" w14:paraId="3FB951A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19F68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13C46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629B7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415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CF28A88"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72,3%</w:t>
            </w:r>
          </w:p>
        </w:tc>
      </w:tr>
      <w:tr w:rsidR="000D4F6F" w:rsidRPr="0008778C" w14:paraId="065909D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7D7F9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95294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5DB667"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414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72B61EF"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64,9%</w:t>
            </w:r>
          </w:p>
        </w:tc>
      </w:tr>
      <w:tr w:rsidR="000D4F6F" w:rsidRPr="0008778C" w14:paraId="1D7E72B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AFB7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ED917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F36E6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389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CDE76C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39,3%</w:t>
            </w:r>
          </w:p>
        </w:tc>
      </w:tr>
      <w:tr w:rsidR="000D4F6F" w:rsidRPr="0008778C" w14:paraId="4167388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040E4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A4A94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FF3A2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361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E669B78"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50,0%</w:t>
            </w:r>
          </w:p>
        </w:tc>
      </w:tr>
      <w:tr w:rsidR="000D4F6F" w:rsidRPr="0008778C" w14:paraId="6CBB160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EFE56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40D59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4F0A00"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555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63F7D6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54,9%</w:t>
            </w:r>
          </w:p>
        </w:tc>
      </w:tr>
      <w:tr w:rsidR="000D4F6F" w:rsidRPr="0008778C" w14:paraId="46A433F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4A3362"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A2333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9354B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546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525CFD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56,3%</w:t>
            </w:r>
          </w:p>
        </w:tc>
      </w:tr>
      <w:tr w:rsidR="000D4F6F" w:rsidRPr="0008778C" w14:paraId="2887101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A6D1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E8B7F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E6750A"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537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24F99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56,0%</w:t>
            </w:r>
          </w:p>
        </w:tc>
      </w:tr>
      <w:tr w:rsidR="000D4F6F" w:rsidRPr="0008778C" w14:paraId="6C3BB3F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81D33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91DFE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471D0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480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53137F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66,5%</w:t>
            </w:r>
          </w:p>
        </w:tc>
      </w:tr>
      <w:tr w:rsidR="000D4F6F" w:rsidRPr="0008778C" w14:paraId="296166B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7443B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57228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D4FE8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456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350DD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64,3%</w:t>
            </w:r>
          </w:p>
        </w:tc>
      </w:tr>
      <w:tr w:rsidR="000D4F6F" w:rsidRPr="0008778C" w14:paraId="19F9C96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AE8AB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0C819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D397E1"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333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76647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41,9%</w:t>
            </w:r>
          </w:p>
        </w:tc>
      </w:tr>
      <w:tr w:rsidR="000D4F6F" w:rsidRPr="0008778C" w14:paraId="08C1B1E4"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B064E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1B249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57A3AC"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233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2EF034" w14:textId="77777777" w:rsidR="000D4F6F" w:rsidRPr="000D4F6F" w:rsidRDefault="000D4F6F" w:rsidP="000D4F6F">
            <w:pPr>
              <w:spacing w:after="0" w:line="240" w:lineRule="auto"/>
              <w:contextualSpacing/>
              <w:jc w:val="center"/>
              <w:rPr>
                <w:rFonts w:cs="Calibri"/>
                <w:color w:val="006100"/>
                <w:sz w:val="21"/>
                <w:szCs w:val="21"/>
              </w:rPr>
            </w:pPr>
            <w:r w:rsidRPr="000D4F6F">
              <w:rPr>
                <w:rFonts w:cs="Calibri"/>
                <w:color w:val="9C0006"/>
                <w:sz w:val="21"/>
                <w:szCs w:val="21"/>
              </w:rPr>
              <w:t>33,8%</w:t>
            </w:r>
          </w:p>
        </w:tc>
      </w:tr>
      <w:tr w:rsidR="000D4F6F" w:rsidRPr="0008778C" w14:paraId="6161B2A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D237B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14B8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ABCCF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786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E305C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63,0%</w:t>
            </w:r>
          </w:p>
        </w:tc>
      </w:tr>
      <w:tr w:rsidR="000D4F6F" w:rsidRPr="0008778C" w14:paraId="271ACA9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0EB6A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833C8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B4EE1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786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C1FB2C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48,0%</w:t>
            </w:r>
          </w:p>
        </w:tc>
      </w:tr>
      <w:tr w:rsidR="000D4F6F" w:rsidRPr="0008778C" w14:paraId="11DCCF1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DA1F0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E611A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40555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857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717A9DF"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94,5%</w:t>
            </w:r>
          </w:p>
        </w:tc>
      </w:tr>
      <w:tr w:rsidR="000D4F6F" w:rsidRPr="0008778C" w14:paraId="4E15305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01819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D56EB2"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0491A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736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53CE1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65,1%</w:t>
            </w:r>
          </w:p>
        </w:tc>
      </w:tr>
      <w:tr w:rsidR="000D4F6F" w:rsidRPr="0008778C" w14:paraId="7622668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EBCB6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E5F8F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8C11F1"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615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98FCAE"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82,8%</w:t>
            </w:r>
          </w:p>
        </w:tc>
      </w:tr>
      <w:tr w:rsidR="000D4F6F" w:rsidRPr="0008778C" w14:paraId="48A3545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C4B95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07062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843EA4"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A63FB0F"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66,5%</w:t>
            </w:r>
          </w:p>
        </w:tc>
      </w:tr>
      <w:tr w:rsidR="000D4F6F" w:rsidRPr="0008778C" w14:paraId="7A384D7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E7DBB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E5896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D3E5B0"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576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91F8B8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82,3%</w:t>
            </w:r>
          </w:p>
        </w:tc>
      </w:tr>
      <w:tr w:rsidR="000D4F6F" w:rsidRPr="0008778C" w14:paraId="250DC99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00105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7FB23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E5F02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539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3AFD2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57,0%</w:t>
            </w:r>
          </w:p>
        </w:tc>
      </w:tr>
      <w:tr w:rsidR="000D4F6F" w:rsidRPr="0008778C" w14:paraId="4E99523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FB36D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749F0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62BE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514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CF450F"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60,3%</w:t>
            </w:r>
          </w:p>
        </w:tc>
      </w:tr>
      <w:tr w:rsidR="000D4F6F" w:rsidRPr="0008778C" w14:paraId="3DF8946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F4459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1FDAB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15DB4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483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89C288"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65,3%</w:t>
            </w:r>
          </w:p>
        </w:tc>
      </w:tr>
      <w:tr w:rsidR="000D4F6F" w:rsidRPr="0008778C" w14:paraId="32918B4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62FC3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72323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FDC50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286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7C2483"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59,7%</w:t>
            </w:r>
          </w:p>
        </w:tc>
      </w:tr>
      <w:tr w:rsidR="000D4F6F" w:rsidRPr="0008778C" w14:paraId="704105D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9A27C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F3A04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57BD9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240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211644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50,4%</w:t>
            </w:r>
          </w:p>
        </w:tc>
      </w:tr>
      <w:tr w:rsidR="000D4F6F" w:rsidRPr="0008778C" w14:paraId="145D580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8A8B6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1223D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F6B96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232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932FE94"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33,8%</w:t>
            </w:r>
          </w:p>
        </w:tc>
      </w:tr>
      <w:tr w:rsidR="000D4F6F" w:rsidRPr="0008778C" w14:paraId="269B0C8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06930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42696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D163D0"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183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EEF788"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37,9%</w:t>
            </w:r>
          </w:p>
        </w:tc>
      </w:tr>
      <w:tr w:rsidR="000D4F6F" w:rsidRPr="0008778C" w14:paraId="4420B06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3B5A2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FE40D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0B4F0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165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DE48DC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32,2%</w:t>
            </w:r>
          </w:p>
        </w:tc>
      </w:tr>
      <w:tr w:rsidR="000D4F6F" w:rsidRPr="0008778C" w14:paraId="7DFF1AA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1C9C2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9FBFF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33B5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112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59758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23,8%</w:t>
            </w:r>
          </w:p>
        </w:tc>
      </w:tr>
      <w:tr w:rsidR="000D4F6F" w:rsidRPr="0008778C" w14:paraId="642A6DD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AE6B9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630BB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C5A00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267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69A2FD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17,0%</w:t>
            </w:r>
          </w:p>
        </w:tc>
      </w:tr>
      <w:tr w:rsidR="000D4F6F" w:rsidRPr="0008778C" w14:paraId="46AA2D0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C50BC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60B08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5FD99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230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2C684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17,2%</w:t>
            </w:r>
          </w:p>
        </w:tc>
      </w:tr>
      <w:tr w:rsidR="000D4F6F" w:rsidRPr="0008778C" w14:paraId="5ED7731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8D9A2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60217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EF99E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230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4F0396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9,0%</w:t>
            </w:r>
          </w:p>
        </w:tc>
      </w:tr>
      <w:tr w:rsidR="000D4F6F" w:rsidRPr="0008778C" w14:paraId="06BB434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66520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5C43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62F00"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175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E600D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24,3%</w:t>
            </w:r>
          </w:p>
        </w:tc>
      </w:tr>
      <w:tr w:rsidR="000D4F6F" w:rsidRPr="0008778C" w14:paraId="350D427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0FAD7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7F79F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75CAB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163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3EFE41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29,1%</w:t>
            </w:r>
          </w:p>
        </w:tc>
      </w:tr>
      <w:tr w:rsidR="000D4F6F" w:rsidRPr="0008778C" w14:paraId="1911232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C4E8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1CCBA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BDE49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239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F758A9"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15,4%</w:t>
            </w:r>
          </w:p>
        </w:tc>
      </w:tr>
      <w:tr w:rsidR="000D4F6F" w:rsidRPr="0008778C" w14:paraId="492C2C2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7DC41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D8800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B51018"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227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374A5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14,6%</w:t>
            </w:r>
          </w:p>
        </w:tc>
      </w:tr>
      <w:tr w:rsidR="000D4F6F" w:rsidRPr="0008778C" w14:paraId="2105C84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A766C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1ED57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F0ACD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202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22C5AA"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38,6%</w:t>
            </w:r>
          </w:p>
        </w:tc>
      </w:tr>
      <w:tr w:rsidR="000D4F6F" w:rsidRPr="0008778C" w14:paraId="03F691E9"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E1042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68A35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4ECE04"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158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3425CFF" w14:textId="77777777" w:rsidR="000D4F6F" w:rsidRPr="000D4F6F" w:rsidRDefault="000D4F6F" w:rsidP="000D4F6F">
            <w:pPr>
              <w:spacing w:after="0" w:line="240" w:lineRule="auto"/>
              <w:contextualSpacing/>
              <w:jc w:val="center"/>
              <w:rPr>
                <w:rFonts w:cs="Calibri"/>
                <w:color w:val="006100"/>
                <w:sz w:val="21"/>
                <w:szCs w:val="21"/>
              </w:rPr>
            </w:pPr>
            <w:r w:rsidRPr="000D4F6F">
              <w:rPr>
                <w:rFonts w:cs="Calibri"/>
                <w:color w:val="9C0006"/>
                <w:sz w:val="21"/>
                <w:szCs w:val="21"/>
              </w:rPr>
              <w:t>27,5%</w:t>
            </w:r>
          </w:p>
        </w:tc>
      </w:tr>
      <w:tr w:rsidR="000D4F6F" w:rsidRPr="0008778C" w14:paraId="0321894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484102"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F2A76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0C93F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149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959FD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30,5%</w:t>
            </w:r>
          </w:p>
        </w:tc>
      </w:tr>
      <w:tr w:rsidR="000D4F6F" w:rsidRPr="0008778C" w14:paraId="6588D5F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BDC3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5BA35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951E8A"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142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C14BE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26,6%</w:t>
            </w:r>
          </w:p>
        </w:tc>
      </w:tr>
      <w:tr w:rsidR="000D4F6F" w:rsidRPr="0008778C" w14:paraId="122D66A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85863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7A3D1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85E6FA"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111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DFB064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24,8%</w:t>
            </w:r>
          </w:p>
        </w:tc>
      </w:tr>
      <w:tr w:rsidR="000D4F6F" w:rsidRPr="0008778C" w14:paraId="1C337239"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C7F4B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04582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B71FF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102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55154EB" w14:textId="77777777" w:rsidR="000D4F6F" w:rsidRPr="000D4F6F" w:rsidRDefault="000D4F6F" w:rsidP="000D4F6F">
            <w:pPr>
              <w:spacing w:after="0" w:line="240" w:lineRule="auto"/>
              <w:contextualSpacing/>
              <w:jc w:val="center"/>
              <w:rPr>
                <w:rFonts w:cs="Calibri"/>
                <w:color w:val="006100"/>
                <w:sz w:val="21"/>
                <w:szCs w:val="21"/>
              </w:rPr>
            </w:pPr>
            <w:r w:rsidRPr="000D4F6F">
              <w:rPr>
                <w:rFonts w:cs="Calibri"/>
                <w:color w:val="9C0006"/>
                <w:sz w:val="21"/>
                <w:szCs w:val="21"/>
              </w:rPr>
              <w:t>26,6%</w:t>
            </w:r>
          </w:p>
        </w:tc>
      </w:tr>
      <w:tr w:rsidR="000D4F6F" w:rsidRPr="0008778C" w14:paraId="45658678" w14:textId="77777777" w:rsidTr="000D4F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B1A6A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54675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0D071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98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D6B835" w14:textId="77777777" w:rsidR="000D4F6F" w:rsidRPr="000D4F6F" w:rsidRDefault="000D4F6F" w:rsidP="000D4F6F">
            <w:pPr>
              <w:spacing w:after="0" w:line="240" w:lineRule="auto"/>
              <w:contextualSpacing/>
              <w:jc w:val="center"/>
              <w:rPr>
                <w:rFonts w:cs="Calibri"/>
                <w:color w:val="006100"/>
                <w:sz w:val="21"/>
                <w:szCs w:val="21"/>
              </w:rPr>
            </w:pPr>
            <w:r w:rsidRPr="000D4F6F">
              <w:rPr>
                <w:rFonts w:cs="Calibri"/>
                <w:color w:val="9C0006"/>
                <w:sz w:val="21"/>
                <w:szCs w:val="21"/>
              </w:rPr>
              <w:t>15,8%</w:t>
            </w:r>
          </w:p>
        </w:tc>
      </w:tr>
      <w:tr w:rsidR="000D4F6F" w:rsidRPr="0008778C" w14:paraId="29F77BB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E492C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E0507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7C7D9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447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7EBBE7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43,2%</w:t>
            </w:r>
          </w:p>
        </w:tc>
      </w:tr>
      <w:tr w:rsidR="000D4F6F" w:rsidRPr="0008778C" w14:paraId="502F566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518E8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D54DE5"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1A3243"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420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B074002"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68,0%</w:t>
            </w:r>
          </w:p>
        </w:tc>
      </w:tr>
      <w:tr w:rsidR="000D4F6F" w:rsidRPr="0008778C" w14:paraId="59D5F18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11B64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8AC95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5AD8A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404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35AA6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72,8%</w:t>
            </w:r>
          </w:p>
        </w:tc>
      </w:tr>
      <w:tr w:rsidR="000D4F6F" w:rsidRPr="0008778C" w14:paraId="6EE192C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9F9AE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6D8C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B80991"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394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D53B207"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67,0%</w:t>
            </w:r>
          </w:p>
        </w:tc>
      </w:tr>
      <w:tr w:rsidR="000D4F6F" w:rsidRPr="0008778C" w14:paraId="4233952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C8CD22"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72807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B763B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375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57A5C4C"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69,1%</w:t>
            </w:r>
          </w:p>
        </w:tc>
      </w:tr>
      <w:tr w:rsidR="000D4F6F" w:rsidRPr="0008778C" w14:paraId="528974D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ED757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C166CC"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917BE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362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4AED97"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73,2%</w:t>
            </w:r>
          </w:p>
        </w:tc>
      </w:tr>
      <w:tr w:rsidR="000D4F6F" w:rsidRPr="0008778C" w14:paraId="4DDF253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539A9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5F82A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251A9D"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358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17AC4D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51,0%</w:t>
            </w:r>
          </w:p>
        </w:tc>
      </w:tr>
      <w:tr w:rsidR="000D4F6F" w:rsidRPr="0008778C" w14:paraId="725F433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A42533"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33C40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F54592"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341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7ACEE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49,1%</w:t>
            </w:r>
          </w:p>
        </w:tc>
      </w:tr>
      <w:tr w:rsidR="000D4F6F" w:rsidRPr="0008778C" w14:paraId="23E7179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A34929"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3A872E"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60CF0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323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F2CE74"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77,1%</w:t>
            </w:r>
          </w:p>
        </w:tc>
      </w:tr>
      <w:tr w:rsidR="000D4F6F" w:rsidRPr="0008778C" w14:paraId="750B885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81322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6DFFC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F92CB6"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271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35124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63,8%</w:t>
            </w:r>
          </w:p>
        </w:tc>
      </w:tr>
      <w:tr w:rsidR="000D4F6F" w:rsidRPr="0008778C" w14:paraId="028DFF4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7B055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8C53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032E1E"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610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F0D0BE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52,2%</w:t>
            </w:r>
          </w:p>
        </w:tc>
      </w:tr>
      <w:tr w:rsidR="000D4F6F" w:rsidRPr="0008778C" w14:paraId="7DA07F4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85F06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65459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2B80FB"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558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8FFEFD5"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43,7%</w:t>
            </w:r>
          </w:p>
        </w:tc>
      </w:tr>
      <w:tr w:rsidR="000D4F6F" w:rsidRPr="0008778C" w14:paraId="1F29493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3F391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7DAB5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22810C"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438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FBD606E"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132,1%</w:t>
            </w:r>
          </w:p>
        </w:tc>
      </w:tr>
      <w:tr w:rsidR="000D4F6F" w:rsidRPr="006C644E" w14:paraId="65158F2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EA49CD"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1E054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BC68E7"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809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9113B1D"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37,2%</w:t>
            </w:r>
          </w:p>
        </w:tc>
      </w:tr>
      <w:tr w:rsidR="000D4F6F" w:rsidRPr="006C644E" w14:paraId="2B13589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2230F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BD9DD1"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5C4135"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751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3E3F68"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43,9%</w:t>
            </w:r>
          </w:p>
        </w:tc>
      </w:tr>
      <w:tr w:rsidR="000D4F6F" w:rsidRPr="006C644E" w14:paraId="1C93F61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3B652A"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A4C5D7"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468AD1"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696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248593B"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45,6%</w:t>
            </w:r>
          </w:p>
        </w:tc>
      </w:tr>
      <w:tr w:rsidR="000D4F6F" w:rsidRPr="006C644E" w14:paraId="689321E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54990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7FCF74"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465F3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631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7C0C003"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44,0%</w:t>
            </w:r>
          </w:p>
        </w:tc>
      </w:tr>
      <w:tr w:rsidR="000D4F6F" w:rsidRPr="006C644E" w14:paraId="00E14D0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88B3EB"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6B3B2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82519"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625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440E31"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53,2%</w:t>
            </w:r>
          </w:p>
        </w:tc>
      </w:tr>
      <w:tr w:rsidR="000D4F6F" w:rsidRPr="006C644E" w14:paraId="38D7D25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5526F0"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C3A8C6"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2E5BDF"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618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1872660"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54,4%</w:t>
            </w:r>
          </w:p>
        </w:tc>
      </w:tr>
      <w:tr w:rsidR="000D4F6F" w:rsidRPr="006C644E" w14:paraId="30D5A9C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AE4168"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100F3F" w14:textId="77777777" w:rsidR="000D4F6F" w:rsidRPr="000D4F6F" w:rsidRDefault="000D4F6F" w:rsidP="000D4F6F">
            <w:pPr>
              <w:spacing w:after="0" w:line="240" w:lineRule="auto"/>
              <w:contextualSpacing/>
              <w:rPr>
                <w:rFonts w:cs="Calibri"/>
                <w:sz w:val="21"/>
                <w:szCs w:val="21"/>
              </w:rPr>
            </w:pPr>
            <w:r w:rsidRPr="000D4F6F">
              <w:rPr>
                <w:rFonts w:cs="Calibri"/>
                <w:sz w:val="21"/>
                <w:szCs w:val="21"/>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259CE7" w14:textId="77777777" w:rsidR="000D4F6F" w:rsidRPr="000D4F6F" w:rsidRDefault="000D4F6F" w:rsidP="000D4F6F">
            <w:pPr>
              <w:spacing w:after="0" w:line="240" w:lineRule="auto"/>
              <w:contextualSpacing/>
              <w:jc w:val="center"/>
              <w:rPr>
                <w:rFonts w:cs="Calibri"/>
                <w:sz w:val="21"/>
                <w:szCs w:val="21"/>
              </w:rPr>
            </w:pPr>
            <w:r w:rsidRPr="000D4F6F">
              <w:rPr>
                <w:rFonts w:cs="Calibri"/>
                <w:sz w:val="21"/>
                <w:szCs w:val="21"/>
              </w:rPr>
              <w:t>594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F0152E3" w14:textId="77777777" w:rsidR="000D4F6F" w:rsidRPr="000D4F6F" w:rsidRDefault="000D4F6F" w:rsidP="000D4F6F">
            <w:pPr>
              <w:spacing w:after="0" w:line="240" w:lineRule="auto"/>
              <w:contextualSpacing/>
              <w:jc w:val="center"/>
              <w:rPr>
                <w:rFonts w:cs="Calibri"/>
                <w:color w:val="9C0006"/>
                <w:sz w:val="21"/>
                <w:szCs w:val="21"/>
              </w:rPr>
            </w:pPr>
            <w:r w:rsidRPr="000D4F6F">
              <w:rPr>
                <w:rFonts w:cs="Calibri"/>
                <w:color w:val="9C0006"/>
                <w:sz w:val="21"/>
                <w:szCs w:val="21"/>
              </w:rPr>
              <w:t>44,9%</w:t>
            </w:r>
          </w:p>
        </w:tc>
      </w:tr>
      <w:tr w:rsidR="006A3502" w:rsidRPr="00872D1C" w14:paraId="20898DEE" w14:textId="77777777" w:rsidTr="00636A1A">
        <w:tblPrEx>
          <w:shd w:val="clear" w:color="auto" w:fill="CDD4E9"/>
        </w:tblPrEx>
        <w:trPr>
          <w:trHeight w:val="567"/>
          <w:jc w:val="center"/>
        </w:trPr>
        <w:tc>
          <w:tcPr>
            <w:tcW w:w="821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FE0076D" w14:textId="77777777" w:rsidR="006A3502" w:rsidRPr="00872D1C" w:rsidRDefault="006A3502" w:rsidP="00B27D7D">
            <w:pPr>
              <w:spacing w:after="0" w:line="240" w:lineRule="auto"/>
              <w:contextualSpacing/>
              <w:rPr>
                <w:rFonts w:cs="Calibri"/>
                <w:sz w:val="20"/>
                <w:szCs w:val="21"/>
              </w:rPr>
            </w:pPr>
            <w:r w:rsidRPr="00872D1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p>
        </w:tc>
      </w:tr>
    </w:tbl>
    <w:p w14:paraId="5816B92E" w14:textId="77777777" w:rsidR="006A3502" w:rsidRPr="00D44AA7" w:rsidRDefault="006A3502" w:rsidP="0082448E"/>
    <w:sectPr w:rsidR="006A3502"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1993" w14:textId="77777777" w:rsidR="004F5047" w:rsidRDefault="004F5047">
      <w:pPr>
        <w:spacing w:after="0" w:line="240" w:lineRule="auto"/>
      </w:pPr>
      <w:r>
        <w:separator/>
      </w:r>
    </w:p>
  </w:endnote>
  <w:endnote w:type="continuationSeparator" w:id="0">
    <w:p w14:paraId="43820415" w14:textId="77777777" w:rsidR="004F5047" w:rsidRDefault="004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1264" w14:textId="77777777" w:rsidR="004F5047" w:rsidRDefault="004F5047">
      <w:pPr>
        <w:spacing w:after="0" w:line="240" w:lineRule="auto"/>
      </w:pPr>
      <w:r>
        <w:separator/>
      </w:r>
    </w:p>
  </w:footnote>
  <w:footnote w:type="continuationSeparator" w:id="0">
    <w:p w14:paraId="7744A92B" w14:textId="77777777" w:rsidR="004F5047" w:rsidRDefault="004F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F654" w14:textId="60AA8CBF" w:rsidR="00C44A70" w:rsidRPr="00417F28" w:rsidRDefault="00C44A70" w:rsidP="005F1DE0">
    <w:pPr>
      <w:pStyle w:val="Intestazione"/>
      <w:spacing w:after="1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3292D85"/>
    <w:multiLevelType w:val="hybridMultilevel"/>
    <w:tmpl w:val="0A1A0C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A542D08"/>
    <w:multiLevelType w:val="hybridMultilevel"/>
    <w:tmpl w:val="93F832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4"/>
  </w:num>
  <w:num w:numId="4">
    <w:abstractNumId w:val="32"/>
  </w:num>
  <w:num w:numId="5">
    <w:abstractNumId w:val="12"/>
  </w:num>
  <w:num w:numId="6">
    <w:abstractNumId w:val="18"/>
  </w:num>
  <w:num w:numId="7">
    <w:abstractNumId w:val="10"/>
  </w:num>
  <w:num w:numId="8">
    <w:abstractNumId w:val="27"/>
  </w:num>
  <w:num w:numId="9">
    <w:abstractNumId w:val="29"/>
  </w:num>
  <w:num w:numId="10">
    <w:abstractNumId w:val="22"/>
  </w:num>
  <w:num w:numId="11">
    <w:abstractNumId w:val="15"/>
  </w:num>
  <w:num w:numId="12">
    <w:abstractNumId w:val="37"/>
  </w:num>
  <w:num w:numId="13">
    <w:abstractNumId w:val="41"/>
  </w:num>
  <w:num w:numId="14">
    <w:abstractNumId w:val="8"/>
  </w:num>
  <w:num w:numId="15">
    <w:abstractNumId w:val="35"/>
  </w:num>
  <w:num w:numId="16">
    <w:abstractNumId w:val="30"/>
  </w:num>
  <w:num w:numId="17">
    <w:abstractNumId w:val="36"/>
  </w:num>
  <w:num w:numId="18">
    <w:abstractNumId w:val="19"/>
  </w:num>
  <w:num w:numId="19">
    <w:abstractNumId w:val="23"/>
  </w:num>
  <w:num w:numId="20">
    <w:abstractNumId w:val="4"/>
  </w:num>
  <w:num w:numId="21">
    <w:abstractNumId w:val="7"/>
  </w:num>
  <w:num w:numId="22">
    <w:abstractNumId w:val="39"/>
  </w:num>
  <w:num w:numId="23">
    <w:abstractNumId w:val="16"/>
  </w:num>
  <w:num w:numId="24">
    <w:abstractNumId w:val="21"/>
  </w:num>
  <w:num w:numId="25">
    <w:abstractNumId w:val="0"/>
  </w:num>
  <w:num w:numId="26">
    <w:abstractNumId w:val="24"/>
  </w:num>
  <w:num w:numId="27">
    <w:abstractNumId w:val="5"/>
  </w:num>
  <w:num w:numId="28">
    <w:abstractNumId w:val="26"/>
  </w:num>
  <w:num w:numId="29">
    <w:abstractNumId w:val="33"/>
  </w:num>
  <w:num w:numId="30">
    <w:abstractNumId w:val="40"/>
  </w:num>
  <w:num w:numId="31">
    <w:abstractNumId w:val="2"/>
  </w:num>
  <w:num w:numId="32">
    <w:abstractNumId w:val="3"/>
  </w:num>
  <w:num w:numId="33">
    <w:abstractNumId w:val="31"/>
  </w:num>
  <w:num w:numId="34">
    <w:abstractNumId w:val="11"/>
  </w:num>
  <w:num w:numId="35">
    <w:abstractNumId w:val="13"/>
  </w:num>
  <w:num w:numId="36">
    <w:abstractNumId w:val="34"/>
  </w:num>
  <w:num w:numId="37">
    <w:abstractNumId w:val="9"/>
  </w:num>
  <w:num w:numId="38">
    <w:abstractNumId w:val="20"/>
  </w:num>
  <w:num w:numId="39">
    <w:abstractNumId w:val="17"/>
  </w:num>
  <w:num w:numId="40">
    <w:abstractNumId w:val="38"/>
  </w:num>
  <w:num w:numId="41">
    <w:abstractNumId w:val="25"/>
  </w:num>
  <w:num w:numId="4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FEF"/>
    <w:rsid w:val="000022A7"/>
    <w:rsid w:val="00002300"/>
    <w:rsid w:val="0000244C"/>
    <w:rsid w:val="000027F8"/>
    <w:rsid w:val="000043C6"/>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5C3"/>
    <w:rsid w:val="00016690"/>
    <w:rsid w:val="00017890"/>
    <w:rsid w:val="0002043C"/>
    <w:rsid w:val="000206F4"/>
    <w:rsid w:val="0002125E"/>
    <w:rsid w:val="00021C19"/>
    <w:rsid w:val="000222A5"/>
    <w:rsid w:val="00023784"/>
    <w:rsid w:val="00023CE6"/>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3E7"/>
    <w:rsid w:val="0004577B"/>
    <w:rsid w:val="00045A6A"/>
    <w:rsid w:val="000460D4"/>
    <w:rsid w:val="00046B65"/>
    <w:rsid w:val="000474FB"/>
    <w:rsid w:val="0004762F"/>
    <w:rsid w:val="0004768A"/>
    <w:rsid w:val="00047BCE"/>
    <w:rsid w:val="0005001A"/>
    <w:rsid w:val="00051038"/>
    <w:rsid w:val="00051744"/>
    <w:rsid w:val="0005206B"/>
    <w:rsid w:val="000523C5"/>
    <w:rsid w:val="000523DF"/>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277"/>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3AC9"/>
    <w:rsid w:val="000A403F"/>
    <w:rsid w:val="000A422E"/>
    <w:rsid w:val="000A471A"/>
    <w:rsid w:val="000A4BEE"/>
    <w:rsid w:val="000A53F4"/>
    <w:rsid w:val="000A57A1"/>
    <w:rsid w:val="000A63DD"/>
    <w:rsid w:val="000A6581"/>
    <w:rsid w:val="000A6DB2"/>
    <w:rsid w:val="000A72BA"/>
    <w:rsid w:val="000A7D97"/>
    <w:rsid w:val="000A7DDA"/>
    <w:rsid w:val="000A7E95"/>
    <w:rsid w:val="000A7EA7"/>
    <w:rsid w:val="000B0339"/>
    <w:rsid w:val="000B0548"/>
    <w:rsid w:val="000B0AC0"/>
    <w:rsid w:val="000B119C"/>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1CFE"/>
    <w:rsid w:val="000C1E98"/>
    <w:rsid w:val="000C22FE"/>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3B36"/>
    <w:rsid w:val="000D40CB"/>
    <w:rsid w:val="000D4255"/>
    <w:rsid w:val="000D4370"/>
    <w:rsid w:val="000D4D0A"/>
    <w:rsid w:val="000D4F6F"/>
    <w:rsid w:val="000D57B4"/>
    <w:rsid w:val="000D5878"/>
    <w:rsid w:val="000D5B61"/>
    <w:rsid w:val="000D5C61"/>
    <w:rsid w:val="000D64E2"/>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3C6"/>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6BA"/>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4EC3"/>
    <w:rsid w:val="0014500F"/>
    <w:rsid w:val="00145D4E"/>
    <w:rsid w:val="00146286"/>
    <w:rsid w:val="00146CE5"/>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755"/>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DC9"/>
    <w:rsid w:val="00187E43"/>
    <w:rsid w:val="00187EBF"/>
    <w:rsid w:val="0019090A"/>
    <w:rsid w:val="00190ADC"/>
    <w:rsid w:val="00190DB2"/>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713"/>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C0240"/>
    <w:rsid w:val="001C0EBF"/>
    <w:rsid w:val="001C167C"/>
    <w:rsid w:val="001C20F5"/>
    <w:rsid w:val="001C2EFF"/>
    <w:rsid w:val="001C3537"/>
    <w:rsid w:val="001C3B3C"/>
    <w:rsid w:val="001C3D01"/>
    <w:rsid w:val="001C3E66"/>
    <w:rsid w:val="001C5612"/>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F74"/>
    <w:rsid w:val="001E1FB2"/>
    <w:rsid w:val="001E2196"/>
    <w:rsid w:val="001E2453"/>
    <w:rsid w:val="001E297F"/>
    <w:rsid w:val="001E3B61"/>
    <w:rsid w:val="001E4088"/>
    <w:rsid w:val="001E4641"/>
    <w:rsid w:val="001E4724"/>
    <w:rsid w:val="001E481E"/>
    <w:rsid w:val="001E49E6"/>
    <w:rsid w:val="001E4ABD"/>
    <w:rsid w:val="001E509A"/>
    <w:rsid w:val="001E5259"/>
    <w:rsid w:val="001E5653"/>
    <w:rsid w:val="001E5951"/>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CF0"/>
    <w:rsid w:val="00226698"/>
    <w:rsid w:val="00226C11"/>
    <w:rsid w:val="00226EB0"/>
    <w:rsid w:val="002273FA"/>
    <w:rsid w:val="00227577"/>
    <w:rsid w:val="002317EA"/>
    <w:rsid w:val="00231A20"/>
    <w:rsid w:val="002330ED"/>
    <w:rsid w:val="002330F2"/>
    <w:rsid w:val="00234360"/>
    <w:rsid w:val="00234498"/>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744"/>
    <w:rsid w:val="002549B0"/>
    <w:rsid w:val="00254CC7"/>
    <w:rsid w:val="00254DBE"/>
    <w:rsid w:val="00255240"/>
    <w:rsid w:val="002557F4"/>
    <w:rsid w:val="002560A9"/>
    <w:rsid w:val="002569A9"/>
    <w:rsid w:val="00257103"/>
    <w:rsid w:val="002572A2"/>
    <w:rsid w:val="002573BE"/>
    <w:rsid w:val="00257704"/>
    <w:rsid w:val="002611A3"/>
    <w:rsid w:val="00261A98"/>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9EC"/>
    <w:rsid w:val="00273C22"/>
    <w:rsid w:val="00275060"/>
    <w:rsid w:val="00275641"/>
    <w:rsid w:val="00275B6C"/>
    <w:rsid w:val="00275C72"/>
    <w:rsid w:val="00275FFE"/>
    <w:rsid w:val="002763EA"/>
    <w:rsid w:val="00276F49"/>
    <w:rsid w:val="00276FFD"/>
    <w:rsid w:val="00277B40"/>
    <w:rsid w:val="00281537"/>
    <w:rsid w:val="00282D8E"/>
    <w:rsid w:val="0028306E"/>
    <w:rsid w:val="0028387B"/>
    <w:rsid w:val="00283CCD"/>
    <w:rsid w:val="002846B6"/>
    <w:rsid w:val="00284E3A"/>
    <w:rsid w:val="002851AE"/>
    <w:rsid w:val="00285319"/>
    <w:rsid w:val="00286961"/>
    <w:rsid w:val="00286F0E"/>
    <w:rsid w:val="002870DE"/>
    <w:rsid w:val="0028739D"/>
    <w:rsid w:val="002879EE"/>
    <w:rsid w:val="0029023D"/>
    <w:rsid w:val="00290AD4"/>
    <w:rsid w:val="00290C3B"/>
    <w:rsid w:val="00290DF8"/>
    <w:rsid w:val="00290E33"/>
    <w:rsid w:val="00290E59"/>
    <w:rsid w:val="00291C61"/>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2CA7"/>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708"/>
    <w:rsid w:val="002B6B31"/>
    <w:rsid w:val="002B7A43"/>
    <w:rsid w:val="002B7BFA"/>
    <w:rsid w:val="002B7F50"/>
    <w:rsid w:val="002C0EEE"/>
    <w:rsid w:val="002C162D"/>
    <w:rsid w:val="002C16AA"/>
    <w:rsid w:val="002C1743"/>
    <w:rsid w:val="002C181E"/>
    <w:rsid w:val="002C19C1"/>
    <w:rsid w:val="002C1E12"/>
    <w:rsid w:val="002C1EC3"/>
    <w:rsid w:val="002C23F8"/>
    <w:rsid w:val="002C29AD"/>
    <w:rsid w:val="002C2AF9"/>
    <w:rsid w:val="002C2DB1"/>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B15"/>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63F1"/>
    <w:rsid w:val="002E732B"/>
    <w:rsid w:val="002E76BD"/>
    <w:rsid w:val="002E7BAF"/>
    <w:rsid w:val="002E7C81"/>
    <w:rsid w:val="002E7DDE"/>
    <w:rsid w:val="002F0760"/>
    <w:rsid w:val="002F0B13"/>
    <w:rsid w:val="002F1A2D"/>
    <w:rsid w:val="002F1D1A"/>
    <w:rsid w:val="002F1D9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555"/>
    <w:rsid w:val="0030169F"/>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0D2"/>
    <w:rsid w:val="00340152"/>
    <w:rsid w:val="0034018D"/>
    <w:rsid w:val="00340216"/>
    <w:rsid w:val="003408FB"/>
    <w:rsid w:val="00340B2D"/>
    <w:rsid w:val="0034119B"/>
    <w:rsid w:val="00341691"/>
    <w:rsid w:val="003416F0"/>
    <w:rsid w:val="00342065"/>
    <w:rsid w:val="0034228C"/>
    <w:rsid w:val="003422C4"/>
    <w:rsid w:val="00342417"/>
    <w:rsid w:val="00342A3A"/>
    <w:rsid w:val="0034324C"/>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57B80"/>
    <w:rsid w:val="00360D63"/>
    <w:rsid w:val="00360F67"/>
    <w:rsid w:val="00361268"/>
    <w:rsid w:val="003612F6"/>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3DE4"/>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1C87"/>
    <w:rsid w:val="00382074"/>
    <w:rsid w:val="00382557"/>
    <w:rsid w:val="00383728"/>
    <w:rsid w:val="0038374F"/>
    <w:rsid w:val="00383868"/>
    <w:rsid w:val="00383A18"/>
    <w:rsid w:val="00383A7C"/>
    <w:rsid w:val="00383FBD"/>
    <w:rsid w:val="00384423"/>
    <w:rsid w:val="00385025"/>
    <w:rsid w:val="00385142"/>
    <w:rsid w:val="0038565D"/>
    <w:rsid w:val="00385AE9"/>
    <w:rsid w:val="00385C48"/>
    <w:rsid w:val="0038657C"/>
    <w:rsid w:val="00386D12"/>
    <w:rsid w:val="003874BF"/>
    <w:rsid w:val="003874D0"/>
    <w:rsid w:val="003879A8"/>
    <w:rsid w:val="00387C86"/>
    <w:rsid w:val="00387D4E"/>
    <w:rsid w:val="00387ED6"/>
    <w:rsid w:val="003906D7"/>
    <w:rsid w:val="003908B8"/>
    <w:rsid w:val="003908DD"/>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853"/>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E72"/>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849"/>
    <w:rsid w:val="003F6A5F"/>
    <w:rsid w:val="003F6A89"/>
    <w:rsid w:val="003F6C05"/>
    <w:rsid w:val="003F7223"/>
    <w:rsid w:val="003F7469"/>
    <w:rsid w:val="003F7493"/>
    <w:rsid w:val="003F7555"/>
    <w:rsid w:val="003F77B9"/>
    <w:rsid w:val="00400FA8"/>
    <w:rsid w:val="0040190A"/>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17F28"/>
    <w:rsid w:val="00420736"/>
    <w:rsid w:val="00421389"/>
    <w:rsid w:val="004222A8"/>
    <w:rsid w:val="0042267C"/>
    <w:rsid w:val="00422E3F"/>
    <w:rsid w:val="004230E7"/>
    <w:rsid w:val="0042340E"/>
    <w:rsid w:val="004235BB"/>
    <w:rsid w:val="00423EC1"/>
    <w:rsid w:val="00424065"/>
    <w:rsid w:val="00424111"/>
    <w:rsid w:val="004243B2"/>
    <w:rsid w:val="0042539D"/>
    <w:rsid w:val="004254C7"/>
    <w:rsid w:val="0042568F"/>
    <w:rsid w:val="00426290"/>
    <w:rsid w:val="004262FC"/>
    <w:rsid w:val="00431177"/>
    <w:rsid w:val="004315A5"/>
    <w:rsid w:val="004317DC"/>
    <w:rsid w:val="004318F8"/>
    <w:rsid w:val="00431BFD"/>
    <w:rsid w:val="004320EA"/>
    <w:rsid w:val="0043242C"/>
    <w:rsid w:val="00432503"/>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50B5"/>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CCF"/>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C5F"/>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44D"/>
    <w:rsid w:val="0049549E"/>
    <w:rsid w:val="00495A9F"/>
    <w:rsid w:val="004960A6"/>
    <w:rsid w:val="00496B48"/>
    <w:rsid w:val="00497D65"/>
    <w:rsid w:val="00497E19"/>
    <w:rsid w:val="004A07F8"/>
    <w:rsid w:val="004A0F1A"/>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CE"/>
    <w:rsid w:val="004B50C4"/>
    <w:rsid w:val="004B512D"/>
    <w:rsid w:val="004B5C6E"/>
    <w:rsid w:val="004B5CB6"/>
    <w:rsid w:val="004B6407"/>
    <w:rsid w:val="004B6438"/>
    <w:rsid w:val="004B6A39"/>
    <w:rsid w:val="004B6B3C"/>
    <w:rsid w:val="004B6CE0"/>
    <w:rsid w:val="004B6DC2"/>
    <w:rsid w:val="004B7A79"/>
    <w:rsid w:val="004C00B7"/>
    <w:rsid w:val="004C0E6D"/>
    <w:rsid w:val="004C1380"/>
    <w:rsid w:val="004C18D7"/>
    <w:rsid w:val="004C3357"/>
    <w:rsid w:val="004C373C"/>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5FE"/>
    <w:rsid w:val="004D26F0"/>
    <w:rsid w:val="004D291A"/>
    <w:rsid w:val="004D2A97"/>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506C"/>
    <w:rsid w:val="004E555F"/>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047"/>
    <w:rsid w:val="004F5848"/>
    <w:rsid w:val="004F58B7"/>
    <w:rsid w:val="004F5DA1"/>
    <w:rsid w:val="004F6556"/>
    <w:rsid w:val="004F6E84"/>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981"/>
    <w:rsid w:val="00511BFE"/>
    <w:rsid w:val="00512377"/>
    <w:rsid w:val="00513024"/>
    <w:rsid w:val="00513780"/>
    <w:rsid w:val="005143A1"/>
    <w:rsid w:val="00514446"/>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6DCB"/>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1D92"/>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DC0"/>
    <w:rsid w:val="00561D9B"/>
    <w:rsid w:val="00562977"/>
    <w:rsid w:val="0056300B"/>
    <w:rsid w:val="00563184"/>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41C"/>
    <w:rsid w:val="0058585F"/>
    <w:rsid w:val="00585ADD"/>
    <w:rsid w:val="00585B70"/>
    <w:rsid w:val="005862A2"/>
    <w:rsid w:val="0058640B"/>
    <w:rsid w:val="00586B93"/>
    <w:rsid w:val="00586DA6"/>
    <w:rsid w:val="00586E57"/>
    <w:rsid w:val="005870B9"/>
    <w:rsid w:val="0058746E"/>
    <w:rsid w:val="00587698"/>
    <w:rsid w:val="0058785D"/>
    <w:rsid w:val="005879A3"/>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34C"/>
    <w:rsid w:val="005A4857"/>
    <w:rsid w:val="005A52DD"/>
    <w:rsid w:val="005A5433"/>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1A8"/>
    <w:rsid w:val="005D3686"/>
    <w:rsid w:val="005D485D"/>
    <w:rsid w:val="005D5B02"/>
    <w:rsid w:val="005D5D21"/>
    <w:rsid w:val="005D5E08"/>
    <w:rsid w:val="005D5E18"/>
    <w:rsid w:val="005D63FA"/>
    <w:rsid w:val="005D672E"/>
    <w:rsid w:val="005D6FAA"/>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1DE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BD2"/>
    <w:rsid w:val="006222EF"/>
    <w:rsid w:val="00622991"/>
    <w:rsid w:val="00623175"/>
    <w:rsid w:val="006236A4"/>
    <w:rsid w:val="006237F8"/>
    <w:rsid w:val="00623C8E"/>
    <w:rsid w:val="00624679"/>
    <w:rsid w:val="00624898"/>
    <w:rsid w:val="006248CB"/>
    <w:rsid w:val="00624DFE"/>
    <w:rsid w:val="00626103"/>
    <w:rsid w:val="0062682F"/>
    <w:rsid w:val="00627F3B"/>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88F"/>
    <w:rsid w:val="00653A32"/>
    <w:rsid w:val="00654AD4"/>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0F1"/>
    <w:rsid w:val="006662C5"/>
    <w:rsid w:val="006666A9"/>
    <w:rsid w:val="00666867"/>
    <w:rsid w:val="00666904"/>
    <w:rsid w:val="00666A47"/>
    <w:rsid w:val="006674DF"/>
    <w:rsid w:val="00670CB5"/>
    <w:rsid w:val="00670CBD"/>
    <w:rsid w:val="00670CE4"/>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77F3D"/>
    <w:rsid w:val="0068026F"/>
    <w:rsid w:val="0068195B"/>
    <w:rsid w:val="006823AD"/>
    <w:rsid w:val="0068281C"/>
    <w:rsid w:val="00684004"/>
    <w:rsid w:val="0068405E"/>
    <w:rsid w:val="006847E4"/>
    <w:rsid w:val="006850DD"/>
    <w:rsid w:val="0068557B"/>
    <w:rsid w:val="00686C1B"/>
    <w:rsid w:val="006878E8"/>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236"/>
    <w:rsid w:val="006A3502"/>
    <w:rsid w:val="006A37A7"/>
    <w:rsid w:val="006A3AEF"/>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1D6C"/>
    <w:rsid w:val="006D20F2"/>
    <w:rsid w:val="006D26E1"/>
    <w:rsid w:val="006D2706"/>
    <w:rsid w:val="006D2CEA"/>
    <w:rsid w:val="006D2D8B"/>
    <w:rsid w:val="006D2E9D"/>
    <w:rsid w:val="006D32F4"/>
    <w:rsid w:val="006D3C23"/>
    <w:rsid w:val="006D4401"/>
    <w:rsid w:val="006D4E18"/>
    <w:rsid w:val="006D4FE3"/>
    <w:rsid w:val="006D5432"/>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01F"/>
    <w:rsid w:val="006F626D"/>
    <w:rsid w:val="006F6446"/>
    <w:rsid w:val="006F6B3E"/>
    <w:rsid w:val="006F7494"/>
    <w:rsid w:val="006F7DB6"/>
    <w:rsid w:val="00700DD0"/>
    <w:rsid w:val="00701098"/>
    <w:rsid w:val="0070117D"/>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C40"/>
    <w:rsid w:val="007355A6"/>
    <w:rsid w:val="0073582A"/>
    <w:rsid w:val="00735B0D"/>
    <w:rsid w:val="00736022"/>
    <w:rsid w:val="00736664"/>
    <w:rsid w:val="00736793"/>
    <w:rsid w:val="00736B4B"/>
    <w:rsid w:val="00736C14"/>
    <w:rsid w:val="00737649"/>
    <w:rsid w:val="00737DCD"/>
    <w:rsid w:val="007403B2"/>
    <w:rsid w:val="00741566"/>
    <w:rsid w:val="00741649"/>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697"/>
    <w:rsid w:val="00747B61"/>
    <w:rsid w:val="00750B6D"/>
    <w:rsid w:val="0075139D"/>
    <w:rsid w:val="0075163A"/>
    <w:rsid w:val="00751D3E"/>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87D95"/>
    <w:rsid w:val="00790569"/>
    <w:rsid w:val="00790AC7"/>
    <w:rsid w:val="00790EA2"/>
    <w:rsid w:val="0079118B"/>
    <w:rsid w:val="007915AC"/>
    <w:rsid w:val="007917C5"/>
    <w:rsid w:val="00791C99"/>
    <w:rsid w:val="00791E54"/>
    <w:rsid w:val="0079245C"/>
    <w:rsid w:val="00792A25"/>
    <w:rsid w:val="0079301A"/>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D05"/>
    <w:rsid w:val="007A1207"/>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DAF"/>
    <w:rsid w:val="007C0872"/>
    <w:rsid w:val="007C10A6"/>
    <w:rsid w:val="007C1124"/>
    <w:rsid w:val="007C11CB"/>
    <w:rsid w:val="007C148E"/>
    <w:rsid w:val="007C16E7"/>
    <w:rsid w:val="007C1D27"/>
    <w:rsid w:val="007C22C2"/>
    <w:rsid w:val="007C27F4"/>
    <w:rsid w:val="007C4150"/>
    <w:rsid w:val="007C4320"/>
    <w:rsid w:val="007C4457"/>
    <w:rsid w:val="007C4C94"/>
    <w:rsid w:val="007C4ED4"/>
    <w:rsid w:val="007C52BF"/>
    <w:rsid w:val="007C5375"/>
    <w:rsid w:val="007C5961"/>
    <w:rsid w:val="007C59CB"/>
    <w:rsid w:val="007C6181"/>
    <w:rsid w:val="007C6E4D"/>
    <w:rsid w:val="007C7630"/>
    <w:rsid w:val="007C7C66"/>
    <w:rsid w:val="007C7E75"/>
    <w:rsid w:val="007D03C2"/>
    <w:rsid w:val="007D04B4"/>
    <w:rsid w:val="007D0AAB"/>
    <w:rsid w:val="007D0B01"/>
    <w:rsid w:val="007D101B"/>
    <w:rsid w:val="007D10E0"/>
    <w:rsid w:val="007D1633"/>
    <w:rsid w:val="007D1A69"/>
    <w:rsid w:val="007D2352"/>
    <w:rsid w:val="007D2680"/>
    <w:rsid w:val="007D29FD"/>
    <w:rsid w:val="007D2BB8"/>
    <w:rsid w:val="007D2BED"/>
    <w:rsid w:val="007D2CB1"/>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897"/>
    <w:rsid w:val="007F79CD"/>
    <w:rsid w:val="007F79F1"/>
    <w:rsid w:val="007F7AC7"/>
    <w:rsid w:val="008002F6"/>
    <w:rsid w:val="008005C0"/>
    <w:rsid w:val="00801062"/>
    <w:rsid w:val="00801454"/>
    <w:rsid w:val="00801B23"/>
    <w:rsid w:val="00801F3C"/>
    <w:rsid w:val="008020E7"/>
    <w:rsid w:val="00802898"/>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73D"/>
    <w:rsid w:val="008127B8"/>
    <w:rsid w:val="008134AE"/>
    <w:rsid w:val="00813661"/>
    <w:rsid w:val="00813DD6"/>
    <w:rsid w:val="00813F9F"/>
    <w:rsid w:val="00814786"/>
    <w:rsid w:val="00814DCC"/>
    <w:rsid w:val="0081511D"/>
    <w:rsid w:val="00815D0F"/>
    <w:rsid w:val="00815E48"/>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2D49"/>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91E"/>
    <w:rsid w:val="00852C4B"/>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C02"/>
    <w:rsid w:val="00867307"/>
    <w:rsid w:val="008673F0"/>
    <w:rsid w:val="00867620"/>
    <w:rsid w:val="00867F5D"/>
    <w:rsid w:val="008703FF"/>
    <w:rsid w:val="0087078A"/>
    <w:rsid w:val="00870881"/>
    <w:rsid w:val="0087125A"/>
    <w:rsid w:val="00871650"/>
    <w:rsid w:val="008717BA"/>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0F4"/>
    <w:rsid w:val="008823A3"/>
    <w:rsid w:val="0088256B"/>
    <w:rsid w:val="008828C6"/>
    <w:rsid w:val="008828FB"/>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4B91"/>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D59"/>
    <w:rsid w:val="008D5B8B"/>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50A0"/>
    <w:rsid w:val="008E68B1"/>
    <w:rsid w:val="008E7049"/>
    <w:rsid w:val="008E70C3"/>
    <w:rsid w:val="008F01DF"/>
    <w:rsid w:val="008F022F"/>
    <w:rsid w:val="008F039D"/>
    <w:rsid w:val="008F04B0"/>
    <w:rsid w:val="008F0934"/>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EAA"/>
    <w:rsid w:val="00910F5F"/>
    <w:rsid w:val="0091168C"/>
    <w:rsid w:val="009117ED"/>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117"/>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99E"/>
    <w:rsid w:val="0099024A"/>
    <w:rsid w:val="00990312"/>
    <w:rsid w:val="009905F1"/>
    <w:rsid w:val="00990A83"/>
    <w:rsid w:val="00991024"/>
    <w:rsid w:val="009918AA"/>
    <w:rsid w:val="00991CB2"/>
    <w:rsid w:val="00991D73"/>
    <w:rsid w:val="00991EF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734"/>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979"/>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278C0"/>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3FB6"/>
    <w:rsid w:val="00A44550"/>
    <w:rsid w:val="00A44B67"/>
    <w:rsid w:val="00A44EAA"/>
    <w:rsid w:val="00A44EAC"/>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6A9"/>
    <w:rsid w:val="00A60B78"/>
    <w:rsid w:val="00A60D85"/>
    <w:rsid w:val="00A61C84"/>
    <w:rsid w:val="00A62994"/>
    <w:rsid w:val="00A63DE4"/>
    <w:rsid w:val="00A63F18"/>
    <w:rsid w:val="00A64725"/>
    <w:rsid w:val="00A64FB3"/>
    <w:rsid w:val="00A65035"/>
    <w:rsid w:val="00A65245"/>
    <w:rsid w:val="00A65462"/>
    <w:rsid w:val="00A65DC3"/>
    <w:rsid w:val="00A66BCF"/>
    <w:rsid w:val="00A6754C"/>
    <w:rsid w:val="00A700EF"/>
    <w:rsid w:val="00A701A5"/>
    <w:rsid w:val="00A70227"/>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B70E8"/>
    <w:rsid w:val="00AC009C"/>
    <w:rsid w:val="00AC04E9"/>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C7409"/>
    <w:rsid w:val="00AC7AE1"/>
    <w:rsid w:val="00AD04AB"/>
    <w:rsid w:val="00AD0D1E"/>
    <w:rsid w:val="00AD1316"/>
    <w:rsid w:val="00AD1A67"/>
    <w:rsid w:val="00AD1DD0"/>
    <w:rsid w:val="00AD1E09"/>
    <w:rsid w:val="00AD1E10"/>
    <w:rsid w:val="00AD2111"/>
    <w:rsid w:val="00AD2CBB"/>
    <w:rsid w:val="00AD2CE2"/>
    <w:rsid w:val="00AD2EF1"/>
    <w:rsid w:val="00AD3978"/>
    <w:rsid w:val="00AD3E3C"/>
    <w:rsid w:val="00AD46ED"/>
    <w:rsid w:val="00AD4768"/>
    <w:rsid w:val="00AD4BCC"/>
    <w:rsid w:val="00AD4F13"/>
    <w:rsid w:val="00AD55CB"/>
    <w:rsid w:val="00AD55D2"/>
    <w:rsid w:val="00AD5756"/>
    <w:rsid w:val="00AD5A55"/>
    <w:rsid w:val="00AD5A92"/>
    <w:rsid w:val="00AD5B7E"/>
    <w:rsid w:val="00AD5CBB"/>
    <w:rsid w:val="00AD68DD"/>
    <w:rsid w:val="00AD691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134"/>
    <w:rsid w:val="00AF6256"/>
    <w:rsid w:val="00AF6AB2"/>
    <w:rsid w:val="00AF6DD7"/>
    <w:rsid w:val="00AF7B6E"/>
    <w:rsid w:val="00B00C4C"/>
    <w:rsid w:val="00B00E7E"/>
    <w:rsid w:val="00B00E96"/>
    <w:rsid w:val="00B00F13"/>
    <w:rsid w:val="00B018B9"/>
    <w:rsid w:val="00B01FE0"/>
    <w:rsid w:val="00B02115"/>
    <w:rsid w:val="00B023BD"/>
    <w:rsid w:val="00B02692"/>
    <w:rsid w:val="00B02719"/>
    <w:rsid w:val="00B02B17"/>
    <w:rsid w:val="00B03E87"/>
    <w:rsid w:val="00B03FFD"/>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27D7D"/>
    <w:rsid w:val="00B305F0"/>
    <w:rsid w:val="00B30632"/>
    <w:rsid w:val="00B307DE"/>
    <w:rsid w:val="00B30901"/>
    <w:rsid w:val="00B30C5E"/>
    <w:rsid w:val="00B31940"/>
    <w:rsid w:val="00B31DC3"/>
    <w:rsid w:val="00B32455"/>
    <w:rsid w:val="00B324DC"/>
    <w:rsid w:val="00B32A3E"/>
    <w:rsid w:val="00B339C4"/>
    <w:rsid w:val="00B33C4C"/>
    <w:rsid w:val="00B33EDF"/>
    <w:rsid w:val="00B34124"/>
    <w:rsid w:val="00B34469"/>
    <w:rsid w:val="00B34B5A"/>
    <w:rsid w:val="00B34C35"/>
    <w:rsid w:val="00B34E04"/>
    <w:rsid w:val="00B34E2B"/>
    <w:rsid w:val="00B34EC0"/>
    <w:rsid w:val="00B3571C"/>
    <w:rsid w:val="00B35AE0"/>
    <w:rsid w:val="00B35FD1"/>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67F"/>
    <w:rsid w:val="00B43A83"/>
    <w:rsid w:val="00B43AF3"/>
    <w:rsid w:val="00B443E3"/>
    <w:rsid w:val="00B46108"/>
    <w:rsid w:val="00B4610A"/>
    <w:rsid w:val="00B4655D"/>
    <w:rsid w:val="00B46AEB"/>
    <w:rsid w:val="00B46C56"/>
    <w:rsid w:val="00B46E4C"/>
    <w:rsid w:val="00B46F5D"/>
    <w:rsid w:val="00B46F7D"/>
    <w:rsid w:val="00B47135"/>
    <w:rsid w:val="00B47552"/>
    <w:rsid w:val="00B47865"/>
    <w:rsid w:val="00B5003D"/>
    <w:rsid w:val="00B50183"/>
    <w:rsid w:val="00B51419"/>
    <w:rsid w:val="00B514EF"/>
    <w:rsid w:val="00B51B74"/>
    <w:rsid w:val="00B520C2"/>
    <w:rsid w:val="00B52247"/>
    <w:rsid w:val="00B52AF9"/>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335A"/>
    <w:rsid w:val="00B635A4"/>
    <w:rsid w:val="00B63EA1"/>
    <w:rsid w:val="00B64004"/>
    <w:rsid w:val="00B649F9"/>
    <w:rsid w:val="00B655B5"/>
    <w:rsid w:val="00B6608C"/>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201F"/>
    <w:rsid w:val="00B7225F"/>
    <w:rsid w:val="00B72563"/>
    <w:rsid w:val="00B72828"/>
    <w:rsid w:val="00B728C4"/>
    <w:rsid w:val="00B7322A"/>
    <w:rsid w:val="00B735D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2B9"/>
    <w:rsid w:val="00BC0336"/>
    <w:rsid w:val="00BC0433"/>
    <w:rsid w:val="00BC0D4D"/>
    <w:rsid w:val="00BC1FCA"/>
    <w:rsid w:val="00BC2289"/>
    <w:rsid w:val="00BC2423"/>
    <w:rsid w:val="00BC2E90"/>
    <w:rsid w:val="00BC307C"/>
    <w:rsid w:val="00BC338E"/>
    <w:rsid w:val="00BC33D8"/>
    <w:rsid w:val="00BC3557"/>
    <w:rsid w:val="00BC3716"/>
    <w:rsid w:val="00BC432F"/>
    <w:rsid w:val="00BC4CC8"/>
    <w:rsid w:val="00BC4D3E"/>
    <w:rsid w:val="00BC50FD"/>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719"/>
    <w:rsid w:val="00BD4B09"/>
    <w:rsid w:val="00BD4CEC"/>
    <w:rsid w:val="00BD4F61"/>
    <w:rsid w:val="00BD5050"/>
    <w:rsid w:val="00BD50D0"/>
    <w:rsid w:val="00BD58A3"/>
    <w:rsid w:val="00BD5A30"/>
    <w:rsid w:val="00BD6745"/>
    <w:rsid w:val="00BD67DE"/>
    <w:rsid w:val="00BD684B"/>
    <w:rsid w:val="00BD6AC0"/>
    <w:rsid w:val="00BD7112"/>
    <w:rsid w:val="00BD7869"/>
    <w:rsid w:val="00BD7ADC"/>
    <w:rsid w:val="00BD7DAB"/>
    <w:rsid w:val="00BE0225"/>
    <w:rsid w:val="00BE0E22"/>
    <w:rsid w:val="00BE1761"/>
    <w:rsid w:val="00BE21B7"/>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73DF"/>
    <w:rsid w:val="00BE75C3"/>
    <w:rsid w:val="00BE774D"/>
    <w:rsid w:val="00BF05A8"/>
    <w:rsid w:val="00BF12A8"/>
    <w:rsid w:val="00BF1551"/>
    <w:rsid w:val="00BF186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7B82"/>
    <w:rsid w:val="00C10293"/>
    <w:rsid w:val="00C10469"/>
    <w:rsid w:val="00C10693"/>
    <w:rsid w:val="00C10D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498"/>
    <w:rsid w:val="00C16995"/>
    <w:rsid w:val="00C174AA"/>
    <w:rsid w:val="00C17A73"/>
    <w:rsid w:val="00C20D17"/>
    <w:rsid w:val="00C20D68"/>
    <w:rsid w:val="00C2119E"/>
    <w:rsid w:val="00C2160C"/>
    <w:rsid w:val="00C21A63"/>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A70"/>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0783"/>
    <w:rsid w:val="00C71231"/>
    <w:rsid w:val="00C717E5"/>
    <w:rsid w:val="00C718CD"/>
    <w:rsid w:val="00C71BE9"/>
    <w:rsid w:val="00C7209E"/>
    <w:rsid w:val="00C721C9"/>
    <w:rsid w:val="00C73150"/>
    <w:rsid w:val="00C74120"/>
    <w:rsid w:val="00C744C9"/>
    <w:rsid w:val="00C74C64"/>
    <w:rsid w:val="00C75102"/>
    <w:rsid w:val="00C754E0"/>
    <w:rsid w:val="00C7585B"/>
    <w:rsid w:val="00C75EC4"/>
    <w:rsid w:val="00C760F3"/>
    <w:rsid w:val="00C761A9"/>
    <w:rsid w:val="00C76A43"/>
    <w:rsid w:val="00C76FBE"/>
    <w:rsid w:val="00C80863"/>
    <w:rsid w:val="00C808C1"/>
    <w:rsid w:val="00C8158C"/>
    <w:rsid w:val="00C817D6"/>
    <w:rsid w:val="00C81A82"/>
    <w:rsid w:val="00C8230F"/>
    <w:rsid w:val="00C82D0C"/>
    <w:rsid w:val="00C82E1B"/>
    <w:rsid w:val="00C83164"/>
    <w:rsid w:val="00C837E1"/>
    <w:rsid w:val="00C83D13"/>
    <w:rsid w:val="00C84407"/>
    <w:rsid w:val="00C847B4"/>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FB5"/>
    <w:rsid w:val="00CC3450"/>
    <w:rsid w:val="00CC4CA6"/>
    <w:rsid w:val="00CC5144"/>
    <w:rsid w:val="00CC5691"/>
    <w:rsid w:val="00CC5999"/>
    <w:rsid w:val="00CC620E"/>
    <w:rsid w:val="00CC6B80"/>
    <w:rsid w:val="00CC6E57"/>
    <w:rsid w:val="00CC6E95"/>
    <w:rsid w:val="00CC723C"/>
    <w:rsid w:val="00CC75F9"/>
    <w:rsid w:val="00CC7750"/>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4FA2"/>
    <w:rsid w:val="00CE52BD"/>
    <w:rsid w:val="00CE547E"/>
    <w:rsid w:val="00CE577D"/>
    <w:rsid w:val="00CE58E8"/>
    <w:rsid w:val="00CE5B08"/>
    <w:rsid w:val="00CE5F5B"/>
    <w:rsid w:val="00CE642A"/>
    <w:rsid w:val="00CE670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DEA"/>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E11"/>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6FA"/>
    <w:rsid w:val="00D31B2C"/>
    <w:rsid w:val="00D31DA5"/>
    <w:rsid w:val="00D325D0"/>
    <w:rsid w:val="00D329BA"/>
    <w:rsid w:val="00D33606"/>
    <w:rsid w:val="00D33696"/>
    <w:rsid w:val="00D33951"/>
    <w:rsid w:val="00D33A53"/>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251A"/>
    <w:rsid w:val="00D52640"/>
    <w:rsid w:val="00D53036"/>
    <w:rsid w:val="00D538B5"/>
    <w:rsid w:val="00D540E6"/>
    <w:rsid w:val="00D5452F"/>
    <w:rsid w:val="00D54B4A"/>
    <w:rsid w:val="00D54DDF"/>
    <w:rsid w:val="00D55046"/>
    <w:rsid w:val="00D553C3"/>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646"/>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6017"/>
    <w:rsid w:val="00D87040"/>
    <w:rsid w:val="00D874A4"/>
    <w:rsid w:val="00D8764F"/>
    <w:rsid w:val="00D87BFE"/>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681"/>
    <w:rsid w:val="00DF4F27"/>
    <w:rsid w:val="00DF56AC"/>
    <w:rsid w:val="00DF5ABC"/>
    <w:rsid w:val="00DF629E"/>
    <w:rsid w:val="00DF6520"/>
    <w:rsid w:val="00DF691E"/>
    <w:rsid w:val="00DF6AE7"/>
    <w:rsid w:val="00DF6FFD"/>
    <w:rsid w:val="00DF7F37"/>
    <w:rsid w:val="00E00F2C"/>
    <w:rsid w:val="00E02403"/>
    <w:rsid w:val="00E027E8"/>
    <w:rsid w:val="00E03BC7"/>
    <w:rsid w:val="00E03DD2"/>
    <w:rsid w:val="00E0496B"/>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535"/>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AE"/>
    <w:rsid w:val="00E914EB"/>
    <w:rsid w:val="00E9195F"/>
    <w:rsid w:val="00E91DC0"/>
    <w:rsid w:val="00E926BB"/>
    <w:rsid w:val="00E92D25"/>
    <w:rsid w:val="00E9315C"/>
    <w:rsid w:val="00E93873"/>
    <w:rsid w:val="00E93B9A"/>
    <w:rsid w:val="00E93D78"/>
    <w:rsid w:val="00E93DFD"/>
    <w:rsid w:val="00E94BC6"/>
    <w:rsid w:val="00E953D1"/>
    <w:rsid w:val="00E9541D"/>
    <w:rsid w:val="00E96D96"/>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149"/>
    <w:rsid w:val="00EB0206"/>
    <w:rsid w:val="00EB034D"/>
    <w:rsid w:val="00EB040E"/>
    <w:rsid w:val="00EB1389"/>
    <w:rsid w:val="00EB16CF"/>
    <w:rsid w:val="00EB21C9"/>
    <w:rsid w:val="00EB2782"/>
    <w:rsid w:val="00EB2EE9"/>
    <w:rsid w:val="00EB3216"/>
    <w:rsid w:val="00EB3A2B"/>
    <w:rsid w:val="00EB493D"/>
    <w:rsid w:val="00EB4A40"/>
    <w:rsid w:val="00EB50A0"/>
    <w:rsid w:val="00EB5BE2"/>
    <w:rsid w:val="00EB63CA"/>
    <w:rsid w:val="00EB6539"/>
    <w:rsid w:val="00EB6697"/>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6C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9EE"/>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2175"/>
    <w:rsid w:val="00EF26E2"/>
    <w:rsid w:val="00EF28EE"/>
    <w:rsid w:val="00EF2E75"/>
    <w:rsid w:val="00EF2F72"/>
    <w:rsid w:val="00EF2FDC"/>
    <w:rsid w:val="00EF398A"/>
    <w:rsid w:val="00EF4A8B"/>
    <w:rsid w:val="00EF4EFE"/>
    <w:rsid w:val="00EF5DC1"/>
    <w:rsid w:val="00EF64BE"/>
    <w:rsid w:val="00EF6C6E"/>
    <w:rsid w:val="00EF6CF6"/>
    <w:rsid w:val="00EF6D1F"/>
    <w:rsid w:val="00EF6DC3"/>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2A7"/>
    <w:rsid w:val="00F317C1"/>
    <w:rsid w:val="00F31B40"/>
    <w:rsid w:val="00F3221C"/>
    <w:rsid w:val="00F32FC8"/>
    <w:rsid w:val="00F3347A"/>
    <w:rsid w:val="00F337C1"/>
    <w:rsid w:val="00F33CE4"/>
    <w:rsid w:val="00F34894"/>
    <w:rsid w:val="00F36D90"/>
    <w:rsid w:val="00F375A7"/>
    <w:rsid w:val="00F4004D"/>
    <w:rsid w:val="00F407F6"/>
    <w:rsid w:val="00F40FCE"/>
    <w:rsid w:val="00F416BF"/>
    <w:rsid w:val="00F41D5F"/>
    <w:rsid w:val="00F41F65"/>
    <w:rsid w:val="00F420D4"/>
    <w:rsid w:val="00F43424"/>
    <w:rsid w:val="00F43DFC"/>
    <w:rsid w:val="00F43FE9"/>
    <w:rsid w:val="00F441F1"/>
    <w:rsid w:val="00F44541"/>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0CFB"/>
    <w:rsid w:val="00F610D9"/>
    <w:rsid w:val="00F6142B"/>
    <w:rsid w:val="00F614A1"/>
    <w:rsid w:val="00F61968"/>
    <w:rsid w:val="00F627CD"/>
    <w:rsid w:val="00F62E1B"/>
    <w:rsid w:val="00F63151"/>
    <w:rsid w:val="00F645D0"/>
    <w:rsid w:val="00F64834"/>
    <w:rsid w:val="00F64A4A"/>
    <w:rsid w:val="00F64E93"/>
    <w:rsid w:val="00F65203"/>
    <w:rsid w:val="00F65592"/>
    <w:rsid w:val="00F663F8"/>
    <w:rsid w:val="00F66775"/>
    <w:rsid w:val="00F66909"/>
    <w:rsid w:val="00F66AF0"/>
    <w:rsid w:val="00F66EB5"/>
    <w:rsid w:val="00F66FC8"/>
    <w:rsid w:val="00F67183"/>
    <w:rsid w:val="00F678B6"/>
    <w:rsid w:val="00F706DD"/>
    <w:rsid w:val="00F7077A"/>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A6A"/>
    <w:rsid w:val="00F7703E"/>
    <w:rsid w:val="00F772F5"/>
    <w:rsid w:val="00F773A6"/>
    <w:rsid w:val="00F778EE"/>
    <w:rsid w:val="00F77D1F"/>
    <w:rsid w:val="00F77DC0"/>
    <w:rsid w:val="00F802E7"/>
    <w:rsid w:val="00F8043C"/>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6AC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60F0"/>
    <w:rsid w:val="00FA6A2C"/>
    <w:rsid w:val="00FA709B"/>
    <w:rsid w:val="00FA791F"/>
    <w:rsid w:val="00FA79F8"/>
    <w:rsid w:val="00FA7A7E"/>
    <w:rsid w:val="00FA7C3C"/>
    <w:rsid w:val="00FB08AE"/>
    <w:rsid w:val="00FB0E8B"/>
    <w:rsid w:val="00FB15D0"/>
    <w:rsid w:val="00FB22A4"/>
    <w:rsid w:val="00FB2578"/>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F9A"/>
    <w:rsid w:val="00FC70D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5DB8"/>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DC2084"/>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urope/publications/i/item/WHO-EURO-2022-5851-45616-65461" TargetMode="External"/><Relationship Id="rId18" Type="http://schemas.openxmlformats.org/officeDocument/2006/relationships/header" Target="header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github.com/italia/covid19-opendata-vaccini/blob/master/dati/platea-second-booster.csv"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te.gov.it/portale/nuovocoronavirus/Circolare23settembre2022.pdf"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fficio.stampa@gimbe.org"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www.trovanorme.salute.gov.it/norme/renderNormsanPdf?anno=2022&amp;codLeg=88794&amp;parte=1%20&amp;serie=null"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hyperlink" Target="https://coronavirus.gimbe.org"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hyperlink" Target="https://www.epicentro.iss.it/coronavirus/bollettino/Bollettino-sorveglianza-integrata-COVID-19_28-settembre-2022.pdf"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18D6-2AE9-458E-89B8-B2BD73F8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2481</Words>
  <Characters>14147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Luca Bellusci</cp:lastModifiedBy>
  <cp:revision>6</cp:revision>
  <cp:lastPrinted>2022-08-24T13:12:00Z</cp:lastPrinted>
  <dcterms:created xsi:type="dcterms:W3CDTF">2022-10-05T12:41:00Z</dcterms:created>
  <dcterms:modified xsi:type="dcterms:W3CDTF">2022-10-06T07:49:00Z</dcterms:modified>
</cp:coreProperties>
</file>