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82B" w:rsidRPr="00C82D0C" w:rsidRDefault="00CE577D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C82D0C">
        <w:rPr>
          <w:b/>
          <w:bCs/>
          <w:color w:val="auto"/>
          <w:sz w:val="32"/>
          <w:szCs w:val="32"/>
        </w:rPr>
        <w:t>COMUNICATO STAMPA</w:t>
      </w:r>
    </w:p>
    <w:p w:rsidR="00F1592D" w:rsidRPr="00CF72E9" w:rsidRDefault="00CE577D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CF72E9">
        <w:rPr>
          <w:b/>
          <w:bCs/>
          <w:color w:val="auto"/>
          <w:sz w:val="32"/>
          <w:szCs w:val="32"/>
        </w:rPr>
        <w:t>CORONAVIRUS</w:t>
      </w:r>
      <w:r w:rsidR="00485811" w:rsidRPr="00CF72E9">
        <w:rPr>
          <w:b/>
          <w:bCs/>
          <w:color w:val="auto"/>
          <w:sz w:val="32"/>
          <w:szCs w:val="32"/>
        </w:rPr>
        <w:t>:</w:t>
      </w:r>
      <w:r w:rsidR="00420736" w:rsidRPr="00CF72E9">
        <w:rPr>
          <w:b/>
          <w:bCs/>
          <w:color w:val="auto"/>
          <w:sz w:val="32"/>
          <w:szCs w:val="32"/>
        </w:rPr>
        <w:t xml:space="preserve"> </w:t>
      </w:r>
      <w:r w:rsidR="00CF72E9" w:rsidRPr="00CF72E9">
        <w:rPr>
          <w:b/>
          <w:bCs/>
          <w:color w:val="auto"/>
          <w:sz w:val="32"/>
          <w:szCs w:val="32"/>
        </w:rPr>
        <w:t xml:space="preserve">CONTINUA LA DISCESA DI </w:t>
      </w:r>
      <w:r w:rsidR="00AE41A0" w:rsidRPr="00CF72E9">
        <w:rPr>
          <w:b/>
          <w:bCs/>
          <w:color w:val="auto"/>
          <w:sz w:val="32"/>
          <w:szCs w:val="32"/>
        </w:rPr>
        <w:t>NUOVI CASI (-</w:t>
      </w:r>
      <w:r w:rsidR="00CF72E9" w:rsidRPr="00CF72E9">
        <w:rPr>
          <w:b/>
          <w:bCs/>
          <w:color w:val="auto"/>
          <w:sz w:val="32"/>
          <w:szCs w:val="32"/>
        </w:rPr>
        <w:t>9,1</w:t>
      </w:r>
      <w:r w:rsidR="00393652">
        <w:rPr>
          <w:b/>
          <w:bCs/>
          <w:color w:val="auto"/>
          <w:sz w:val="32"/>
          <w:szCs w:val="32"/>
        </w:rPr>
        <w:t>%)</w:t>
      </w:r>
      <w:r w:rsidR="006F5548">
        <w:rPr>
          <w:b/>
          <w:bCs/>
          <w:color w:val="auto"/>
          <w:sz w:val="32"/>
          <w:szCs w:val="32"/>
        </w:rPr>
        <w:t>,</w:t>
      </w:r>
      <w:r w:rsidR="00393652">
        <w:rPr>
          <w:b/>
          <w:bCs/>
          <w:color w:val="auto"/>
          <w:sz w:val="32"/>
          <w:szCs w:val="32"/>
        </w:rPr>
        <w:t xml:space="preserve"> </w:t>
      </w:r>
      <w:r w:rsidR="006F5548" w:rsidRPr="006F5548">
        <w:rPr>
          <w:b/>
          <w:bCs/>
          <w:color w:val="auto"/>
          <w:sz w:val="32"/>
          <w:szCs w:val="32"/>
        </w:rPr>
        <w:t xml:space="preserve">RICOVERI IN AREA MEDICA </w:t>
      </w:r>
      <w:r w:rsidR="006F5548">
        <w:rPr>
          <w:b/>
          <w:bCs/>
          <w:color w:val="auto"/>
          <w:sz w:val="32"/>
          <w:szCs w:val="32"/>
        </w:rPr>
        <w:t>(-</w:t>
      </w:r>
      <w:r w:rsidR="006F5548" w:rsidRPr="006F5548">
        <w:rPr>
          <w:b/>
          <w:bCs/>
          <w:color w:val="auto"/>
          <w:sz w:val="32"/>
          <w:szCs w:val="32"/>
        </w:rPr>
        <w:t>13,2%</w:t>
      </w:r>
      <w:r w:rsidR="006F5548">
        <w:rPr>
          <w:b/>
          <w:bCs/>
          <w:color w:val="auto"/>
          <w:sz w:val="32"/>
          <w:szCs w:val="32"/>
        </w:rPr>
        <w:t>)</w:t>
      </w:r>
      <w:r w:rsidR="006F5548" w:rsidRPr="006F5548">
        <w:rPr>
          <w:b/>
          <w:bCs/>
          <w:color w:val="auto"/>
          <w:sz w:val="32"/>
          <w:szCs w:val="32"/>
        </w:rPr>
        <w:t xml:space="preserve"> </w:t>
      </w:r>
      <w:r w:rsidR="006F5548">
        <w:rPr>
          <w:b/>
          <w:bCs/>
          <w:color w:val="auto"/>
          <w:sz w:val="32"/>
          <w:szCs w:val="32"/>
        </w:rPr>
        <w:t>E TERAPIE INTENSIVE (</w:t>
      </w:r>
      <w:r w:rsidR="006F5548" w:rsidRPr="006F5548">
        <w:rPr>
          <w:b/>
          <w:bCs/>
          <w:color w:val="auto"/>
          <w:sz w:val="32"/>
          <w:szCs w:val="32"/>
        </w:rPr>
        <w:t>-5,7%</w:t>
      </w:r>
      <w:r w:rsidR="006F5548">
        <w:rPr>
          <w:b/>
          <w:bCs/>
          <w:color w:val="auto"/>
          <w:sz w:val="32"/>
          <w:szCs w:val="32"/>
        </w:rPr>
        <w:t xml:space="preserve">). </w:t>
      </w:r>
      <w:r w:rsidR="001518FD">
        <w:rPr>
          <w:b/>
          <w:bCs/>
          <w:color w:val="auto"/>
          <w:sz w:val="32"/>
          <w:szCs w:val="32"/>
        </w:rPr>
        <w:t>CALANO</w:t>
      </w:r>
      <w:r w:rsidR="00393652">
        <w:rPr>
          <w:b/>
          <w:bCs/>
          <w:color w:val="auto"/>
          <w:sz w:val="32"/>
          <w:szCs w:val="32"/>
        </w:rPr>
        <w:t xml:space="preserve"> </w:t>
      </w:r>
      <w:r w:rsidR="00CF72E9" w:rsidRPr="00CF72E9">
        <w:rPr>
          <w:b/>
          <w:bCs/>
          <w:color w:val="auto"/>
          <w:sz w:val="32"/>
          <w:szCs w:val="32"/>
        </w:rPr>
        <w:t>ANCHE I DECESSI (-19,4%)</w:t>
      </w:r>
      <w:r w:rsidR="009A34E5">
        <w:rPr>
          <w:b/>
          <w:bCs/>
          <w:color w:val="auto"/>
          <w:sz w:val="32"/>
          <w:szCs w:val="32"/>
        </w:rPr>
        <w:t>.</w:t>
      </w:r>
    </w:p>
    <w:p w:rsidR="00777916" w:rsidRPr="00736B4B" w:rsidRDefault="00777916" w:rsidP="003E1DB5">
      <w:pPr>
        <w:spacing w:after="0" w:line="276" w:lineRule="auto"/>
        <w:jc w:val="center"/>
        <w:rPr>
          <w:b/>
          <w:bCs/>
          <w:color w:val="FF0000"/>
          <w:sz w:val="32"/>
          <w:szCs w:val="32"/>
        </w:rPr>
      </w:pPr>
      <w:r w:rsidRPr="001B723C">
        <w:rPr>
          <w:b/>
          <w:bCs/>
          <w:color w:val="auto"/>
          <w:sz w:val="32"/>
          <w:szCs w:val="32"/>
        </w:rPr>
        <w:t>VACCIN</w:t>
      </w:r>
      <w:r w:rsidR="009403CB" w:rsidRPr="001B723C">
        <w:rPr>
          <w:b/>
          <w:bCs/>
          <w:color w:val="auto"/>
          <w:sz w:val="32"/>
          <w:szCs w:val="32"/>
        </w:rPr>
        <w:t>I</w:t>
      </w:r>
      <w:r w:rsidRPr="001B723C">
        <w:rPr>
          <w:b/>
          <w:bCs/>
          <w:color w:val="auto"/>
          <w:sz w:val="32"/>
          <w:szCs w:val="32"/>
        </w:rPr>
        <w:t>:</w:t>
      </w:r>
      <w:r w:rsidR="00B339C4">
        <w:rPr>
          <w:b/>
          <w:bCs/>
          <w:color w:val="auto"/>
          <w:sz w:val="32"/>
          <w:szCs w:val="32"/>
        </w:rPr>
        <w:t xml:space="preserve"> </w:t>
      </w:r>
      <w:r w:rsidR="001A2F4F">
        <w:rPr>
          <w:b/>
          <w:bCs/>
          <w:color w:val="auto"/>
          <w:sz w:val="32"/>
          <w:szCs w:val="32"/>
        </w:rPr>
        <w:t>NONOSTANTE</w:t>
      </w:r>
      <w:r w:rsidR="00B339C4">
        <w:rPr>
          <w:b/>
          <w:bCs/>
          <w:color w:val="auto"/>
          <w:sz w:val="32"/>
          <w:szCs w:val="32"/>
        </w:rPr>
        <w:t xml:space="preserve"> 13</w:t>
      </w:r>
      <w:r w:rsidR="001A2F4F">
        <w:rPr>
          <w:b/>
          <w:bCs/>
          <w:color w:val="auto"/>
          <w:sz w:val="32"/>
          <w:szCs w:val="32"/>
        </w:rPr>
        <w:t>,4</w:t>
      </w:r>
      <w:r w:rsidR="00B339C4">
        <w:rPr>
          <w:b/>
          <w:bCs/>
          <w:color w:val="auto"/>
          <w:sz w:val="32"/>
          <w:szCs w:val="32"/>
        </w:rPr>
        <w:t xml:space="preserve"> M</w:t>
      </w:r>
      <w:r w:rsidR="00A1291F">
        <w:rPr>
          <w:b/>
          <w:bCs/>
          <w:color w:val="auto"/>
          <w:sz w:val="32"/>
          <w:szCs w:val="32"/>
        </w:rPr>
        <w:t xml:space="preserve">LN </w:t>
      </w:r>
      <w:r w:rsidR="00B339C4">
        <w:rPr>
          <w:b/>
          <w:bCs/>
          <w:color w:val="auto"/>
          <w:sz w:val="32"/>
          <w:szCs w:val="32"/>
        </w:rPr>
        <w:t xml:space="preserve">DI DOSI IN FRIGO </w:t>
      </w:r>
      <w:r w:rsidR="0029423D">
        <w:rPr>
          <w:b/>
          <w:bCs/>
          <w:color w:val="auto"/>
          <w:sz w:val="32"/>
          <w:szCs w:val="32"/>
        </w:rPr>
        <w:t>S</w:t>
      </w:r>
      <w:r w:rsidR="00B339C4">
        <w:rPr>
          <w:b/>
          <w:bCs/>
          <w:color w:val="auto"/>
          <w:sz w:val="32"/>
          <w:szCs w:val="32"/>
        </w:rPr>
        <w:t xml:space="preserve">CENDE ANCORA </w:t>
      </w:r>
      <w:r w:rsidR="003C5AEF">
        <w:rPr>
          <w:b/>
          <w:bCs/>
          <w:color w:val="auto"/>
          <w:sz w:val="32"/>
          <w:szCs w:val="32"/>
        </w:rPr>
        <w:t>IL NUMERO DI</w:t>
      </w:r>
      <w:r w:rsidR="00077B7F">
        <w:rPr>
          <w:b/>
          <w:bCs/>
          <w:color w:val="auto"/>
          <w:sz w:val="32"/>
          <w:szCs w:val="32"/>
        </w:rPr>
        <w:t xml:space="preserve"> NUOVI VACCINATI</w:t>
      </w:r>
      <w:r w:rsidR="007F5B75">
        <w:rPr>
          <w:b/>
          <w:bCs/>
          <w:color w:val="auto"/>
          <w:sz w:val="32"/>
          <w:szCs w:val="32"/>
        </w:rPr>
        <w:t xml:space="preserve"> (-17,1%)</w:t>
      </w:r>
      <w:r w:rsidR="009A34E5">
        <w:rPr>
          <w:b/>
          <w:bCs/>
          <w:color w:val="auto"/>
          <w:sz w:val="32"/>
          <w:szCs w:val="32"/>
        </w:rPr>
        <w:t>, A RILENTO LE TERZE DOSI (</w:t>
      </w:r>
      <w:r w:rsidR="001518FD">
        <w:rPr>
          <w:b/>
          <w:bCs/>
          <w:color w:val="auto"/>
          <w:sz w:val="32"/>
          <w:szCs w:val="32"/>
        </w:rPr>
        <w:t xml:space="preserve">2,4% </w:t>
      </w:r>
      <w:r w:rsidR="00A1291F">
        <w:rPr>
          <w:b/>
          <w:bCs/>
          <w:color w:val="auto"/>
          <w:sz w:val="32"/>
          <w:szCs w:val="32"/>
        </w:rPr>
        <w:t xml:space="preserve">SU </w:t>
      </w:r>
      <w:r w:rsidR="005E3CC5">
        <w:rPr>
          <w:b/>
          <w:bCs/>
          <w:color w:val="auto"/>
          <w:sz w:val="32"/>
          <w:szCs w:val="32"/>
        </w:rPr>
        <w:t xml:space="preserve">UNA PLATEA DI </w:t>
      </w:r>
      <w:r w:rsidR="00A1291F">
        <w:rPr>
          <w:b/>
          <w:bCs/>
          <w:color w:val="auto"/>
          <w:sz w:val="32"/>
          <w:szCs w:val="32"/>
        </w:rPr>
        <w:t>7,6 MLN</w:t>
      </w:r>
      <w:r w:rsidR="009A34E5">
        <w:rPr>
          <w:b/>
          <w:bCs/>
          <w:color w:val="auto"/>
          <w:sz w:val="32"/>
          <w:szCs w:val="32"/>
        </w:rPr>
        <w:t>)</w:t>
      </w:r>
      <w:r w:rsidR="00A1291F">
        <w:rPr>
          <w:b/>
          <w:bCs/>
          <w:color w:val="auto"/>
          <w:sz w:val="32"/>
          <w:szCs w:val="32"/>
        </w:rPr>
        <w:t>.</w:t>
      </w:r>
    </w:p>
    <w:p w:rsidR="008A44E1" w:rsidRPr="00B11517" w:rsidRDefault="00B11517" w:rsidP="003E1DB5">
      <w:pPr>
        <w:spacing w:after="0" w:line="276" w:lineRule="auto"/>
        <w:jc w:val="center"/>
        <w:rPr>
          <w:b/>
          <w:bCs/>
          <w:color w:val="auto"/>
          <w:sz w:val="32"/>
          <w:szCs w:val="32"/>
        </w:rPr>
      </w:pPr>
      <w:r w:rsidRPr="008B33A7">
        <w:rPr>
          <w:b/>
          <w:bCs/>
          <w:color w:val="auto"/>
          <w:sz w:val="32"/>
          <w:szCs w:val="32"/>
        </w:rPr>
        <w:t>TERZA DOSE</w:t>
      </w:r>
      <w:r w:rsidRPr="009A34E5">
        <w:rPr>
          <w:b/>
          <w:bCs/>
          <w:color w:val="auto"/>
          <w:sz w:val="32"/>
          <w:szCs w:val="32"/>
        </w:rPr>
        <w:t xml:space="preserve">: </w:t>
      </w:r>
      <w:r w:rsidR="00B339C4" w:rsidRPr="009A34E5">
        <w:rPr>
          <w:b/>
          <w:bCs/>
          <w:color w:val="auto"/>
          <w:sz w:val="32"/>
          <w:szCs w:val="32"/>
        </w:rPr>
        <w:t xml:space="preserve">NECESSARIO </w:t>
      </w:r>
      <w:r w:rsidR="000D0625">
        <w:rPr>
          <w:b/>
          <w:bCs/>
          <w:color w:val="auto"/>
          <w:sz w:val="32"/>
          <w:szCs w:val="32"/>
        </w:rPr>
        <w:t xml:space="preserve">ESTENDERE L’OBBLIGO AGLI OPERATORI SANITARI </w:t>
      </w:r>
      <w:r w:rsidR="007F5B75">
        <w:rPr>
          <w:b/>
          <w:bCs/>
          <w:color w:val="auto"/>
          <w:sz w:val="32"/>
          <w:szCs w:val="32"/>
        </w:rPr>
        <w:t xml:space="preserve">E APRIRE </w:t>
      </w:r>
      <w:r w:rsidR="0046121C">
        <w:rPr>
          <w:b/>
          <w:bCs/>
          <w:color w:val="auto"/>
          <w:sz w:val="32"/>
          <w:szCs w:val="32"/>
        </w:rPr>
        <w:t>PROGRESSIVAMENTE</w:t>
      </w:r>
      <w:r w:rsidR="00B90D08">
        <w:rPr>
          <w:b/>
          <w:bCs/>
          <w:color w:val="auto"/>
          <w:sz w:val="32"/>
          <w:szCs w:val="32"/>
        </w:rPr>
        <w:t xml:space="preserve"> ALLE FASCE</w:t>
      </w:r>
      <w:r w:rsidR="007F5B75">
        <w:rPr>
          <w:b/>
          <w:bCs/>
          <w:color w:val="auto"/>
          <w:sz w:val="32"/>
          <w:szCs w:val="32"/>
        </w:rPr>
        <w:t xml:space="preserve"> </w:t>
      </w:r>
      <w:r w:rsidR="001518FD">
        <w:rPr>
          <w:b/>
          <w:bCs/>
          <w:color w:val="auto"/>
          <w:sz w:val="32"/>
          <w:szCs w:val="32"/>
        </w:rPr>
        <w:t>UNDER 80</w:t>
      </w:r>
    </w:p>
    <w:p w:rsidR="00935328" w:rsidRDefault="00CE577D" w:rsidP="00777916">
      <w:pPr>
        <w:spacing w:after="0" w:line="276" w:lineRule="auto"/>
        <w:jc w:val="both"/>
        <w:rPr>
          <w:b/>
          <w:bCs/>
          <w:color w:val="000000" w:themeColor="text1"/>
          <w:sz w:val="24"/>
          <w:szCs w:val="24"/>
        </w:rPr>
      </w:pPr>
      <w:r w:rsidRPr="003C1BE8">
        <w:rPr>
          <w:b/>
          <w:bCs/>
          <w:color w:val="auto"/>
          <w:sz w:val="24"/>
          <w:szCs w:val="24"/>
        </w:rPr>
        <w:t xml:space="preserve">IL MONITORAGGIO DELLA FONDAZIONE GIMBE, NELLA SETTIMANA </w:t>
      </w:r>
      <w:r w:rsidR="000673B6" w:rsidRPr="003C1BE8">
        <w:rPr>
          <w:b/>
          <w:bCs/>
          <w:color w:val="auto"/>
          <w:sz w:val="24"/>
          <w:szCs w:val="24"/>
        </w:rPr>
        <w:t>2</w:t>
      </w:r>
      <w:r w:rsidR="00F92CFC" w:rsidRPr="003C1BE8">
        <w:rPr>
          <w:b/>
          <w:bCs/>
          <w:color w:val="auto"/>
          <w:sz w:val="24"/>
          <w:szCs w:val="24"/>
        </w:rPr>
        <w:t>9</w:t>
      </w:r>
      <w:r w:rsidR="00984C2B" w:rsidRPr="003C1BE8">
        <w:rPr>
          <w:b/>
          <w:bCs/>
          <w:color w:val="auto"/>
          <w:sz w:val="24"/>
          <w:szCs w:val="24"/>
        </w:rPr>
        <w:t xml:space="preserve"> </w:t>
      </w:r>
      <w:r w:rsidR="00115B80" w:rsidRPr="003C1BE8">
        <w:rPr>
          <w:b/>
          <w:bCs/>
          <w:color w:val="auto"/>
          <w:sz w:val="24"/>
          <w:szCs w:val="24"/>
        </w:rPr>
        <w:t>SETTEMBRE</w:t>
      </w:r>
      <w:r w:rsidR="00F92CFC" w:rsidRPr="003C1BE8">
        <w:rPr>
          <w:b/>
          <w:bCs/>
          <w:color w:val="auto"/>
          <w:sz w:val="24"/>
          <w:szCs w:val="24"/>
        </w:rPr>
        <w:t>-5 OTTOBRE</w:t>
      </w:r>
      <w:r w:rsidRPr="003C1BE8">
        <w:rPr>
          <w:b/>
          <w:bCs/>
          <w:color w:val="auto"/>
          <w:sz w:val="24"/>
          <w:szCs w:val="24"/>
        </w:rPr>
        <w:t xml:space="preserve">, </w:t>
      </w:r>
      <w:r w:rsidR="00DC3704" w:rsidRPr="003C1BE8">
        <w:rPr>
          <w:b/>
          <w:bCs/>
          <w:color w:val="auto"/>
          <w:sz w:val="24"/>
          <w:szCs w:val="24"/>
        </w:rPr>
        <w:t>CONFERMA</w:t>
      </w:r>
      <w:r w:rsidRPr="003C1BE8">
        <w:rPr>
          <w:b/>
          <w:bCs/>
          <w:color w:val="auto"/>
          <w:sz w:val="24"/>
          <w:szCs w:val="24"/>
        </w:rPr>
        <w:t xml:space="preserve"> </w:t>
      </w:r>
      <w:r w:rsidR="00C82D0C" w:rsidRPr="003C1BE8">
        <w:rPr>
          <w:b/>
          <w:bCs/>
          <w:color w:val="auto"/>
          <w:sz w:val="24"/>
          <w:szCs w:val="24"/>
        </w:rPr>
        <w:t>TUTTI I NUMERI IN CALO</w:t>
      </w:r>
      <w:r w:rsidR="001518FD">
        <w:rPr>
          <w:b/>
          <w:bCs/>
          <w:color w:val="auto"/>
          <w:sz w:val="24"/>
          <w:szCs w:val="24"/>
        </w:rPr>
        <w:t xml:space="preserve">, ANCHE SE </w:t>
      </w:r>
      <w:r w:rsidR="003C2801">
        <w:rPr>
          <w:b/>
          <w:bCs/>
          <w:color w:val="auto"/>
          <w:sz w:val="24"/>
          <w:szCs w:val="24"/>
        </w:rPr>
        <w:t xml:space="preserve">IN </w:t>
      </w:r>
      <w:r w:rsidR="001518FD">
        <w:rPr>
          <w:b/>
          <w:bCs/>
          <w:color w:val="auto"/>
          <w:sz w:val="24"/>
          <w:szCs w:val="24"/>
        </w:rPr>
        <w:t xml:space="preserve">5 REGIONI </w:t>
      </w:r>
      <w:r w:rsidR="003C2801">
        <w:rPr>
          <w:b/>
          <w:bCs/>
          <w:color w:val="auto"/>
          <w:sz w:val="24"/>
          <w:szCs w:val="24"/>
        </w:rPr>
        <w:t>SI REGISTRA</w:t>
      </w:r>
      <w:r w:rsidR="001518FD">
        <w:rPr>
          <w:b/>
          <w:bCs/>
          <w:color w:val="auto"/>
          <w:sz w:val="24"/>
          <w:szCs w:val="24"/>
        </w:rPr>
        <w:t xml:space="preserve"> UN LIEVE INCREMENTO DI NUOVI CASI</w:t>
      </w:r>
      <w:r w:rsidR="00A1291F">
        <w:rPr>
          <w:b/>
          <w:bCs/>
          <w:color w:val="auto"/>
          <w:sz w:val="24"/>
          <w:szCs w:val="24"/>
        </w:rPr>
        <w:t xml:space="preserve">. </w:t>
      </w:r>
      <w:r w:rsidR="00F14A72" w:rsidRPr="007F5B75">
        <w:rPr>
          <w:b/>
          <w:bCs/>
          <w:color w:val="000000" w:themeColor="text1"/>
          <w:sz w:val="24"/>
          <w:szCs w:val="24"/>
        </w:rPr>
        <w:t xml:space="preserve">CAMPAGNA </w:t>
      </w:r>
      <w:r w:rsidR="00183B21" w:rsidRPr="007F5B75">
        <w:rPr>
          <w:b/>
          <w:bCs/>
          <w:color w:val="000000" w:themeColor="text1"/>
          <w:sz w:val="24"/>
          <w:szCs w:val="24"/>
        </w:rPr>
        <w:t>VACCINALE</w:t>
      </w:r>
      <w:r w:rsidR="001A2F4F">
        <w:rPr>
          <w:b/>
          <w:bCs/>
          <w:color w:val="000000" w:themeColor="text1"/>
          <w:sz w:val="24"/>
          <w:szCs w:val="24"/>
        </w:rPr>
        <w:t>:</w:t>
      </w:r>
      <w:r w:rsidR="00C92515" w:rsidRPr="007F5B75">
        <w:rPr>
          <w:b/>
          <w:bCs/>
          <w:color w:val="000000" w:themeColor="text1"/>
          <w:sz w:val="24"/>
          <w:szCs w:val="24"/>
        </w:rPr>
        <w:t xml:space="preserve"> </w:t>
      </w:r>
      <w:r w:rsidR="007F5B75" w:rsidRPr="001518FD">
        <w:rPr>
          <w:b/>
          <w:bCs/>
          <w:color w:val="auto"/>
          <w:sz w:val="24"/>
          <w:szCs w:val="24"/>
        </w:rPr>
        <w:t xml:space="preserve">DIMINUISCONO </w:t>
      </w:r>
      <w:r w:rsidR="007A01BF" w:rsidRPr="001518FD">
        <w:rPr>
          <w:b/>
          <w:bCs/>
          <w:color w:val="auto"/>
          <w:sz w:val="24"/>
          <w:szCs w:val="24"/>
        </w:rPr>
        <w:t xml:space="preserve">LE </w:t>
      </w:r>
      <w:r w:rsidR="00E404D6" w:rsidRPr="001518FD">
        <w:rPr>
          <w:b/>
          <w:bCs/>
          <w:color w:val="auto"/>
          <w:sz w:val="24"/>
          <w:szCs w:val="24"/>
        </w:rPr>
        <w:t>SOMMINISTRAZIONI</w:t>
      </w:r>
      <w:r w:rsidR="007A01BF" w:rsidRPr="001518FD">
        <w:rPr>
          <w:b/>
          <w:bCs/>
          <w:color w:val="auto"/>
          <w:sz w:val="24"/>
          <w:szCs w:val="24"/>
        </w:rPr>
        <w:t xml:space="preserve"> </w:t>
      </w:r>
      <w:r w:rsidR="007F5B75" w:rsidRPr="001518FD">
        <w:rPr>
          <w:b/>
          <w:bCs/>
          <w:color w:val="auto"/>
          <w:sz w:val="24"/>
          <w:szCs w:val="24"/>
        </w:rPr>
        <w:t>(-22,2</w:t>
      </w:r>
      <w:r w:rsidR="001F3785" w:rsidRPr="001518FD">
        <w:rPr>
          <w:b/>
          <w:bCs/>
          <w:color w:val="auto"/>
          <w:sz w:val="24"/>
          <w:szCs w:val="24"/>
        </w:rPr>
        <w:t>%</w:t>
      </w:r>
      <w:r w:rsidR="00C92515" w:rsidRPr="001518FD">
        <w:rPr>
          <w:b/>
          <w:bCs/>
          <w:color w:val="auto"/>
          <w:sz w:val="24"/>
          <w:szCs w:val="24"/>
        </w:rPr>
        <w:t>)</w:t>
      </w:r>
      <w:r w:rsidR="001F3785" w:rsidRPr="001518FD">
        <w:rPr>
          <w:b/>
          <w:bCs/>
          <w:color w:val="auto"/>
          <w:sz w:val="24"/>
          <w:szCs w:val="24"/>
        </w:rPr>
        <w:t xml:space="preserve"> </w:t>
      </w:r>
      <w:r w:rsidR="001A2F4F">
        <w:rPr>
          <w:b/>
          <w:bCs/>
          <w:color w:val="auto"/>
          <w:sz w:val="24"/>
          <w:szCs w:val="24"/>
        </w:rPr>
        <w:t xml:space="preserve">E </w:t>
      </w:r>
      <w:r w:rsidR="001518FD" w:rsidRPr="001518FD">
        <w:rPr>
          <w:b/>
          <w:bCs/>
          <w:color w:val="auto"/>
          <w:sz w:val="24"/>
          <w:szCs w:val="24"/>
        </w:rPr>
        <w:t>QUASI 2,6 MILIONI DI OVER 50</w:t>
      </w:r>
      <w:r w:rsidR="009A34E5">
        <w:rPr>
          <w:b/>
          <w:bCs/>
          <w:color w:val="auto"/>
          <w:sz w:val="24"/>
          <w:szCs w:val="24"/>
        </w:rPr>
        <w:t xml:space="preserve"> RIMANGONO</w:t>
      </w:r>
      <w:r w:rsidR="001518FD" w:rsidRPr="001518FD">
        <w:rPr>
          <w:b/>
          <w:bCs/>
          <w:color w:val="auto"/>
          <w:sz w:val="24"/>
          <w:szCs w:val="24"/>
        </w:rPr>
        <w:t xml:space="preserve"> SENZA ALCUNA COPERTURA. </w:t>
      </w:r>
      <w:r w:rsidR="007F5B75" w:rsidRPr="00CD582C">
        <w:rPr>
          <w:b/>
          <w:bCs/>
          <w:color w:val="000000" w:themeColor="text1"/>
          <w:sz w:val="24"/>
          <w:szCs w:val="24"/>
        </w:rPr>
        <w:t xml:space="preserve">7,6 MILIONI </w:t>
      </w:r>
      <w:r w:rsidR="0029423D">
        <w:rPr>
          <w:b/>
          <w:bCs/>
          <w:color w:val="000000" w:themeColor="text1"/>
          <w:sz w:val="24"/>
          <w:szCs w:val="24"/>
        </w:rPr>
        <w:t>LE</w:t>
      </w:r>
      <w:r w:rsidR="007F5B75" w:rsidRPr="00CD582C">
        <w:rPr>
          <w:b/>
          <w:bCs/>
          <w:color w:val="000000" w:themeColor="text1"/>
          <w:sz w:val="24"/>
          <w:szCs w:val="24"/>
        </w:rPr>
        <w:t xml:space="preserve"> PERSONE</w:t>
      </w:r>
      <w:r w:rsidR="003C5AEF">
        <w:rPr>
          <w:b/>
          <w:bCs/>
          <w:color w:val="000000" w:themeColor="text1"/>
          <w:sz w:val="24"/>
          <w:szCs w:val="24"/>
        </w:rPr>
        <w:t xml:space="preserve"> CANDIDATE A RICEVERE LA TERZA DOSE</w:t>
      </w:r>
      <w:r w:rsidR="00A36909" w:rsidRPr="00CD582C">
        <w:rPr>
          <w:b/>
          <w:bCs/>
          <w:color w:val="000000" w:themeColor="text1"/>
          <w:sz w:val="24"/>
          <w:szCs w:val="24"/>
        </w:rPr>
        <w:t>: COPERTURA</w:t>
      </w:r>
      <w:r w:rsidR="007F5B75" w:rsidRPr="00CD582C">
        <w:rPr>
          <w:b/>
          <w:bCs/>
          <w:color w:val="000000" w:themeColor="text1"/>
          <w:sz w:val="24"/>
          <w:szCs w:val="24"/>
        </w:rPr>
        <w:t xml:space="preserve"> </w:t>
      </w:r>
      <w:r w:rsidR="0029423D">
        <w:rPr>
          <w:b/>
          <w:bCs/>
          <w:color w:val="000000" w:themeColor="text1"/>
          <w:sz w:val="24"/>
          <w:szCs w:val="24"/>
        </w:rPr>
        <w:t xml:space="preserve">ATTUALE </w:t>
      </w:r>
      <w:r w:rsidR="00A36909" w:rsidRPr="00CD582C">
        <w:rPr>
          <w:b/>
          <w:bCs/>
          <w:color w:val="000000" w:themeColor="text1"/>
          <w:sz w:val="24"/>
          <w:szCs w:val="24"/>
        </w:rPr>
        <w:t xml:space="preserve">AL </w:t>
      </w:r>
      <w:r w:rsidR="007F5B75" w:rsidRPr="00CD582C">
        <w:rPr>
          <w:b/>
          <w:bCs/>
          <w:color w:val="000000" w:themeColor="text1"/>
          <w:sz w:val="24"/>
          <w:szCs w:val="24"/>
        </w:rPr>
        <w:t>2,4</w:t>
      </w:r>
      <w:r w:rsidR="00A36909" w:rsidRPr="00CD582C">
        <w:rPr>
          <w:b/>
          <w:bCs/>
          <w:color w:val="000000" w:themeColor="text1"/>
          <w:sz w:val="24"/>
          <w:szCs w:val="24"/>
        </w:rPr>
        <w:t>%</w:t>
      </w:r>
      <w:r w:rsidR="00903DE5" w:rsidRPr="00CD582C">
        <w:rPr>
          <w:b/>
          <w:bCs/>
          <w:color w:val="000000" w:themeColor="text1"/>
          <w:sz w:val="24"/>
          <w:szCs w:val="24"/>
        </w:rPr>
        <w:t>,</w:t>
      </w:r>
      <w:r w:rsidR="00A36909" w:rsidRPr="00CD582C">
        <w:rPr>
          <w:b/>
          <w:bCs/>
          <w:color w:val="000000" w:themeColor="text1"/>
          <w:sz w:val="24"/>
          <w:szCs w:val="24"/>
        </w:rPr>
        <w:t xml:space="preserve"> MA </w:t>
      </w:r>
      <w:r w:rsidR="00903DE5" w:rsidRPr="00CD582C">
        <w:rPr>
          <w:b/>
          <w:bCs/>
          <w:color w:val="000000" w:themeColor="text1"/>
          <w:sz w:val="24"/>
          <w:szCs w:val="24"/>
        </w:rPr>
        <w:t xml:space="preserve">CON NOTEVOLI DIFFERENZE TRA </w:t>
      </w:r>
      <w:r w:rsidR="00A36909" w:rsidRPr="00CD582C">
        <w:rPr>
          <w:b/>
          <w:bCs/>
          <w:color w:val="000000" w:themeColor="text1"/>
          <w:sz w:val="24"/>
          <w:szCs w:val="24"/>
        </w:rPr>
        <w:t>REGIONI.</w:t>
      </w:r>
      <w:r w:rsidR="00F51F39" w:rsidRPr="00CD582C">
        <w:rPr>
          <w:b/>
          <w:bCs/>
          <w:color w:val="000000" w:themeColor="text1"/>
          <w:sz w:val="24"/>
          <w:szCs w:val="24"/>
        </w:rPr>
        <w:t xml:space="preserve"> L’EFFICACIA VACCINALE</w:t>
      </w:r>
      <w:r w:rsidR="0029423D" w:rsidRPr="0029423D">
        <w:rPr>
          <w:b/>
          <w:bCs/>
          <w:color w:val="000000" w:themeColor="text1"/>
          <w:sz w:val="24"/>
          <w:szCs w:val="24"/>
        </w:rPr>
        <w:t xml:space="preserve"> </w:t>
      </w:r>
      <w:r w:rsidR="0029423D" w:rsidRPr="00CD582C">
        <w:rPr>
          <w:b/>
          <w:bCs/>
          <w:color w:val="000000" w:themeColor="text1"/>
          <w:sz w:val="24"/>
          <w:szCs w:val="24"/>
        </w:rPr>
        <w:t>SI MANTIENE MOLTO ELEVATA</w:t>
      </w:r>
      <w:r w:rsidR="008B33A7">
        <w:rPr>
          <w:b/>
          <w:bCs/>
          <w:color w:val="000000" w:themeColor="text1"/>
          <w:sz w:val="24"/>
          <w:szCs w:val="24"/>
        </w:rPr>
        <w:t xml:space="preserve"> CON</w:t>
      </w:r>
      <w:r w:rsidR="00F51F39" w:rsidRPr="00CD582C">
        <w:rPr>
          <w:b/>
          <w:bCs/>
          <w:color w:val="000000" w:themeColor="text1"/>
          <w:sz w:val="24"/>
          <w:szCs w:val="24"/>
        </w:rPr>
        <w:t xml:space="preserve"> RIDUZIONE DECESSI E TERAPIE INTENSIVE </w:t>
      </w:r>
      <w:r w:rsidR="00CD582C" w:rsidRPr="00CD582C">
        <w:rPr>
          <w:b/>
          <w:bCs/>
          <w:color w:val="000000" w:themeColor="text1"/>
          <w:sz w:val="24"/>
          <w:szCs w:val="24"/>
        </w:rPr>
        <w:t>QUASI AL</w:t>
      </w:r>
      <w:r w:rsidR="00F51F39" w:rsidRPr="00CD582C">
        <w:rPr>
          <w:b/>
          <w:bCs/>
          <w:color w:val="000000" w:themeColor="text1"/>
          <w:sz w:val="24"/>
          <w:szCs w:val="24"/>
        </w:rPr>
        <w:t xml:space="preserve"> 95% E RICOVERI IN AREA MEDICA </w:t>
      </w:r>
      <w:r w:rsidR="0084571A" w:rsidRPr="00CD582C">
        <w:rPr>
          <w:b/>
          <w:bCs/>
          <w:color w:val="000000" w:themeColor="text1"/>
          <w:sz w:val="24"/>
          <w:szCs w:val="24"/>
        </w:rPr>
        <w:t xml:space="preserve">AL </w:t>
      </w:r>
      <w:r w:rsidR="00F51F39" w:rsidRPr="00CD582C">
        <w:rPr>
          <w:b/>
          <w:bCs/>
          <w:color w:val="000000" w:themeColor="text1"/>
          <w:sz w:val="24"/>
          <w:szCs w:val="24"/>
        </w:rPr>
        <w:t>9</w:t>
      </w:r>
      <w:r w:rsidR="00A36909" w:rsidRPr="00CD582C">
        <w:rPr>
          <w:b/>
          <w:bCs/>
          <w:color w:val="000000" w:themeColor="text1"/>
          <w:sz w:val="24"/>
          <w:szCs w:val="24"/>
        </w:rPr>
        <w:t>2,</w:t>
      </w:r>
      <w:r w:rsidR="00CD582C" w:rsidRPr="00CD582C">
        <w:rPr>
          <w:b/>
          <w:bCs/>
          <w:color w:val="000000" w:themeColor="text1"/>
          <w:sz w:val="24"/>
          <w:szCs w:val="24"/>
        </w:rPr>
        <w:t>6</w:t>
      </w:r>
      <w:r w:rsidR="00F51F39" w:rsidRPr="00CD582C">
        <w:rPr>
          <w:b/>
          <w:bCs/>
          <w:color w:val="000000" w:themeColor="text1"/>
          <w:sz w:val="24"/>
          <w:szCs w:val="24"/>
        </w:rPr>
        <w:t>%.</w:t>
      </w:r>
      <w:r w:rsidR="00A36909" w:rsidRPr="00CD582C">
        <w:rPr>
          <w:b/>
          <w:bCs/>
          <w:color w:val="000000" w:themeColor="text1"/>
          <w:sz w:val="24"/>
          <w:szCs w:val="24"/>
        </w:rPr>
        <w:t xml:space="preserve"> </w:t>
      </w:r>
      <w:r w:rsidR="008B33A7">
        <w:rPr>
          <w:b/>
          <w:bCs/>
          <w:color w:val="000000" w:themeColor="text1"/>
          <w:sz w:val="24"/>
          <w:szCs w:val="24"/>
        </w:rPr>
        <w:t xml:space="preserve">MA </w:t>
      </w:r>
      <w:r w:rsidR="00CD582C" w:rsidRPr="008B33A7">
        <w:rPr>
          <w:b/>
          <w:bCs/>
          <w:color w:val="auto"/>
          <w:sz w:val="24"/>
          <w:szCs w:val="24"/>
        </w:rPr>
        <w:t xml:space="preserve">I PRIMI LIEVI SEGNALI DI </w:t>
      </w:r>
      <w:r w:rsidR="008B33A7" w:rsidRPr="008B33A7">
        <w:rPr>
          <w:b/>
          <w:bCs/>
          <w:color w:val="auto"/>
          <w:sz w:val="24"/>
          <w:szCs w:val="24"/>
        </w:rPr>
        <w:t xml:space="preserve">RIDUZIONE </w:t>
      </w:r>
      <w:r w:rsidR="008B33A7">
        <w:rPr>
          <w:b/>
          <w:bCs/>
          <w:color w:val="auto"/>
          <w:sz w:val="24"/>
          <w:szCs w:val="24"/>
        </w:rPr>
        <w:t xml:space="preserve">IMPONGONO DI </w:t>
      </w:r>
      <w:r w:rsidR="00CD582C" w:rsidRPr="00CD582C">
        <w:rPr>
          <w:b/>
          <w:bCs/>
          <w:color w:val="000000" w:themeColor="text1"/>
          <w:sz w:val="24"/>
          <w:szCs w:val="24"/>
        </w:rPr>
        <w:t xml:space="preserve">UNA PROGRAMMAZIONE STRATEGICA </w:t>
      </w:r>
      <w:r w:rsidR="005D1A29">
        <w:rPr>
          <w:b/>
          <w:bCs/>
          <w:color w:val="000000" w:themeColor="text1"/>
          <w:sz w:val="24"/>
          <w:szCs w:val="24"/>
        </w:rPr>
        <w:t>PER</w:t>
      </w:r>
      <w:r w:rsidR="00B339C4">
        <w:rPr>
          <w:b/>
          <w:bCs/>
          <w:color w:val="000000" w:themeColor="text1"/>
          <w:sz w:val="24"/>
          <w:szCs w:val="24"/>
        </w:rPr>
        <w:t xml:space="preserve"> SOMMINISTRARE</w:t>
      </w:r>
      <w:r w:rsidR="00CD582C" w:rsidRPr="00CD582C">
        <w:rPr>
          <w:b/>
          <w:bCs/>
          <w:color w:val="000000" w:themeColor="text1"/>
          <w:sz w:val="24"/>
          <w:szCs w:val="24"/>
        </w:rPr>
        <w:t xml:space="preserve"> </w:t>
      </w:r>
      <w:r w:rsidR="0029423D">
        <w:rPr>
          <w:b/>
          <w:bCs/>
          <w:color w:val="000000" w:themeColor="text1"/>
          <w:sz w:val="24"/>
          <w:szCs w:val="24"/>
        </w:rPr>
        <w:t xml:space="preserve">LA TERZA DOSE </w:t>
      </w:r>
      <w:r w:rsidR="00CD582C" w:rsidRPr="00CD582C">
        <w:rPr>
          <w:b/>
          <w:bCs/>
          <w:color w:val="000000" w:themeColor="text1"/>
          <w:sz w:val="24"/>
          <w:szCs w:val="24"/>
        </w:rPr>
        <w:t>ALLA POPOLAZIONE GENERALE</w:t>
      </w:r>
      <w:r w:rsidR="005D1A29">
        <w:rPr>
          <w:b/>
          <w:bCs/>
          <w:color w:val="000000" w:themeColor="text1"/>
          <w:sz w:val="24"/>
          <w:szCs w:val="24"/>
        </w:rPr>
        <w:t>, ANCHE</w:t>
      </w:r>
      <w:r w:rsidR="00B339C4">
        <w:rPr>
          <w:b/>
          <w:bCs/>
          <w:color w:val="000000" w:themeColor="text1"/>
          <w:sz w:val="24"/>
          <w:szCs w:val="24"/>
        </w:rPr>
        <w:t xml:space="preserve"> </w:t>
      </w:r>
      <w:r w:rsidR="006026F8">
        <w:rPr>
          <w:b/>
          <w:bCs/>
          <w:color w:val="000000" w:themeColor="text1"/>
          <w:sz w:val="24"/>
          <w:szCs w:val="24"/>
        </w:rPr>
        <w:t xml:space="preserve">PER EVITARE </w:t>
      </w:r>
      <w:r w:rsidR="005D1A29">
        <w:rPr>
          <w:b/>
          <w:bCs/>
          <w:color w:val="000000" w:themeColor="text1"/>
          <w:sz w:val="24"/>
          <w:szCs w:val="24"/>
        </w:rPr>
        <w:t xml:space="preserve">IMPROPRIE </w:t>
      </w:r>
      <w:r w:rsidR="00B339C4">
        <w:rPr>
          <w:b/>
          <w:bCs/>
          <w:color w:val="000000" w:themeColor="text1"/>
          <w:sz w:val="24"/>
          <w:szCs w:val="24"/>
        </w:rPr>
        <w:t>FUGHE IN AVANTI DELLE REGIONI.</w:t>
      </w:r>
    </w:p>
    <w:p w:rsidR="007B682B" w:rsidRPr="00234B97" w:rsidRDefault="005C1E56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 ottobre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F92CFC" w:rsidRPr="00F92CFC" w:rsidRDefault="00F92CFC" w:rsidP="007A602C">
      <w:pPr>
        <w:spacing w:after="120" w:line="276" w:lineRule="auto"/>
        <w:jc w:val="both"/>
        <w:rPr>
          <w:color w:val="auto"/>
        </w:rPr>
      </w:pPr>
      <w:r w:rsidRPr="00F92CFC">
        <w:rPr>
          <w:color w:val="auto"/>
        </w:rPr>
        <w:t>Il monitoraggio indipendente della Fondazione GIMBE rileva nella settimana 2</w:t>
      </w:r>
      <w:r>
        <w:rPr>
          <w:color w:val="auto"/>
        </w:rPr>
        <w:t>9</w:t>
      </w:r>
      <w:r w:rsidRPr="00F92CFC">
        <w:rPr>
          <w:color w:val="auto"/>
        </w:rPr>
        <w:t xml:space="preserve"> settembre-5 ottobre 2021, rispetto alla precedente, una diminuzione di nuovi casi (21.060 vs 23.159) (</w:t>
      </w:r>
      <w:r w:rsidRPr="00F92CFC">
        <w:rPr>
          <w:color w:val="auto"/>
          <w:highlight w:val="yellow"/>
        </w:rPr>
        <w:t>figura 1</w:t>
      </w:r>
      <w:r w:rsidRPr="00F92CFC">
        <w:rPr>
          <w:color w:val="auto"/>
        </w:rPr>
        <w:t>) e decessi (311 vs 386) (</w:t>
      </w:r>
      <w:r w:rsidRPr="00F92CFC">
        <w:rPr>
          <w:color w:val="auto"/>
          <w:highlight w:val="yellow"/>
        </w:rPr>
        <w:t>figura 2</w:t>
      </w:r>
      <w:r w:rsidRPr="00F92CFC">
        <w:rPr>
          <w:color w:val="auto"/>
        </w:rPr>
        <w:t>). In calo anche i casi attualmente positivi (90.299 vs 98.872), le persone in isolamento domiciliare (86.898 vs 94.995), i ricoveri con sintomi (2.968 vs 3.418) e le terapie intensive (433 vs 459) (</w:t>
      </w:r>
      <w:r w:rsidRPr="00F92CFC">
        <w:rPr>
          <w:color w:val="auto"/>
          <w:highlight w:val="yellow"/>
        </w:rPr>
        <w:t>figura 3</w:t>
      </w:r>
      <w:r w:rsidRPr="00F92CFC">
        <w:rPr>
          <w:color w:val="auto"/>
        </w:rPr>
        <w:t>). In dettaglio, rispetto alla settimana precedente, si registrano le seguenti variazioni:</w:t>
      </w:r>
    </w:p>
    <w:p w:rsidR="00F92CFC" w:rsidRDefault="001A7CDE" w:rsidP="00F92CF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>
        <w:rPr>
          <w:color w:val="auto"/>
        </w:rPr>
        <w:t>Decessi: 311 (</w:t>
      </w:r>
      <w:r w:rsidR="00F92CFC" w:rsidRPr="00F92CFC">
        <w:rPr>
          <w:color w:val="auto"/>
        </w:rPr>
        <w:t>-19,4%), di cui 22 riferiti a periodi precedenti</w:t>
      </w:r>
    </w:p>
    <w:p w:rsidR="00F92CFC" w:rsidRPr="00F92CFC" w:rsidRDefault="00F92CFC" w:rsidP="00F92CF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92CFC">
        <w:rPr>
          <w:color w:val="auto"/>
        </w:rPr>
        <w:t>Terapia intensiva: -26 (-5,7%)</w:t>
      </w:r>
    </w:p>
    <w:p w:rsidR="00F92CFC" w:rsidRPr="00F92CFC" w:rsidRDefault="00F92CFC" w:rsidP="00F92CF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92CFC">
        <w:rPr>
          <w:color w:val="auto"/>
        </w:rPr>
        <w:t>Ricoverati con sintomi: -450 (-13,2%)</w:t>
      </w:r>
    </w:p>
    <w:p w:rsidR="00F92CFC" w:rsidRPr="00F92CFC" w:rsidRDefault="00F92CFC" w:rsidP="00F92CF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92CFC">
        <w:rPr>
          <w:color w:val="auto"/>
        </w:rPr>
        <w:t>Isolamento domiciliare: -8.097 (-8,5%)</w:t>
      </w:r>
    </w:p>
    <w:p w:rsidR="00F92CFC" w:rsidRPr="00F92CFC" w:rsidRDefault="00F92CFC" w:rsidP="00F92CF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92CFC">
        <w:rPr>
          <w:color w:val="auto"/>
        </w:rPr>
        <w:t>Nuovi casi: 21.060 (-9,1%)</w:t>
      </w:r>
    </w:p>
    <w:p w:rsidR="00F92CFC" w:rsidRPr="00F92CFC" w:rsidRDefault="00F92CFC" w:rsidP="00F92CFC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F92CFC">
        <w:rPr>
          <w:color w:val="auto"/>
        </w:rPr>
        <w:t>Casi attualmente positivi: -8.573 (-8,7%)</w:t>
      </w:r>
    </w:p>
    <w:p w:rsidR="00F92CFC" w:rsidRPr="00C60722" w:rsidRDefault="00797AB7" w:rsidP="00C60722">
      <w:pPr>
        <w:spacing w:line="276" w:lineRule="auto"/>
        <w:jc w:val="both"/>
        <w:rPr>
          <w:color w:val="auto"/>
        </w:rPr>
      </w:pPr>
      <w:r w:rsidRPr="00F92CFC">
        <w:rPr>
          <w:color w:val="auto"/>
        </w:rPr>
        <w:t>«</w:t>
      </w:r>
      <w:r w:rsidR="0026464D" w:rsidRPr="00F92CFC">
        <w:rPr>
          <w:color w:val="auto"/>
        </w:rPr>
        <w:t xml:space="preserve">Ormai da </w:t>
      </w:r>
      <w:r w:rsidR="00F92CFC" w:rsidRPr="00F92CFC">
        <w:rPr>
          <w:color w:val="auto"/>
        </w:rPr>
        <w:t>5</w:t>
      </w:r>
      <w:r w:rsidR="0026464D" w:rsidRPr="00F92CFC">
        <w:rPr>
          <w:color w:val="auto"/>
        </w:rPr>
        <w:t xml:space="preserve"> settimane consecutive </w:t>
      </w:r>
      <w:r w:rsidRPr="00F92CFC">
        <w:rPr>
          <w:color w:val="auto"/>
        </w:rPr>
        <w:t>– dichiara Nino Cartabellotta, Presidente della Fondazione GIMBE –</w:t>
      </w:r>
      <w:r w:rsidR="0026464D" w:rsidRPr="00F92CFC">
        <w:rPr>
          <w:color w:val="auto"/>
        </w:rPr>
        <w:t xml:space="preserve"> </w:t>
      </w:r>
      <w:r w:rsidR="00480E53">
        <w:rPr>
          <w:color w:val="auto"/>
        </w:rPr>
        <w:t>il dato nazionale mostra una discesa de</w:t>
      </w:r>
      <w:r w:rsidR="0026464D" w:rsidRPr="00F92CFC">
        <w:rPr>
          <w:color w:val="auto"/>
        </w:rPr>
        <w:t>i nuovi casi settimanali</w:t>
      </w:r>
      <w:r w:rsidR="00480E53">
        <w:rPr>
          <w:color w:val="auto"/>
        </w:rPr>
        <w:t xml:space="preserve">, anche se nell’ultima settimana, rispetto alla precedente, </w:t>
      </w:r>
      <w:r w:rsidR="00480E53" w:rsidRPr="00F92CFC">
        <w:rPr>
          <w:color w:val="auto"/>
        </w:rPr>
        <w:t xml:space="preserve">5 Regioni registrano un incremento percentuale dei </w:t>
      </w:r>
      <w:r w:rsidR="009A34E5">
        <w:rPr>
          <w:color w:val="auto"/>
        </w:rPr>
        <w:t>contagi</w:t>
      </w:r>
      <w:r w:rsidRPr="00F92CFC">
        <w:rPr>
          <w:color w:val="auto"/>
        </w:rPr>
        <w:t>».</w:t>
      </w:r>
      <w:r w:rsidR="00480E53">
        <w:rPr>
          <w:color w:val="auto"/>
        </w:rPr>
        <w:t xml:space="preserve"> </w:t>
      </w:r>
      <w:r w:rsidR="00CF72E9">
        <w:rPr>
          <w:color w:val="auto"/>
        </w:rPr>
        <w:t>Gli aumenti, che riguardano</w:t>
      </w:r>
      <w:r w:rsidR="00480E53">
        <w:rPr>
          <w:color w:val="auto"/>
        </w:rPr>
        <w:t xml:space="preserve"> </w:t>
      </w:r>
      <w:r w:rsidR="00F92CFC" w:rsidRPr="00F92CFC">
        <w:rPr>
          <w:color w:val="auto"/>
        </w:rPr>
        <w:t>Basilicata</w:t>
      </w:r>
      <w:r w:rsidR="00F92CFC">
        <w:rPr>
          <w:color w:val="auto"/>
        </w:rPr>
        <w:t xml:space="preserve"> (+</w:t>
      </w:r>
      <w:r w:rsidR="00F92CFC" w:rsidRPr="00F92CFC">
        <w:rPr>
          <w:color w:val="auto"/>
        </w:rPr>
        <w:t>73,6%</w:t>
      </w:r>
      <w:r w:rsidR="00F92CFC">
        <w:rPr>
          <w:color w:val="auto"/>
        </w:rPr>
        <w:t>), Prov. Aut. Bolzano (+</w:t>
      </w:r>
      <w:r w:rsidR="00F92CFC" w:rsidRPr="00F92CFC">
        <w:rPr>
          <w:color w:val="auto"/>
        </w:rPr>
        <w:t>8,7%</w:t>
      </w:r>
      <w:r w:rsidR="00F92CFC">
        <w:rPr>
          <w:color w:val="auto"/>
        </w:rPr>
        <w:t>), Prov. Aut. Trento (+</w:t>
      </w:r>
      <w:r w:rsidR="00F92CFC" w:rsidRPr="00F92CFC">
        <w:rPr>
          <w:color w:val="auto"/>
        </w:rPr>
        <w:t>20,9%</w:t>
      </w:r>
      <w:r w:rsidR="00F92CFC">
        <w:rPr>
          <w:color w:val="auto"/>
        </w:rPr>
        <w:t xml:space="preserve">), </w:t>
      </w:r>
      <w:r w:rsidR="00F92CFC" w:rsidRPr="00F92CFC">
        <w:rPr>
          <w:color w:val="auto"/>
        </w:rPr>
        <w:t>Sardegna</w:t>
      </w:r>
      <w:r w:rsidR="00F92CFC">
        <w:rPr>
          <w:color w:val="auto"/>
        </w:rPr>
        <w:t xml:space="preserve"> (+5</w:t>
      </w:r>
      <w:r w:rsidR="00F92CFC" w:rsidRPr="00F92CFC">
        <w:rPr>
          <w:color w:val="auto"/>
        </w:rPr>
        <w:t>%</w:t>
      </w:r>
      <w:r w:rsidR="00F92CFC">
        <w:rPr>
          <w:color w:val="auto"/>
        </w:rPr>
        <w:t>), Valle D'Aosta (+</w:t>
      </w:r>
      <w:r w:rsidR="00F92CFC" w:rsidRPr="00F92CFC">
        <w:rPr>
          <w:color w:val="auto"/>
        </w:rPr>
        <w:t>64,5%</w:t>
      </w:r>
      <w:r w:rsidR="00F92CFC">
        <w:rPr>
          <w:color w:val="auto"/>
        </w:rPr>
        <w:t>)</w:t>
      </w:r>
      <w:r w:rsidR="00480E53">
        <w:rPr>
          <w:color w:val="auto"/>
        </w:rPr>
        <w:t xml:space="preserve"> </w:t>
      </w:r>
      <w:r w:rsidR="00F92CFC" w:rsidRPr="00F92CFC">
        <w:rPr>
          <w:color w:val="auto"/>
        </w:rPr>
        <w:t>(</w:t>
      </w:r>
      <w:r w:rsidR="00F92CFC" w:rsidRPr="00F92CFC">
        <w:rPr>
          <w:color w:val="auto"/>
          <w:highlight w:val="yellow"/>
        </w:rPr>
        <w:t>tabella 1</w:t>
      </w:r>
      <w:r w:rsidR="00CF72E9" w:rsidRPr="00F92CFC">
        <w:rPr>
          <w:color w:val="auto"/>
        </w:rPr>
        <w:t>)</w:t>
      </w:r>
      <w:r w:rsidR="00CF72E9">
        <w:rPr>
          <w:color w:val="auto"/>
        </w:rPr>
        <w:t xml:space="preserve">, rimangono tuttavia contenuti </w:t>
      </w:r>
      <w:r w:rsidR="00104974">
        <w:rPr>
          <w:color w:val="auto"/>
        </w:rPr>
        <w:t xml:space="preserve">in </w:t>
      </w:r>
      <w:r w:rsidR="00CF72E9">
        <w:rPr>
          <w:color w:val="auto"/>
        </w:rPr>
        <w:t>termini</w:t>
      </w:r>
      <w:r w:rsidR="00FF2742">
        <w:rPr>
          <w:color w:val="auto"/>
        </w:rPr>
        <w:t xml:space="preserve"> assoluti</w:t>
      </w:r>
      <w:r w:rsidR="00CF72E9">
        <w:rPr>
          <w:color w:val="auto"/>
        </w:rPr>
        <w:t>.</w:t>
      </w:r>
      <w:r w:rsidR="00F92CFC" w:rsidRPr="00F92CFC">
        <w:rPr>
          <w:color w:val="auto"/>
        </w:rPr>
        <w:t xml:space="preserve"> </w:t>
      </w:r>
      <w:r w:rsidR="00F92CFC" w:rsidRPr="00C60722">
        <w:rPr>
          <w:color w:val="auto"/>
        </w:rPr>
        <w:t>Scendono a 17 le Province con incidenza pari o superiore a 50 casi per 100.000 abitanti</w:t>
      </w:r>
      <w:r w:rsidR="006236A4" w:rsidRPr="00C60722">
        <w:rPr>
          <w:color w:val="auto"/>
        </w:rPr>
        <w:t xml:space="preserve"> e nessuna </w:t>
      </w:r>
      <w:r w:rsidR="0026464D" w:rsidRPr="00C60722">
        <w:rPr>
          <w:color w:val="auto"/>
        </w:rPr>
        <w:t>conta</w:t>
      </w:r>
      <w:r w:rsidR="006236A4" w:rsidRPr="00C60722">
        <w:rPr>
          <w:color w:val="auto"/>
        </w:rPr>
        <w:t xml:space="preserve"> oltre 150 casi per 100.000 abitanti. </w:t>
      </w:r>
      <w:r w:rsidR="00F92CFC" w:rsidRPr="00C60722">
        <w:rPr>
          <w:color w:val="auto"/>
        </w:rPr>
        <w:t>In</w:t>
      </w:r>
      <w:r w:rsidR="00903DE5" w:rsidRPr="00C60722">
        <w:rPr>
          <w:color w:val="auto"/>
        </w:rPr>
        <w:t xml:space="preserve"> calo </w:t>
      </w:r>
      <w:r w:rsidR="00480E53">
        <w:rPr>
          <w:color w:val="auto"/>
        </w:rPr>
        <w:t xml:space="preserve">anche </w:t>
      </w:r>
      <w:r w:rsidR="006236A4" w:rsidRPr="00C60722">
        <w:rPr>
          <w:color w:val="auto"/>
        </w:rPr>
        <w:t>i decessi</w:t>
      </w:r>
      <w:r w:rsidR="00F92CFC" w:rsidRPr="00C60722">
        <w:rPr>
          <w:color w:val="auto"/>
        </w:rPr>
        <w:t>: 311 negli ultimi 7 giorni (di cui 22 riferiti a periodi precedenti), con una media di 44 al giorno rispetto ai 55 della settimana precedente.</w:t>
      </w:r>
    </w:p>
    <w:p w:rsidR="003C1BE8" w:rsidRPr="00993DFA" w:rsidRDefault="003C1BE8" w:rsidP="006236A4">
      <w:pPr>
        <w:spacing w:line="276" w:lineRule="auto"/>
        <w:jc w:val="both"/>
        <w:rPr>
          <w:color w:val="auto"/>
        </w:rPr>
      </w:pPr>
      <w:r w:rsidRPr="003C1BE8">
        <w:rPr>
          <w:color w:val="auto"/>
        </w:rPr>
        <w:t xml:space="preserve">«Sul fronte ospedaliero – afferma Renata Gili, responsabile Ricerca sui Servizi Sanitari della Fondazione GIMBE – </w:t>
      </w:r>
      <w:r w:rsidRPr="003C1BE8">
        <w:rPr>
          <w:rFonts w:eastAsia="Times New Roman" w:cs="Calibri"/>
          <w:color w:val="auto"/>
          <w:bdr w:val="none" w:sz="0" w:space="0" w:color="auto"/>
        </w:rPr>
        <w:t xml:space="preserve">si </w:t>
      </w:r>
      <w:r w:rsidR="00651334">
        <w:rPr>
          <w:rFonts w:eastAsia="Times New Roman" w:cs="Calibri"/>
          <w:color w:val="auto"/>
          <w:bdr w:val="none" w:sz="0" w:space="0" w:color="auto"/>
        </w:rPr>
        <w:t>registra un ulteriore</w:t>
      </w:r>
      <w:r w:rsidRPr="003C1BE8">
        <w:rPr>
          <w:rFonts w:eastAsia="Times New Roman" w:cs="Calibri"/>
          <w:color w:val="auto"/>
          <w:bdr w:val="none" w:sz="0" w:space="0" w:color="auto"/>
        </w:rPr>
        <w:t xml:space="preserve"> calo dei posti letto occupati da pazienti COVID-19</w:t>
      </w:r>
      <w:r w:rsidRPr="003C1BE8">
        <w:rPr>
          <w:color w:val="auto"/>
        </w:rPr>
        <w:t xml:space="preserve">: rispetto alla settimana precedente </w:t>
      </w:r>
      <w:r w:rsidRPr="003C1BE8">
        <w:rPr>
          <w:rFonts w:eastAsia="Times New Roman" w:cs="Calibri"/>
          <w:color w:val="auto"/>
          <w:bdr w:val="none" w:sz="0" w:space="0" w:color="auto"/>
        </w:rPr>
        <w:t xml:space="preserve">scendono del </w:t>
      </w:r>
      <w:r w:rsidRPr="003C1BE8">
        <w:rPr>
          <w:color w:val="auto"/>
        </w:rPr>
        <w:t>13,2% in area medica e del 5,7% in terapia intensiva».</w:t>
      </w:r>
      <w:r>
        <w:rPr>
          <w:color w:val="auto"/>
        </w:rPr>
        <w:t xml:space="preserve"> </w:t>
      </w:r>
      <w:r w:rsidRPr="003C1BE8">
        <w:rPr>
          <w:color w:val="auto"/>
        </w:rPr>
        <w:t xml:space="preserve">A livello nazionale il tasso </w:t>
      </w:r>
      <w:r w:rsidRPr="003C1BE8">
        <w:rPr>
          <w:color w:val="auto"/>
        </w:rPr>
        <w:lastRenderedPageBreak/>
        <w:t xml:space="preserve">di occupazione rimane basso (5% in area medica e 5% in area critica) e nessuna Regione supera </w:t>
      </w:r>
      <w:r w:rsidR="009B13A0" w:rsidRPr="003C1BE8">
        <w:rPr>
          <w:color w:val="auto"/>
        </w:rPr>
        <w:t>l</w:t>
      </w:r>
      <w:r w:rsidR="009B13A0">
        <w:rPr>
          <w:color w:val="auto"/>
        </w:rPr>
        <w:t>e</w:t>
      </w:r>
      <w:r w:rsidR="009B13A0" w:rsidRPr="003C1BE8">
        <w:rPr>
          <w:color w:val="auto"/>
        </w:rPr>
        <w:t xml:space="preserve"> sogli</w:t>
      </w:r>
      <w:r w:rsidR="009B13A0">
        <w:rPr>
          <w:color w:val="auto"/>
        </w:rPr>
        <w:t>e</w:t>
      </w:r>
      <w:r w:rsidR="009B13A0" w:rsidRPr="003C1BE8">
        <w:rPr>
          <w:color w:val="auto"/>
        </w:rPr>
        <w:t xml:space="preserve"> </w:t>
      </w:r>
      <w:r w:rsidRPr="003C1BE8">
        <w:rPr>
          <w:color w:val="auto"/>
        </w:rPr>
        <w:t>del 15% per l’area medica e del 10% per l’area critica (</w:t>
      </w:r>
      <w:r w:rsidRPr="003C1BE8">
        <w:rPr>
          <w:color w:val="auto"/>
          <w:highlight w:val="yellow"/>
        </w:rPr>
        <w:t>figura 4</w:t>
      </w:r>
      <w:r w:rsidRPr="003C1BE8">
        <w:rPr>
          <w:color w:val="auto"/>
        </w:rPr>
        <w:t>). «</w:t>
      </w:r>
      <w:r w:rsidRPr="003C1BE8">
        <w:rPr>
          <w:rFonts w:eastAsia="Times New Roman" w:cs="Calibri"/>
          <w:color w:val="auto"/>
          <w:bdr w:val="none" w:sz="0" w:space="0" w:color="auto"/>
        </w:rPr>
        <w:t xml:space="preserve">Continuano a </w:t>
      </w:r>
      <w:r w:rsidR="00480E53">
        <w:rPr>
          <w:rFonts w:eastAsia="Times New Roman" w:cs="Calibri"/>
          <w:color w:val="auto"/>
          <w:bdr w:val="none" w:sz="0" w:space="0" w:color="auto"/>
        </w:rPr>
        <w:t>scendere</w:t>
      </w:r>
      <w:r w:rsidRPr="003C1BE8">
        <w:rPr>
          <w:rFonts w:eastAsia="Times New Roman" w:cs="Calibri"/>
          <w:color w:val="auto"/>
          <w:bdr w:val="none" w:sz="0" w:space="0" w:color="auto"/>
        </w:rPr>
        <w:t xml:space="preserve"> anche gli ingressi giornalieri in terapia intensiva</w:t>
      </w:r>
      <w:r w:rsidRPr="003C1BE8">
        <w:rPr>
          <w:color w:val="auto"/>
        </w:rPr>
        <w:t xml:space="preserve"> – spiega Marco Mosti, Direttore Operativo della Fondazione GIMBE – con </w:t>
      </w:r>
      <w:r w:rsidRPr="00993DFA">
        <w:rPr>
          <w:color w:val="auto"/>
        </w:rPr>
        <w:t>una media mobile a 7 giorni di 22 ingressi/die rispetto ai 29 della settimana precedente».</w:t>
      </w:r>
    </w:p>
    <w:p w:rsidR="00D325D0" w:rsidRPr="00993DFA" w:rsidRDefault="00D325D0" w:rsidP="00A5775A">
      <w:pPr>
        <w:spacing w:line="276" w:lineRule="auto"/>
        <w:jc w:val="both"/>
        <w:rPr>
          <w:color w:val="auto"/>
        </w:rPr>
      </w:pPr>
      <w:r w:rsidRPr="00993DFA">
        <w:rPr>
          <w:b/>
          <w:bCs/>
          <w:color w:val="auto"/>
        </w:rPr>
        <w:t>Vaccini: forniture</w:t>
      </w:r>
      <w:r w:rsidRPr="00993DFA">
        <w:rPr>
          <w:color w:val="auto"/>
        </w:rPr>
        <w:t xml:space="preserve">. </w:t>
      </w:r>
      <w:r w:rsidR="00993DFA" w:rsidRPr="00993DFA">
        <w:rPr>
          <w:color w:val="auto"/>
        </w:rPr>
        <w:t>Al 6 ottobre (aggiornamento ore 6.13) risultano consegnate 98.883.319 dosi</w:t>
      </w:r>
      <w:r w:rsidR="00A5775A" w:rsidRPr="00993DFA">
        <w:rPr>
          <w:color w:val="auto"/>
        </w:rPr>
        <w:t xml:space="preserve">: </w:t>
      </w:r>
      <w:r w:rsidR="00651334">
        <w:rPr>
          <w:color w:val="auto"/>
        </w:rPr>
        <w:t xml:space="preserve">con la consegna di </w:t>
      </w:r>
      <w:r w:rsidR="00651334" w:rsidRPr="00993DFA">
        <w:rPr>
          <w:color w:val="auto"/>
        </w:rPr>
        <w:t xml:space="preserve">3,97 milioni di dosi </w:t>
      </w:r>
      <w:r w:rsidR="00F14A72" w:rsidRPr="00993DFA">
        <w:rPr>
          <w:color w:val="auto"/>
        </w:rPr>
        <w:t xml:space="preserve">nell’ultima </w:t>
      </w:r>
      <w:r w:rsidR="009216B6" w:rsidRPr="00993DFA">
        <w:rPr>
          <w:color w:val="auto"/>
        </w:rPr>
        <w:t>settimana</w:t>
      </w:r>
      <w:r w:rsidR="00BD0D3E" w:rsidRPr="00993DFA">
        <w:rPr>
          <w:color w:val="auto"/>
        </w:rPr>
        <w:t xml:space="preserve"> </w:t>
      </w:r>
      <w:r w:rsidR="009216B6" w:rsidRPr="00993DFA">
        <w:rPr>
          <w:color w:val="auto"/>
        </w:rPr>
        <w:t>(</w:t>
      </w:r>
      <w:r w:rsidR="009216B6" w:rsidRPr="00993DFA">
        <w:rPr>
          <w:color w:val="auto"/>
          <w:highlight w:val="yellow"/>
        </w:rPr>
        <w:t xml:space="preserve">figura </w:t>
      </w:r>
      <w:r w:rsidR="00542585" w:rsidRPr="00993DFA">
        <w:rPr>
          <w:color w:val="auto"/>
          <w:highlight w:val="yellow"/>
        </w:rPr>
        <w:t>5</w:t>
      </w:r>
      <w:r w:rsidR="009216B6" w:rsidRPr="00993DFA">
        <w:rPr>
          <w:color w:val="auto"/>
        </w:rPr>
        <w:t>)</w:t>
      </w:r>
      <w:r w:rsidR="00741B18" w:rsidRPr="00993DFA">
        <w:rPr>
          <w:color w:val="auto"/>
        </w:rPr>
        <w:t xml:space="preserve"> </w:t>
      </w:r>
      <w:r w:rsidR="00AA1561" w:rsidRPr="00993DFA">
        <w:rPr>
          <w:color w:val="auto"/>
        </w:rPr>
        <w:t xml:space="preserve">salgono </w:t>
      </w:r>
      <w:r w:rsidR="00480E53">
        <w:rPr>
          <w:color w:val="auto"/>
        </w:rPr>
        <w:t xml:space="preserve">ancora </w:t>
      </w:r>
      <w:r w:rsidR="00315CB0" w:rsidRPr="00993DFA">
        <w:rPr>
          <w:color w:val="auto"/>
        </w:rPr>
        <w:t>le scorte di vaccini a mRNA</w:t>
      </w:r>
      <w:r w:rsidR="001F4A7E">
        <w:rPr>
          <w:color w:val="auto"/>
        </w:rPr>
        <w:t>,</w:t>
      </w:r>
      <w:r w:rsidR="00AA1561" w:rsidRPr="00993DFA">
        <w:rPr>
          <w:color w:val="auto"/>
        </w:rPr>
        <w:t xml:space="preserve"> </w:t>
      </w:r>
      <w:r w:rsidR="009B13A0">
        <w:rPr>
          <w:color w:val="auto"/>
        </w:rPr>
        <w:t xml:space="preserve">che raggiungono </w:t>
      </w:r>
      <w:r w:rsidR="00FE2F96" w:rsidRPr="00993DFA">
        <w:rPr>
          <w:color w:val="auto"/>
        </w:rPr>
        <w:t xml:space="preserve">quota </w:t>
      </w:r>
      <w:r w:rsidR="00993DFA" w:rsidRPr="00993DFA">
        <w:rPr>
          <w:color w:val="auto"/>
        </w:rPr>
        <w:t>13</w:t>
      </w:r>
      <w:r w:rsidR="006236A4" w:rsidRPr="00993DFA">
        <w:rPr>
          <w:color w:val="auto"/>
        </w:rPr>
        <w:t>,</w:t>
      </w:r>
      <w:r w:rsidR="00993DFA" w:rsidRPr="00993DFA">
        <w:rPr>
          <w:color w:val="auto"/>
        </w:rPr>
        <w:t>4</w:t>
      </w:r>
      <w:r w:rsidR="009332D3" w:rsidRPr="00993DFA">
        <w:rPr>
          <w:color w:val="auto"/>
        </w:rPr>
        <w:t xml:space="preserve"> milioni</w:t>
      </w:r>
      <w:r w:rsidRPr="00993DFA">
        <w:rPr>
          <w:color w:val="auto"/>
        </w:rPr>
        <w:t>.</w:t>
      </w:r>
    </w:p>
    <w:p w:rsidR="00595E53" w:rsidRPr="005A138A" w:rsidRDefault="00993DFA" w:rsidP="00595E53">
      <w:pPr>
        <w:spacing w:line="276" w:lineRule="auto"/>
        <w:jc w:val="both"/>
        <w:rPr>
          <w:color w:val="FF0000"/>
        </w:rPr>
      </w:pPr>
      <w:r w:rsidRPr="00993DFA">
        <w:rPr>
          <w:b/>
          <w:color w:val="auto"/>
        </w:rPr>
        <w:t>Vaccini: somministrazioni.</w:t>
      </w:r>
      <w:r w:rsidRPr="00993DFA">
        <w:rPr>
          <w:color w:val="auto"/>
        </w:rPr>
        <w:t xml:space="preserve"> Al 6 ottobre (aggiornamento ore 6</w:t>
      </w:r>
      <w:r>
        <w:rPr>
          <w:color w:val="auto"/>
        </w:rPr>
        <w:t>.</w:t>
      </w:r>
      <w:r w:rsidRPr="00993DFA">
        <w:rPr>
          <w:color w:val="auto"/>
        </w:rPr>
        <w:t>13) il 76,8% della popolazione (n. 45.493.296) ha ricevuto almeno una dose di vaccino (+452.187 rispetto alla settimana precedente) e il 72,4% (n. 42.921.024) ha completato il ciclo vaccinale (+661.771</w:t>
      </w:r>
      <w:r w:rsidR="00C66C47">
        <w:rPr>
          <w:color w:val="auto"/>
        </w:rPr>
        <w:t xml:space="preserve"> </w:t>
      </w:r>
      <w:r w:rsidR="00C66C47" w:rsidRPr="00993DFA">
        <w:rPr>
          <w:color w:val="auto"/>
        </w:rPr>
        <w:t>rispetto alla settimana precedente</w:t>
      </w:r>
      <w:r w:rsidRPr="00993DFA">
        <w:rPr>
          <w:color w:val="auto"/>
        </w:rPr>
        <w:t>) (</w:t>
      </w:r>
      <w:r w:rsidRPr="00993DFA">
        <w:rPr>
          <w:color w:val="auto"/>
          <w:highlight w:val="yellow"/>
        </w:rPr>
        <w:t>figura 6</w:t>
      </w:r>
      <w:r w:rsidRPr="00993DFA">
        <w:rPr>
          <w:color w:val="auto"/>
        </w:rPr>
        <w:t xml:space="preserve">). </w:t>
      </w:r>
      <w:r w:rsidR="00480E53">
        <w:rPr>
          <w:color w:val="auto"/>
        </w:rPr>
        <w:t>N</w:t>
      </w:r>
      <w:r w:rsidRPr="00993DFA">
        <w:rPr>
          <w:color w:val="auto"/>
        </w:rPr>
        <w:t xml:space="preserve">ell’ultima settimana </w:t>
      </w:r>
      <w:r w:rsidR="00480E53">
        <w:rPr>
          <w:color w:val="auto"/>
        </w:rPr>
        <w:t xml:space="preserve">scende ancora </w:t>
      </w:r>
      <w:r w:rsidRPr="00993DFA">
        <w:rPr>
          <w:color w:val="auto"/>
        </w:rPr>
        <w:t>il numero di somministrazioni (n. 1.209.952) (</w:t>
      </w:r>
      <w:r w:rsidRPr="00993DFA">
        <w:rPr>
          <w:color w:val="auto"/>
          <w:highlight w:val="yellow"/>
        </w:rPr>
        <w:t>figura 7</w:t>
      </w:r>
      <w:r w:rsidRPr="00993DFA">
        <w:rPr>
          <w:color w:val="auto"/>
        </w:rPr>
        <w:t xml:space="preserve">), con una media mobile a 7 giorni di </w:t>
      </w:r>
      <w:r w:rsidR="00480E53">
        <w:rPr>
          <w:color w:val="auto"/>
        </w:rPr>
        <w:t xml:space="preserve">quasi 160mila </w:t>
      </w:r>
      <w:r w:rsidRPr="00DD1090">
        <w:rPr>
          <w:color w:val="auto"/>
        </w:rPr>
        <w:t>somministrazioni/die.</w:t>
      </w:r>
      <w:r w:rsidR="00DD1090" w:rsidRPr="00DD1090">
        <w:rPr>
          <w:color w:val="auto"/>
        </w:rPr>
        <w:t xml:space="preserve"> Il numero di nuovi vaccinati settimanali, dopo </w:t>
      </w:r>
      <w:r w:rsidR="00480E53">
        <w:rPr>
          <w:color w:val="auto"/>
        </w:rPr>
        <w:t xml:space="preserve">la risalita a </w:t>
      </w:r>
      <w:r w:rsidR="00480E53" w:rsidRPr="00DD1090">
        <w:rPr>
          <w:color w:val="auto"/>
        </w:rPr>
        <w:t xml:space="preserve">589mila </w:t>
      </w:r>
      <w:r w:rsidR="007355A6">
        <w:rPr>
          <w:color w:val="auto"/>
        </w:rPr>
        <w:t>del</w:t>
      </w:r>
      <w:r w:rsidR="00480E53" w:rsidRPr="00DD1090">
        <w:rPr>
          <w:color w:val="auto"/>
        </w:rPr>
        <w:t xml:space="preserve">la settimana </w:t>
      </w:r>
      <w:r w:rsidR="00480E53">
        <w:rPr>
          <w:color w:val="auto"/>
        </w:rPr>
        <w:t>precedente</w:t>
      </w:r>
      <w:r w:rsidR="00ED7456">
        <w:rPr>
          <w:color w:val="auto"/>
        </w:rPr>
        <w:t>,</w:t>
      </w:r>
      <w:r w:rsidR="00480E53">
        <w:rPr>
          <w:color w:val="auto"/>
        </w:rPr>
        <w:t xml:space="preserve"> è sceso </w:t>
      </w:r>
      <w:r w:rsidR="00DD1090" w:rsidRPr="00595E53">
        <w:rPr>
          <w:color w:val="auto"/>
        </w:rPr>
        <w:t>a quota 488mila (-17,1%) nell’ultima settimana (</w:t>
      </w:r>
      <w:r w:rsidR="00DD1090" w:rsidRPr="00595E53">
        <w:rPr>
          <w:color w:val="auto"/>
          <w:highlight w:val="yellow"/>
        </w:rPr>
        <w:t>figura 8</w:t>
      </w:r>
      <w:r w:rsidR="00595E53" w:rsidRPr="00595E53">
        <w:rPr>
          <w:color w:val="auto"/>
        </w:rPr>
        <w:t>), confermando</w:t>
      </w:r>
      <w:r w:rsidR="001B723C">
        <w:rPr>
          <w:color w:val="auto"/>
        </w:rPr>
        <w:t xml:space="preserve"> per ora</w:t>
      </w:r>
      <w:r w:rsidR="00E71FFF">
        <w:rPr>
          <w:color w:val="auto"/>
        </w:rPr>
        <w:t xml:space="preserve"> </w:t>
      </w:r>
      <w:r w:rsidR="00C269F1">
        <w:rPr>
          <w:color w:val="auto"/>
        </w:rPr>
        <w:t xml:space="preserve">i modesti effetti </w:t>
      </w:r>
      <w:r w:rsidR="00595E53" w:rsidRPr="00595E53">
        <w:rPr>
          <w:color w:val="auto"/>
        </w:rPr>
        <w:t xml:space="preserve">del green pass </w:t>
      </w:r>
      <w:r w:rsidR="00C269F1">
        <w:rPr>
          <w:color w:val="auto"/>
        </w:rPr>
        <w:t>su</w:t>
      </w:r>
      <w:r w:rsidR="00595E53" w:rsidRPr="00595E53">
        <w:rPr>
          <w:color w:val="auto"/>
        </w:rPr>
        <w:t>lla curva dei nuovi vaccinati</w:t>
      </w:r>
      <w:r w:rsidR="001B723C">
        <w:rPr>
          <w:color w:val="auto"/>
        </w:rPr>
        <w:t>, al netto dell</w:t>
      </w:r>
      <w:r w:rsidR="007355A6">
        <w:rPr>
          <w:color w:val="auto"/>
        </w:rPr>
        <w:t xml:space="preserve">’incognita </w:t>
      </w:r>
      <w:r w:rsidR="009A34E5">
        <w:rPr>
          <w:color w:val="auto"/>
        </w:rPr>
        <w:t>relativa al numero degli</w:t>
      </w:r>
      <w:r w:rsidR="007355A6">
        <w:rPr>
          <w:color w:val="auto"/>
        </w:rPr>
        <w:t xml:space="preserve"> </w:t>
      </w:r>
      <w:r w:rsidR="001B723C">
        <w:rPr>
          <w:color w:val="auto"/>
        </w:rPr>
        <w:t>esoneri</w:t>
      </w:r>
      <w:r w:rsidR="00C269F1">
        <w:rPr>
          <w:color w:val="auto"/>
        </w:rPr>
        <w:t>.</w:t>
      </w:r>
      <w:r w:rsidR="00595E53" w:rsidRPr="005A138A">
        <w:rPr>
          <w:color w:val="FF0000"/>
        </w:rPr>
        <w:t xml:space="preserve"> </w:t>
      </w:r>
    </w:p>
    <w:p w:rsidR="00775DC3" w:rsidRPr="00775DC3" w:rsidDel="004A3B4B" w:rsidRDefault="00DD1090" w:rsidP="00775DC3">
      <w:pPr>
        <w:spacing w:after="0" w:line="276" w:lineRule="auto"/>
        <w:jc w:val="both"/>
        <w:rPr>
          <w:color w:val="auto"/>
        </w:rPr>
      </w:pPr>
      <w:r w:rsidRPr="00DD1090">
        <w:rPr>
          <w:b/>
          <w:color w:val="auto"/>
          <w:u w:color="FF0000"/>
        </w:rPr>
        <w:t xml:space="preserve">Vaccini: </w:t>
      </w:r>
      <w:r w:rsidRPr="00775DC3">
        <w:rPr>
          <w:b/>
          <w:color w:val="auto"/>
          <w:u w:color="FF0000"/>
        </w:rPr>
        <w:t>copertur</w:t>
      </w:r>
      <w:r w:rsidR="004A3B4B" w:rsidRPr="00775DC3">
        <w:rPr>
          <w:b/>
          <w:color w:val="auto"/>
          <w:u w:color="FF0000"/>
        </w:rPr>
        <w:t>e</w:t>
      </w:r>
      <w:r w:rsidRPr="00775DC3">
        <w:rPr>
          <w:b/>
          <w:color w:val="auto"/>
          <w:u w:color="FF0000"/>
        </w:rPr>
        <w:t>.</w:t>
      </w:r>
      <w:r w:rsidRPr="00775DC3">
        <w:rPr>
          <w:color w:val="auto"/>
          <w:u w:color="FF0000"/>
        </w:rPr>
        <w:t xml:space="preserve"> </w:t>
      </w:r>
      <w:r w:rsidR="004A3B4B" w:rsidRPr="00775DC3">
        <w:rPr>
          <w:color w:val="auto"/>
        </w:rPr>
        <w:t>Le coperture vaccinali per fascia di età con almeno una dose di vaccino sono molto variabili: dal 96,7% degli over 80 al 70,4% della fascia 12-19 (</w:t>
      </w:r>
      <w:r w:rsidR="004A3B4B" w:rsidRPr="00775DC3">
        <w:rPr>
          <w:color w:val="auto"/>
          <w:highlight w:val="yellow"/>
        </w:rPr>
        <w:t xml:space="preserve">figura </w:t>
      </w:r>
      <w:r w:rsidR="00775DC3" w:rsidRPr="00775DC3">
        <w:rPr>
          <w:color w:val="auto"/>
          <w:highlight w:val="yellow"/>
        </w:rPr>
        <w:t>9</w:t>
      </w:r>
      <w:r w:rsidR="004A3B4B" w:rsidRPr="00775DC3">
        <w:rPr>
          <w:color w:val="auto"/>
        </w:rPr>
        <w:t xml:space="preserve">). In generale, rispetto alla settimana precedente, si registrano incrementi modesti: il numero di vaccinati con almeno una dose cresce dell’1,6% nella fascia 30-39, dell’1,5% nella fascia 20-29, dell’1,2% nella fascia 40-49, dell’1,1% nella fascia 12-19, dello 0,9% nella fascia 50-59, mentre negli over 60 l’incremento non raggiunge lo 0,5%. </w:t>
      </w:r>
      <w:r w:rsidRPr="00775DC3">
        <w:rPr>
          <w:color w:val="auto"/>
          <w:u w:color="FF0000"/>
        </w:rPr>
        <w:t>I</w:t>
      </w:r>
      <w:r w:rsidR="00775DC3">
        <w:rPr>
          <w:color w:val="auto"/>
          <w:u w:color="FF0000"/>
        </w:rPr>
        <w:t>n particolare</w:t>
      </w:r>
      <w:r w:rsidR="00C90B7F">
        <w:rPr>
          <w:color w:val="auto"/>
          <w:u w:color="FF0000"/>
        </w:rPr>
        <w:t>,</w:t>
      </w:r>
      <w:r w:rsidR="003E3C44">
        <w:rPr>
          <w:color w:val="auto"/>
          <w:u w:color="FF0000"/>
        </w:rPr>
        <w:t xml:space="preserve"> per le</w:t>
      </w:r>
      <w:r w:rsidR="00157CBE">
        <w:rPr>
          <w:color w:val="auto"/>
          <w:u w:color="FF0000"/>
        </w:rPr>
        <w:t xml:space="preserve"> categorie a maggiore rischio di </w:t>
      </w:r>
      <w:r w:rsidR="003E3C44">
        <w:rPr>
          <w:color w:val="auto"/>
          <w:u w:color="FF0000"/>
        </w:rPr>
        <w:t>malattia</w:t>
      </w:r>
      <w:r w:rsidR="00157CBE">
        <w:rPr>
          <w:color w:val="auto"/>
          <w:u w:color="FF0000"/>
        </w:rPr>
        <w:t xml:space="preserve"> severa</w:t>
      </w:r>
      <w:r w:rsidR="00C90B7F">
        <w:rPr>
          <w:color w:val="auto"/>
          <w:u w:color="FF0000"/>
        </w:rPr>
        <w:t>,</w:t>
      </w:r>
      <w:r w:rsidR="00157CBE">
        <w:rPr>
          <w:color w:val="auto"/>
          <w:u w:color="FF0000"/>
        </w:rPr>
        <w:t xml:space="preserve"> </w:t>
      </w:r>
      <w:r w:rsidR="00775DC3" w:rsidRPr="00775DC3">
        <w:rPr>
          <w:color w:val="auto"/>
        </w:rPr>
        <w:t xml:space="preserve">sono ancora 3,4 milioni (12,3%) gli </w:t>
      </w:r>
      <w:r w:rsidR="00775DC3" w:rsidRPr="00157CBE">
        <w:rPr>
          <w:color w:val="auto"/>
        </w:rPr>
        <w:t>over 50</w:t>
      </w:r>
      <w:r w:rsidR="00775DC3" w:rsidRPr="00775DC3">
        <w:rPr>
          <w:color w:val="auto"/>
        </w:rPr>
        <w:t xml:space="preserve"> che non hanno completato il ciclo vaccinale</w:t>
      </w:r>
      <w:r w:rsidR="00C90B7F">
        <w:rPr>
          <w:color w:val="auto"/>
        </w:rPr>
        <w:t xml:space="preserve"> </w:t>
      </w:r>
      <w:r w:rsidR="00775DC3" w:rsidRPr="00775DC3">
        <w:rPr>
          <w:color w:val="auto"/>
        </w:rPr>
        <w:t>(</w:t>
      </w:r>
      <w:r w:rsidR="00775DC3" w:rsidRPr="00775DC3">
        <w:rPr>
          <w:color w:val="auto"/>
          <w:highlight w:val="yellow"/>
        </w:rPr>
        <w:t xml:space="preserve">figura </w:t>
      </w:r>
      <w:r w:rsidR="00775DC3">
        <w:rPr>
          <w:color w:val="auto"/>
          <w:highlight w:val="yellow"/>
        </w:rPr>
        <w:t>10</w:t>
      </w:r>
      <w:r w:rsidR="00775DC3" w:rsidRPr="00775DC3">
        <w:rPr>
          <w:color w:val="auto"/>
        </w:rPr>
        <w:t>), di cui 2,59 milioni non hanno ricevuto nemmeno una dose di vaccino, con rilevanti differenze regionali (dal 15,1% della Calabria al 5,6% della Puglia) (</w:t>
      </w:r>
      <w:r w:rsidR="00775DC3" w:rsidRPr="00775DC3">
        <w:rPr>
          <w:color w:val="auto"/>
          <w:highlight w:val="yellow"/>
        </w:rPr>
        <w:t xml:space="preserve">figura </w:t>
      </w:r>
      <w:r w:rsidR="00775DC3">
        <w:rPr>
          <w:color w:val="auto"/>
          <w:highlight w:val="yellow"/>
        </w:rPr>
        <w:t>11</w:t>
      </w:r>
      <w:r w:rsidR="00775DC3" w:rsidRPr="00775DC3">
        <w:rPr>
          <w:color w:val="auto"/>
        </w:rPr>
        <w:t xml:space="preserve">). </w:t>
      </w:r>
    </w:p>
    <w:p w:rsidR="00014385" w:rsidRDefault="00014385" w:rsidP="003D5649">
      <w:pPr>
        <w:spacing w:line="276" w:lineRule="auto"/>
        <w:jc w:val="both"/>
        <w:rPr>
          <w:color w:val="auto"/>
        </w:rPr>
      </w:pPr>
    </w:p>
    <w:p w:rsidR="005E3CC5" w:rsidRPr="003D5649" w:rsidRDefault="00460D0D" w:rsidP="003D5649">
      <w:pPr>
        <w:spacing w:line="276" w:lineRule="auto"/>
        <w:jc w:val="both"/>
      </w:pPr>
      <w:r w:rsidRPr="00275B6C">
        <w:rPr>
          <w:b/>
          <w:color w:val="auto"/>
        </w:rPr>
        <w:t>Efficacia vaccini</w:t>
      </w:r>
      <w:r w:rsidR="00505C8D" w:rsidRPr="00275B6C">
        <w:rPr>
          <w:color w:val="auto"/>
        </w:rPr>
        <w:t>.</w:t>
      </w:r>
      <w:r w:rsidR="007C5961" w:rsidRPr="00275B6C">
        <w:rPr>
          <w:color w:val="auto"/>
        </w:rPr>
        <w:t xml:space="preserve"> </w:t>
      </w:r>
      <w:r w:rsidRPr="00275B6C">
        <w:rPr>
          <w:color w:val="auto"/>
        </w:rPr>
        <w:t>L’efficacia del vaccino</w:t>
      </w:r>
      <w:r w:rsidR="00A94175" w:rsidRPr="00275B6C">
        <w:rPr>
          <w:color w:val="auto"/>
        </w:rPr>
        <w:t xml:space="preserve"> </w:t>
      </w:r>
      <w:r w:rsidR="00C269F1">
        <w:rPr>
          <w:color w:val="auto"/>
        </w:rPr>
        <w:t xml:space="preserve">sulla </w:t>
      </w:r>
      <w:r w:rsidRPr="0026464D">
        <w:rPr>
          <w:color w:val="auto"/>
        </w:rPr>
        <w:t>diagnosi di SARS-CoV-2</w:t>
      </w:r>
      <w:r w:rsidR="005549FE" w:rsidRPr="0026464D">
        <w:rPr>
          <w:color w:val="auto"/>
        </w:rPr>
        <w:t xml:space="preserve"> </w:t>
      </w:r>
      <w:r w:rsidR="00C269F1">
        <w:rPr>
          <w:color w:val="auto"/>
        </w:rPr>
        <w:t xml:space="preserve">si è ridotta </w:t>
      </w:r>
      <w:r w:rsidRPr="0026464D">
        <w:rPr>
          <w:color w:val="auto"/>
        </w:rPr>
        <w:t>dall’88</w:t>
      </w:r>
      <w:r w:rsidR="00CC75F9" w:rsidRPr="0026464D">
        <w:rPr>
          <w:color w:val="auto"/>
        </w:rPr>
        <w:t>,5</w:t>
      </w:r>
      <w:r w:rsidRPr="0026464D">
        <w:rPr>
          <w:color w:val="auto"/>
        </w:rPr>
        <w:t xml:space="preserve">% </w:t>
      </w:r>
      <w:r w:rsidR="00986C25" w:rsidRPr="0026464D">
        <w:rPr>
          <w:color w:val="auto"/>
        </w:rPr>
        <w:t>(</w:t>
      </w:r>
      <w:r w:rsidR="00EE1262" w:rsidRPr="0026464D">
        <w:rPr>
          <w:color w:val="auto"/>
        </w:rPr>
        <w:t>periodo 4 aprile-</w:t>
      </w:r>
      <w:r w:rsidRPr="0026464D">
        <w:rPr>
          <w:color w:val="auto"/>
        </w:rPr>
        <w:t>11 luglio</w:t>
      </w:r>
      <w:r w:rsidR="00986C25" w:rsidRPr="0026464D">
        <w:rPr>
          <w:color w:val="auto"/>
        </w:rPr>
        <w:t>)</w:t>
      </w:r>
      <w:r w:rsidRPr="0026464D">
        <w:rPr>
          <w:color w:val="auto"/>
        </w:rPr>
        <w:t xml:space="preserve"> </w:t>
      </w:r>
      <w:r w:rsidR="00A94175" w:rsidRPr="0026464D">
        <w:rPr>
          <w:color w:val="auto"/>
        </w:rPr>
        <w:t>al</w:t>
      </w:r>
      <w:r w:rsidRPr="0026464D">
        <w:rPr>
          <w:color w:val="auto"/>
        </w:rPr>
        <w:t xml:space="preserve"> 7</w:t>
      </w:r>
      <w:r w:rsidR="00C817D6">
        <w:rPr>
          <w:color w:val="auto"/>
        </w:rPr>
        <w:t>7</w:t>
      </w:r>
      <w:r w:rsidR="00CC75F9" w:rsidRPr="0026464D">
        <w:rPr>
          <w:color w:val="auto"/>
        </w:rPr>
        <w:t>,</w:t>
      </w:r>
      <w:r w:rsidR="00C817D6">
        <w:rPr>
          <w:color w:val="auto"/>
        </w:rPr>
        <w:t>2</w:t>
      </w:r>
      <w:r w:rsidRPr="0026464D">
        <w:rPr>
          <w:color w:val="auto"/>
        </w:rPr>
        <w:t xml:space="preserve">% </w:t>
      </w:r>
      <w:r w:rsidR="00986C25" w:rsidRPr="0026464D">
        <w:rPr>
          <w:color w:val="auto"/>
        </w:rPr>
        <w:t>(</w:t>
      </w:r>
      <w:r w:rsidR="00EE1262" w:rsidRPr="0026464D">
        <w:rPr>
          <w:color w:val="auto"/>
        </w:rPr>
        <w:t>periodo 4 aprile-</w:t>
      </w:r>
      <w:r w:rsidR="00C817D6">
        <w:rPr>
          <w:color w:val="auto"/>
        </w:rPr>
        <w:t xml:space="preserve">26 </w:t>
      </w:r>
      <w:r w:rsidR="00653A32" w:rsidRPr="0026464D">
        <w:rPr>
          <w:color w:val="auto"/>
        </w:rPr>
        <w:t>settembre</w:t>
      </w:r>
      <w:r w:rsidR="00986C25" w:rsidRPr="0026464D">
        <w:rPr>
          <w:color w:val="auto"/>
        </w:rPr>
        <w:t>)</w:t>
      </w:r>
      <w:r w:rsidR="00EE280D" w:rsidRPr="0026464D">
        <w:rPr>
          <w:color w:val="auto"/>
        </w:rPr>
        <w:t xml:space="preserve">, in </w:t>
      </w:r>
      <w:r w:rsidR="00463915">
        <w:rPr>
          <w:color w:val="auto"/>
        </w:rPr>
        <w:t xml:space="preserve">particolare nella fascia di età </w:t>
      </w:r>
      <w:r w:rsidR="00BF1551" w:rsidRPr="0026464D">
        <w:rPr>
          <w:color w:val="auto"/>
        </w:rPr>
        <w:t>12-39 anni</w:t>
      </w:r>
      <w:r w:rsidR="00463915">
        <w:rPr>
          <w:color w:val="auto"/>
        </w:rPr>
        <w:t xml:space="preserve"> dove </w:t>
      </w:r>
      <w:r w:rsidR="00C269F1">
        <w:rPr>
          <w:color w:val="auto"/>
        </w:rPr>
        <w:t xml:space="preserve">è scesa </w:t>
      </w:r>
      <w:r w:rsidR="00BF1551" w:rsidRPr="0026464D">
        <w:rPr>
          <w:color w:val="auto"/>
        </w:rPr>
        <w:t xml:space="preserve">sino al 67,2% </w:t>
      </w:r>
      <w:r w:rsidR="00863261" w:rsidRPr="0026464D">
        <w:rPr>
          <w:color w:val="auto"/>
        </w:rPr>
        <w:t xml:space="preserve">(periodo 4 aprile-29 agosto) </w:t>
      </w:r>
      <w:r w:rsidR="00463915">
        <w:rPr>
          <w:color w:val="auto"/>
        </w:rPr>
        <w:t xml:space="preserve">- verosimilmente per l’effetto “estate” - </w:t>
      </w:r>
      <w:r w:rsidR="00A15244" w:rsidRPr="0026464D">
        <w:rPr>
          <w:color w:val="auto"/>
        </w:rPr>
        <w:t>per poi risalire</w:t>
      </w:r>
      <w:r w:rsidR="00BF1551" w:rsidRPr="0026464D">
        <w:rPr>
          <w:color w:val="auto"/>
        </w:rPr>
        <w:t xml:space="preserve"> </w:t>
      </w:r>
      <w:r w:rsidR="000673B6" w:rsidRPr="0026464D">
        <w:rPr>
          <w:color w:val="auto"/>
        </w:rPr>
        <w:t xml:space="preserve">fino </w:t>
      </w:r>
      <w:r w:rsidR="00BF1551" w:rsidRPr="00775DC3">
        <w:rPr>
          <w:color w:val="auto"/>
        </w:rPr>
        <w:t xml:space="preserve">al </w:t>
      </w:r>
      <w:r w:rsidR="000673B6" w:rsidRPr="00775DC3">
        <w:rPr>
          <w:color w:val="auto"/>
        </w:rPr>
        <w:t>7</w:t>
      </w:r>
      <w:r w:rsidR="00C817D6" w:rsidRPr="00775DC3">
        <w:rPr>
          <w:color w:val="auto"/>
        </w:rPr>
        <w:t>2</w:t>
      </w:r>
      <w:r w:rsidR="00BF1551" w:rsidRPr="00775DC3">
        <w:rPr>
          <w:color w:val="auto"/>
        </w:rPr>
        <w:t>,</w:t>
      </w:r>
      <w:r w:rsidR="00C817D6" w:rsidRPr="00775DC3">
        <w:rPr>
          <w:color w:val="auto"/>
        </w:rPr>
        <w:t>6</w:t>
      </w:r>
      <w:r w:rsidR="00A15244" w:rsidRPr="00775DC3">
        <w:rPr>
          <w:color w:val="auto"/>
        </w:rPr>
        <w:t>%</w:t>
      </w:r>
      <w:r w:rsidR="00863261" w:rsidRPr="00775DC3">
        <w:rPr>
          <w:color w:val="auto"/>
        </w:rPr>
        <w:t xml:space="preserve"> (periodo 4 aprile-</w:t>
      </w:r>
      <w:r w:rsidR="00C817D6" w:rsidRPr="00775DC3">
        <w:rPr>
          <w:color w:val="auto"/>
        </w:rPr>
        <w:t>26</w:t>
      </w:r>
      <w:r w:rsidR="00863261" w:rsidRPr="00775DC3">
        <w:rPr>
          <w:color w:val="auto"/>
        </w:rPr>
        <w:t xml:space="preserve"> settembre)</w:t>
      </w:r>
      <w:r w:rsidR="00BF1551" w:rsidRPr="00775DC3">
        <w:rPr>
          <w:color w:val="auto"/>
        </w:rPr>
        <w:t xml:space="preserve"> </w:t>
      </w:r>
      <w:r w:rsidR="00C269F1" w:rsidRPr="00775DC3">
        <w:rPr>
          <w:color w:val="auto"/>
        </w:rPr>
        <w:t>(</w:t>
      </w:r>
      <w:r w:rsidR="00C269F1" w:rsidRPr="00775DC3">
        <w:rPr>
          <w:color w:val="auto"/>
          <w:highlight w:val="yellow"/>
        </w:rPr>
        <w:t>figura 12</w:t>
      </w:r>
      <w:r w:rsidR="00C269F1" w:rsidRPr="00775DC3">
        <w:rPr>
          <w:color w:val="auto"/>
        </w:rPr>
        <w:t>)</w:t>
      </w:r>
      <w:r w:rsidR="00E71FFF" w:rsidRPr="00775DC3">
        <w:rPr>
          <w:color w:val="auto"/>
        </w:rPr>
        <w:t>.</w:t>
      </w:r>
      <w:r w:rsidR="00C269F1" w:rsidRPr="00775DC3">
        <w:rPr>
          <w:color w:val="auto"/>
        </w:rPr>
        <w:t xml:space="preserve"> L’efficacia vaccinale si conferma, invece, molto elevata nel ridurre i decessi (94,8%) e le forme severe di malattia che necessitano di ricovero in area medica (92,6%) e in terapia intensiva (94,9%). </w:t>
      </w:r>
      <w:r w:rsidR="00E71FFF" w:rsidRPr="00775DC3">
        <w:rPr>
          <w:color w:val="auto"/>
        </w:rPr>
        <w:t>Tuttavia, a partire da metà agosto</w:t>
      </w:r>
      <w:r w:rsidR="002A2883" w:rsidRPr="00775DC3">
        <w:rPr>
          <w:color w:val="auto"/>
        </w:rPr>
        <w:t>,</w:t>
      </w:r>
      <w:r w:rsidR="00A75868">
        <w:rPr>
          <w:color w:val="auto"/>
        </w:rPr>
        <w:t xml:space="preserve"> pur rimanendo superiore al 90%</w:t>
      </w:r>
      <w:r w:rsidR="00E71FFF" w:rsidRPr="00775DC3">
        <w:rPr>
          <w:color w:val="auto"/>
        </w:rPr>
        <w:t xml:space="preserve"> si rileva </w:t>
      </w:r>
      <w:r w:rsidR="003E3C44">
        <w:rPr>
          <w:color w:val="auto"/>
        </w:rPr>
        <w:t xml:space="preserve">un </w:t>
      </w:r>
      <w:r w:rsidR="00390F8F">
        <w:t>trend in lieve</w:t>
      </w:r>
      <w:r w:rsidR="009A34E5">
        <w:t xml:space="preserve"> </w:t>
      </w:r>
      <w:r w:rsidR="00B339C4">
        <w:t>ma costante</w:t>
      </w:r>
      <w:r w:rsidR="00390F8F">
        <w:t xml:space="preserve"> riduzione </w:t>
      </w:r>
      <w:r w:rsidR="00E71FFF" w:rsidRPr="00775DC3">
        <w:rPr>
          <w:color w:val="auto"/>
        </w:rPr>
        <w:t>per ospedalizzazioni (-2,3%), ricoveri in terapia inten</w:t>
      </w:r>
      <w:r w:rsidR="008B33A7">
        <w:rPr>
          <w:color w:val="auto"/>
        </w:rPr>
        <w:t xml:space="preserve">siva (-2,1%) e decessi (-2,4%). </w:t>
      </w:r>
    </w:p>
    <w:p w:rsidR="00C510AB" w:rsidRDefault="00390F8F" w:rsidP="00C510AB">
      <w:pPr>
        <w:spacing w:line="276" w:lineRule="auto"/>
        <w:jc w:val="center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6E0855F" wp14:editId="0E69439D">
            <wp:extent cx="5760000" cy="371972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CC5" w:rsidRDefault="000D2CAA" w:rsidP="000D2CAA">
      <w:pPr>
        <w:spacing w:line="276" w:lineRule="auto"/>
        <w:jc w:val="both"/>
      </w:pPr>
      <w:r>
        <w:rPr>
          <w:color w:val="auto"/>
        </w:rPr>
        <w:t xml:space="preserve">Questo dato è </w:t>
      </w:r>
      <w:r w:rsidRPr="00775DC3">
        <w:rPr>
          <w:color w:val="auto"/>
        </w:rPr>
        <w:t xml:space="preserve">in linea </w:t>
      </w:r>
      <w:r>
        <w:rPr>
          <w:color w:val="auto"/>
        </w:rPr>
        <w:t xml:space="preserve">sia con </w:t>
      </w:r>
      <w:r w:rsidRPr="00775DC3">
        <w:rPr>
          <w:color w:val="auto"/>
        </w:rPr>
        <w:t>gli studi condotti in altri paesi che documentano una riduzione dell</w:t>
      </w:r>
      <w:r>
        <w:rPr>
          <w:color w:val="auto"/>
        </w:rPr>
        <w:t xml:space="preserve">’efficacia </w:t>
      </w:r>
      <w:r w:rsidRPr="00775DC3">
        <w:rPr>
          <w:color w:val="auto"/>
        </w:rPr>
        <w:t xml:space="preserve">vaccinale a partire da 6 mesi dal completamento del ciclo, in particolare </w:t>
      </w:r>
      <w:r>
        <w:rPr>
          <w:color w:val="auto"/>
        </w:rPr>
        <w:t xml:space="preserve">nei confronti della </w:t>
      </w:r>
      <w:r>
        <w:t>variante delta</w:t>
      </w:r>
      <w:r w:rsidR="00DC4350">
        <w:t>,</w:t>
      </w:r>
      <w:r>
        <w:t xml:space="preserve"> sia  </w:t>
      </w:r>
      <w:r w:rsidR="00DC4350">
        <w:t>con i</w:t>
      </w:r>
      <w:r>
        <w:t xml:space="preserve">l </w:t>
      </w:r>
      <w:r w:rsidR="005E3CC5" w:rsidRPr="004D3CD7">
        <w:t>report “</w:t>
      </w:r>
      <w:hyperlink r:id="rId9" w:history="1">
        <w:r w:rsidR="005E3CC5" w:rsidRPr="004D3CD7">
          <w:rPr>
            <w:rStyle w:val="Collegamentoipertestuale"/>
            <w:i/>
          </w:rPr>
          <w:t xml:space="preserve">Impact of COVID-19 </w:t>
        </w:r>
        <w:proofErr w:type="spellStart"/>
        <w:r w:rsidR="005E3CC5" w:rsidRPr="004D3CD7">
          <w:rPr>
            <w:rStyle w:val="Collegamentoipertestuale"/>
            <w:i/>
          </w:rPr>
          <w:t>vaccination</w:t>
        </w:r>
        <w:proofErr w:type="spellEnd"/>
        <w:r w:rsidR="005E3CC5" w:rsidRPr="004D3CD7">
          <w:rPr>
            <w:rStyle w:val="Collegamentoipertestuale"/>
            <w:i/>
          </w:rPr>
          <w:t xml:space="preserve"> on the risk of SARS-CoV-2 </w:t>
        </w:r>
        <w:proofErr w:type="spellStart"/>
        <w:r w:rsidR="005E3CC5" w:rsidRPr="004D3CD7">
          <w:rPr>
            <w:rStyle w:val="Collegamentoipertestuale"/>
            <w:i/>
          </w:rPr>
          <w:t>infection</w:t>
        </w:r>
        <w:proofErr w:type="spellEnd"/>
        <w:r w:rsidR="005E3CC5" w:rsidRPr="004D3CD7">
          <w:rPr>
            <w:rStyle w:val="Collegamentoipertestuale"/>
            <w:i/>
          </w:rPr>
          <w:t xml:space="preserve"> and </w:t>
        </w:r>
        <w:proofErr w:type="spellStart"/>
        <w:r w:rsidR="005E3CC5" w:rsidRPr="004D3CD7">
          <w:rPr>
            <w:rStyle w:val="Collegamentoipertestuale"/>
            <w:i/>
          </w:rPr>
          <w:t>hospitalization</w:t>
        </w:r>
        <w:proofErr w:type="spellEnd"/>
        <w:r w:rsidR="005E3CC5" w:rsidRPr="004D3CD7">
          <w:rPr>
            <w:rStyle w:val="Collegamentoipertestuale"/>
            <w:i/>
          </w:rPr>
          <w:t xml:space="preserve"> and death in Italy</w:t>
        </w:r>
      </w:hyperlink>
      <w:r w:rsidR="005E3CC5" w:rsidRPr="004D3CD7">
        <w:t>”</w:t>
      </w:r>
      <w:r w:rsidR="004D3CD7" w:rsidRPr="004D3CD7">
        <w:t xml:space="preserve"> </w:t>
      </w:r>
      <w:r w:rsidR="004D3CD7">
        <w:t>pubblicato ieri dall’</w:t>
      </w:r>
      <w:r w:rsidR="004D3CD7" w:rsidRPr="003D5649">
        <w:t>I</w:t>
      </w:r>
      <w:r w:rsidR="004D3CD7">
        <w:t>stituto Superiore di Sanità e da</w:t>
      </w:r>
      <w:r w:rsidR="004D3CD7" w:rsidRPr="003D5649">
        <w:t>l Ministero della Salute</w:t>
      </w:r>
      <w:r w:rsidR="004D3CD7">
        <w:t>.</w:t>
      </w:r>
      <w:r w:rsidR="008B33A7" w:rsidRPr="004D3CD7">
        <w:t xml:space="preserve"> </w:t>
      </w:r>
      <w:r w:rsidR="008B33A7">
        <w:t>C</w:t>
      </w:r>
      <w:r w:rsidR="009A34E5">
        <w:t>onfronta</w:t>
      </w:r>
      <w:r w:rsidR="008B33A7">
        <w:t>ndo</w:t>
      </w:r>
      <w:r w:rsidR="009A34E5">
        <w:t xml:space="preserve"> </w:t>
      </w:r>
      <w:r w:rsidR="005E3CC5">
        <w:t xml:space="preserve">i dati relativi a </w:t>
      </w:r>
      <w:r w:rsidR="005E3CC5" w:rsidRPr="003D5649">
        <w:t>gennaio</w:t>
      </w:r>
      <w:r w:rsidR="005E3CC5">
        <w:t>-</w:t>
      </w:r>
      <w:r w:rsidR="005E3CC5" w:rsidRPr="003D5649">
        <w:t>giugno 2021</w:t>
      </w:r>
      <w:r w:rsidR="008B33A7">
        <w:t xml:space="preserve"> (</w:t>
      </w:r>
      <w:r w:rsidR="005E3CC5" w:rsidRPr="003D5649">
        <w:t>variante alfa</w:t>
      </w:r>
      <w:r>
        <w:t xml:space="preserve"> predominante</w:t>
      </w:r>
      <w:r w:rsidR="008B33A7">
        <w:t>)</w:t>
      </w:r>
      <w:r w:rsidR="005E3CC5" w:rsidRPr="003D5649">
        <w:t xml:space="preserve">, </w:t>
      </w:r>
      <w:r w:rsidR="008B33A7">
        <w:t xml:space="preserve">con </w:t>
      </w:r>
      <w:r w:rsidR="009A34E5">
        <w:t>quelli di</w:t>
      </w:r>
      <w:r w:rsidR="009A34E5" w:rsidRPr="003D5649">
        <w:t xml:space="preserve"> </w:t>
      </w:r>
      <w:r w:rsidR="005E3CC5" w:rsidRPr="003D5649">
        <w:t>luglio</w:t>
      </w:r>
      <w:r w:rsidR="005E3CC5">
        <w:t>-</w:t>
      </w:r>
      <w:r w:rsidR="005E3CC5" w:rsidRPr="003D5649">
        <w:t>agosto</w:t>
      </w:r>
      <w:r w:rsidR="005E3CC5">
        <w:t xml:space="preserve"> 2021</w:t>
      </w:r>
      <w:r w:rsidR="008B33A7">
        <w:t xml:space="preserve"> (</w:t>
      </w:r>
      <w:r w:rsidR="009A34E5">
        <w:t xml:space="preserve">variante </w:t>
      </w:r>
      <w:r w:rsidR="005E3CC5" w:rsidRPr="003D5649">
        <w:t>delta</w:t>
      </w:r>
      <w:r>
        <w:t xml:space="preserve"> predominante</w:t>
      </w:r>
      <w:r w:rsidR="008B33A7">
        <w:t>)</w:t>
      </w:r>
      <w:r w:rsidR="005E3CC5">
        <w:t xml:space="preserve">, </w:t>
      </w:r>
      <w:r w:rsidR="00DC4350">
        <w:t xml:space="preserve">si evidenzia una </w:t>
      </w:r>
      <w:r w:rsidR="005E3CC5">
        <w:t xml:space="preserve">riduzione dell’efficacia </w:t>
      </w:r>
      <w:r w:rsidR="00DC4350">
        <w:t xml:space="preserve">che </w:t>
      </w:r>
      <w:r w:rsidR="008B33A7">
        <w:t xml:space="preserve">è </w:t>
      </w:r>
      <w:r>
        <w:t>minima</w:t>
      </w:r>
      <w:r w:rsidR="008B33A7">
        <w:t xml:space="preserve"> </w:t>
      </w:r>
      <w:r w:rsidR="005E3CC5">
        <w:t xml:space="preserve">sulle forme severe di malattia </w:t>
      </w:r>
      <w:r w:rsidR="005E3CC5" w:rsidRPr="00A37905">
        <w:t xml:space="preserve">(91,7% </w:t>
      </w:r>
      <w:r w:rsidR="005E3CC5">
        <w:t>vs</w:t>
      </w:r>
      <w:r w:rsidR="005E3CC5" w:rsidRPr="00A37905">
        <w:t xml:space="preserve"> 88,7%)</w:t>
      </w:r>
      <w:r w:rsidR="008B33A7">
        <w:t xml:space="preserve"> e più netta nei confronti del</w:t>
      </w:r>
      <w:r w:rsidR="008B33A7" w:rsidRPr="008B33A7">
        <w:t xml:space="preserve">l’infezione </w:t>
      </w:r>
      <w:r>
        <w:t>(</w:t>
      </w:r>
      <w:r w:rsidR="00810D4F">
        <w:t>84,8%</w:t>
      </w:r>
      <w:r>
        <w:t xml:space="preserve"> vs</w:t>
      </w:r>
      <w:r w:rsidR="00810D4F">
        <w:t xml:space="preserve"> </w:t>
      </w:r>
      <w:r w:rsidR="00810D4F">
        <w:t>67,1%</w:t>
      </w:r>
      <w:bookmarkStart w:id="0" w:name="_GoBack"/>
      <w:bookmarkEnd w:id="0"/>
      <w:r w:rsidR="008B33A7">
        <w:t>)</w:t>
      </w:r>
      <w:r w:rsidR="004D3CD7">
        <w:t xml:space="preserve">. </w:t>
      </w:r>
      <w:r>
        <w:t xml:space="preserve">Inoltre, nelle </w:t>
      </w:r>
      <w:r w:rsidR="004D3CD7" w:rsidRPr="004D3CD7">
        <w:t xml:space="preserve">persone con </w:t>
      </w:r>
      <w:r>
        <w:t>comorbidità</w:t>
      </w:r>
      <w:r w:rsidR="00DC4350">
        <w:t>,</w:t>
      </w:r>
      <w:r>
        <w:t xml:space="preserve"> l’efficacia nel prevenire l’infezione scende dal </w:t>
      </w:r>
      <w:r w:rsidR="004D3CD7" w:rsidRPr="004D3CD7">
        <w:t>75% dopo 28 giorni dalla seconda dose al 52% dopo circa sette mesi.</w:t>
      </w:r>
    </w:p>
    <w:p w:rsidR="008B33A7" w:rsidRDefault="008B33A7" w:rsidP="008B33A7">
      <w:pPr>
        <w:spacing w:line="276" w:lineRule="auto"/>
        <w:jc w:val="both"/>
        <w:rPr>
          <w:color w:val="auto"/>
        </w:rPr>
      </w:pPr>
      <w:r>
        <w:rPr>
          <w:color w:val="auto"/>
        </w:rPr>
        <w:t>In ogni caso, nelle persone vaccinate</w:t>
      </w:r>
      <w:r w:rsidRPr="00234B97">
        <w:rPr>
          <w:color w:val="auto"/>
        </w:rPr>
        <w:t xml:space="preserve"> con ciclo completo rispetto </w:t>
      </w:r>
      <w:r>
        <w:rPr>
          <w:color w:val="auto"/>
        </w:rPr>
        <w:t>a quelle non vaccinate</w:t>
      </w:r>
      <w:r w:rsidRPr="00234B97">
        <w:rPr>
          <w:color w:val="auto"/>
        </w:rPr>
        <w:t xml:space="preserve">, si </w:t>
      </w:r>
      <w:r w:rsidR="000D2CAA">
        <w:rPr>
          <w:color w:val="auto"/>
        </w:rPr>
        <w:t xml:space="preserve">riduce nettamente </w:t>
      </w:r>
      <w:r w:rsidRPr="00234B97">
        <w:rPr>
          <w:color w:val="auto"/>
        </w:rPr>
        <w:t>l’incidenza di diagnosi e soprattutto di malattia</w:t>
      </w:r>
      <w:r>
        <w:rPr>
          <w:color w:val="auto"/>
        </w:rPr>
        <w:t xml:space="preserve"> grave e decesso:</w:t>
      </w:r>
      <w:r w:rsidRPr="00234B97">
        <w:rPr>
          <w:color w:val="auto"/>
        </w:rPr>
        <w:t xml:space="preserve"> nelle varie fasce di età, le diagnosi di SARS-CoV-2 si riducono </w:t>
      </w:r>
      <w:r>
        <w:rPr>
          <w:color w:val="auto"/>
        </w:rPr>
        <w:t xml:space="preserve">infatti </w:t>
      </w:r>
      <w:r w:rsidRPr="00234B97">
        <w:rPr>
          <w:color w:val="auto"/>
        </w:rPr>
        <w:t xml:space="preserve">del </w:t>
      </w:r>
      <w:r w:rsidRPr="00197134">
        <w:rPr>
          <w:color w:val="auto"/>
        </w:rPr>
        <w:t>7</w:t>
      </w:r>
      <w:r>
        <w:rPr>
          <w:color w:val="auto"/>
        </w:rPr>
        <w:t>9</w:t>
      </w:r>
      <w:r w:rsidRPr="00197134">
        <w:rPr>
          <w:color w:val="auto"/>
        </w:rPr>
        <w:t>-8</w:t>
      </w:r>
      <w:r>
        <w:rPr>
          <w:color w:val="auto"/>
        </w:rPr>
        <w:t>4</w:t>
      </w:r>
      <w:r w:rsidRPr="00197134">
        <w:rPr>
          <w:color w:val="auto"/>
        </w:rPr>
        <w:t>%</w:t>
      </w:r>
      <w:r w:rsidRPr="00234B97">
        <w:rPr>
          <w:color w:val="auto"/>
        </w:rPr>
        <w:t xml:space="preserve">, </w:t>
      </w:r>
      <w:r>
        <w:rPr>
          <w:color w:val="auto"/>
        </w:rPr>
        <w:t>i ricoveri ordinari</w:t>
      </w:r>
      <w:r w:rsidRPr="00234B97">
        <w:rPr>
          <w:color w:val="auto"/>
        </w:rPr>
        <w:t xml:space="preserve"> dell’</w:t>
      </w:r>
      <w:r>
        <w:rPr>
          <w:color w:val="auto"/>
        </w:rPr>
        <w:t>88,6</w:t>
      </w:r>
      <w:r w:rsidRPr="00197134">
        <w:rPr>
          <w:color w:val="auto"/>
        </w:rPr>
        <w:t>-95,</w:t>
      </w:r>
      <w:r>
        <w:rPr>
          <w:color w:val="auto"/>
        </w:rPr>
        <w:t>6</w:t>
      </w:r>
      <w:r w:rsidRPr="00197134">
        <w:rPr>
          <w:color w:val="auto"/>
        </w:rPr>
        <w:t>%</w:t>
      </w:r>
      <w:r w:rsidRPr="00234B97">
        <w:rPr>
          <w:color w:val="auto"/>
        </w:rPr>
        <w:t xml:space="preserve">, </w:t>
      </w:r>
      <w:r>
        <w:rPr>
          <w:color w:val="auto"/>
        </w:rPr>
        <w:t>quelli</w:t>
      </w:r>
      <w:r w:rsidRPr="00234B97">
        <w:rPr>
          <w:color w:val="auto"/>
        </w:rPr>
        <w:t xml:space="preserve"> in terapia intensiva del </w:t>
      </w:r>
      <w:r>
        <w:rPr>
          <w:color w:val="auto"/>
        </w:rPr>
        <w:t>90</w:t>
      </w:r>
      <w:r w:rsidRPr="00197134">
        <w:rPr>
          <w:color w:val="auto"/>
        </w:rPr>
        <w:t>,</w:t>
      </w:r>
      <w:r>
        <w:rPr>
          <w:color w:val="auto"/>
        </w:rPr>
        <w:t>7-100</w:t>
      </w:r>
      <w:r w:rsidRPr="00197134">
        <w:rPr>
          <w:color w:val="auto"/>
        </w:rPr>
        <w:t>%</w:t>
      </w:r>
      <w:r w:rsidRPr="00234B97">
        <w:rPr>
          <w:color w:val="auto"/>
        </w:rPr>
        <w:t xml:space="preserve"> e i decessi del </w:t>
      </w:r>
      <w:r>
        <w:rPr>
          <w:color w:val="auto"/>
        </w:rPr>
        <w:t>91,5-100</w:t>
      </w:r>
      <w:r w:rsidRPr="00197134">
        <w:rPr>
          <w:color w:val="auto"/>
        </w:rPr>
        <w:t>%</w:t>
      </w:r>
      <w:r>
        <w:rPr>
          <w:color w:val="auto"/>
        </w:rPr>
        <w:t xml:space="preserve"> </w:t>
      </w:r>
      <w:r w:rsidRPr="00234B97">
        <w:rPr>
          <w:color w:val="auto"/>
        </w:rPr>
        <w:t>(</w:t>
      </w:r>
      <w:r w:rsidRPr="00234B97">
        <w:rPr>
          <w:color w:val="auto"/>
          <w:highlight w:val="yellow"/>
        </w:rPr>
        <w:t xml:space="preserve">figura </w:t>
      </w:r>
      <w:r>
        <w:rPr>
          <w:color w:val="auto"/>
          <w:highlight w:val="yellow"/>
        </w:rPr>
        <w:t>13</w:t>
      </w:r>
      <w:r w:rsidRPr="00234B97">
        <w:rPr>
          <w:color w:val="auto"/>
        </w:rPr>
        <w:t>).</w:t>
      </w:r>
    </w:p>
    <w:p w:rsidR="007F4CB5" w:rsidRDefault="007F4CB5" w:rsidP="003A051C">
      <w:pPr>
        <w:spacing w:line="276" w:lineRule="auto"/>
        <w:jc w:val="both"/>
      </w:pPr>
      <w:r w:rsidRPr="005B129C">
        <w:rPr>
          <w:b/>
        </w:rPr>
        <w:t xml:space="preserve">Vaccini: terza dose. </w:t>
      </w:r>
      <w:r>
        <w:t xml:space="preserve">Il 4 ottobre la </w:t>
      </w:r>
      <w:r w:rsidRPr="0061028B">
        <w:rPr>
          <w:i/>
        </w:rPr>
        <w:t>European Medicines Agency</w:t>
      </w:r>
      <w:r>
        <w:t xml:space="preserve"> (EMA) ha concluso la valutazione relativa alla dose aggiuntiva di vaccino (Pfizer o Moderna) per i pazienti immunocompromessi </w:t>
      </w:r>
      <w:hyperlink r:id="rId10" w:history="1">
        <w:r w:rsidRPr="004E619E">
          <w:rPr>
            <w:rStyle w:val="Collegamentoipertestuale"/>
          </w:rPr>
          <w:t>raccomandandone la somministrazione</w:t>
        </w:r>
      </w:hyperlink>
      <w:r>
        <w:t xml:space="preserve"> entro 28 giorni dal completamento del ciclo vaccinale, come già disposto in Italia dalla </w:t>
      </w:r>
      <w:hyperlink r:id="rId11" w:history="1">
        <w:r w:rsidRPr="004E619E">
          <w:rPr>
            <w:rStyle w:val="Collegamentoipertestuale"/>
          </w:rPr>
          <w:t>Circolare del Ministero della Salute del 14 settembre 2021</w:t>
        </w:r>
      </w:hyperlink>
      <w:r>
        <w:t>. L’EMA suggerisce inoltre di considerare la somministrazione di una dose di richiamo (</w:t>
      </w:r>
      <w:r>
        <w:rPr>
          <w:i/>
        </w:rPr>
        <w:t>booster</w:t>
      </w:r>
      <w:r>
        <w:t xml:space="preserve">) con il vaccino Pfizer in tutte le persone di età </w:t>
      </w:r>
      <w:r>
        <w:rPr>
          <w:rFonts w:cstheme="minorHAnsi"/>
        </w:rPr>
        <w:t>≥</w:t>
      </w:r>
      <w:r>
        <w:t xml:space="preserve">18 anni, dopo almeno 6 mesi dalla seconda dose, lasciando ai singoli Paesi piena autonomia decisionale su fasce di età e categorie prioritarie. </w:t>
      </w:r>
    </w:p>
    <w:p w:rsidR="00595E53" w:rsidRPr="004D3CD7" w:rsidRDefault="007F4CB5" w:rsidP="003A051C">
      <w:pPr>
        <w:spacing w:line="276" w:lineRule="auto"/>
        <w:jc w:val="both"/>
      </w:pPr>
      <w:r>
        <w:t xml:space="preserve">Ad oggi la </w:t>
      </w:r>
      <w:hyperlink r:id="rId12" w:history="1">
        <w:r w:rsidRPr="004E619E">
          <w:rPr>
            <w:rStyle w:val="Collegamentoipertestuale"/>
          </w:rPr>
          <w:t>Circolare del Ministero della Salute del 27 settembre 2021</w:t>
        </w:r>
      </w:hyperlink>
      <w:r w:rsidRPr="0061028B">
        <w:t xml:space="preserve"> </w:t>
      </w:r>
      <w:r>
        <w:t xml:space="preserve">prevede di utilizzare per le dosi </w:t>
      </w:r>
      <w:r w:rsidRPr="00970D3B">
        <w:rPr>
          <w:i/>
        </w:rPr>
        <w:t>booster</w:t>
      </w:r>
      <w:r>
        <w:t xml:space="preserve"> sia Pfizer che Moderna</w:t>
      </w:r>
      <w:r w:rsidR="000D2CAA">
        <w:t xml:space="preserve"> in specifiche </w:t>
      </w:r>
      <w:r>
        <w:t xml:space="preserve">categorie di popolazione. In una prima fase over 80 e </w:t>
      </w:r>
      <w:r w:rsidR="00394992" w:rsidRPr="00386158">
        <w:t xml:space="preserve">ospiti </w:t>
      </w:r>
      <w:r w:rsidR="00394992">
        <w:t xml:space="preserve">e </w:t>
      </w:r>
      <w:r>
        <w:t>p</w:t>
      </w:r>
      <w:r w:rsidRPr="00386158">
        <w:t xml:space="preserve">ersonale </w:t>
      </w:r>
      <w:r w:rsidR="00394992">
        <w:t>sanitario</w:t>
      </w:r>
      <w:r w:rsidR="00104974">
        <w:t xml:space="preserve"> e</w:t>
      </w:r>
      <w:r w:rsidR="00394992">
        <w:t xml:space="preserve"> socio-sanitario </w:t>
      </w:r>
      <w:r w:rsidR="00104974">
        <w:t>delle RSA</w:t>
      </w:r>
      <w:r>
        <w:t xml:space="preserve">; </w:t>
      </w:r>
      <w:r w:rsidR="000D2CAA">
        <w:t xml:space="preserve">successivamente </w:t>
      </w:r>
      <w:r w:rsidR="00B339C4">
        <w:t xml:space="preserve">gli </w:t>
      </w:r>
      <w:r w:rsidR="00B339C4" w:rsidRPr="00B339C4">
        <w:t xml:space="preserve">operatori sanitari </w:t>
      </w:r>
      <w:r w:rsidR="000D2CAA">
        <w:t xml:space="preserve">con priorità per gli over 60, o con </w:t>
      </w:r>
      <w:r w:rsidR="00B339C4" w:rsidRPr="00B339C4">
        <w:t>patologie</w:t>
      </w:r>
      <w:r w:rsidR="000D2CAA">
        <w:t xml:space="preserve"> concomitanti e</w:t>
      </w:r>
      <w:r w:rsidR="00B339C4" w:rsidRPr="00B339C4">
        <w:t xml:space="preserve"> vulnerabili a forme di COVID-19 severa</w:t>
      </w:r>
      <w:r w:rsidR="000D2CAA">
        <w:t>,</w:t>
      </w:r>
      <w:r w:rsidR="00B339C4" w:rsidRPr="00B339C4">
        <w:t xml:space="preserve"> o con elevato livello di esposizione all’infezione.</w:t>
      </w:r>
      <w:r w:rsidR="004D3CD7">
        <w:t xml:space="preserve"> </w:t>
      </w:r>
      <w:r w:rsidR="000D2CAA">
        <w:t xml:space="preserve">Complessivamente, la </w:t>
      </w:r>
      <w:r>
        <w:t xml:space="preserve">platea vaccinabile con la terza dose è </w:t>
      </w:r>
      <w:r w:rsidR="000D2CAA">
        <w:t>di quasi</w:t>
      </w:r>
      <w:r w:rsidR="00C510AB">
        <w:t xml:space="preserve"> </w:t>
      </w:r>
      <w:r>
        <w:t>7,6 milioni di persone (</w:t>
      </w:r>
      <w:r>
        <w:rPr>
          <w:highlight w:val="yellow"/>
        </w:rPr>
        <w:t>f</w:t>
      </w:r>
      <w:r w:rsidRPr="00296A37">
        <w:rPr>
          <w:highlight w:val="yellow"/>
        </w:rPr>
        <w:t xml:space="preserve">igura </w:t>
      </w:r>
      <w:r w:rsidR="00595E53">
        <w:rPr>
          <w:highlight w:val="yellow"/>
        </w:rPr>
        <w:t>14</w:t>
      </w:r>
      <w:r>
        <w:t>)</w:t>
      </w:r>
      <w:r w:rsidR="00C510AB">
        <w:t xml:space="preserve"> </w:t>
      </w:r>
      <w:r w:rsidR="00C510AB" w:rsidRPr="00DD1090">
        <w:rPr>
          <w:color w:val="auto"/>
        </w:rPr>
        <w:t xml:space="preserve">alle quali dal 14 settembre sono state somministrate </w:t>
      </w:r>
      <w:r w:rsidR="000D2CAA">
        <w:rPr>
          <w:color w:val="auto"/>
        </w:rPr>
        <w:t xml:space="preserve">quasi 185mila </w:t>
      </w:r>
      <w:r w:rsidR="00C510AB" w:rsidRPr="00DD1090">
        <w:rPr>
          <w:color w:val="auto"/>
        </w:rPr>
        <w:t>dosi</w:t>
      </w:r>
      <w:r w:rsidR="004D3CD7">
        <w:rPr>
          <w:color w:val="auto"/>
        </w:rPr>
        <w:t xml:space="preserve"> con un </w:t>
      </w:r>
      <w:r>
        <w:t xml:space="preserve">tasso di copertura </w:t>
      </w:r>
      <w:r w:rsidR="004D3CD7">
        <w:t xml:space="preserve">del </w:t>
      </w:r>
      <w:r>
        <w:t>2</w:t>
      </w:r>
      <w:r w:rsidR="00C510AB">
        <w:t>,4</w:t>
      </w:r>
      <w:r>
        <w:t xml:space="preserve">%, </w:t>
      </w:r>
      <w:r w:rsidR="004D3CD7">
        <w:t xml:space="preserve">e </w:t>
      </w:r>
      <w:r>
        <w:t xml:space="preserve">notevoli differenze regionali: </w:t>
      </w:r>
      <w:r w:rsidR="00595E53" w:rsidRPr="00DD1090">
        <w:rPr>
          <w:color w:val="auto"/>
        </w:rPr>
        <w:t>dal 9% del Molise allo 0% della Valle D’Aosta (</w:t>
      </w:r>
      <w:r w:rsidR="00595E53" w:rsidRPr="00DD1090">
        <w:rPr>
          <w:color w:val="auto"/>
          <w:highlight w:val="yellow"/>
        </w:rPr>
        <w:t>figura 1</w:t>
      </w:r>
      <w:r w:rsidR="00C510AB" w:rsidRPr="00C510AB">
        <w:rPr>
          <w:color w:val="auto"/>
          <w:highlight w:val="yellow"/>
        </w:rPr>
        <w:t>5</w:t>
      </w:r>
      <w:r w:rsidR="00595E53" w:rsidRPr="00DD1090">
        <w:rPr>
          <w:color w:val="auto"/>
        </w:rPr>
        <w:t>).</w:t>
      </w:r>
    </w:p>
    <w:p w:rsidR="00E77B0B" w:rsidRDefault="00AB1727" w:rsidP="003A051C">
      <w:pPr>
        <w:spacing w:line="276" w:lineRule="auto"/>
        <w:jc w:val="both"/>
      </w:pPr>
      <w:r w:rsidRPr="006236A4">
        <w:lastRenderedPageBreak/>
        <w:t>«</w:t>
      </w:r>
      <w:r w:rsidR="004D3CD7">
        <w:t xml:space="preserve">La </w:t>
      </w:r>
      <w:r w:rsidRPr="00711236">
        <w:t xml:space="preserve">priorità assoluta </w:t>
      </w:r>
      <w:r>
        <w:t xml:space="preserve">– conclude Cartabellotta – rimane quella </w:t>
      </w:r>
      <w:r w:rsidRPr="00711236">
        <w:t xml:space="preserve">di </w:t>
      </w:r>
      <w:r>
        <w:t>somministrare il ciclo completo a tutta la popolazione vaccinabile</w:t>
      </w:r>
      <w:r w:rsidR="00E1041B">
        <w:t>, in particolare agli over 50</w:t>
      </w:r>
      <w:r>
        <w:t xml:space="preserve">. Tuttavia, a fronte dei primi segnali di un lieve (ma costante) calo dell’efficacia vaccinale su ospedalizzazioni, terapie intensive e decessi, </w:t>
      </w:r>
      <w:r w:rsidR="00B90D08">
        <w:t xml:space="preserve">è necessaria </w:t>
      </w:r>
      <w:r>
        <w:t>una programmazione strategica</w:t>
      </w:r>
      <w:r w:rsidR="00B90D08">
        <w:t xml:space="preserve"> per </w:t>
      </w:r>
      <w:r>
        <w:t>somministra</w:t>
      </w:r>
      <w:r w:rsidR="00B90D08">
        <w:t xml:space="preserve">re </w:t>
      </w:r>
      <w:r>
        <w:t>la dose di richiamo alla popolazione generale</w:t>
      </w:r>
      <w:r w:rsidR="00E1041B">
        <w:t xml:space="preserve">. </w:t>
      </w:r>
      <w:r w:rsidR="00B77E16">
        <w:t xml:space="preserve">Anche per evitare, </w:t>
      </w:r>
      <w:r>
        <w:t>dopo il via libera dell’EMA agli over 18</w:t>
      </w:r>
      <w:r w:rsidR="001A25C7">
        <w:t xml:space="preserve">, </w:t>
      </w:r>
      <w:r w:rsidR="00B90D08">
        <w:t xml:space="preserve">che </w:t>
      </w:r>
      <w:r w:rsidR="001A25C7">
        <w:t xml:space="preserve">le </w:t>
      </w:r>
      <w:r>
        <w:t xml:space="preserve">Regioni </w:t>
      </w:r>
      <w:r w:rsidR="00D1391B">
        <w:t xml:space="preserve">procedano </w:t>
      </w:r>
      <w:r>
        <w:t>in ordine sparso</w:t>
      </w:r>
      <w:r w:rsidR="00E1041B">
        <w:t>, s</w:t>
      </w:r>
      <w:r w:rsidR="00B90D08">
        <w:t xml:space="preserve">enza seguire le priorità basate sul </w:t>
      </w:r>
      <w:r w:rsidR="00E1041B">
        <w:t>rischio individuale</w:t>
      </w:r>
      <w:r w:rsidR="00E77B0B" w:rsidRPr="006236A4">
        <w:t>»</w:t>
      </w:r>
      <w:r>
        <w:t xml:space="preserve">. </w:t>
      </w:r>
      <w:r w:rsidR="004D3CD7">
        <w:t>Ecco perché l</w:t>
      </w:r>
      <w:r w:rsidR="00E77B0B">
        <w:t xml:space="preserve">a Fondazione GIMBE </w:t>
      </w:r>
      <w:r w:rsidR="004D3CD7">
        <w:t>propone quattro azioni integrate</w:t>
      </w:r>
      <w:r w:rsidR="00E77B0B">
        <w:t>:</w:t>
      </w:r>
    </w:p>
    <w:p w:rsidR="00E77B0B" w:rsidRDefault="00B90D08" w:rsidP="00B77E16">
      <w:pPr>
        <w:pStyle w:val="Paragrafoelenco"/>
        <w:numPr>
          <w:ilvl w:val="0"/>
          <w:numId w:val="10"/>
        </w:numPr>
        <w:spacing w:after="0" w:line="276" w:lineRule="auto"/>
        <w:ind w:left="357" w:hanging="357"/>
        <w:jc w:val="both"/>
      </w:pPr>
      <w:r>
        <w:t>accelerare</w:t>
      </w:r>
      <w:r w:rsidR="00E1041B">
        <w:t xml:space="preserve"> </w:t>
      </w:r>
      <w:r w:rsidR="00D744AC">
        <w:t>la somministrazione della terza dose alle categorie prioritarie</w:t>
      </w:r>
      <w:r w:rsidR="00B339C4">
        <w:t xml:space="preserve"> </w:t>
      </w:r>
      <w:r w:rsidR="004D3CD7">
        <w:t>vista l’ampia disponibilità di dosi (</w:t>
      </w:r>
      <w:r w:rsidR="00E77B0B">
        <w:t>13,4 milioni</w:t>
      </w:r>
      <w:r w:rsidR="004D3CD7">
        <w:t>)</w:t>
      </w:r>
      <w:r w:rsidR="00E77B0B">
        <w:t xml:space="preserve"> e </w:t>
      </w:r>
      <w:r w:rsidR="00B339C4">
        <w:t>la stagione invernale alle porte</w:t>
      </w:r>
      <w:r w:rsidR="0061581B">
        <w:t xml:space="preserve">; </w:t>
      </w:r>
    </w:p>
    <w:p w:rsidR="00E77B0B" w:rsidRDefault="00AB1727" w:rsidP="00B77E16">
      <w:pPr>
        <w:pStyle w:val="Paragrafoelenco"/>
        <w:numPr>
          <w:ilvl w:val="0"/>
          <w:numId w:val="10"/>
        </w:numPr>
        <w:spacing w:after="0" w:line="276" w:lineRule="auto"/>
        <w:ind w:left="357" w:hanging="357"/>
        <w:jc w:val="both"/>
      </w:pPr>
      <w:r>
        <w:t xml:space="preserve">ampliare progressivamente la platea vaccinabile con dose </w:t>
      </w:r>
      <w:r w:rsidRPr="00E77B0B">
        <w:rPr>
          <w:i/>
        </w:rPr>
        <w:t>booster</w:t>
      </w:r>
      <w:r w:rsidR="00E1041B">
        <w:t xml:space="preserve"> alle fasce anagrafiche a rischio di malattia grave e decesso, iniziando con la fascia 70-79 anni e successivamente quella 60-69 e 50-59</w:t>
      </w:r>
      <w:r w:rsidR="004D3CD7">
        <w:t xml:space="preserve">, e dando priorità in ciascuna fascia ai pazienti con patologie </w:t>
      </w:r>
      <w:r w:rsidR="00B77E16">
        <w:t>concomitanti</w:t>
      </w:r>
      <w:r>
        <w:t xml:space="preserve">; </w:t>
      </w:r>
    </w:p>
    <w:p w:rsidR="00E77B0B" w:rsidRDefault="003C2801" w:rsidP="00B77E16">
      <w:pPr>
        <w:pStyle w:val="Paragrafoelenco"/>
        <w:numPr>
          <w:ilvl w:val="0"/>
          <w:numId w:val="10"/>
        </w:numPr>
        <w:spacing w:after="0" w:line="276" w:lineRule="auto"/>
        <w:ind w:left="357" w:hanging="357"/>
        <w:jc w:val="both"/>
      </w:pPr>
      <w:r>
        <w:t xml:space="preserve">programmare </w:t>
      </w:r>
      <w:r w:rsidR="004D3CD7">
        <w:t xml:space="preserve">per tutti gli over 50 </w:t>
      </w:r>
      <w:r w:rsidR="00E1041B">
        <w:t xml:space="preserve">la </w:t>
      </w:r>
      <w:r w:rsidR="008A299E">
        <w:t>chiamata attiva a</w:t>
      </w:r>
      <w:r w:rsidR="00AB1727">
        <w:t xml:space="preserve"> sei mesi </w:t>
      </w:r>
      <w:r w:rsidR="009D4A03">
        <w:t>dal completamento del ciclo</w:t>
      </w:r>
      <w:r w:rsidR="00AB1727">
        <w:t xml:space="preserve">; </w:t>
      </w:r>
    </w:p>
    <w:p w:rsidR="00AB1727" w:rsidRDefault="00E77B0B" w:rsidP="00B77E16">
      <w:pPr>
        <w:pStyle w:val="Paragrafoelenco"/>
        <w:numPr>
          <w:ilvl w:val="0"/>
          <w:numId w:val="10"/>
        </w:numPr>
        <w:spacing w:after="0" w:line="276" w:lineRule="auto"/>
        <w:ind w:left="357" w:hanging="357"/>
        <w:jc w:val="both"/>
      </w:pPr>
      <w:r>
        <w:t xml:space="preserve">estendere l’obbligo della dose </w:t>
      </w:r>
      <w:r w:rsidRPr="00E77B0B">
        <w:rPr>
          <w:i/>
        </w:rPr>
        <w:t>booster</w:t>
      </w:r>
      <w:r>
        <w:t xml:space="preserve"> per gli operatori sanitari, al fine di garantire la sicurezza per i pazienti e ridurre il rischio di limitare l’erogazione di prestazioni sanitarie per patologie non COVID-19</w:t>
      </w:r>
      <w:r w:rsidR="003C2801">
        <w:t>, visto</w:t>
      </w:r>
      <w:r w:rsidR="00AB1727">
        <w:t xml:space="preserve"> </w:t>
      </w:r>
      <w:r w:rsidR="003C2801">
        <w:t xml:space="preserve">che </w:t>
      </w:r>
      <w:r w:rsidR="00AB1727">
        <w:t xml:space="preserve">l’efficacia vaccinale sull’infezione </w:t>
      </w:r>
      <w:r w:rsidR="003C2801">
        <w:t>da variante delta si attesta intorno al 67%.</w:t>
      </w:r>
    </w:p>
    <w:p w:rsidR="004D3CD7" w:rsidRDefault="004D3CD7" w:rsidP="00247BA3">
      <w:pPr>
        <w:spacing w:after="120" w:line="276" w:lineRule="auto"/>
        <w:rPr>
          <w:color w:val="auto"/>
        </w:rPr>
      </w:pPr>
    </w:p>
    <w:p w:rsidR="007B682B" w:rsidRPr="00234B97" w:rsidRDefault="00CE577D" w:rsidP="00247BA3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 xml:space="preserve">Il monitoraggio GIMBE dell'epidemia di COVID-19 è disponibile a: </w:t>
      </w:r>
      <w:hyperlink r:id="rId13" w:history="1">
        <w:r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247BA3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4" w:history="1">
        <w:r w:rsidRPr="00234B97">
          <w:rPr>
            <w:rStyle w:val="Hyperlink1"/>
          </w:rPr>
          <w:t>ufficio.stampa@gimbe.org</w:t>
        </w:r>
      </w:hyperlink>
    </w:p>
    <w:p w:rsidR="00F458BE" w:rsidRDefault="00F458B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D3CD7" w:rsidRDefault="004D3CD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</w:p>
    <w:p w:rsidR="007B682B" w:rsidRPr="00234B97" w:rsidRDefault="009C0F77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753970D" wp14:editId="5CD6D6B1">
            <wp:extent cx="5760000" cy="3193390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9C0F7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8F71FA4" wp14:editId="7B859A29">
            <wp:extent cx="5760000" cy="309465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sectPr w:rsidR="007B682B" w:rsidRPr="00234B97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9C0F77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F7810F4" wp14:editId="4C2F366F">
            <wp:extent cx="9360000" cy="4830880"/>
            <wp:effectExtent l="0" t="0" r="0" b="825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542585">
        <w:rPr>
          <w:b/>
          <w:bCs/>
          <w:color w:val="00457D"/>
          <w:sz w:val="24"/>
          <w:szCs w:val="24"/>
          <w:u w:color="00457D"/>
        </w:rPr>
        <w:t>4</w:t>
      </w:r>
    </w:p>
    <w:p w:rsidR="00B66203" w:rsidRPr="00234B97" w:rsidRDefault="003874BF" w:rsidP="008E0517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A481957" wp14:editId="4B00F05A">
            <wp:extent cx="5760000" cy="517036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542585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542585" w:rsidRPr="00542585">
        <w:rPr>
          <w:b/>
          <w:bCs/>
          <w:color w:val="00457D"/>
          <w:sz w:val="24"/>
          <w:szCs w:val="24"/>
          <w:u w:color="00457D"/>
        </w:rPr>
        <w:t>5</w:t>
      </w:r>
    </w:p>
    <w:p w:rsidR="00D707B3" w:rsidRPr="00234B97" w:rsidRDefault="009C0F7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E118D0D" wp14:editId="025D1C32">
            <wp:extent cx="5760000" cy="308760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542585" w:rsidRPr="00542585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Pr="00234B97" w:rsidRDefault="009C0F77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90F5001" wp14:editId="6B7D05CA">
            <wp:extent cx="5760000" cy="451892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585" w:rsidRDefault="0054258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B383A">
        <w:rPr>
          <w:b/>
          <w:bCs/>
          <w:color w:val="00457D"/>
          <w:sz w:val="24"/>
          <w:szCs w:val="24"/>
          <w:u w:color="00457D"/>
        </w:rPr>
        <w:t>7</w:t>
      </w:r>
    </w:p>
    <w:p w:rsidR="00D707B3" w:rsidRPr="00234B97" w:rsidRDefault="009C0F77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653F58B" wp14:editId="4DFFA359">
            <wp:extent cx="5760000" cy="306765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542585" w:rsidRDefault="007B682B">
      <w:pPr>
        <w:jc w:val="center"/>
        <w:rPr>
          <w:b/>
          <w:bCs/>
          <w:color w:val="FF0000"/>
          <w:sz w:val="24"/>
          <w:szCs w:val="24"/>
          <w:u w:color="00457D"/>
        </w:rPr>
      </w:pPr>
    </w:p>
    <w:p w:rsidR="00BB383A" w:rsidRDefault="00BB383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BB383A">
        <w:rPr>
          <w:b/>
          <w:bCs/>
          <w:color w:val="00457D"/>
          <w:sz w:val="24"/>
          <w:szCs w:val="24"/>
          <w:u w:color="00457D"/>
        </w:rPr>
        <w:t>8</w:t>
      </w:r>
    </w:p>
    <w:p w:rsidR="0036634C" w:rsidRPr="00234B97" w:rsidRDefault="009C0F7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32A5C9B" wp14:editId="6B2F86E4">
            <wp:extent cx="5760000" cy="306765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585" w:rsidRDefault="00542585" w:rsidP="0054258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5C1E56" w:rsidRDefault="005C1E56" w:rsidP="005C1E56">
      <w:pPr>
        <w:spacing w:after="0" w:line="240" w:lineRule="auto"/>
        <w:rPr>
          <w:b/>
          <w:bCs/>
          <w:color w:val="FF0000"/>
          <w:sz w:val="24"/>
          <w:szCs w:val="24"/>
          <w:u w:color="00457D"/>
        </w:rPr>
      </w:pPr>
    </w:p>
    <w:p w:rsidR="0036634C" w:rsidRDefault="00C510AB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9</w:t>
      </w:r>
    </w:p>
    <w:p w:rsidR="00775DC3" w:rsidRPr="003E512B" w:rsidRDefault="00775DC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956B7D7" wp14:editId="2ED772DF">
            <wp:extent cx="5760000" cy="3442302"/>
            <wp:effectExtent l="0" t="0" r="0" b="635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7CC" w:rsidRPr="00234B97" w:rsidRDefault="006D67C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05A25" w:rsidRPr="00234B97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5C1E56" w:rsidRDefault="005C1E56" w:rsidP="003E51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C510AB" w:rsidRDefault="00C510AB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B66203" w:rsidP="003E51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</w:t>
      </w:r>
      <w:r w:rsidR="00CE577D" w:rsidRPr="00234B97">
        <w:rPr>
          <w:b/>
          <w:bCs/>
          <w:color w:val="00457D"/>
          <w:sz w:val="24"/>
          <w:szCs w:val="24"/>
          <w:u w:color="00457D"/>
        </w:rPr>
        <w:t>gura 1</w:t>
      </w:r>
      <w:r w:rsidR="00C510AB">
        <w:rPr>
          <w:b/>
          <w:bCs/>
          <w:color w:val="00457D"/>
          <w:sz w:val="24"/>
          <w:szCs w:val="24"/>
          <w:u w:color="00457D"/>
        </w:rPr>
        <w:t>0</w:t>
      </w:r>
    </w:p>
    <w:p w:rsidR="00775DC3" w:rsidRPr="00234B97" w:rsidRDefault="00775DC3" w:rsidP="003E51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A5E9E98" wp14:editId="3AF6EEEE">
            <wp:extent cx="5760000" cy="3518637"/>
            <wp:effectExtent l="0" t="0" r="0" b="571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197134" w:rsidRDefault="007B682B">
      <w:pPr>
        <w:spacing w:after="120"/>
        <w:jc w:val="center"/>
        <w:rPr>
          <w:sz w:val="16"/>
        </w:rPr>
      </w:pPr>
    </w:p>
    <w:p w:rsidR="0036634C" w:rsidRDefault="00705A25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rFonts w:cs="Calibri"/>
          <w:b/>
          <w:color w:val="00457D"/>
          <w:sz w:val="24"/>
          <w:szCs w:val="24"/>
          <w:u w:color="00457D"/>
        </w:rPr>
        <w:t>F</w:t>
      </w:r>
      <w:r w:rsidR="00CE577D" w:rsidRPr="00234B97">
        <w:rPr>
          <w:rFonts w:cs="Calibri"/>
          <w:b/>
          <w:bCs/>
          <w:color w:val="00457D"/>
          <w:sz w:val="24"/>
          <w:szCs w:val="24"/>
          <w:u w:color="00457D"/>
        </w:rPr>
        <w:t xml:space="preserve">igura </w:t>
      </w:r>
      <w:r w:rsidR="00AF08E9" w:rsidRPr="00234B97">
        <w:rPr>
          <w:rFonts w:cs="Calibri"/>
          <w:b/>
          <w:bCs/>
          <w:color w:val="00457D"/>
          <w:sz w:val="24"/>
          <w:szCs w:val="24"/>
          <w:u w:color="00457D"/>
        </w:rPr>
        <w:t>1</w:t>
      </w:r>
      <w:r w:rsidR="00C510AB">
        <w:rPr>
          <w:rFonts w:cs="Calibri"/>
          <w:b/>
          <w:bCs/>
          <w:color w:val="00457D"/>
          <w:sz w:val="24"/>
          <w:szCs w:val="24"/>
          <w:u w:color="00457D"/>
        </w:rPr>
        <w:t>1</w:t>
      </w:r>
    </w:p>
    <w:p w:rsidR="00275B6C" w:rsidRDefault="00775DC3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E3905C4" wp14:editId="5C9EF9DB">
            <wp:extent cx="5760000" cy="4433382"/>
            <wp:effectExtent l="0" t="0" r="0" b="571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B6C" w:rsidRDefault="00275B6C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5C1E56" w:rsidRDefault="005C1E56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B25F9" w:rsidRPr="00234B97" w:rsidRDefault="00C3740F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C510AB">
        <w:rPr>
          <w:b/>
          <w:bCs/>
          <w:color w:val="00457D"/>
          <w:sz w:val="24"/>
          <w:szCs w:val="24"/>
          <w:u w:color="00457D"/>
        </w:rPr>
        <w:t>2</w:t>
      </w:r>
    </w:p>
    <w:p w:rsidR="004A309A" w:rsidRDefault="00465213" w:rsidP="004A309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59E4359A" wp14:editId="22E93621">
            <wp:extent cx="5760000" cy="3464112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6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Pr="00234B97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D53ED" w:rsidRDefault="00CD53ED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C510AB" w:rsidRPr="00234B97" w:rsidRDefault="00C510AB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510AB" w:rsidRPr="00234B97">
          <w:pgSz w:w="11900" w:h="16840"/>
          <w:pgMar w:top="1134" w:right="1134" w:bottom="1418" w:left="1134" w:header="709" w:footer="709" w:gutter="0"/>
          <w:cols w:space="720"/>
        </w:sectPr>
      </w:pPr>
    </w:p>
    <w:p w:rsidR="00CD53ED" w:rsidRDefault="00B67538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2569A9">
        <w:rPr>
          <w:b/>
          <w:bCs/>
          <w:color w:val="00457D"/>
          <w:sz w:val="24"/>
          <w:szCs w:val="24"/>
          <w:u w:color="00457D"/>
        </w:rPr>
        <w:t>1</w:t>
      </w:r>
      <w:r w:rsidR="00C510AB">
        <w:rPr>
          <w:b/>
          <w:bCs/>
          <w:color w:val="00457D"/>
          <w:sz w:val="24"/>
          <w:szCs w:val="24"/>
          <w:u w:color="00457D"/>
        </w:rPr>
        <w:t>3</w:t>
      </w:r>
    </w:p>
    <w:p w:rsidR="005C1E56" w:rsidRDefault="005C1E56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7CE5A04" wp14:editId="726036F9">
            <wp:extent cx="9360000" cy="5141121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14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3ED" w:rsidRPr="00234B97" w:rsidRDefault="00CD53ED" w:rsidP="001F378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RPr="00234B97" w:rsidSect="00CD53ED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2569A9" w:rsidRDefault="002569A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510AB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14</w:t>
      </w:r>
    </w:p>
    <w:p w:rsidR="00C510AB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029E165" wp14:editId="11B8D21C">
            <wp:extent cx="5688000" cy="3784388"/>
            <wp:effectExtent l="0" t="0" r="8255" b="698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78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Pr="00C510AB" w:rsidRDefault="00C510AB" w:rsidP="00C510AB">
      <w:pPr>
        <w:spacing w:after="0" w:line="240" w:lineRule="auto"/>
        <w:rPr>
          <w:b/>
          <w:bCs/>
          <w:color w:val="00457D"/>
          <w:sz w:val="20"/>
          <w:szCs w:val="24"/>
          <w:u w:color="00457D"/>
        </w:rPr>
      </w:pPr>
    </w:p>
    <w:p w:rsidR="00C510AB" w:rsidRPr="005B129C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15</w:t>
      </w:r>
    </w:p>
    <w:p w:rsidR="00C510AB" w:rsidRDefault="00C510AB" w:rsidP="00C510AB">
      <w:pPr>
        <w:spacing w:after="0" w:line="240" w:lineRule="auto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noProof/>
          <w:color w:val="FF0000"/>
          <w:sz w:val="24"/>
          <w:szCs w:val="24"/>
          <w:u w:color="00457D"/>
        </w:rPr>
        <w:drawing>
          <wp:inline distT="0" distB="0" distL="0" distR="0" wp14:anchorId="7A613DBB" wp14:editId="7F8A2CA9">
            <wp:extent cx="5688000" cy="4370402"/>
            <wp:effectExtent l="0" t="0" r="8255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370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Pr="00C510AB" w:rsidRDefault="00C510AB">
      <w:pPr>
        <w:spacing w:after="0" w:line="240" w:lineRule="auto"/>
        <w:rPr>
          <w:b/>
          <w:bCs/>
          <w:color w:val="00457D"/>
          <w:sz w:val="2"/>
          <w:szCs w:val="2"/>
          <w:u w:color="00457D"/>
        </w:rPr>
      </w:pPr>
    </w:p>
    <w:p w:rsidR="00C510AB" w:rsidRPr="00C510AB" w:rsidRDefault="00C510AB">
      <w:pPr>
        <w:spacing w:after="0" w:line="240" w:lineRule="auto"/>
        <w:rPr>
          <w:b/>
          <w:bCs/>
          <w:color w:val="00457D"/>
          <w:sz w:val="2"/>
          <w:szCs w:val="2"/>
          <w:u w:color="00457D"/>
        </w:rPr>
      </w:pPr>
      <w:r w:rsidRPr="00C510AB">
        <w:rPr>
          <w:b/>
          <w:bCs/>
          <w:color w:val="00457D"/>
          <w:sz w:val="2"/>
          <w:szCs w:val="2"/>
          <w:u w:color="00457D"/>
        </w:rPr>
        <w:br w:type="page"/>
      </w:r>
    </w:p>
    <w:p w:rsidR="00B90481" w:rsidRPr="00234B97" w:rsidRDefault="00CE577D" w:rsidP="00B90481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B4215E">
        <w:rPr>
          <w:b/>
          <w:bCs/>
          <w:color w:val="00457D"/>
          <w:sz w:val="24"/>
          <w:szCs w:val="24"/>
          <w:u w:color="00457D"/>
        </w:rPr>
        <w:t>2</w:t>
      </w:r>
      <w:r w:rsidR="009C0F77">
        <w:rPr>
          <w:b/>
          <w:bCs/>
          <w:color w:val="00457D"/>
          <w:sz w:val="24"/>
          <w:szCs w:val="24"/>
          <w:u w:color="00457D"/>
        </w:rPr>
        <w:t>9</w:t>
      </w:r>
      <w:r w:rsidR="00C73150" w:rsidRPr="00234B97">
        <w:rPr>
          <w:b/>
          <w:bCs/>
          <w:color w:val="00457D"/>
          <w:sz w:val="24"/>
          <w:szCs w:val="24"/>
          <w:u w:color="00457D"/>
        </w:rPr>
        <w:t xml:space="preserve"> settembre</w:t>
      </w:r>
      <w:r w:rsidR="009C0F77">
        <w:rPr>
          <w:b/>
          <w:bCs/>
          <w:color w:val="00457D"/>
          <w:sz w:val="24"/>
          <w:szCs w:val="24"/>
          <w:u w:color="00457D"/>
        </w:rPr>
        <w:t>-5 ottobre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134"/>
        <w:gridCol w:w="2126"/>
        <w:gridCol w:w="2127"/>
      </w:tblGrid>
      <w:tr w:rsidR="00BE3414" w:rsidRPr="00BE3414" w:rsidTr="007F4CB5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E3414" w:rsidRPr="00BE3414" w:rsidRDefault="00BE3414" w:rsidP="00BE34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13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E3414" w:rsidRPr="00BE3414" w:rsidRDefault="00BE3414" w:rsidP="00BE34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BE341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E3414" w:rsidRPr="00BE3414" w:rsidRDefault="00BE3414" w:rsidP="00BE34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BE3414" w:rsidRPr="00BE3414" w:rsidRDefault="00BE3414" w:rsidP="00BE34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BE341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126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-4,4%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EB9C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65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6500"/>
                <w:bdr w:val="none" w:sz="0" w:space="0" w:color="auto"/>
              </w:rPr>
              <w:t>212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73,6%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172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-15,8%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114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-12,2%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328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-3,9%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-3,0%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158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-4,2%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-0,4%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97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-12,9%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162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-3,3%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-25,0%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-20,5%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153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8,7%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20,9%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-13,9%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119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5,0%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274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-10,4%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171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-11,9%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-24,9%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9C0006"/>
                <w:bdr w:val="none" w:sz="0" w:space="0" w:color="auto"/>
              </w:rPr>
              <w:t>64,5%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BE3414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208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-11,1%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E3414" w:rsidRPr="00BE3414" w:rsidTr="007F4CB5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151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-9,1%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BE3414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5%</w:t>
            </w:r>
          </w:p>
        </w:tc>
      </w:tr>
      <w:tr w:rsidR="00BE3414" w:rsidRPr="00BE3414" w:rsidTr="007F4CB5">
        <w:trPr>
          <w:trHeight w:val="1710"/>
        </w:trPr>
        <w:tc>
          <w:tcPr>
            <w:tcW w:w="9498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BE3414" w:rsidRPr="00BE3414" w:rsidRDefault="00BE3414" w:rsidP="007F4C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BE3414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BE3414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BE3414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BE3414" w:rsidRPr="00234B97" w:rsidRDefault="00BE3414"/>
    <w:sectPr w:rsidR="00BE3414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6D5" w:rsidRDefault="004266D5">
      <w:pPr>
        <w:spacing w:after="0" w:line="240" w:lineRule="auto"/>
      </w:pPr>
      <w:r>
        <w:separator/>
      </w:r>
    </w:p>
  </w:endnote>
  <w:endnote w:type="continuationSeparator" w:id="0">
    <w:p w:rsidR="004266D5" w:rsidRDefault="0042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6D5" w:rsidRDefault="004266D5">
      <w:pPr>
        <w:spacing w:after="0" w:line="240" w:lineRule="auto"/>
      </w:pPr>
      <w:r>
        <w:separator/>
      </w:r>
    </w:p>
  </w:footnote>
  <w:footnote w:type="continuationSeparator" w:id="0">
    <w:p w:rsidR="004266D5" w:rsidRDefault="00426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14920"/>
    <w:multiLevelType w:val="hybridMultilevel"/>
    <w:tmpl w:val="3F8C4CC8"/>
    <w:numStyleLink w:val="Stileimportato1"/>
  </w:abstractNum>
  <w:abstractNum w:abstractNumId="4" w15:restartNumberingAfterBreak="0">
    <w:nsid w:val="17124B2D"/>
    <w:multiLevelType w:val="hybridMultilevel"/>
    <w:tmpl w:val="D040A854"/>
    <w:numStyleLink w:val="Stileimportato2"/>
  </w:abstractNum>
  <w:abstractNum w:abstractNumId="5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82B"/>
    <w:rsid w:val="00004CA3"/>
    <w:rsid w:val="00005172"/>
    <w:rsid w:val="000056DE"/>
    <w:rsid w:val="00007BF9"/>
    <w:rsid w:val="00012113"/>
    <w:rsid w:val="00014385"/>
    <w:rsid w:val="00017890"/>
    <w:rsid w:val="000206F4"/>
    <w:rsid w:val="00021C19"/>
    <w:rsid w:val="000222A5"/>
    <w:rsid w:val="00023784"/>
    <w:rsid w:val="00033800"/>
    <w:rsid w:val="000352B4"/>
    <w:rsid w:val="00037A0A"/>
    <w:rsid w:val="00037F01"/>
    <w:rsid w:val="000415C2"/>
    <w:rsid w:val="00042E7E"/>
    <w:rsid w:val="00046B65"/>
    <w:rsid w:val="00051038"/>
    <w:rsid w:val="00052578"/>
    <w:rsid w:val="000552E2"/>
    <w:rsid w:val="00057E5F"/>
    <w:rsid w:val="00061D4E"/>
    <w:rsid w:val="000653E7"/>
    <w:rsid w:val="00067039"/>
    <w:rsid w:val="000673B6"/>
    <w:rsid w:val="0007243C"/>
    <w:rsid w:val="00072C04"/>
    <w:rsid w:val="00073A8A"/>
    <w:rsid w:val="000743B7"/>
    <w:rsid w:val="000747A9"/>
    <w:rsid w:val="00077B7F"/>
    <w:rsid w:val="000803DA"/>
    <w:rsid w:val="00080F14"/>
    <w:rsid w:val="0008362E"/>
    <w:rsid w:val="00087236"/>
    <w:rsid w:val="00095DC5"/>
    <w:rsid w:val="000A08BA"/>
    <w:rsid w:val="000A6581"/>
    <w:rsid w:val="000A72BA"/>
    <w:rsid w:val="000B0548"/>
    <w:rsid w:val="000B0AC0"/>
    <w:rsid w:val="000B119C"/>
    <w:rsid w:val="000B1B66"/>
    <w:rsid w:val="000B21CF"/>
    <w:rsid w:val="000B2449"/>
    <w:rsid w:val="000B25F9"/>
    <w:rsid w:val="000C6B69"/>
    <w:rsid w:val="000C789B"/>
    <w:rsid w:val="000D0625"/>
    <w:rsid w:val="000D2CAA"/>
    <w:rsid w:val="000D5B61"/>
    <w:rsid w:val="000D75CD"/>
    <w:rsid w:val="000D7E45"/>
    <w:rsid w:val="000E1A5A"/>
    <w:rsid w:val="000E6F3B"/>
    <w:rsid w:val="000F0385"/>
    <w:rsid w:val="000F09AA"/>
    <w:rsid w:val="000F1EC4"/>
    <w:rsid w:val="000F2389"/>
    <w:rsid w:val="000F387B"/>
    <w:rsid w:val="000F3AC7"/>
    <w:rsid w:val="000F4209"/>
    <w:rsid w:val="000F5019"/>
    <w:rsid w:val="000F50A4"/>
    <w:rsid w:val="0010442F"/>
    <w:rsid w:val="00104974"/>
    <w:rsid w:val="00106801"/>
    <w:rsid w:val="001104E4"/>
    <w:rsid w:val="00114088"/>
    <w:rsid w:val="00114459"/>
    <w:rsid w:val="00115B80"/>
    <w:rsid w:val="00116006"/>
    <w:rsid w:val="00116C93"/>
    <w:rsid w:val="00121EB7"/>
    <w:rsid w:val="0012399B"/>
    <w:rsid w:val="0012540D"/>
    <w:rsid w:val="00126938"/>
    <w:rsid w:val="00127892"/>
    <w:rsid w:val="001324D5"/>
    <w:rsid w:val="0014031D"/>
    <w:rsid w:val="00141F0A"/>
    <w:rsid w:val="00141F2F"/>
    <w:rsid w:val="00144E5A"/>
    <w:rsid w:val="00147243"/>
    <w:rsid w:val="001513A9"/>
    <w:rsid w:val="001518FD"/>
    <w:rsid w:val="001533C7"/>
    <w:rsid w:val="001533DC"/>
    <w:rsid w:val="00157CBE"/>
    <w:rsid w:val="00157F8B"/>
    <w:rsid w:val="00161AEE"/>
    <w:rsid w:val="0016301A"/>
    <w:rsid w:val="001667ED"/>
    <w:rsid w:val="0016753E"/>
    <w:rsid w:val="00171468"/>
    <w:rsid w:val="00175709"/>
    <w:rsid w:val="00176590"/>
    <w:rsid w:val="00176B1E"/>
    <w:rsid w:val="001803BE"/>
    <w:rsid w:val="00181F5C"/>
    <w:rsid w:val="00183B21"/>
    <w:rsid w:val="00184068"/>
    <w:rsid w:val="00187EBF"/>
    <w:rsid w:val="00191EB1"/>
    <w:rsid w:val="0019345D"/>
    <w:rsid w:val="00197134"/>
    <w:rsid w:val="00197435"/>
    <w:rsid w:val="001A1D07"/>
    <w:rsid w:val="001A25C7"/>
    <w:rsid w:val="001A2CC0"/>
    <w:rsid w:val="001A2F4F"/>
    <w:rsid w:val="001A3E0F"/>
    <w:rsid w:val="001A3E43"/>
    <w:rsid w:val="001A503E"/>
    <w:rsid w:val="001A50D6"/>
    <w:rsid w:val="001A633C"/>
    <w:rsid w:val="001A65C5"/>
    <w:rsid w:val="001A7237"/>
    <w:rsid w:val="001A7CDE"/>
    <w:rsid w:val="001B723C"/>
    <w:rsid w:val="001C0EBF"/>
    <w:rsid w:val="001C7E16"/>
    <w:rsid w:val="001D0234"/>
    <w:rsid w:val="001D0E98"/>
    <w:rsid w:val="001D2047"/>
    <w:rsid w:val="001D224C"/>
    <w:rsid w:val="001D48DB"/>
    <w:rsid w:val="001D7E62"/>
    <w:rsid w:val="001E5653"/>
    <w:rsid w:val="001F2C8F"/>
    <w:rsid w:val="001F3785"/>
    <w:rsid w:val="001F4334"/>
    <w:rsid w:val="001F4A7E"/>
    <w:rsid w:val="001F63AA"/>
    <w:rsid w:val="001F668D"/>
    <w:rsid w:val="00200400"/>
    <w:rsid w:val="00201768"/>
    <w:rsid w:val="0020699D"/>
    <w:rsid w:val="00210040"/>
    <w:rsid w:val="00212F66"/>
    <w:rsid w:val="00213464"/>
    <w:rsid w:val="00216973"/>
    <w:rsid w:val="002171F6"/>
    <w:rsid w:val="002222F6"/>
    <w:rsid w:val="00223DBB"/>
    <w:rsid w:val="00226C11"/>
    <w:rsid w:val="00234B97"/>
    <w:rsid w:val="002351A0"/>
    <w:rsid w:val="00236626"/>
    <w:rsid w:val="00236FB0"/>
    <w:rsid w:val="0024188A"/>
    <w:rsid w:val="002427A3"/>
    <w:rsid w:val="00243949"/>
    <w:rsid w:val="00245DC3"/>
    <w:rsid w:val="00247670"/>
    <w:rsid w:val="00247BA3"/>
    <w:rsid w:val="0025323D"/>
    <w:rsid w:val="00253DD5"/>
    <w:rsid w:val="002540D8"/>
    <w:rsid w:val="00254744"/>
    <w:rsid w:val="002569A9"/>
    <w:rsid w:val="00262272"/>
    <w:rsid w:val="002634F1"/>
    <w:rsid w:val="00263A36"/>
    <w:rsid w:val="00263DA4"/>
    <w:rsid w:val="0026464D"/>
    <w:rsid w:val="00265ECF"/>
    <w:rsid w:val="002667D7"/>
    <w:rsid w:val="002669FF"/>
    <w:rsid w:val="00266BEA"/>
    <w:rsid w:val="00273C22"/>
    <w:rsid w:val="00275B6C"/>
    <w:rsid w:val="00275FFE"/>
    <w:rsid w:val="00282D8E"/>
    <w:rsid w:val="002846B6"/>
    <w:rsid w:val="0029023D"/>
    <w:rsid w:val="00290E33"/>
    <w:rsid w:val="00291ECD"/>
    <w:rsid w:val="0029423D"/>
    <w:rsid w:val="002A2883"/>
    <w:rsid w:val="002B0423"/>
    <w:rsid w:val="002B20E2"/>
    <w:rsid w:val="002B2371"/>
    <w:rsid w:val="002B3E49"/>
    <w:rsid w:val="002B7A43"/>
    <w:rsid w:val="002C16AA"/>
    <w:rsid w:val="002C19C1"/>
    <w:rsid w:val="002C672C"/>
    <w:rsid w:val="002D270C"/>
    <w:rsid w:val="002D288E"/>
    <w:rsid w:val="002D30A6"/>
    <w:rsid w:val="002D4F74"/>
    <w:rsid w:val="002D66EF"/>
    <w:rsid w:val="002E0B40"/>
    <w:rsid w:val="002E0CF7"/>
    <w:rsid w:val="002E1532"/>
    <w:rsid w:val="002E1669"/>
    <w:rsid w:val="002E30C9"/>
    <w:rsid w:val="002E63F1"/>
    <w:rsid w:val="002F4065"/>
    <w:rsid w:val="002F5606"/>
    <w:rsid w:val="002F6277"/>
    <w:rsid w:val="002F7E69"/>
    <w:rsid w:val="00300770"/>
    <w:rsid w:val="00301555"/>
    <w:rsid w:val="00301F67"/>
    <w:rsid w:val="00302774"/>
    <w:rsid w:val="00304225"/>
    <w:rsid w:val="003068D2"/>
    <w:rsid w:val="00312170"/>
    <w:rsid w:val="0031239E"/>
    <w:rsid w:val="00312A53"/>
    <w:rsid w:val="00312D49"/>
    <w:rsid w:val="00312EB1"/>
    <w:rsid w:val="00315CB0"/>
    <w:rsid w:val="00322631"/>
    <w:rsid w:val="00322C39"/>
    <w:rsid w:val="00325D76"/>
    <w:rsid w:val="00326426"/>
    <w:rsid w:val="00330F23"/>
    <w:rsid w:val="00332BC9"/>
    <w:rsid w:val="00333D4F"/>
    <w:rsid w:val="00337B53"/>
    <w:rsid w:val="003408FB"/>
    <w:rsid w:val="0034119B"/>
    <w:rsid w:val="00342065"/>
    <w:rsid w:val="0034565E"/>
    <w:rsid w:val="003461BD"/>
    <w:rsid w:val="0035087A"/>
    <w:rsid w:val="003614B8"/>
    <w:rsid w:val="0036634C"/>
    <w:rsid w:val="0037026E"/>
    <w:rsid w:val="00370F56"/>
    <w:rsid w:val="003726E1"/>
    <w:rsid w:val="003744DF"/>
    <w:rsid w:val="003747F1"/>
    <w:rsid w:val="0038374F"/>
    <w:rsid w:val="003874BF"/>
    <w:rsid w:val="00390F8F"/>
    <w:rsid w:val="00391BD8"/>
    <w:rsid w:val="00391D3F"/>
    <w:rsid w:val="003932D6"/>
    <w:rsid w:val="00393652"/>
    <w:rsid w:val="00394992"/>
    <w:rsid w:val="0039505A"/>
    <w:rsid w:val="003A051C"/>
    <w:rsid w:val="003A0661"/>
    <w:rsid w:val="003A27B9"/>
    <w:rsid w:val="003A62BF"/>
    <w:rsid w:val="003B0352"/>
    <w:rsid w:val="003B037E"/>
    <w:rsid w:val="003B632B"/>
    <w:rsid w:val="003B6B24"/>
    <w:rsid w:val="003B6F85"/>
    <w:rsid w:val="003B720F"/>
    <w:rsid w:val="003C17AF"/>
    <w:rsid w:val="003C1BE8"/>
    <w:rsid w:val="003C2801"/>
    <w:rsid w:val="003C5AEF"/>
    <w:rsid w:val="003C724A"/>
    <w:rsid w:val="003D049D"/>
    <w:rsid w:val="003D353F"/>
    <w:rsid w:val="003D3EE4"/>
    <w:rsid w:val="003D4657"/>
    <w:rsid w:val="003D4BA4"/>
    <w:rsid w:val="003D514B"/>
    <w:rsid w:val="003D5649"/>
    <w:rsid w:val="003E083A"/>
    <w:rsid w:val="003E1DB5"/>
    <w:rsid w:val="003E33FF"/>
    <w:rsid w:val="003E35A0"/>
    <w:rsid w:val="003E3C44"/>
    <w:rsid w:val="003E3EB4"/>
    <w:rsid w:val="003E3FDD"/>
    <w:rsid w:val="003E512B"/>
    <w:rsid w:val="003E5D4D"/>
    <w:rsid w:val="003E5E24"/>
    <w:rsid w:val="003F07EE"/>
    <w:rsid w:val="003F0B7E"/>
    <w:rsid w:val="003F0EDE"/>
    <w:rsid w:val="003F1259"/>
    <w:rsid w:val="003F2987"/>
    <w:rsid w:val="003F5167"/>
    <w:rsid w:val="003F5612"/>
    <w:rsid w:val="003F6A5F"/>
    <w:rsid w:val="00402E63"/>
    <w:rsid w:val="00403D87"/>
    <w:rsid w:val="004041F5"/>
    <w:rsid w:val="00405588"/>
    <w:rsid w:val="00407F58"/>
    <w:rsid w:val="004127E6"/>
    <w:rsid w:val="004129D3"/>
    <w:rsid w:val="00413881"/>
    <w:rsid w:val="004167BB"/>
    <w:rsid w:val="00417326"/>
    <w:rsid w:val="00417D75"/>
    <w:rsid w:val="00420736"/>
    <w:rsid w:val="004266D5"/>
    <w:rsid w:val="0043299D"/>
    <w:rsid w:val="00432C1D"/>
    <w:rsid w:val="0043788D"/>
    <w:rsid w:val="00440059"/>
    <w:rsid w:val="0044051F"/>
    <w:rsid w:val="004405AB"/>
    <w:rsid w:val="0044264D"/>
    <w:rsid w:val="00442D9F"/>
    <w:rsid w:val="00443AF2"/>
    <w:rsid w:val="00444814"/>
    <w:rsid w:val="00445E8D"/>
    <w:rsid w:val="00450520"/>
    <w:rsid w:val="00450FC6"/>
    <w:rsid w:val="0045113F"/>
    <w:rsid w:val="00451EEA"/>
    <w:rsid w:val="00456315"/>
    <w:rsid w:val="00457225"/>
    <w:rsid w:val="00460941"/>
    <w:rsid w:val="00460D0D"/>
    <w:rsid w:val="0046121C"/>
    <w:rsid w:val="00461433"/>
    <w:rsid w:val="00463915"/>
    <w:rsid w:val="004642E7"/>
    <w:rsid w:val="00465213"/>
    <w:rsid w:val="00471002"/>
    <w:rsid w:val="00472289"/>
    <w:rsid w:val="00473630"/>
    <w:rsid w:val="00474D7E"/>
    <w:rsid w:val="00476376"/>
    <w:rsid w:val="004770F1"/>
    <w:rsid w:val="00477725"/>
    <w:rsid w:val="0047778D"/>
    <w:rsid w:val="00477B91"/>
    <w:rsid w:val="0048071C"/>
    <w:rsid w:val="00480E53"/>
    <w:rsid w:val="004821B7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9E"/>
    <w:rsid w:val="00495A9F"/>
    <w:rsid w:val="00496B48"/>
    <w:rsid w:val="00497D65"/>
    <w:rsid w:val="00497E19"/>
    <w:rsid w:val="004A19D1"/>
    <w:rsid w:val="004A309A"/>
    <w:rsid w:val="004A3B4B"/>
    <w:rsid w:val="004B102C"/>
    <w:rsid w:val="004B5CB6"/>
    <w:rsid w:val="004B6438"/>
    <w:rsid w:val="004C465D"/>
    <w:rsid w:val="004C70BD"/>
    <w:rsid w:val="004C75FC"/>
    <w:rsid w:val="004D0234"/>
    <w:rsid w:val="004D0801"/>
    <w:rsid w:val="004D0D54"/>
    <w:rsid w:val="004D1C78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3F56"/>
    <w:rsid w:val="004E3F72"/>
    <w:rsid w:val="004E6C61"/>
    <w:rsid w:val="004F0669"/>
    <w:rsid w:val="004F17AF"/>
    <w:rsid w:val="00500C6B"/>
    <w:rsid w:val="00505C8D"/>
    <w:rsid w:val="00506BF3"/>
    <w:rsid w:val="00507572"/>
    <w:rsid w:val="005110E4"/>
    <w:rsid w:val="00516F1E"/>
    <w:rsid w:val="00517884"/>
    <w:rsid w:val="005206D7"/>
    <w:rsid w:val="00521485"/>
    <w:rsid w:val="005216C3"/>
    <w:rsid w:val="005239E5"/>
    <w:rsid w:val="005265EC"/>
    <w:rsid w:val="00526D94"/>
    <w:rsid w:val="0053071C"/>
    <w:rsid w:val="00540EB3"/>
    <w:rsid w:val="00542585"/>
    <w:rsid w:val="0054316E"/>
    <w:rsid w:val="00545404"/>
    <w:rsid w:val="005455CA"/>
    <w:rsid w:val="00547B69"/>
    <w:rsid w:val="00553823"/>
    <w:rsid w:val="005549FE"/>
    <w:rsid w:val="005568AB"/>
    <w:rsid w:val="0056300B"/>
    <w:rsid w:val="00563184"/>
    <w:rsid w:val="00567F60"/>
    <w:rsid w:val="00571451"/>
    <w:rsid w:val="00572677"/>
    <w:rsid w:val="00573388"/>
    <w:rsid w:val="005776BB"/>
    <w:rsid w:val="00580D28"/>
    <w:rsid w:val="00582285"/>
    <w:rsid w:val="00583951"/>
    <w:rsid w:val="00584F59"/>
    <w:rsid w:val="0058585F"/>
    <w:rsid w:val="00587698"/>
    <w:rsid w:val="005943D6"/>
    <w:rsid w:val="00594D45"/>
    <w:rsid w:val="00595E1C"/>
    <w:rsid w:val="00595E53"/>
    <w:rsid w:val="00596736"/>
    <w:rsid w:val="005A138A"/>
    <w:rsid w:val="005A6770"/>
    <w:rsid w:val="005A735E"/>
    <w:rsid w:val="005A755B"/>
    <w:rsid w:val="005A7880"/>
    <w:rsid w:val="005B103D"/>
    <w:rsid w:val="005B129C"/>
    <w:rsid w:val="005B48EF"/>
    <w:rsid w:val="005B4F47"/>
    <w:rsid w:val="005C1BAF"/>
    <w:rsid w:val="005C1E56"/>
    <w:rsid w:val="005C2C9D"/>
    <w:rsid w:val="005C335F"/>
    <w:rsid w:val="005C6FBE"/>
    <w:rsid w:val="005D08F1"/>
    <w:rsid w:val="005D18C9"/>
    <w:rsid w:val="005D1A29"/>
    <w:rsid w:val="005D214D"/>
    <w:rsid w:val="005E19B1"/>
    <w:rsid w:val="005E1B40"/>
    <w:rsid w:val="005E26E5"/>
    <w:rsid w:val="005E3CC5"/>
    <w:rsid w:val="005F14E1"/>
    <w:rsid w:val="005F1BEA"/>
    <w:rsid w:val="005F43B2"/>
    <w:rsid w:val="005F493D"/>
    <w:rsid w:val="005F5079"/>
    <w:rsid w:val="006026F8"/>
    <w:rsid w:val="00603956"/>
    <w:rsid w:val="00605F09"/>
    <w:rsid w:val="00610E6C"/>
    <w:rsid w:val="0061216F"/>
    <w:rsid w:val="006121D4"/>
    <w:rsid w:val="00613848"/>
    <w:rsid w:val="0061581B"/>
    <w:rsid w:val="00615DC1"/>
    <w:rsid w:val="00617672"/>
    <w:rsid w:val="006176B8"/>
    <w:rsid w:val="00617D14"/>
    <w:rsid w:val="0062012B"/>
    <w:rsid w:val="006236A4"/>
    <w:rsid w:val="00624898"/>
    <w:rsid w:val="00624DFE"/>
    <w:rsid w:val="0062682F"/>
    <w:rsid w:val="00632644"/>
    <w:rsid w:val="00634936"/>
    <w:rsid w:val="006369E2"/>
    <w:rsid w:val="006370BE"/>
    <w:rsid w:val="00641764"/>
    <w:rsid w:val="00641859"/>
    <w:rsid w:val="0064474F"/>
    <w:rsid w:val="006479B3"/>
    <w:rsid w:val="00647D99"/>
    <w:rsid w:val="006501A2"/>
    <w:rsid w:val="00650970"/>
    <w:rsid w:val="00651334"/>
    <w:rsid w:val="00653A32"/>
    <w:rsid w:val="00655803"/>
    <w:rsid w:val="00655A1E"/>
    <w:rsid w:val="006603AC"/>
    <w:rsid w:val="00660954"/>
    <w:rsid w:val="00663DCF"/>
    <w:rsid w:val="00666A47"/>
    <w:rsid w:val="00672C34"/>
    <w:rsid w:val="0067368F"/>
    <w:rsid w:val="00677ADA"/>
    <w:rsid w:val="00677B01"/>
    <w:rsid w:val="0068026F"/>
    <w:rsid w:val="00684004"/>
    <w:rsid w:val="0068405E"/>
    <w:rsid w:val="006850DD"/>
    <w:rsid w:val="006927A5"/>
    <w:rsid w:val="00692A2C"/>
    <w:rsid w:val="00694C54"/>
    <w:rsid w:val="006A22DD"/>
    <w:rsid w:val="006A3F3C"/>
    <w:rsid w:val="006A7099"/>
    <w:rsid w:val="006B344A"/>
    <w:rsid w:val="006B365C"/>
    <w:rsid w:val="006B6E29"/>
    <w:rsid w:val="006B75AC"/>
    <w:rsid w:val="006B77FA"/>
    <w:rsid w:val="006C142C"/>
    <w:rsid w:val="006C2FDF"/>
    <w:rsid w:val="006C3678"/>
    <w:rsid w:val="006C7761"/>
    <w:rsid w:val="006D0DB7"/>
    <w:rsid w:val="006D1931"/>
    <w:rsid w:val="006D2E9D"/>
    <w:rsid w:val="006D60A3"/>
    <w:rsid w:val="006D67CC"/>
    <w:rsid w:val="006E201D"/>
    <w:rsid w:val="006E2AC2"/>
    <w:rsid w:val="006E4065"/>
    <w:rsid w:val="006E4555"/>
    <w:rsid w:val="006E4E9A"/>
    <w:rsid w:val="006E6EF5"/>
    <w:rsid w:val="006E6F88"/>
    <w:rsid w:val="006E759D"/>
    <w:rsid w:val="006F1B45"/>
    <w:rsid w:val="006F3DD6"/>
    <w:rsid w:val="006F5548"/>
    <w:rsid w:val="006F5A3D"/>
    <w:rsid w:val="006F6446"/>
    <w:rsid w:val="006F7494"/>
    <w:rsid w:val="00701FEB"/>
    <w:rsid w:val="00705A25"/>
    <w:rsid w:val="00705BEA"/>
    <w:rsid w:val="00710899"/>
    <w:rsid w:val="007111CC"/>
    <w:rsid w:val="007126C0"/>
    <w:rsid w:val="0071337F"/>
    <w:rsid w:val="007135C5"/>
    <w:rsid w:val="007145F8"/>
    <w:rsid w:val="00714C4E"/>
    <w:rsid w:val="00715CA2"/>
    <w:rsid w:val="00716FA6"/>
    <w:rsid w:val="007237EA"/>
    <w:rsid w:val="00731555"/>
    <w:rsid w:val="007334AB"/>
    <w:rsid w:val="00733EDF"/>
    <w:rsid w:val="007355A6"/>
    <w:rsid w:val="00735B0D"/>
    <w:rsid w:val="00736022"/>
    <w:rsid w:val="00736B4B"/>
    <w:rsid w:val="00741B18"/>
    <w:rsid w:val="007433AC"/>
    <w:rsid w:val="00743F51"/>
    <w:rsid w:val="00745607"/>
    <w:rsid w:val="00746D21"/>
    <w:rsid w:val="00753317"/>
    <w:rsid w:val="00753E57"/>
    <w:rsid w:val="00757965"/>
    <w:rsid w:val="00763956"/>
    <w:rsid w:val="0076460C"/>
    <w:rsid w:val="00764772"/>
    <w:rsid w:val="00766C89"/>
    <w:rsid w:val="00770441"/>
    <w:rsid w:val="00770468"/>
    <w:rsid w:val="00775DC3"/>
    <w:rsid w:val="00776FE3"/>
    <w:rsid w:val="00777916"/>
    <w:rsid w:val="00781526"/>
    <w:rsid w:val="00782A95"/>
    <w:rsid w:val="00791E54"/>
    <w:rsid w:val="0079301A"/>
    <w:rsid w:val="00793A6D"/>
    <w:rsid w:val="00793BD4"/>
    <w:rsid w:val="00793FA3"/>
    <w:rsid w:val="007945DD"/>
    <w:rsid w:val="00796514"/>
    <w:rsid w:val="00796F41"/>
    <w:rsid w:val="00797AB7"/>
    <w:rsid w:val="007A01BF"/>
    <w:rsid w:val="007A602C"/>
    <w:rsid w:val="007A69F8"/>
    <w:rsid w:val="007A6E24"/>
    <w:rsid w:val="007B0A1A"/>
    <w:rsid w:val="007B1735"/>
    <w:rsid w:val="007B33B7"/>
    <w:rsid w:val="007B398D"/>
    <w:rsid w:val="007B43CC"/>
    <w:rsid w:val="007B682B"/>
    <w:rsid w:val="007B6DAF"/>
    <w:rsid w:val="007C11CB"/>
    <w:rsid w:val="007C4ED4"/>
    <w:rsid w:val="007C5961"/>
    <w:rsid w:val="007D2352"/>
    <w:rsid w:val="007D2680"/>
    <w:rsid w:val="007D3363"/>
    <w:rsid w:val="007D5A05"/>
    <w:rsid w:val="007D5F8C"/>
    <w:rsid w:val="007D70D0"/>
    <w:rsid w:val="007E07AE"/>
    <w:rsid w:val="007E1912"/>
    <w:rsid w:val="007E1F3B"/>
    <w:rsid w:val="007E2586"/>
    <w:rsid w:val="007E629F"/>
    <w:rsid w:val="007E79D7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20E7"/>
    <w:rsid w:val="00803E96"/>
    <w:rsid w:val="00810D4F"/>
    <w:rsid w:val="00811174"/>
    <w:rsid w:val="00811B49"/>
    <w:rsid w:val="00814786"/>
    <w:rsid w:val="00815E48"/>
    <w:rsid w:val="00816811"/>
    <w:rsid w:val="00822041"/>
    <w:rsid w:val="00822759"/>
    <w:rsid w:val="00824DF6"/>
    <w:rsid w:val="00825C99"/>
    <w:rsid w:val="008327BE"/>
    <w:rsid w:val="00837F1E"/>
    <w:rsid w:val="00840EBB"/>
    <w:rsid w:val="008436F7"/>
    <w:rsid w:val="008444B0"/>
    <w:rsid w:val="0084571A"/>
    <w:rsid w:val="00846200"/>
    <w:rsid w:val="0085003A"/>
    <w:rsid w:val="008552D6"/>
    <w:rsid w:val="008610FE"/>
    <w:rsid w:val="00863261"/>
    <w:rsid w:val="00864639"/>
    <w:rsid w:val="008663EB"/>
    <w:rsid w:val="00867620"/>
    <w:rsid w:val="008703FF"/>
    <w:rsid w:val="00870881"/>
    <w:rsid w:val="0087125A"/>
    <w:rsid w:val="00872355"/>
    <w:rsid w:val="00872CB5"/>
    <w:rsid w:val="00875B0E"/>
    <w:rsid w:val="008947F5"/>
    <w:rsid w:val="00894C91"/>
    <w:rsid w:val="008A299E"/>
    <w:rsid w:val="008A3B8C"/>
    <w:rsid w:val="008A44E1"/>
    <w:rsid w:val="008A6C7F"/>
    <w:rsid w:val="008A7B7E"/>
    <w:rsid w:val="008B15D8"/>
    <w:rsid w:val="008B2AAF"/>
    <w:rsid w:val="008B33A7"/>
    <w:rsid w:val="008B3B5E"/>
    <w:rsid w:val="008B58F8"/>
    <w:rsid w:val="008B625F"/>
    <w:rsid w:val="008C05C3"/>
    <w:rsid w:val="008C27CE"/>
    <w:rsid w:val="008C4763"/>
    <w:rsid w:val="008C5E4E"/>
    <w:rsid w:val="008D00D2"/>
    <w:rsid w:val="008D21DE"/>
    <w:rsid w:val="008D3CA5"/>
    <w:rsid w:val="008D5FB8"/>
    <w:rsid w:val="008D7A28"/>
    <w:rsid w:val="008E0517"/>
    <w:rsid w:val="008E33A1"/>
    <w:rsid w:val="008E4092"/>
    <w:rsid w:val="008F11C8"/>
    <w:rsid w:val="008F66E7"/>
    <w:rsid w:val="0090300F"/>
    <w:rsid w:val="00903DE5"/>
    <w:rsid w:val="00913BEB"/>
    <w:rsid w:val="00920965"/>
    <w:rsid w:val="009216B6"/>
    <w:rsid w:val="00924D28"/>
    <w:rsid w:val="00924D62"/>
    <w:rsid w:val="00930098"/>
    <w:rsid w:val="009332D3"/>
    <w:rsid w:val="00935328"/>
    <w:rsid w:val="00935401"/>
    <w:rsid w:val="00936B4D"/>
    <w:rsid w:val="009403CB"/>
    <w:rsid w:val="00941445"/>
    <w:rsid w:val="00944092"/>
    <w:rsid w:val="0094638F"/>
    <w:rsid w:val="009466A4"/>
    <w:rsid w:val="00946F37"/>
    <w:rsid w:val="00955B70"/>
    <w:rsid w:val="00957769"/>
    <w:rsid w:val="00957E32"/>
    <w:rsid w:val="009615E6"/>
    <w:rsid w:val="00961D34"/>
    <w:rsid w:val="009630F6"/>
    <w:rsid w:val="009643C6"/>
    <w:rsid w:val="00971726"/>
    <w:rsid w:val="00971D6F"/>
    <w:rsid w:val="00972DD8"/>
    <w:rsid w:val="00975A2D"/>
    <w:rsid w:val="009762C3"/>
    <w:rsid w:val="009809FC"/>
    <w:rsid w:val="00982AA4"/>
    <w:rsid w:val="00982FBA"/>
    <w:rsid w:val="00984C2B"/>
    <w:rsid w:val="00984FFB"/>
    <w:rsid w:val="00985E6B"/>
    <w:rsid w:val="00986267"/>
    <w:rsid w:val="00986C25"/>
    <w:rsid w:val="009905F1"/>
    <w:rsid w:val="00991024"/>
    <w:rsid w:val="00993DFA"/>
    <w:rsid w:val="009A1C72"/>
    <w:rsid w:val="009A1DFB"/>
    <w:rsid w:val="009A3154"/>
    <w:rsid w:val="009A34E5"/>
    <w:rsid w:val="009A389D"/>
    <w:rsid w:val="009A3BFF"/>
    <w:rsid w:val="009A647E"/>
    <w:rsid w:val="009A6621"/>
    <w:rsid w:val="009B13A0"/>
    <w:rsid w:val="009B2C8D"/>
    <w:rsid w:val="009B371B"/>
    <w:rsid w:val="009B7CBC"/>
    <w:rsid w:val="009C0F77"/>
    <w:rsid w:val="009C36F3"/>
    <w:rsid w:val="009C41D8"/>
    <w:rsid w:val="009C44C5"/>
    <w:rsid w:val="009C48C9"/>
    <w:rsid w:val="009D4A03"/>
    <w:rsid w:val="009E0CAE"/>
    <w:rsid w:val="009E269C"/>
    <w:rsid w:val="009E2750"/>
    <w:rsid w:val="009E42F7"/>
    <w:rsid w:val="009E4CC9"/>
    <w:rsid w:val="009E53C6"/>
    <w:rsid w:val="009E6B01"/>
    <w:rsid w:val="009F5E5D"/>
    <w:rsid w:val="00A00F54"/>
    <w:rsid w:val="00A047C6"/>
    <w:rsid w:val="00A058D9"/>
    <w:rsid w:val="00A06C04"/>
    <w:rsid w:val="00A06D49"/>
    <w:rsid w:val="00A108BA"/>
    <w:rsid w:val="00A1291F"/>
    <w:rsid w:val="00A12C1B"/>
    <w:rsid w:val="00A13153"/>
    <w:rsid w:val="00A1387C"/>
    <w:rsid w:val="00A14CE0"/>
    <w:rsid w:val="00A15244"/>
    <w:rsid w:val="00A22D49"/>
    <w:rsid w:val="00A25891"/>
    <w:rsid w:val="00A303CB"/>
    <w:rsid w:val="00A32AD4"/>
    <w:rsid w:val="00A33F59"/>
    <w:rsid w:val="00A346DD"/>
    <w:rsid w:val="00A36909"/>
    <w:rsid w:val="00A37905"/>
    <w:rsid w:val="00A37F61"/>
    <w:rsid w:val="00A40F01"/>
    <w:rsid w:val="00A42754"/>
    <w:rsid w:val="00A474BF"/>
    <w:rsid w:val="00A47542"/>
    <w:rsid w:val="00A53A63"/>
    <w:rsid w:val="00A553F8"/>
    <w:rsid w:val="00A5586E"/>
    <w:rsid w:val="00A56ABF"/>
    <w:rsid w:val="00A5775A"/>
    <w:rsid w:val="00A64725"/>
    <w:rsid w:val="00A65462"/>
    <w:rsid w:val="00A700EF"/>
    <w:rsid w:val="00A72492"/>
    <w:rsid w:val="00A74C39"/>
    <w:rsid w:val="00A75868"/>
    <w:rsid w:val="00A76391"/>
    <w:rsid w:val="00A76E11"/>
    <w:rsid w:val="00A7772E"/>
    <w:rsid w:val="00A77BBF"/>
    <w:rsid w:val="00A80B27"/>
    <w:rsid w:val="00A8444F"/>
    <w:rsid w:val="00A86CE3"/>
    <w:rsid w:val="00A94175"/>
    <w:rsid w:val="00AA014E"/>
    <w:rsid w:val="00AA1561"/>
    <w:rsid w:val="00AA1E07"/>
    <w:rsid w:val="00AA33DA"/>
    <w:rsid w:val="00AA3F44"/>
    <w:rsid w:val="00AA4374"/>
    <w:rsid w:val="00AA6389"/>
    <w:rsid w:val="00AA64E5"/>
    <w:rsid w:val="00AA6C06"/>
    <w:rsid w:val="00AB1454"/>
    <w:rsid w:val="00AB1727"/>
    <w:rsid w:val="00AB3133"/>
    <w:rsid w:val="00AB4E9F"/>
    <w:rsid w:val="00AC2B7E"/>
    <w:rsid w:val="00AC2F43"/>
    <w:rsid w:val="00AC451C"/>
    <w:rsid w:val="00AD1E10"/>
    <w:rsid w:val="00AD2EF1"/>
    <w:rsid w:val="00AD4BCC"/>
    <w:rsid w:val="00AD5A92"/>
    <w:rsid w:val="00AE0B11"/>
    <w:rsid w:val="00AE2767"/>
    <w:rsid w:val="00AE340B"/>
    <w:rsid w:val="00AE3EC3"/>
    <w:rsid w:val="00AE41A0"/>
    <w:rsid w:val="00AE4F91"/>
    <w:rsid w:val="00AE5B4A"/>
    <w:rsid w:val="00AE6A72"/>
    <w:rsid w:val="00AF08E9"/>
    <w:rsid w:val="00AF0F8E"/>
    <w:rsid w:val="00AF16A2"/>
    <w:rsid w:val="00AF3E34"/>
    <w:rsid w:val="00B00C4C"/>
    <w:rsid w:val="00B063E2"/>
    <w:rsid w:val="00B07EF4"/>
    <w:rsid w:val="00B11517"/>
    <w:rsid w:val="00B12B0E"/>
    <w:rsid w:val="00B254AD"/>
    <w:rsid w:val="00B305F0"/>
    <w:rsid w:val="00B30901"/>
    <w:rsid w:val="00B30C5E"/>
    <w:rsid w:val="00B324DC"/>
    <w:rsid w:val="00B339C4"/>
    <w:rsid w:val="00B40E79"/>
    <w:rsid w:val="00B4215E"/>
    <w:rsid w:val="00B46108"/>
    <w:rsid w:val="00B4610A"/>
    <w:rsid w:val="00B46E4C"/>
    <w:rsid w:val="00B50183"/>
    <w:rsid w:val="00B51419"/>
    <w:rsid w:val="00B51B74"/>
    <w:rsid w:val="00B52247"/>
    <w:rsid w:val="00B54301"/>
    <w:rsid w:val="00B56876"/>
    <w:rsid w:val="00B61E79"/>
    <w:rsid w:val="00B6203D"/>
    <w:rsid w:val="00B635A4"/>
    <w:rsid w:val="00B649F9"/>
    <w:rsid w:val="00B66203"/>
    <w:rsid w:val="00B67538"/>
    <w:rsid w:val="00B70699"/>
    <w:rsid w:val="00B740D8"/>
    <w:rsid w:val="00B74FCA"/>
    <w:rsid w:val="00B77E16"/>
    <w:rsid w:val="00B8174F"/>
    <w:rsid w:val="00B81B08"/>
    <w:rsid w:val="00B842A4"/>
    <w:rsid w:val="00B85EBA"/>
    <w:rsid w:val="00B86D74"/>
    <w:rsid w:val="00B86DE1"/>
    <w:rsid w:val="00B90481"/>
    <w:rsid w:val="00B90D08"/>
    <w:rsid w:val="00B91F2F"/>
    <w:rsid w:val="00B91F34"/>
    <w:rsid w:val="00B922F0"/>
    <w:rsid w:val="00B935C1"/>
    <w:rsid w:val="00B950D8"/>
    <w:rsid w:val="00B951EB"/>
    <w:rsid w:val="00BA0E9E"/>
    <w:rsid w:val="00BA43D6"/>
    <w:rsid w:val="00BB04A6"/>
    <w:rsid w:val="00BB07D7"/>
    <w:rsid w:val="00BB0B64"/>
    <w:rsid w:val="00BB1851"/>
    <w:rsid w:val="00BB383A"/>
    <w:rsid w:val="00BB5F01"/>
    <w:rsid w:val="00BB60A5"/>
    <w:rsid w:val="00BC0336"/>
    <w:rsid w:val="00BC0433"/>
    <w:rsid w:val="00BC432F"/>
    <w:rsid w:val="00BC4D3E"/>
    <w:rsid w:val="00BC660B"/>
    <w:rsid w:val="00BC759D"/>
    <w:rsid w:val="00BC7AB6"/>
    <w:rsid w:val="00BD0D3E"/>
    <w:rsid w:val="00BD2319"/>
    <w:rsid w:val="00BD27F8"/>
    <w:rsid w:val="00BD3F2E"/>
    <w:rsid w:val="00BD4CEC"/>
    <w:rsid w:val="00BD6AC0"/>
    <w:rsid w:val="00BD7ADC"/>
    <w:rsid w:val="00BE1761"/>
    <w:rsid w:val="00BE3414"/>
    <w:rsid w:val="00BE3893"/>
    <w:rsid w:val="00BE3F28"/>
    <w:rsid w:val="00BE3F2B"/>
    <w:rsid w:val="00BE5310"/>
    <w:rsid w:val="00BF05A8"/>
    <w:rsid w:val="00BF1551"/>
    <w:rsid w:val="00BF36B3"/>
    <w:rsid w:val="00C00CFE"/>
    <w:rsid w:val="00C02CEF"/>
    <w:rsid w:val="00C049FB"/>
    <w:rsid w:val="00C07B82"/>
    <w:rsid w:val="00C10469"/>
    <w:rsid w:val="00C12AB9"/>
    <w:rsid w:val="00C15A30"/>
    <w:rsid w:val="00C174AA"/>
    <w:rsid w:val="00C21A63"/>
    <w:rsid w:val="00C24A58"/>
    <w:rsid w:val="00C2652A"/>
    <w:rsid w:val="00C265DE"/>
    <w:rsid w:val="00C269F1"/>
    <w:rsid w:val="00C30159"/>
    <w:rsid w:val="00C30D3B"/>
    <w:rsid w:val="00C31A5D"/>
    <w:rsid w:val="00C33661"/>
    <w:rsid w:val="00C3740F"/>
    <w:rsid w:val="00C40581"/>
    <w:rsid w:val="00C43985"/>
    <w:rsid w:val="00C44288"/>
    <w:rsid w:val="00C4440A"/>
    <w:rsid w:val="00C464DA"/>
    <w:rsid w:val="00C50B1C"/>
    <w:rsid w:val="00C510AB"/>
    <w:rsid w:val="00C5279E"/>
    <w:rsid w:val="00C534E1"/>
    <w:rsid w:val="00C53812"/>
    <w:rsid w:val="00C54017"/>
    <w:rsid w:val="00C550FD"/>
    <w:rsid w:val="00C5672F"/>
    <w:rsid w:val="00C57BD2"/>
    <w:rsid w:val="00C60722"/>
    <w:rsid w:val="00C6367C"/>
    <w:rsid w:val="00C6598C"/>
    <w:rsid w:val="00C66C47"/>
    <w:rsid w:val="00C71231"/>
    <w:rsid w:val="00C718CD"/>
    <w:rsid w:val="00C73150"/>
    <w:rsid w:val="00C744C9"/>
    <w:rsid w:val="00C75102"/>
    <w:rsid w:val="00C817D6"/>
    <w:rsid w:val="00C82D0C"/>
    <w:rsid w:val="00C83D13"/>
    <w:rsid w:val="00C85275"/>
    <w:rsid w:val="00C90B7F"/>
    <w:rsid w:val="00C90F39"/>
    <w:rsid w:val="00C91DE7"/>
    <w:rsid w:val="00C92095"/>
    <w:rsid w:val="00C92515"/>
    <w:rsid w:val="00C94E2D"/>
    <w:rsid w:val="00C95BCB"/>
    <w:rsid w:val="00C974D4"/>
    <w:rsid w:val="00CB2555"/>
    <w:rsid w:val="00CB5C32"/>
    <w:rsid w:val="00CB5CD3"/>
    <w:rsid w:val="00CB5E57"/>
    <w:rsid w:val="00CB7A6F"/>
    <w:rsid w:val="00CC620E"/>
    <w:rsid w:val="00CC75F9"/>
    <w:rsid w:val="00CC7750"/>
    <w:rsid w:val="00CD09A4"/>
    <w:rsid w:val="00CD0E65"/>
    <w:rsid w:val="00CD10F7"/>
    <w:rsid w:val="00CD409D"/>
    <w:rsid w:val="00CD4B38"/>
    <w:rsid w:val="00CD53ED"/>
    <w:rsid w:val="00CD582C"/>
    <w:rsid w:val="00CE0F85"/>
    <w:rsid w:val="00CE119C"/>
    <w:rsid w:val="00CE577D"/>
    <w:rsid w:val="00CE670D"/>
    <w:rsid w:val="00CF2721"/>
    <w:rsid w:val="00CF456C"/>
    <w:rsid w:val="00CF5DEB"/>
    <w:rsid w:val="00CF72E9"/>
    <w:rsid w:val="00CF74E2"/>
    <w:rsid w:val="00D0330D"/>
    <w:rsid w:val="00D03C0F"/>
    <w:rsid w:val="00D1010A"/>
    <w:rsid w:val="00D1391B"/>
    <w:rsid w:val="00D1624F"/>
    <w:rsid w:val="00D20A66"/>
    <w:rsid w:val="00D21777"/>
    <w:rsid w:val="00D22854"/>
    <w:rsid w:val="00D23836"/>
    <w:rsid w:val="00D241E2"/>
    <w:rsid w:val="00D26A8F"/>
    <w:rsid w:val="00D325D0"/>
    <w:rsid w:val="00D33951"/>
    <w:rsid w:val="00D37DB1"/>
    <w:rsid w:val="00D405FC"/>
    <w:rsid w:val="00D42384"/>
    <w:rsid w:val="00D43896"/>
    <w:rsid w:val="00D45C5F"/>
    <w:rsid w:val="00D538B5"/>
    <w:rsid w:val="00D54B4A"/>
    <w:rsid w:val="00D55C02"/>
    <w:rsid w:val="00D56BB9"/>
    <w:rsid w:val="00D61C25"/>
    <w:rsid w:val="00D62CC9"/>
    <w:rsid w:val="00D64DEC"/>
    <w:rsid w:val="00D65B96"/>
    <w:rsid w:val="00D707B3"/>
    <w:rsid w:val="00D71F7F"/>
    <w:rsid w:val="00D744AC"/>
    <w:rsid w:val="00D75179"/>
    <w:rsid w:val="00D7724D"/>
    <w:rsid w:val="00D77EAE"/>
    <w:rsid w:val="00D936AC"/>
    <w:rsid w:val="00D93F71"/>
    <w:rsid w:val="00D943DC"/>
    <w:rsid w:val="00D952E7"/>
    <w:rsid w:val="00DA0EE7"/>
    <w:rsid w:val="00DA2B4C"/>
    <w:rsid w:val="00DA39C5"/>
    <w:rsid w:val="00DA672A"/>
    <w:rsid w:val="00DA708A"/>
    <w:rsid w:val="00DB1167"/>
    <w:rsid w:val="00DB51B3"/>
    <w:rsid w:val="00DB5E0F"/>
    <w:rsid w:val="00DC0FBB"/>
    <w:rsid w:val="00DC12BC"/>
    <w:rsid w:val="00DC15ED"/>
    <w:rsid w:val="00DC2299"/>
    <w:rsid w:val="00DC23FC"/>
    <w:rsid w:val="00DC27B0"/>
    <w:rsid w:val="00DC3704"/>
    <w:rsid w:val="00DC4350"/>
    <w:rsid w:val="00DC513A"/>
    <w:rsid w:val="00DC637B"/>
    <w:rsid w:val="00DC6EA0"/>
    <w:rsid w:val="00DC770C"/>
    <w:rsid w:val="00DD0F99"/>
    <w:rsid w:val="00DD1090"/>
    <w:rsid w:val="00DD30B2"/>
    <w:rsid w:val="00DD5C2C"/>
    <w:rsid w:val="00DD78C8"/>
    <w:rsid w:val="00DE0A4B"/>
    <w:rsid w:val="00DE7474"/>
    <w:rsid w:val="00DF0EB0"/>
    <w:rsid w:val="00DF2577"/>
    <w:rsid w:val="00DF6FFD"/>
    <w:rsid w:val="00DF7F37"/>
    <w:rsid w:val="00E05220"/>
    <w:rsid w:val="00E075CE"/>
    <w:rsid w:val="00E1041B"/>
    <w:rsid w:val="00E21BD0"/>
    <w:rsid w:val="00E21E4A"/>
    <w:rsid w:val="00E26609"/>
    <w:rsid w:val="00E33CA9"/>
    <w:rsid w:val="00E36ACB"/>
    <w:rsid w:val="00E37174"/>
    <w:rsid w:val="00E404D6"/>
    <w:rsid w:val="00E40793"/>
    <w:rsid w:val="00E42527"/>
    <w:rsid w:val="00E430A3"/>
    <w:rsid w:val="00E466E5"/>
    <w:rsid w:val="00E54306"/>
    <w:rsid w:val="00E60808"/>
    <w:rsid w:val="00E6094F"/>
    <w:rsid w:val="00E64C44"/>
    <w:rsid w:val="00E67F80"/>
    <w:rsid w:val="00E71FFF"/>
    <w:rsid w:val="00E73ECC"/>
    <w:rsid w:val="00E758A1"/>
    <w:rsid w:val="00E765CD"/>
    <w:rsid w:val="00E7721C"/>
    <w:rsid w:val="00E77426"/>
    <w:rsid w:val="00E77B0B"/>
    <w:rsid w:val="00E80BB9"/>
    <w:rsid w:val="00E82446"/>
    <w:rsid w:val="00E82977"/>
    <w:rsid w:val="00E838BE"/>
    <w:rsid w:val="00E84324"/>
    <w:rsid w:val="00E858E0"/>
    <w:rsid w:val="00E97680"/>
    <w:rsid w:val="00EA05C9"/>
    <w:rsid w:val="00EA24C3"/>
    <w:rsid w:val="00EA429E"/>
    <w:rsid w:val="00EA6AE2"/>
    <w:rsid w:val="00EB21C9"/>
    <w:rsid w:val="00EB2EE9"/>
    <w:rsid w:val="00EB3216"/>
    <w:rsid w:val="00EB3A2B"/>
    <w:rsid w:val="00EB6539"/>
    <w:rsid w:val="00EB6697"/>
    <w:rsid w:val="00EC0703"/>
    <w:rsid w:val="00EC401B"/>
    <w:rsid w:val="00EC5B15"/>
    <w:rsid w:val="00ED316F"/>
    <w:rsid w:val="00ED47EC"/>
    <w:rsid w:val="00ED709C"/>
    <w:rsid w:val="00ED7456"/>
    <w:rsid w:val="00ED7F42"/>
    <w:rsid w:val="00EE1262"/>
    <w:rsid w:val="00EE265E"/>
    <w:rsid w:val="00EE280D"/>
    <w:rsid w:val="00EE385A"/>
    <w:rsid w:val="00EE6872"/>
    <w:rsid w:val="00EE6E7C"/>
    <w:rsid w:val="00EF4A8B"/>
    <w:rsid w:val="00EF6CF6"/>
    <w:rsid w:val="00F05E94"/>
    <w:rsid w:val="00F07317"/>
    <w:rsid w:val="00F106B7"/>
    <w:rsid w:val="00F10F26"/>
    <w:rsid w:val="00F112A8"/>
    <w:rsid w:val="00F122C0"/>
    <w:rsid w:val="00F134C8"/>
    <w:rsid w:val="00F13AD1"/>
    <w:rsid w:val="00F14A72"/>
    <w:rsid w:val="00F15458"/>
    <w:rsid w:val="00F1592D"/>
    <w:rsid w:val="00F17918"/>
    <w:rsid w:val="00F21976"/>
    <w:rsid w:val="00F23E06"/>
    <w:rsid w:val="00F27836"/>
    <w:rsid w:val="00F27FC0"/>
    <w:rsid w:val="00F304F2"/>
    <w:rsid w:val="00F31B40"/>
    <w:rsid w:val="00F34894"/>
    <w:rsid w:val="00F416BF"/>
    <w:rsid w:val="00F441F1"/>
    <w:rsid w:val="00F44AE4"/>
    <w:rsid w:val="00F454DA"/>
    <w:rsid w:val="00F45600"/>
    <w:rsid w:val="00F458BE"/>
    <w:rsid w:val="00F45A03"/>
    <w:rsid w:val="00F470D4"/>
    <w:rsid w:val="00F47218"/>
    <w:rsid w:val="00F51F39"/>
    <w:rsid w:val="00F52DDA"/>
    <w:rsid w:val="00F551FA"/>
    <w:rsid w:val="00F575A4"/>
    <w:rsid w:val="00F604BA"/>
    <w:rsid w:val="00F63151"/>
    <w:rsid w:val="00F65203"/>
    <w:rsid w:val="00F72194"/>
    <w:rsid w:val="00F72B0C"/>
    <w:rsid w:val="00F72FD4"/>
    <w:rsid w:val="00F7357D"/>
    <w:rsid w:val="00F75BEE"/>
    <w:rsid w:val="00F82848"/>
    <w:rsid w:val="00F83B09"/>
    <w:rsid w:val="00F92CFC"/>
    <w:rsid w:val="00F93DAF"/>
    <w:rsid w:val="00F96518"/>
    <w:rsid w:val="00F970BE"/>
    <w:rsid w:val="00FA0A87"/>
    <w:rsid w:val="00FA2822"/>
    <w:rsid w:val="00FA59F5"/>
    <w:rsid w:val="00FA791F"/>
    <w:rsid w:val="00FB53E2"/>
    <w:rsid w:val="00FC29A4"/>
    <w:rsid w:val="00FC5A8C"/>
    <w:rsid w:val="00FD03FA"/>
    <w:rsid w:val="00FD15C5"/>
    <w:rsid w:val="00FD2D0B"/>
    <w:rsid w:val="00FD5BEE"/>
    <w:rsid w:val="00FD6AEE"/>
    <w:rsid w:val="00FD7913"/>
    <w:rsid w:val="00FE2956"/>
    <w:rsid w:val="00FE2F96"/>
    <w:rsid w:val="00FE452F"/>
    <w:rsid w:val="00FE50E9"/>
    <w:rsid w:val="00FE71F0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7EC15"/>
  <w15:docId w15:val="{77C3ECD3-265C-4671-BBEE-2E63CF11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595E53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ronavirus.gimbe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normativasanitaria.it/jsp/dettaglio.jsp?id=8295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mativasanitaria.it/jsp/dettaglio.jsp?id=82776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www.ema.europa.eu/en/news/comirnaty-spikevax-ema-recommendations-extra-doses-boosters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ss.it/web/guest/primo-piano/-/asset_publisher/3f4alMwzN1Z7/content/id/5854082" TargetMode="External"/><Relationship Id="rId14" Type="http://schemas.openxmlformats.org/officeDocument/2006/relationships/hyperlink" Target="mailto:ufficio.stampa@gimbe.org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25243-D30E-4563-8324-88A5C60C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1889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9</cp:revision>
  <cp:lastPrinted>2021-09-29T09:01:00Z</cp:lastPrinted>
  <dcterms:created xsi:type="dcterms:W3CDTF">2021-10-06T20:53:00Z</dcterms:created>
  <dcterms:modified xsi:type="dcterms:W3CDTF">2021-10-07T08:10:00Z</dcterms:modified>
</cp:coreProperties>
</file>