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684B" w:rsidRPr="00FB6128" w:rsidRDefault="00BD684B" w:rsidP="00CD7610">
      <w:pPr>
        <w:spacing w:after="0"/>
        <w:jc w:val="center"/>
        <w:rPr>
          <w:rFonts w:cs="Calibri"/>
          <w:b/>
          <w:bCs/>
          <w:color w:val="auto"/>
          <w:sz w:val="32"/>
          <w:szCs w:val="32"/>
        </w:rPr>
      </w:pPr>
      <w:r w:rsidRPr="00FB6128">
        <w:rPr>
          <w:b/>
          <w:bCs/>
          <w:color w:val="auto"/>
          <w:sz w:val="32"/>
          <w:szCs w:val="32"/>
        </w:rPr>
        <w:t>COMUNICATO STAMPA</w:t>
      </w:r>
    </w:p>
    <w:p w:rsidR="00BF469C" w:rsidRDefault="002C7D11" w:rsidP="002C7D11">
      <w:pPr>
        <w:spacing w:after="0" w:line="276" w:lineRule="auto"/>
        <w:jc w:val="center"/>
        <w:rPr>
          <w:b/>
          <w:bCs/>
          <w:color w:val="auto"/>
          <w:spacing w:val="-2"/>
          <w:sz w:val="32"/>
          <w:szCs w:val="32"/>
        </w:rPr>
      </w:pPr>
      <w:r w:rsidRPr="000367CF">
        <w:rPr>
          <w:b/>
          <w:bCs/>
          <w:color w:val="auto"/>
          <w:spacing w:val="-2"/>
          <w:sz w:val="32"/>
          <w:szCs w:val="32"/>
        </w:rPr>
        <w:t>CORONAVIRUS: CONTINUANO A SALIRE I NUOVI CASI (+37,7%)</w:t>
      </w:r>
      <w:r w:rsidR="00BF469C">
        <w:rPr>
          <w:b/>
          <w:bCs/>
          <w:color w:val="auto"/>
          <w:spacing w:val="-2"/>
          <w:sz w:val="32"/>
          <w:szCs w:val="32"/>
        </w:rPr>
        <w:t xml:space="preserve">, </w:t>
      </w:r>
      <w:r w:rsidR="00BF469C">
        <w:rPr>
          <w:b/>
          <w:bCs/>
          <w:color w:val="auto"/>
          <w:spacing w:val="-2"/>
          <w:sz w:val="32"/>
          <w:szCs w:val="32"/>
        </w:rPr>
        <w:br/>
      </w:r>
      <w:r>
        <w:rPr>
          <w:b/>
          <w:bCs/>
          <w:color w:val="auto"/>
          <w:spacing w:val="-2"/>
          <w:sz w:val="32"/>
          <w:szCs w:val="32"/>
        </w:rPr>
        <w:t xml:space="preserve">I </w:t>
      </w:r>
      <w:r w:rsidRPr="000367CF">
        <w:rPr>
          <w:b/>
          <w:bCs/>
          <w:color w:val="auto"/>
          <w:spacing w:val="-2"/>
          <w:sz w:val="32"/>
          <w:szCs w:val="32"/>
        </w:rPr>
        <w:t xml:space="preserve">POSITIVI </w:t>
      </w:r>
      <w:r w:rsidR="00CD7610">
        <w:rPr>
          <w:b/>
          <w:bCs/>
          <w:color w:val="auto"/>
          <w:spacing w:val="-2"/>
          <w:sz w:val="32"/>
          <w:szCs w:val="32"/>
        </w:rPr>
        <w:t>SUPERANO QUOTA</w:t>
      </w:r>
      <w:r w:rsidRPr="000367CF">
        <w:rPr>
          <w:b/>
          <w:bCs/>
          <w:color w:val="auto"/>
          <w:spacing w:val="-2"/>
          <w:sz w:val="32"/>
          <w:szCs w:val="32"/>
        </w:rPr>
        <w:t xml:space="preserve"> 100 MILA. </w:t>
      </w:r>
    </w:p>
    <w:p w:rsidR="002C7D11" w:rsidRPr="000367CF" w:rsidRDefault="002C7D11" w:rsidP="002C7D11">
      <w:pPr>
        <w:spacing w:after="0" w:line="276" w:lineRule="auto"/>
        <w:jc w:val="center"/>
        <w:rPr>
          <w:b/>
          <w:bCs/>
          <w:color w:val="auto"/>
          <w:spacing w:val="-2"/>
          <w:sz w:val="32"/>
          <w:szCs w:val="32"/>
        </w:rPr>
      </w:pPr>
      <w:r>
        <w:rPr>
          <w:b/>
          <w:bCs/>
          <w:color w:val="auto"/>
          <w:spacing w:val="-2"/>
          <w:sz w:val="32"/>
          <w:szCs w:val="32"/>
        </w:rPr>
        <w:t xml:space="preserve">AUMENTANO </w:t>
      </w:r>
      <w:r w:rsidRPr="000367CF">
        <w:rPr>
          <w:b/>
          <w:bCs/>
          <w:color w:val="auto"/>
          <w:spacing w:val="-2"/>
          <w:sz w:val="32"/>
          <w:szCs w:val="32"/>
        </w:rPr>
        <w:t>RICOVERI (+14,8%) E TERAPIE INTENSIVE (+9,4%)</w:t>
      </w:r>
      <w:r w:rsidR="00BF469C">
        <w:rPr>
          <w:b/>
          <w:bCs/>
          <w:color w:val="auto"/>
          <w:spacing w:val="-2"/>
          <w:sz w:val="32"/>
          <w:szCs w:val="32"/>
        </w:rPr>
        <w:t>,</w:t>
      </w:r>
      <w:r w:rsidRPr="000367CF">
        <w:rPr>
          <w:b/>
          <w:bCs/>
          <w:color w:val="auto"/>
          <w:spacing w:val="-2"/>
          <w:sz w:val="32"/>
          <w:szCs w:val="32"/>
        </w:rPr>
        <w:t xml:space="preserve"> </w:t>
      </w:r>
      <w:r w:rsidR="00BF469C">
        <w:rPr>
          <w:b/>
          <w:bCs/>
          <w:color w:val="auto"/>
          <w:spacing w:val="-2"/>
          <w:sz w:val="32"/>
          <w:szCs w:val="32"/>
        </w:rPr>
        <w:br/>
      </w:r>
      <w:r w:rsidRPr="000367CF">
        <w:rPr>
          <w:b/>
          <w:bCs/>
          <w:color w:val="auto"/>
          <w:spacing w:val="-2"/>
          <w:sz w:val="32"/>
          <w:szCs w:val="32"/>
        </w:rPr>
        <w:t xml:space="preserve">MA </w:t>
      </w:r>
      <w:r w:rsidR="00CD7610">
        <w:rPr>
          <w:b/>
          <w:bCs/>
          <w:color w:val="auto"/>
          <w:spacing w:val="-2"/>
          <w:sz w:val="32"/>
          <w:szCs w:val="32"/>
        </w:rPr>
        <w:t xml:space="preserve">PER ORA </w:t>
      </w:r>
      <w:r w:rsidRPr="000367CF">
        <w:rPr>
          <w:b/>
          <w:bCs/>
          <w:color w:val="auto"/>
          <w:spacing w:val="-2"/>
          <w:sz w:val="32"/>
          <w:szCs w:val="32"/>
        </w:rPr>
        <w:t>NESSUN</w:t>
      </w:r>
      <w:r w:rsidR="00BF469C">
        <w:rPr>
          <w:b/>
          <w:bCs/>
          <w:color w:val="auto"/>
          <w:spacing w:val="-2"/>
          <w:sz w:val="32"/>
          <w:szCs w:val="32"/>
        </w:rPr>
        <w:t>A REGIONE</w:t>
      </w:r>
      <w:r w:rsidRPr="000367CF">
        <w:rPr>
          <w:b/>
          <w:bCs/>
          <w:color w:val="auto"/>
          <w:spacing w:val="-2"/>
          <w:sz w:val="32"/>
          <w:szCs w:val="32"/>
        </w:rPr>
        <w:t xml:space="preserve"> </w:t>
      </w:r>
      <w:r w:rsidR="00BF469C">
        <w:rPr>
          <w:b/>
          <w:bCs/>
          <w:color w:val="auto"/>
          <w:spacing w:val="-2"/>
          <w:sz w:val="32"/>
          <w:szCs w:val="32"/>
        </w:rPr>
        <w:t xml:space="preserve">RISCHIA LA </w:t>
      </w:r>
      <w:r w:rsidRPr="000367CF">
        <w:rPr>
          <w:b/>
          <w:bCs/>
          <w:color w:val="auto"/>
          <w:spacing w:val="-2"/>
          <w:sz w:val="32"/>
          <w:szCs w:val="32"/>
        </w:rPr>
        <w:t>ZONA GIALLA.</w:t>
      </w:r>
    </w:p>
    <w:p w:rsidR="002C7D11" w:rsidRDefault="00440DF1" w:rsidP="00BF469C">
      <w:pPr>
        <w:spacing w:after="0" w:line="276" w:lineRule="auto"/>
        <w:jc w:val="center"/>
        <w:rPr>
          <w:b/>
          <w:bCs/>
          <w:color w:val="auto"/>
          <w:spacing w:val="-2"/>
          <w:sz w:val="32"/>
          <w:szCs w:val="32"/>
        </w:rPr>
      </w:pPr>
      <w:r>
        <w:rPr>
          <w:b/>
          <w:bCs/>
          <w:color w:val="auto"/>
          <w:spacing w:val="-2"/>
          <w:sz w:val="32"/>
          <w:szCs w:val="32"/>
        </w:rPr>
        <w:t xml:space="preserve">VACCINI: </w:t>
      </w:r>
      <w:r w:rsidR="00BF469C">
        <w:rPr>
          <w:b/>
          <w:bCs/>
          <w:color w:val="auto"/>
          <w:spacing w:val="-2"/>
          <w:sz w:val="32"/>
          <w:szCs w:val="32"/>
        </w:rPr>
        <w:t xml:space="preserve">CON </w:t>
      </w:r>
      <w:r w:rsidR="00CD7610" w:rsidRPr="000367CF">
        <w:rPr>
          <w:b/>
          <w:bCs/>
          <w:color w:val="auto"/>
          <w:spacing w:val="-2"/>
          <w:sz w:val="32"/>
          <w:szCs w:val="32"/>
        </w:rPr>
        <w:t xml:space="preserve">PRIME DOSI </w:t>
      </w:r>
      <w:r w:rsidR="00BF469C">
        <w:rPr>
          <w:b/>
          <w:bCs/>
          <w:color w:val="auto"/>
          <w:spacing w:val="-2"/>
          <w:sz w:val="32"/>
          <w:szCs w:val="32"/>
        </w:rPr>
        <w:t xml:space="preserve">CHE </w:t>
      </w:r>
      <w:r w:rsidR="00CD7610" w:rsidRPr="000367CF">
        <w:rPr>
          <w:b/>
          <w:bCs/>
          <w:color w:val="auto"/>
          <w:spacing w:val="-2"/>
          <w:sz w:val="32"/>
          <w:szCs w:val="32"/>
        </w:rPr>
        <w:t>CROLLA</w:t>
      </w:r>
      <w:r w:rsidR="00CD7610">
        <w:rPr>
          <w:b/>
          <w:bCs/>
          <w:color w:val="auto"/>
          <w:spacing w:val="-2"/>
          <w:sz w:val="32"/>
          <w:szCs w:val="32"/>
        </w:rPr>
        <w:t>NO</w:t>
      </w:r>
      <w:r w:rsidR="00CD7610" w:rsidRPr="000367CF">
        <w:rPr>
          <w:b/>
          <w:bCs/>
          <w:color w:val="auto"/>
          <w:spacing w:val="-2"/>
          <w:sz w:val="32"/>
          <w:szCs w:val="32"/>
        </w:rPr>
        <w:t xml:space="preserve"> DEL 75% </w:t>
      </w:r>
      <w:r w:rsidR="00CD7610" w:rsidRPr="00E018DA">
        <w:rPr>
          <w:b/>
          <w:bCs/>
          <w:color w:val="auto"/>
          <w:spacing w:val="-2"/>
          <w:sz w:val="32"/>
          <w:szCs w:val="32"/>
        </w:rPr>
        <w:t>IN 3 SETTIMANE</w:t>
      </w:r>
      <w:r w:rsidR="00BF469C">
        <w:rPr>
          <w:b/>
          <w:bCs/>
          <w:color w:val="auto"/>
          <w:spacing w:val="-2"/>
          <w:sz w:val="32"/>
          <w:szCs w:val="32"/>
        </w:rPr>
        <w:t xml:space="preserve">, </w:t>
      </w:r>
      <w:r w:rsidR="00BF469C" w:rsidRPr="000367CF">
        <w:rPr>
          <w:b/>
          <w:bCs/>
          <w:color w:val="auto"/>
          <w:spacing w:val="-2"/>
          <w:sz w:val="32"/>
          <w:szCs w:val="32"/>
        </w:rPr>
        <w:t xml:space="preserve">2,7 MLN DI OVER 50 </w:t>
      </w:r>
      <w:r w:rsidR="00BF469C">
        <w:rPr>
          <w:b/>
          <w:bCs/>
          <w:color w:val="auto"/>
          <w:spacing w:val="-2"/>
          <w:sz w:val="32"/>
          <w:szCs w:val="32"/>
        </w:rPr>
        <w:t xml:space="preserve">DA VACCINARE E TERZE DOSI CHE NON DECOLLANO </w:t>
      </w:r>
      <w:r w:rsidR="002C7D11" w:rsidRPr="00E018DA">
        <w:rPr>
          <w:b/>
          <w:bCs/>
          <w:color w:val="auto"/>
          <w:spacing w:val="-2"/>
          <w:sz w:val="32"/>
          <w:szCs w:val="32"/>
        </w:rPr>
        <w:t>SERV</w:t>
      </w:r>
      <w:r w:rsidR="00BF469C">
        <w:rPr>
          <w:b/>
          <w:bCs/>
          <w:color w:val="auto"/>
          <w:spacing w:val="-2"/>
          <w:sz w:val="32"/>
          <w:szCs w:val="32"/>
        </w:rPr>
        <w:t xml:space="preserve">E UN CAMBIO DI MARCIA </w:t>
      </w:r>
      <w:r w:rsidR="002C7D11" w:rsidRPr="00E018DA">
        <w:rPr>
          <w:b/>
          <w:bCs/>
          <w:color w:val="auto"/>
          <w:spacing w:val="-2"/>
          <w:sz w:val="32"/>
          <w:szCs w:val="32"/>
        </w:rPr>
        <w:t>PER CONTENERE LA QUARTA ONDATA</w:t>
      </w:r>
    </w:p>
    <w:p w:rsidR="002009F4" w:rsidRPr="00E018DA" w:rsidRDefault="002009F4" w:rsidP="00BF469C">
      <w:pPr>
        <w:spacing w:after="0" w:line="276" w:lineRule="auto"/>
        <w:jc w:val="center"/>
        <w:rPr>
          <w:b/>
          <w:bCs/>
          <w:color w:val="auto"/>
          <w:spacing w:val="-2"/>
          <w:sz w:val="32"/>
          <w:szCs w:val="32"/>
        </w:rPr>
      </w:pPr>
    </w:p>
    <w:p w:rsidR="002C7D11" w:rsidRPr="005F00C5" w:rsidRDefault="002C7D11" w:rsidP="002C7D11">
      <w:pPr>
        <w:spacing w:after="0" w:line="276" w:lineRule="auto"/>
        <w:jc w:val="both"/>
        <w:rPr>
          <w:b/>
          <w:bCs/>
          <w:color w:val="auto"/>
          <w:sz w:val="24"/>
          <w:szCs w:val="24"/>
        </w:rPr>
      </w:pPr>
      <w:r w:rsidRPr="003A7897">
        <w:rPr>
          <w:b/>
          <w:bCs/>
          <w:color w:val="auto"/>
          <w:sz w:val="24"/>
          <w:szCs w:val="24"/>
        </w:rPr>
        <w:t>IL MONITORAGGIO DELLA FONDAZIONE GIMBE RILEVA, NELLA SETTIMANA 3-9 NOVEMBRE, UN ULTERIORE AUMENTO DELLA CIRCOLAZIONE VIRALE</w:t>
      </w:r>
      <w:r w:rsidR="00CD7610">
        <w:rPr>
          <w:b/>
          <w:bCs/>
          <w:color w:val="auto"/>
          <w:sz w:val="24"/>
          <w:szCs w:val="24"/>
        </w:rPr>
        <w:t>:</w:t>
      </w:r>
      <w:r w:rsidRPr="003A7897">
        <w:rPr>
          <w:b/>
          <w:bCs/>
          <w:color w:val="auto"/>
          <w:sz w:val="24"/>
          <w:szCs w:val="24"/>
        </w:rPr>
        <w:t xml:space="preserve"> I NUOVI CASI SETTIMANALI PASSANO DA 29.841 A 41.091</w:t>
      </w:r>
      <w:r w:rsidR="00CD7610">
        <w:rPr>
          <w:b/>
          <w:bCs/>
          <w:color w:val="auto"/>
          <w:sz w:val="24"/>
          <w:szCs w:val="24"/>
        </w:rPr>
        <w:t xml:space="preserve">, </w:t>
      </w:r>
      <w:r w:rsidRPr="003A7897">
        <w:rPr>
          <w:b/>
          <w:bCs/>
          <w:color w:val="auto"/>
          <w:sz w:val="24"/>
          <w:szCs w:val="24"/>
        </w:rPr>
        <w:t>CRESCONO</w:t>
      </w:r>
      <w:r>
        <w:rPr>
          <w:b/>
          <w:bCs/>
          <w:color w:val="auto"/>
          <w:sz w:val="24"/>
          <w:szCs w:val="24"/>
        </w:rPr>
        <w:t xml:space="preserve"> </w:t>
      </w:r>
      <w:r w:rsidRPr="003A7897">
        <w:rPr>
          <w:b/>
          <w:bCs/>
          <w:color w:val="auto"/>
          <w:sz w:val="24"/>
          <w:szCs w:val="24"/>
        </w:rPr>
        <w:t xml:space="preserve">I RICOVERI IN AREA MEDICA (+444) E IN TERAPIA INTENSIVA (+36). </w:t>
      </w:r>
      <w:r w:rsidR="00BC73B6">
        <w:rPr>
          <w:b/>
          <w:bCs/>
          <w:color w:val="auto"/>
          <w:sz w:val="24"/>
          <w:szCs w:val="24"/>
        </w:rPr>
        <w:t xml:space="preserve">CAMPAGNA VACCINALE: </w:t>
      </w:r>
      <w:r w:rsidRPr="003A7897">
        <w:rPr>
          <w:b/>
          <w:bCs/>
          <w:color w:val="auto"/>
          <w:sz w:val="24"/>
          <w:szCs w:val="24"/>
        </w:rPr>
        <w:t xml:space="preserve">PER LA QUARTA SETTIMANA CONSECUTIVA </w:t>
      </w:r>
      <w:r w:rsidR="00440DF1">
        <w:rPr>
          <w:b/>
          <w:bCs/>
          <w:color w:val="auto"/>
          <w:sz w:val="24"/>
          <w:szCs w:val="24"/>
        </w:rPr>
        <w:t xml:space="preserve">AL PALO LE </w:t>
      </w:r>
      <w:r w:rsidR="004F07A7">
        <w:rPr>
          <w:b/>
          <w:bCs/>
          <w:color w:val="auto"/>
          <w:sz w:val="24"/>
          <w:szCs w:val="24"/>
        </w:rPr>
        <w:t>FORNITURE</w:t>
      </w:r>
      <w:r w:rsidR="00CD7610">
        <w:rPr>
          <w:b/>
          <w:bCs/>
          <w:color w:val="auto"/>
          <w:sz w:val="24"/>
          <w:szCs w:val="24"/>
        </w:rPr>
        <w:t xml:space="preserve"> DI VACCINI</w:t>
      </w:r>
      <w:r w:rsidRPr="003A7897">
        <w:rPr>
          <w:b/>
          <w:bCs/>
          <w:color w:val="auto"/>
          <w:sz w:val="24"/>
          <w:szCs w:val="24"/>
        </w:rPr>
        <w:t>.</w:t>
      </w:r>
      <w:r>
        <w:rPr>
          <w:b/>
          <w:bCs/>
          <w:color w:val="auto"/>
          <w:sz w:val="24"/>
          <w:szCs w:val="24"/>
        </w:rPr>
        <w:t xml:space="preserve"> </w:t>
      </w:r>
      <w:r w:rsidR="00CD7610">
        <w:rPr>
          <w:b/>
          <w:bCs/>
          <w:color w:val="auto"/>
          <w:sz w:val="24"/>
          <w:szCs w:val="24"/>
        </w:rPr>
        <w:t xml:space="preserve">LE </w:t>
      </w:r>
      <w:r w:rsidR="00BC73B6">
        <w:rPr>
          <w:b/>
          <w:bCs/>
          <w:color w:val="auto"/>
          <w:sz w:val="24"/>
          <w:szCs w:val="24"/>
        </w:rPr>
        <w:t xml:space="preserve">SOMMINISTRAZIONI </w:t>
      </w:r>
      <w:r w:rsidR="00BF469C">
        <w:rPr>
          <w:b/>
          <w:bCs/>
          <w:color w:val="auto"/>
          <w:sz w:val="24"/>
          <w:szCs w:val="24"/>
        </w:rPr>
        <w:t>GIORNALIERE SCENDONO A 170 MILA</w:t>
      </w:r>
      <w:r w:rsidR="004F07A7">
        <w:rPr>
          <w:b/>
          <w:bCs/>
          <w:color w:val="auto"/>
          <w:sz w:val="24"/>
          <w:szCs w:val="24"/>
        </w:rPr>
        <w:t xml:space="preserve"> E</w:t>
      </w:r>
      <w:r w:rsidR="00CD7610">
        <w:rPr>
          <w:b/>
          <w:bCs/>
          <w:color w:val="auto"/>
          <w:sz w:val="24"/>
          <w:szCs w:val="24"/>
        </w:rPr>
        <w:t xml:space="preserve"> </w:t>
      </w:r>
      <w:r>
        <w:rPr>
          <w:b/>
          <w:bCs/>
          <w:color w:val="auto"/>
          <w:sz w:val="24"/>
          <w:szCs w:val="24"/>
        </w:rPr>
        <w:t xml:space="preserve">I NUOVI VACCINATI </w:t>
      </w:r>
      <w:r w:rsidR="00CD7610">
        <w:rPr>
          <w:b/>
          <w:bCs/>
          <w:color w:val="auto"/>
          <w:sz w:val="24"/>
          <w:szCs w:val="24"/>
        </w:rPr>
        <w:t xml:space="preserve">CROLLANO </w:t>
      </w:r>
      <w:r w:rsidR="00BF469C">
        <w:rPr>
          <w:b/>
          <w:bCs/>
          <w:color w:val="auto"/>
          <w:sz w:val="24"/>
          <w:szCs w:val="24"/>
        </w:rPr>
        <w:t>A QUOTA 108 MILA</w:t>
      </w:r>
      <w:r>
        <w:rPr>
          <w:b/>
          <w:bCs/>
          <w:color w:val="auto"/>
          <w:sz w:val="24"/>
          <w:szCs w:val="24"/>
        </w:rPr>
        <w:t xml:space="preserve">. </w:t>
      </w:r>
      <w:r w:rsidR="0032674E">
        <w:rPr>
          <w:b/>
          <w:bCs/>
          <w:color w:val="auto"/>
          <w:sz w:val="24"/>
          <w:szCs w:val="24"/>
        </w:rPr>
        <w:t>TERZ</w:t>
      </w:r>
      <w:r w:rsidR="004F07A7">
        <w:rPr>
          <w:b/>
          <w:bCs/>
          <w:color w:val="auto"/>
          <w:sz w:val="24"/>
          <w:szCs w:val="24"/>
        </w:rPr>
        <w:t xml:space="preserve">A DOSE, REGIONI IN ORDINE SPARSO E </w:t>
      </w:r>
      <w:r w:rsidR="00440DF1">
        <w:rPr>
          <w:b/>
          <w:bCs/>
          <w:color w:val="auto"/>
          <w:sz w:val="24"/>
          <w:szCs w:val="24"/>
        </w:rPr>
        <w:t>VARIE</w:t>
      </w:r>
      <w:r w:rsidR="004F07A7">
        <w:rPr>
          <w:b/>
          <w:bCs/>
          <w:color w:val="auto"/>
          <w:sz w:val="24"/>
          <w:szCs w:val="24"/>
        </w:rPr>
        <w:t xml:space="preserve"> CRITICITÀ PER UN’ADEGUATA PROGRAMMAZIONE</w:t>
      </w:r>
      <w:r w:rsidR="0032674E">
        <w:rPr>
          <w:b/>
          <w:bCs/>
          <w:color w:val="auto"/>
          <w:sz w:val="24"/>
          <w:szCs w:val="24"/>
        </w:rPr>
        <w:t xml:space="preserve">: </w:t>
      </w:r>
      <w:r>
        <w:rPr>
          <w:b/>
          <w:bCs/>
          <w:color w:val="auto"/>
          <w:sz w:val="24"/>
          <w:szCs w:val="24"/>
        </w:rPr>
        <w:t xml:space="preserve">NON </w:t>
      </w:r>
      <w:r w:rsidR="00440DF1">
        <w:rPr>
          <w:b/>
          <w:bCs/>
          <w:color w:val="auto"/>
          <w:sz w:val="24"/>
          <w:szCs w:val="24"/>
        </w:rPr>
        <w:t>DISPONIBILI</w:t>
      </w:r>
      <w:r w:rsidR="0032674E">
        <w:rPr>
          <w:b/>
          <w:bCs/>
          <w:color w:val="auto"/>
          <w:sz w:val="24"/>
          <w:szCs w:val="24"/>
        </w:rPr>
        <w:t xml:space="preserve"> </w:t>
      </w:r>
      <w:r w:rsidR="00440DF1">
        <w:rPr>
          <w:b/>
          <w:bCs/>
          <w:color w:val="auto"/>
          <w:sz w:val="24"/>
          <w:szCs w:val="24"/>
        </w:rPr>
        <w:t xml:space="preserve">IL </w:t>
      </w:r>
      <w:r w:rsidRPr="005F00C5">
        <w:rPr>
          <w:b/>
          <w:bCs/>
          <w:color w:val="auto"/>
          <w:sz w:val="24"/>
          <w:szCs w:val="24"/>
        </w:rPr>
        <w:t>PIANO FORNITURE</w:t>
      </w:r>
      <w:r>
        <w:rPr>
          <w:b/>
          <w:bCs/>
          <w:color w:val="auto"/>
          <w:sz w:val="24"/>
          <w:szCs w:val="24"/>
        </w:rPr>
        <w:t xml:space="preserve"> </w:t>
      </w:r>
      <w:r w:rsidR="00440DF1">
        <w:rPr>
          <w:b/>
          <w:bCs/>
          <w:color w:val="auto"/>
          <w:sz w:val="24"/>
          <w:szCs w:val="24"/>
        </w:rPr>
        <w:t xml:space="preserve">DEI VACCINI, UN </w:t>
      </w:r>
      <w:r>
        <w:rPr>
          <w:b/>
          <w:bCs/>
          <w:color w:val="auto"/>
          <w:sz w:val="24"/>
          <w:szCs w:val="24"/>
        </w:rPr>
        <w:t xml:space="preserve">AGGIORNAMENTO </w:t>
      </w:r>
      <w:r w:rsidR="00440DF1">
        <w:rPr>
          <w:b/>
          <w:bCs/>
          <w:color w:val="auto"/>
          <w:sz w:val="24"/>
          <w:szCs w:val="24"/>
        </w:rPr>
        <w:t>CONTINU</w:t>
      </w:r>
      <w:r w:rsidR="004F07A7">
        <w:rPr>
          <w:b/>
          <w:bCs/>
          <w:color w:val="auto"/>
          <w:sz w:val="24"/>
          <w:szCs w:val="24"/>
        </w:rPr>
        <w:t xml:space="preserve">O </w:t>
      </w:r>
      <w:r>
        <w:rPr>
          <w:b/>
          <w:bCs/>
          <w:color w:val="auto"/>
          <w:sz w:val="24"/>
          <w:szCs w:val="24"/>
        </w:rPr>
        <w:t xml:space="preserve">DELLA PLATEA VACCINABILE E </w:t>
      </w:r>
      <w:r w:rsidR="0032674E">
        <w:rPr>
          <w:b/>
          <w:bCs/>
          <w:color w:val="auto"/>
          <w:sz w:val="24"/>
          <w:szCs w:val="24"/>
        </w:rPr>
        <w:t xml:space="preserve">IL DETTAGLIO </w:t>
      </w:r>
      <w:r>
        <w:rPr>
          <w:b/>
          <w:bCs/>
          <w:color w:val="auto"/>
          <w:sz w:val="24"/>
          <w:szCs w:val="24"/>
        </w:rPr>
        <w:t xml:space="preserve">DELLE CATEGORIE </w:t>
      </w:r>
      <w:r w:rsidR="0032674E">
        <w:rPr>
          <w:b/>
          <w:bCs/>
          <w:color w:val="auto"/>
          <w:sz w:val="24"/>
          <w:szCs w:val="24"/>
        </w:rPr>
        <w:t xml:space="preserve">DEI VACCINATI CON DOSE </w:t>
      </w:r>
      <w:r w:rsidRPr="0032674E">
        <w:rPr>
          <w:b/>
          <w:bCs/>
          <w:i/>
          <w:color w:val="auto"/>
          <w:sz w:val="24"/>
          <w:szCs w:val="24"/>
        </w:rPr>
        <w:t>BOOSTER</w:t>
      </w:r>
      <w:r>
        <w:rPr>
          <w:b/>
          <w:bCs/>
          <w:color w:val="auto"/>
          <w:sz w:val="24"/>
          <w:szCs w:val="24"/>
        </w:rPr>
        <w:t>.</w:t>
      </w:r>
    </w:p>
    <w:p w:rsidR="007B682B" w:rsidRPr="00234B97" w:rsidRDefault="00A85051">
      <w:pPr>
        <w:spacing w:before="120" w:after="1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11</w:t>
      </w:r>
      <w:r w:rsidR="00955021">
        <w:rPr>
          <w:b/>
          <w:bCs/>
          <w:sz w:val="24"/>
          <w:szCs w:val="24"/>
        </w:rPr>
        <w:t xml:space="preserve"> novembre</w:t>
      </w:r>
      <w:r w:rsidR="00CE577D" w:rsidRPr="00234B97">
        <w:rPr>
          <w:b/>
          <w:bCs/>
          <w:sz w:val="24"/>
          <w:szCs w:val="24"/>
        </w:rPr>
        <w:t xml:space="preserve"> 2021 - Fondazione GIMBE, Bologna</w:t>
      </w:r>
    </w:p>
    <w:p w:rsidR="00913E30" w:rsidRPr="00913E30" w:rsidRDefault="00913E30" w:rsidP="007A602C">
      <w:pPr>
        <w:spacing w:after="120" w:line="276" w:lineRule="auto"/>
        <w:jc w:val="both"/>
        <w:rPr>
          <w:color w:val="auto"/>
        </w:rPr>
      </w:pPr>
      <w:r w:rsidRPr="00913E30">
        <w:rPr>
          <w:color w:val="auto"/>
        </w:rPr>
        <w:t>Il monitoraggio indipendente della Fondazione GIMBE rileva nella settimana 3-9 novembre, rispetto alla precedente, un aumento di nuovi casi (41.091 vs 29.841) (</w:t>
      </w:r>
      <w:r w:rsidRPr="00913E30">
        <w:rPr>
          <w:color w:val="auto"/>
          <w:highlight w:val="yellow"/>
        </w:rPr>
        <w:t>figura 1</w:t>
      </w:r>
      <w:r w:rsidRPr="00913E30">
        <w:rPr>
          <w:color w:val="auto"/>
        </w:rPr>
        <w:t>) e decessi (330 vs 257) (</w:t>
      </w:r>
      <w:r w:rsidRPr="00913E30">
        <w:rPr>
          <w:color w:val="auto"/>
          <w:highlight w:val="yellow"/>
        </w:rPr>
        <w:t>figura 2</w:t>
      </w:r>
      <w:r w:rsidRPr="00913E30">
        <w:rPr>
          <w:color w:val="auto"/>
        </w:rPr>
        <w:t xml:space="preserve">). </w:t>
      </w:r>
      <w:r w:rsidR="009A4F94">
        <w:rPr>
          <w:color w:val="auto"/>
        </w:rPr>
        <w:t xml:space="preserve">Continuano a salire </w:t>
      </w:r>
      <w:r w:rsidRPr="00913E30">
        <w:rPr>
          <w:color w:val="auto"/>
        </w:rPr>
        <w:t>anche i casi attualmente positivi (100.205 vs 84.447), le persone in isolamento domiciliare (96.348 vs 81.070), i ricoveri con sintomi (3.436 vs 2.992) e le terapie intensive (421 vs 385) (</w:t>
      </w:r>
      <w:r w:rsidRPr="00913E30">
        <w:rPr>
          <w:color w:val="auto"/>
          <w:highlight w:val="yellow"/>
        </w:rPr>
        <w:t>figura 3</w:t>
      </w:r>
      <w:r w:rsidRPr="00913E30">
        <w:rPr>
          <w:color w:val="auto"/>
        </w:rPr>
        <w:t>). In dettaglio, rispetto alla settimana precedente, si registrano le seguenti variazioni:</w:t>
      </w:r>
    </w:p>
    <w:p w:rsidR="00913E30" w:rsidRPr="00913E30" w:rsidRDefault="00913E30" w:rsidP="00913E30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913E30">
        <w:rPr>
          <w:color w:val="auto"/>
        </w:rPr>
        <w:t>Decessi: 330 (+28,4%), di cui 40 riferiti a periodi precedenti</w:t>
      </w:r>
    </w:p>
    <w:p w:rsidR="00913E30" w:rsidRPr="00913E30" w:rsidRDefault="00913E30" w:rsidP="00913E30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913E30">
        <w:rPr>
          <w:color w:val="auto"/>
        </w:rPr>
        <w:t>Terapia intensiva: +36 (+9,4%)</w:t>
      </w:r>
    </w:p>
    <w:p w:rsidR="00913E30" w:rsidRPr="00913E30" w:rsidRDefault="00913E30" w:rsidP="00913E30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913E30">
        <w:rPr>
          <w:color w:val="auto"/>
        </w:rPr>
        <w:t>Ricoverati con sintomi: +444 (+14,8%)</w:t>
      </w:r>
    </w:p>
    <w:p w:rsidR="00913E30" w:rsidRPr="00913E30" w:rsidRDefault="00913E30" w:rsidP="00913E30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913E30">
        <w:rPr>
          <w:color w:val="auto"/>
        </w:rPr>
        <w:t>Isolamento domiciliare: +15.278 (+18,8%)</w:t>
      </w:r>
    </w:p>
    <w:p w:rsidR="00913E30" w:rsidRPr="00913E30" w:rsidRDefault="00913E30" w:rsidP="00913E30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913E30">
        <w:rPr>
          <w:color w:val="auto"/>
        </w:rPr>
        <w:t>Nuovi casi: 41.091 (+37,7%)</w:t>
      </w:r>
    </w:p>
    <w:p w:rsidR="00584564" w:rsidRPr="00913E30" w:rsidRDefault="00913E30" w:rsidP="00913E30">
      <w:pPr>
        <w:pStyle w:val="Paragrafoelenco"/>
        <w:numPr>
          <w:ilvl w:val="0"/>
          <w:numId w:val="2"/>
        </w:numPr>
        <w:spacing w:line="276" w:lineRule="auto"/>
        <w:ind w:left="357" w:hanging="357"/>
        <w:jc w:val="both"/>
        <w:rPr>
          <w:color w:val="auto"/>
        </w:rPr>
      </w:pPr>
      <w:r w:rsidRPr="00913E30">
        <w:rPr>
          <w:color w:val="auto"/>
        </w:rPr>
        <w:t>Casi attualmente positivi: +15.758 (+18,7%)</w:t>
      </w:r>
    </w:p>
    <w:p w:rsidR="000D40CB" w:rsidRPr="000D40CB" w:rsidRDefault="00797AB7" w:rsidP="005E38B7">
      <w:pPr>
        <w:spacing w:line="276" w:lineRule="auto"/>
        <w:jc w:val="both"/>
        <w:rPr>
          <w:color w:val="auto"/>
        </w:rPr>
      </w:pPr>
      <w:r w:rsidRPr="00913E30">
        <w:rPr>
          <w:color w:val="auto"/>
        </w:rPr>
        <w:t>«</w:t>
      </w:r>
      <w:r w:rsidR="00913E30">
        <w:rPr>
          <w:color w:val="auto"/>
        </w:rPr>
        <w:t xml:space="preserve">Per la terza settimana consecutiva </w:t>
      </w:r>
      <w:r w:rsidR="0042340E" w:rsidRPr="00913E30">
        <w:rPr>
          <w:color w:val="auto"/>
        </w:rPr>
        <w:t>– dichiara Nino Cartabellotta, Presidente della Fondazione GIMBE –</w:t>
      </w:r>
      <w:r w:rsidR="00913E30" w:rsidRPr="00913E30">
        <w:rPr>
          <w:color w:val="auto"/>
        </w:rPr>
        <w:t xml:space="preserve"> </w:t>
      </w:r>
      <w:r w:rsidR="001F30E7" w:rsidRPr="00913E30">
        <w:rPr>
          <w:color w:val="auto"/>
        </w:rPr>
        <w:t xml:space="preserve">si conferma </w:t>
      </w:r>
      <w:r w:rsidR="00973EE1" w:rsidRPr="00913E30">
        <w:rPr>
          <w:color w:val="auto"/>
        </w:rPr>
        <w:t xml:space="preserve">a </w:t>
      </w:r>
      <w:r w:rsidR="00973EE1" w:rsidRPr="000D40CB">
        <w:rPr>
          <w:color w:val="auto"/>
        </w:rPr>
        <w:t xml:space="preserve">livello nazionale </w:t>
      </w:r>
      <w:r w:rsidR="00A7130A" w:rsidRPr="000D40CB">
        <w:rPr>
          <w:color w:val="auto"/>
        </w:rPr>
        <w:t xml:space="preserve">un incremento </w:t>
      </w:r>
      <w:r w:rsidR="00883915" w:rsidRPr="000D40CB">
        <w:rPr>
          <w:color w:val="auto"/>
        </w:rPr>
        <w:t>de</w:t>
      </w:r>
      <w:r w:rsidR="008C1F7C" w:rsidRPr="000D40CB">
        <w:rPr>
          <w:color w:val="auto"/>
        </w:rPr>
        <w:t xml:space="preserve">i </w:t>
      </w:r>
      <w:r w:rsidR="00071A13" w:rsidRPr="000D40CB">
        <w:rPr>
          <w:color w:val="auto"/>
        </w:rPr>
        <w:t>nuovi casi settimanali</w:t>
      </w:r>
      <w:r w:rsidR="00913E30" w:rsidRPr="000D40CB">
        <w:rPr>
          <w:color w:val="auto"/>
        </w:rPr>
        <w:t xml:space="preserve"> </w:t>
      </w:r>
      <w:r w:rsidR="00A7130A" w:rsidRPr="000D40CB">
        <w:rPr>
          <w:color w:val="auto"/>
        </w:rPr>
        <w:t>(+</w:t>
      </w:r>
      <w:r w:rsidR="000D40CB" w:rsidRPr="000D40CB">
        <w:rPr>
          <w:color w:val="auto"/>
        </w:rPr>
        <w:t>37,7</w:t>
      </w:r>
      <w:r w:rsidR="00A7130A" w:rsidRPr="000D40CB">
        <w:rPr>
          <w:color w:val="auto"/>
        </w:rPr>
        <w:t>%)</w:t>
      </w:r>
      <w:r w:rsidR="000E770E">
        <w:rPr>
          <w:color w:val="auto"/>
        </w:rPr>
        <w:t xml:space="preserve"> come documenta anche la media mobile a 7 giorni</w:t>
      </w:r>
      <w:r w:rsidR="00A60B78">
        <w:rPr>
          <w:color w:val="auto"/>
        </w:rPr>
        <w:t>,</w:t>
      </w:r>
      <w:r w:rsidR="000E770E">
        <w:rPr>
          <w:color w:val="auto"/>
        </w:rPr>
        <w:t xml:space="preserve"> più che raddoppiata in meno di un mese passando da 2.456 il 1</w:t>
      </w:r>
      <w:r w:rsidR="00942F02">
        <w:rPr>
          <w:color w:val="auto"/>
        </w:rPr>
        <w:t>5 ottobre a 5.870 il 9 novembre</w:t>
      </w:r>
      <w:r w:rsidRPr="000D40CB">
        <w:rPr>
          <w:color w:val="auto"/>
        </w:rPr>
        <w:t>»</w:t>
      </w:r>
      <w:r w:rsidR="00942F02">
        <w:rPr>
          <w:color w:val="auto"/>
        </w:rPr>
        <w:t xml:space="preserve"> (</w:t>
      </w:r>
      <w:r w:rsidR="00942F02" w:rsidRPr="000E770E">
        <w:rPr>
          <w:color w:val="auto"/>
          <w:highlight w:val="yellow"/>
        </w:rPr>
        <w:t xml:space="preserve">figura </w:t>
      </w:r>
      <w:r w:rsidR="00942F02">
        <w:rPr>
          <w:color w:val="auto"/>
          <w:highlight w:val="yellow"/>
        </w:rPr>
        <w:t>4</w:t>
      </w:r>
      <w:r w:rsidR="00942F02">
        <w:rPr>
          <w:color w:val="auto"/>
        </w:rPr>
        <w:t>)</w:t>
      </w:r>
      <w:r w:rsidRPr="000D40CB">
        <w:rPr>
          <w:color w:val="auto"/>
        </w:rPr>
        <w:t>.</w:t>
      </w:r>
      <w:r w:rsidR="00D0282D" w:rsidRPr="000D40CB">
        <w:rPr>
          <w:color w:val="auto"/>
        </w:rPr>
        <w:t xml:space="preserve"> </w:t>
      </w:r>
      <w:r w:rsidR="00634030">
        <w:rPr>
          <w:color w:val="auto"/>
        </w:rPr>
        <w:t>N</w:t>
      </w:r>
      <w:r w:rsidR="00634030" w:rsidRPr="000D40CB">
        <w:rPr>
          <w:color w:val="auto"/>
        </w:rPr>
        <w:t xml:space="preserve">elle ultime </w:t>
      </w:r>
      <w:r w:rsidR="00634030">
        <w:rPr>
          <w:color w:val="auto"/>
        </w:rPr>
        <w:t>tre</w:t>
      </w:r>
      <w:r w:rsidR="00634030" w:rsidRPr="000D40CB">
        <w:rPr>
          <w:color w:val="auto"/>
        </w:rPr>
        <w:t xml:space="preserve"> settimane </w:t>
      </w:r>
      <w:r w:rsidR="00634030">
        <w:rPr>
          <w:color w:val="auto"/>
        </w:rPr>
        <w:t>l</w:t>
      </w:r>
      <w:r w:rsidR="00D0282D" w:rsidRPr="000D40CB">
        <w:rPr>
          <w:color w:val="auto"/>
        </w:rPr>
        <w:t>’aumento della circo</w:t>
      </w:r>
      <w:r w:rsidR="004F07A7">
        <w:rPr>
          <w:color w:val="auto"/>
        </w:rPr>
        <w:t xml:space="preserve">lazione virale </w:t>
      </w:r>
      <w:proofErr w:type="gramStart"/>
      <w:r w:rsidR="004F07A7">
        <w:rPr>
          <w:color w:val="auto"/>
        </w:rPr>
        <w:t>è ben documentata</w:t>
      </w:r>
      <w:proofErr w:type="gramEnd"/>
      <w:r w:rsidR="00D0282D" w:rsidRPr="000D40CB">
        <w:rPr>
          <w:color w:val="auto"/>
        </w:rPr>
        <w:t xml:space="preserve"> dall’incremento </w:t>
      </w:r>
      <w:r w:rsidR="00634030">
        <w:rPr>
          <w:color w:val="auto"/>
        </w:rPr>
        <w:t xml:space="preserve">sia </w:t>
      </w:r>
      <w:r w:rsidR="00D0282D" w:rsidRPr="000D40CB">
        <w:rPr>
          <w:color w:val="auto"/>
        </w:rPr>
        <w:t>del rapporto positivi/</w:t>
      </w:r>
      <w:r w:rsidR="00AA7725" w:rsidRPr="000D40CB">
        <w:rPr>
          <w:color w:val="auto"/>
        </w:rPr>
        <w:t xml:space="preserve">persone testate </w:t>
      </w:r>
      <w:r w:rsidR="00D0282D" w:rsidRPr="000D40CB">
        <w:rPr>
          <w:color w:val="auto"/>
        </w:rPr>
        <w:t xml:space="preserve">(da </w:t>
      </w:r>
      <w:r w:rsidR="003E293F" w:rsidRPr="000D40CB">
        <w:rPr>
          <w:color w:val="auto"/>
        </w:rPr>
        <w:t>3,6</w:t>
      </w:r>
      <w:r w:rsidR="00D0282D" w:rsidRPr="000D40CB">
        <w:rPr>
          <w:color w:val="auto"/>
        </w:rPr>
        <w:t xml:space="preserve">% a </w:t>
      </w:r>
      <w:r w:rsidR="000D40CB" w:rsidRPr="000D40CB">
        <w:rPr>
          <w:color w:val="auto"/>
        </w:rPr>
        <w:t>9,9</w:t>
      </w:r>
      <w:r w:rsidR="00D0282D" w:rsidRPr="000D40CB">
        <w:rPr>
          <w:color w:val="auto"/>
        </w:rPr>
        <w:t>%)</w:t>
      </w:r>
      <w:r w:rsidR="003E293F" w:rsidRPr="000D40CB">
        <w:rPr>
          <w:color w:val="auto"/>
        </w:rPr>
        <w:t xml:space="preserve"> (</w:t>
      </w:r>
      <w:r w:rsidR="003E293F" w:rsidRPr="000D40CB">
        <w:rPr>
          <w:color w:val="auto"/>
          <w:highlight w:val="yellow"/>
        </w:rPr>
        <w:t>figura 1</w:t>
      </w:r>
      <w:r w:rsidR="003E293F" w:rsidRPr="000D40CB">
        <w:rPr>
          <w:color w:val="auto"/>
        </w:rPr>
        <w:t>)</w:t>
      </w:r>
      <w:r w:rsidR="00D0282D" w:rsidRPr="000D40CB">
        <w:rPr>
          <w:color w:val="auto"/>
        </w:rPr>
        <w:t xml:space="preserve">, sia </w:t>
      </w:r>
      <w:r w:rsidR="00634030">
        <w:rPr>
          <w:color w:val="auto"/>
        </w:rPr>
        <w:t xml:space="preserve">del </w:t>
      </w:r>
      <w:r w:rsidR="00D0282D" w:rsidRPr="000D40CB">
        <w:rPr>
          <w:color w:val="auto"/>
        </w:rPr>
        <w:t>rapporto positivi/tamponi molecolari (da</w:t>
      </w:r>
      <w:r w:rsidR="003E293F" w:rsidRPr="000D40CB">
        <w:rPr>
          <w:color w:val="auto"/>
        </w:rPr>
        <w:t xml:space="preserve"> 2,4</w:t>
      </w:r>
      <w:r w:rsidR="00D0282D" w:rsidRPr="000D40CB">
        <w:rPr>
          <w:color w:val="auto"/>
        </w:rPr>
        <w:t>%</w:t>
      </w:r>
      <w:r w:rsidR="003E293F" w:rsidRPr="000D40CB">
        <w:rPr>
          <w:color w:val="auto"/>
        </w:rPr>
        <w:t xml:space="preserve"> a 4,</w:t>
      </w:r>
      <w:r w:rsidR="000D40CB" w:rsidRPr="000D40CB">
        <w:rPr>
          <w:color w:val="auto"/>
        </w:rPr>
        <w:t>7</w:t>
      </w:r>
      <w:r w:rsidR="003E293F" w:rsidRPr="000D40CB">
        <w:rPr>
          <w:color w:val="auto"/>
        </w:rPr>
        <w:t>%</w:t>
      </w:r>
      <w:r w:rsidR="00D0282D" w:rsidRPr="000D40CB">
        <w:rPr>
          <w:color w:val="auto"/>
        </w:rPr>
        <w:t>)</w:t>
      </w:r>
      <w:r w:rsidR="003E293F" w:rsidRPr="000D40CB">
        <w:rPr>
          <w:color w:val="auto"/>
        </w:rPr>
        <w:t xml:space="preserve"> (</w:t>
      </w:r>
      <w:r w:rsidR="003E293F" w:rsidRPr="000D40CB">
        <w:rPr>
          <w:color w:val="auto"/>
          <w:highlight w:val="yellow"/>
        </w:rPr>
        <w:t xml:space="preserve">figura </w:t>
      </w:r>
      <w:r w:rsidR="00FB6128">
        <w:rPr>
          <w:color w:val="auto"/>
          <w:highlight w:val="yellow"/>
        </w:rPr>
        <w:t>5</w:t>
      </w:r>
      <w:r w:rsidR="003E293F" w:rsidRPr="000D40CB">
        <w:rPr>
          <w:color w:val="auto"/>
        </w:rPr>
        <w:t>).</w:t>
      </w:r>
      <w:r w:rsidR="001A5713" w:rsidRPr="000D40CB">
        <w:rPr>
          <w:color w:val="auto"/>
        </w:rPr>
        <w:t xml:space="preserve"> I</w:t>
      </w:r>
      <w:r w:rsidR="00843C5C" w:rsidRPr="000D40CB">
        <w:rPr>
          <w:color w:val="auto"/>
        </w:rPr>
        <w:t xml:space="preserve">n </w:t>
      </w:r>
      <w:r w:rsidR="00883915" w:rsidRPr="000D40CB">
        <w:rPr>
          <w:color w:val="auto"/>
        </w:rPr>
        <w:t xml:space="preserve">tutte le Regioni </w:t>
      </w:r>
      <w:r w:rsidR="00843C5C" w:rsidRPr="000D40CB">
        <w:rPr>
          <w:color w:val="auto"/>
        </w:rPr>
        <w:t xml:space="preserve">si rileva </w:t>
      </w:r>
      <w:r w:rsidR="00883915" w:rsidRPr="000D40CB">
        <w:rPr>
          <w:color w:val="auto"/>
        </w:rPr>
        <w:t>un incremento percentuale dei nuovi casi</w:t>
      </w:r>
      <w:r w:rsidR="00A60B78">
        <w:rPr>
          <w:color w:val="auto"/>
        </w:rPr>
        <w:t>, con variazioni che vanno</w:t>
      </w:r>
      <w:r w:rsidR="00883915" w:rsidRPr="000D40CB">
        <w:rPr>
          <w:color w:val="auto"/>
        </w:rPr>
        <w:t xml:space="preserve"> </w:t>
      </w:r>
      <w:r w:rsidR="000D40CB" w:rsidRPr="000D40CB">
        <w:rPr>
          <w:color w:val="auto"/>
        </w:rPr>
        <w:t xml:space="preserve">dal 12,7% della Regione Toscana al 75,3% della Provincia Autonoma di Bolzano </w:t>
      </w:r>
      <w:r w:rsidR="00883915" w:rsidRPr="000D40CB">
        <w:rPr>
          <w:color w:val="auto"/>
        </w:rPr>
        <w:t>(</w:t>
      </w:r>
      <w:r w:rsidR="00883915" w:rsidRPr="000D40CB">
        <w:rPr>
          <w:color w:val="auto"/>
          <w:highlight w:val="yellow"/>
        </w:rPr>
        <w:t>tabella 1</w:t>
      </w:r>
      <w:r w:rsidR="00883915" w:rsidRPr="000D40CB">
        <w:rPr>
          <w:color w:val="auto"/>
        </w:rPr>
        <w:t>).</w:t>
      </w:r>
      <w:r w:rsidR="00BD67DE" w:rsidRPr="000D40CB">
        <w:rPr>
          <w:color w:val="auto"/>
        </w:rPr>
        <w:t xml:space="preserve"> </w:t>
      </w:r>
      <w:r w:rsidR="000D40CB" w:rsidRPr="000D40CB">
        <w:rPr>
          <w:color w:val="auto"/>
        </w:rPr>
        <w:t>66 Province</w:t>
      </w:r>
      <w:r w:rsidR="00440DF1">
        <w:rPr>
          <w:color w:val="auto"/>
        </w:rPr>
        <w:t xml:space="preserve"> hanno</w:t>
      </w:r>
      <w:r w:rsidR="00C50BD9" w:rsidRPr="000D40CB">
        <w:rPr>
          <w:color w:val="auto"/>
        </w:rPr>
        <w:t xml:space="preserve"> </w:t>
      </w:r>
      <w:r w:rsidR="000D40CB" w:rsidRPr="000D40CB">
        <w:rPr>
          <w:color w:val="auto"/>
        </w:rPr>
        <w:t xml:space="preserve">un’incidenza pari o superiore a 50 casi per 100.000 abitanti: in </w:t>
      </w:r>
      <w:r w:rsidR="00A60B78" w:rsidRPr="000D40CB">
        <w:rPr>
          <w:color w:val="auto"/>
        </w:rPr>
        <w:t>Friuli</w:t>
      </w:r>
      <w:r w:rsidR="00A60B78">
        <w:rPr>
          <w:color w:val="auto"/>
        </w:rPr>
        <w:t>-</w:t>
      </w:r>
      <w:r w:rsidR="000D40CB" w:rsidRPr="000D40CB">
        <w:rPr>
          <w:color w:val="auto"/>
        </w:rPr>
        <w:t>Venezia Giulia, Lazio</w:t>
      </w:r>
      <w:r w:rsidR="000D40CB">
        <w:rPr>
          <w:color w:val="auto"/>
        </w:rPr>
        <w:t xml:space="preserve"> e</w:t>
      </w:r>
      <w:r w:rsidR="000D40CB" w:rsidRPr="000D40CB">
        <w:rPr>
          <w:color w:val="auto"/>
        </w:rPr>
        <w:t xml:space="preserve"> Veneto tutte le Province superano tale soglia. In 3 Province si contano oltre 150 casi per 100.000 abitanti: Trieste (479), Bol</w:t>
      </w:r>
      <w:r w:rsidR="000D40CB">
        <w:rPr>
          <w:color w:val="auto"/>
        </w:rPr>
        <w:t>zano (260) e Gorizia (221)</w:t>
      </w:r>
      <w:r w:rsidR="000D40CB" w:rsidRPr="000D40CB">
        <w:rPr>
          <w:color w:val="auto"/>
        </w:rPr>
        <w:t xml:space="preserve"> (</w:t>
      </w:r>
      <w:r w:rsidR="000D40CB" w:rsidRPr="000D40CB">
        <w:rPr>
          <w:color w:val="auto"/>
          <w:highlight w:val="yellow"/>
        </w:rPr>
        <w:t>tabella 2</w:t>
      </w:r>
      <w:r w:rsidR="000D40CB" w:rsidRPr="000D40CB">
        <w:rPr>
          <w:color w:val="auto"/>
        </w:rPr>
        <w:t>).</w:t>
      </w:r>
      <w:r w:rsidR="00F15D70" w:rsidRPr="00F15D70">
        <w:rPr>
          <w:color w:val="auto"/>
        </w:rPr>
        <w:t xml:space="preserve"> </w:t>
      </w:r>
      <w:r w:rsidR="00F15D70" w:rsidRPr="00913E30">
        <w:rPr>
          <w:color w:val="auto"/>
        </w:rPr>
        <w:t>«</w:t>
      </w:r>
      <w:r w:rsidR="00440DF1">
        <w:rPr>
          <w:color w:val="auto"/>
        </w:rPr>
        <w:t>N</w:t>
      </w:r>
      <w:r w:rsidR="00DC4862">
        <w:rPr>
          <w:color w:val="auto"/>
        </w:rPr>
        <w:t>umeri</w:t>
      </w:r>
      <w:r w:rsidR="004F07A7">
        <w:rPr>
          <w:color w:val="auto"/>
        </w:rPr>
        <w:t xml:space="preserve"> </w:t>
      </w:r>
      <w:r w:rsidR="00F15D70" w:rsidRPr="00913E30">
        <w:rPr>
          <w:color w:val="auto"/>
        </w:rPr>
        <w:t>–</w:t>
      </w:r>
      <w:r w:rsidR="004F07A7">
        <w:rPr>
          <w:color w:val="auto"/>
        </w:rPr>
        <w:t xml:space="preserve"> commenta </w:t>
      </w:r>
      <w:r w:rsidR="00F15D70">
        <w:rPr>
          <w:color w:val="auto"/>
        </w:rPr>
        <w:t xml:space="preserve">il Presidente </w:t>
      </w:r>
      <w:r w:rsidR="00F15D70" w:rsidRPr="00913E30">
        <w:rPr>
          <w:color w:val="auto"/>
        </w:rPr>
        <w:t xml:space="preserve">– </w:t>
      </w:r>
      <w:r w:rsidR="00440DF1">
        <w:rPr>
          <w:color w:val="auto"/>
        </w:rPr>
        <w:t xml:space="preserve">che </w:t>
      </w:r>
      <w:r w:rsidR="00DC4862">
        <w:rPr>
          <w:color w:val="auto"/>
        </w:rPr>
        <w:t xml:space="preserve">dovrebbero </w:t>
      </w:r>
      <w:r w:rsidR="00B132E7">
        <w:rPr>
          <w:color w:val="auto"/>
        </w:rPr>
        <w:t>indurre</w:t>
      </w:r>
      <w:r w:rsidR="00DC4862">
        <w:rPr>
          <w:color w:val="auto"/>
        </w:rPr>
        <w:t xml:space="preserve"> </w:t>
      </w:r>
      <w:r w:rsidR="00F15D70">
        <w:rPr>
          <w:color w:val="auto"/>
        </w:rPr>
        <w:t xml:space="preserve">gli amministratori </w:t>
      </w:r>
      <w:r w:rsidR="004F07A7">
        <w:rPr>
          <w:color w:val="auto"/>
        </w:rPr>
        <w:t xml:space="preserve">locali </w:t>
      </w:r>
      <w:r w:rsidR="00F15D70">
        <w:rPr>
          <w:color w:val="auto"/>
        </w:rPr>
        <w:t xml:space="preserve">a considerare </w:t>
      </w:r>
      <w:r w:rsidR="00F15D70">
        <w:rPr>
          <w:color w:val="auto"/>
        </w:rPr>
        <w:lastRenderedPageBreak/>
        <w:t xml:space="preserve">restrizioni su base </w:t>
      </w:r>
      <w:r w:rsidR="004F07A7">
        <w:rPr>
          <w:color w:val="auto"/>
        </w:rPr>
        <w:t xml:space="preserve">comunale </w:t>
      </w:r>
      <w:r w:rsidR="00F15D70">
        <w:rPr>
          <w:color w:val="auto"/>
        </w:rPr>
        <w:t xml:space="preserve">o provinciale, per evitare che la diffusione </w:t>
      </w:r>
      <w:r w:rsidR="004F07A7">
        <w:rPr>
          <w:color w:val="auto"/>
        </w:rPr>
        <w:t>del contagio trascini l’intera R</w:t>
      </w:r>
      <w:r w:rsidR="00F15D70">
        <w:rPr>
          <w:color w:val="auto"/>
        </w:rPr>
        <w:t>egione in zona gialla</w:t>
      </w:r>
      <w:r w:rsidR="00F15D70" w:rsidRPr="000D40CB">
        <w:rPr>
          <w:color w:val="auto"/>
        </w:rPr>
        <w:t>».</w:t>
      </w:r>
      <w:r w:rsidR="00F15D70">
        <w:rPr>
          <w:color w:val="auto"/>
        </w:rPr>
        <w:t xml:space="preserve"> </w:t>
      </w:r>
    </w:p>
    <w:p w:rsidR="00BD67DE" w:rsidRDefault="005E38B7" w:rsidP="00626103">
      <w:pPr>
        <w:spacing w:line="276" w:lineRule="auto"/>
        <w:jc w:val="both"/>
        <w:rPr>
          <w:color w:val="FF0000"/>
        </w:rPr>
      </w:pPr>
      <w:bookmarkStart w:id="0" w:name="_Hlk85025666"/>
      <w:r w:rsidRPr="00057C36">
        <w:rPr>
          <w:color w:val="auto"/>
        </w:rPr>
        <w:t xml:space="preserve">«Sul fronte ospedaliero – afferma Renata Gili, responsabile Ricerca sui Servizi Sanitari della Fondazione GIMBE – si registra un </w:t>
      </w:r>
      <w:r w:rsidR="00057C36" w:rsidRPr="00057C36">
        <w:rPr>
          <w:color w:val="auto"/>
        </w:rPr>
        <w:t xml:space="preserve">ulteriore </w:t>
      </w:r>
      <w:r w:rsidR="005672CD" w:rsidRPr="00057C36">
        <w:rPr>
          <w:color w:val="auto"/>
        </w:rPr>
        <w:t xml:space="preserve">incremento </w:t>
      </w:r>
      <w:r w:rsidRPr="00057C36">
        <w:rPr>
          <w:color w:val="auto"/>
        </w:rPr>
        <w:t>dei posti letto occupati</w:t>
      </w:r>
      <w:r w:rsidR="009A4229" w:rsidRPr="00057C36">
        <w:rPr>
          <w:color w:val="auto"/>
        </w:rPr>
        <w:t xml:space="preserve"> da pazienti COVID</w:t>
      </w:r>
      <w:r w:rsidRPr="00057C36">
        <w:rPr>
          <w:color w:val="auto"/>
        </w:rPr>
        <w:t>: rispetto alla settimana precedente +</w:t>
      </w:r>
      <w:r w:rsidR="005672CD" w:rsidRPr="00057C36">
        <w:rPr>
          <w:color w:val="auto"/>
        </w:rPr>
        <w:t>14</w:t>
      </w:r>
      <w:r w:rsidRPr="00057C36">
        <w:rPr>
          <w:color w:val="auto"/>
        </w:rPr>
        <w:t>,</w:t>
      </w:r>
      <w:r w:rsidR="00057C36" w:rsidRPr="00057C36">
        <w:rPr>
          <w:color w:val="auto"/>
        </w:rPr>
        <w:t>8</w:t>
      </w:r>
      <w:r w:rsidRPr="00057C36">
        <w:rPr>
          <w:color w:val="auto"/>
        </w:rPr>
        <w:t>% in area medica e +</w:t>
      </w:r>
      <w:r w:rsidR="00057C36" w:rsidRPr="00057C36">
        <w:rPr>
          <w:color w:val="auto"/>
        </w:rPr>
        <w:t>9</w:t>
      </w:r>
      <w:r w:rsidR="005672CD" w:rsidRPr="00057C36">
        <w:rPr>
          <w:color w:val="auto"/>
        </w:rPr>
        <w:t>,</w:t>
      </w:r>
      <w:r w:rsidR="00057C36" w:rsidRPr="00057C36">
        <w:rPr>
          <w:color w:val="auto"/>
        </w:rPr>
        <w:t>4</w:t>
      </w:r>
      <w:r w:rsidR="005672CD" w:rsidRPr="00057C36">
        <w:rPr>
          <w:color w:val="auto"/>
        </w:rPr>
        <w:t xml:space="preserve">% in terapia intensiva».  </w:t>
      </w:r>
      <w:r w:rsidR="003245C8" w:rsidRPr="00057C36">
        <w:rPr>
          <w:color w:val="auto"/>
        </w:rPr>
        <w:t>In termini assoluti, il numero di pazienti COVID in area medica è passato da 2.371 del 16 otto</w:t>
      </w:r>
      <w:r w:rsidR="008F284F">
        <w:rPr>
          <w:color w:val="auto"/>
        </w:rPr>
        <w:t>bre a 3.436 del 9 novembre 2021</w:t>
      </w:r>
      <w:r w:rsidR="003245C8" w:rsidRPr="00057C36">
        <w:rPr>
          <w:color w:val="auto"/>
        </w:rPr>
        <w:t xml:space="preserve"> e quello nelle terapie intensive da 338 del 25 ottobre</w:t>
      </w:r>
      <w:r w:rsidR="003245C8">
        <w:rPr>
          <w:color w:val="auto"/>
        </w:rPr>
        <w:t xml:space="preserve"> </w:t>
      </w:r>
      <w:r w:rsidR="003245C8" w:rsidRPr="00057C36">
        <w:rPr>
          <w:color w:val="auto"/>
        </w:rPr>
        <w:t xml:space="preserve">a 421 del 9 novembre </w:t>
      </w:r>
      <w:r w:rsidR="003245C8" w:rsidRPr="003245C8">
        <w:rPr>
          <w:color w:val="auto"/>
        </w:rPr>
        <w:t xml:space="preserve">2021. </w:t>
      </w:r>
      <w:r w:rsidR="00626103" w:rsidRPr="003245C8">
        <w:rPr>
          <w:color w:val="auto"/>
        </w:rPr>
        <w:t>A livello nazionale il tasso di occupazione rimane</w:t>
      </w:r>
      <w:r w:rsidR="00E3714A" w:rsidRPr="003245C8">
        <w:rPr>
          <w:color w:val="auto"/>
        </w:rPr>
        <w:t xml:space="preserve"> molto</w:t>
      </w:r>
      <w:r w:rsidR="00626103" w:rsidRPr="003245C8">
        <w:rPr>
          <w:color w:val="auto"/>
        </w:rPr>
        <w:t xml:space="preserve"> basso (</w:t>
      </w:r>
      <w:r w:rsidR="003245C8" w:rsidRPr="003245C8">
        <w:rPr>
          <w:color w:val="auto"/>
        </w:rPr>
        <w:t>6</w:t>
      </w:r>
      <w:r w:rsidR="00626103" w:rsidRPr="003245C8">
        <w:rPr>
          <w:color w:val="auto"/>
        </w:rPr>
        <w:t xml:space="preserve">% in area medica e </w:t>
      </w:r>
      <w:r w:rsidR="003245C8" w:rsidRPr="003245C8">
        <w:rPr>
          <w:color w:val="auto"/>
        </w:rPr>
        <w:t>5</w:t>
      </w:r>
      <w:r w:rsidR="00626103" w:rsidRPr="003245C8">
        <w:rPr>
          <w:color w:val="auto"/>
        </w:rPr>
        <w:t xml:space="preserve">% </w:t>
      </w:r>
      <w:r w:rsidR="00D17415" w:rsidRPr="003245C8">
        <w:rPr>
          <w:color w:val="auto"/>
        </w:rPr>
        <w:t>in terapia intensiva</w:t>
      </w:r>
      <w:r w:rsidR="000F6EBD" w:rsidRPr="003245C8">
        <w:rPr>
          <w:color w:val="auto"/>
        </w:rPr>
        <w:t>)</w:t>
      </w:r>
      <w:r w:rsidR="008F284F">
        <w:rPr>
          <w:color w:val="auto"/>
        </w:rPr>
        <w:t>, ma</w:t>
      </w:r>
      <w:r w:rsidR="003245C8" w:rsidRPr="003245C8">
        <w:rPr>
          <w:color w:val="auto"/>
        </w:rPr>
        <w:t xml:space="preserve"> con notevoli differenze regionali</w:t>
      </w:r>
      <w:r w:rsidR="00F0509D">
        <w:rPr>
          <w:color w:val="auto"/>
        </w:rPr>
        <w:t>.</w:t>
      </w:r>
      <w:r w:rsidR="003245C8" w:rsidRPr="003245C8">
        <w:rPr>
          <w:color w:val="auto"/>
        </w:rPr>
        <w:t xml:space="preserve"> </w:t>
      </w:r>
      <w:r w:rsidR="00F0509D">
        <w:rPr>
          <w:color w:val="auto"/>
        </w:rPr>
        <w:t xml:space="preserve">In particolare, </w:t>
      </w:r>
      <w:r w:rsidR="00626103" w:rsidRPr="003245C8">
        <w:rPr>
          <w:color w:val="auto"/>
        </w:rPr>
        <w:t xml:space="preserve">nessuna Regione </w:t>
      </w:r>
      <w:r w:rsidR="008F284F">
        <w:rPr>
          <w:color w:val="auto"/>
        </w:rPr>
        <w:t xml:space="preserve">supera </w:t>
      </w:r>
      <w:r w:rsidR="00626103" w:rsidRPr="003245C8">
        <w:rPr>
          <w:color w:val="auto"/>
        </w:rPr>
        <w:t>l</w:t>
      </w:r>
      <w:r w:rsidR="003245C8" w:rsidRPr="003245C8">
        <w:rPr>
          <w:color w:val="auto"/>
        </w:rPr>
        <w:t xml:space="preserve">a soglia </w:t>
      </w:r>
      <w:r w:rsidR="00626103" w:rsidRPr="003245C8">
        <w:rPr>
          <w:color w:val="auto"/>
        </w:rPr>
        <w:t>del 15% per l’area medica</w:t>
      </w:r>
      <w:r w:rsidR="003245C8" w:rsidRPr="003245C8">
        <w:rPr>
          <w:color w:val="auto"/>
        </w:rPr>
        <w:t>, mentre</w:t>
      </w:r>
      <w:r w:rsidR="00626103" w:rsidRPr="003245C8">
        <w:rPr>
          <w:color w:val="auto"/>
        </w:rPr>
        <w:t xml:space="preserve"> </w:t>
      </w:r>
      <w:r w:rsidR="003245C8" w:rsidRPr="003245C8">
        <w:rPr>
          <w:color w:val="auto"/>
        </w:rPr>
        <w:t>Friuli</w:t>
      </w:r>
      <w:r w:rsidR="00A60B78">
        <w:rPr>
          <w:color w:val="auto"/>
        </w:rPr>
        <w:t>-</w:t>
      </w:r>
      <w:r w:rsidR="003245C8" w:rsidRPr="003245C8">
        <w:rPr>
          <w:color w:val="auto"/>
        </w:rPr>
        <w:t>Venezia Giulia (11%) e Marche (11%) superano quella</w:t>
      </w:r>
      <w:r w:rsidR="003245C8">
        <w:rPr>
          <w:color w:val="auto"/>
        </w:rPr>
        <w:t xml:space="preserve"> del 10% per l’area critica</w:t>
      </w:r>
      <w:r w:rsidR="003245C8" w:rsidRPr="003245C8">
        <w:rPr>
          <w:color w:val="auto"/>
        </w:rPr>
        <w:t xml:space="preserve"> (</w:t>
      </w:r>
      <w:r w:rsidR="003245C8" w:rsidRPr="003245C8">
        <w:rPr>
          <w:color w:val="auto"/>
          <w:highlight w:val="yellow"/>
        </w:rPr>
        <w:t xml:space="preserve">figura </w:t>
      </w:r>
      <w:r w:rsidR="00FB6128">
        <w:rPr>
          <w:color w:val="auto"/>
          <w:highlight w:val="yellow"/>
        </w:rPr>
        <w:t>6</w:t>
      </w:r>
      <w:r w:rsidR="003245C8" w:rsidRPr="003245C8">
        <w:rPr>
          <w:color w:val="auto"/>
        </w:rPr>
        <w:t>)</w:t>
      </w:r>
      <w:r w:rsidR="007E3D23">
        <w:rPr>
          <w:color w:val="auto"/>
        </w:rPr>
        <w:t xml:space="preserve">. Tali valori, a breve termine, </w:t>
      </w:r>
      <w:r w:rsidR="00F0509D">
        <w:rPr>
          <w:color w:val="auto"/>
        </w:rPr>
        <w:t xml:space="preserve">non </w:t>
      </w:r>
      <w:r w:rsidR="00C50BD9">
        <w:rPr>
          <w:color w:val="auto"/>
        </w:rPr>
        <w:t xml:space="preserve">comportano </w:t>
      </w:r>
      <w:r w:rsidR="00F0509D">
        <w:rPr>
          <w:color w:val="auto"/>
        </w:rPr>
        <w:t>il rischio</w:t>
      </w:r>
      <w:r w:rsidR="00C50BD9">
        <w:rPr>
          <w:color w:val="auto"/>
        </w:rPr>
        <w:t xml:space="preserve"> di</w:t>
      </w:r>
      <w:r w:rsidR="00F0509D">
        <w:rPr>
          <w:color w:val="auto"/>
        </w:rPr>
        <w:t xml:space="preserve"> </w:t>
      </w:r>
      <w:r w:rsidR="007E3D23">
        <w:rPr>
          <w:color w:val="auto"/>
        </w:rPr>
        <w:t xml:space="preserve">passare in </w:t>
      </w:r>
      <w:r w:rsidR="00F0509D">
        <w:rPr>
          <w:color w:val="auto"/>
        </w:rPr>
        <w:t xml:space="preserve">zona gialla </w:t>
      </w:r>
      <w:r w:rsidR="007E3D23">
        <w:rPr>
          <w:color w:val="auto"/>
        </w:rPr>
        <w:t>che, oltre all’</w:t>
      </w:r>
      <w:r w:rsidR="00F0509D">
        <w:rPr>
          <w:color w:val="auto"/>
        </w:rPr>
        <w:t xml:space="preserve">incidenza settimanale </w:t>
      </w:r>
      <w:r w:rsidR="00FE1310">
        <w:rPr>
          <w:color w:val="auto"/>
        </w:rPr>
        <w:t>superiore ai 50</w:t>
      </w:r>
      <w:r w:rsidR="00F0509D">
        <w:rPr>
          <w:color w:val="auto"/>
        </w:rPr>
        <w:t xml:space="preserve"> casi per 100.000 abitanti,</w:t>
      </w:r>
      <w:r w:rsidR="00C50BD9">
        <w:rPr>
          <w:color w:val="auto"/>
        </w:rPr>
        <w:t xml:space="preserve"> richiede contestualmente</w:t>
      </w:r>
      <w:r w:rsidR="008F284F">
        <w:rPr>
          <w:color w:val="auto"/>
        </w:rPr>
        <w:t xml:space="preserve"> il superamento </w:t>
      </w:r>
      <w:r w:rsidR="00F0509D">
        <w:rPr>
          <w:color w:val="auto"/>
        </w:rPr>
        <w:t>della soglia di occupazione de</w:t>
      </w:r>
      <w:r w:rsidR="007E3D23">
        <w:rPr>
          <w:color w:val="auto"/>
        </w:rPr>
        <w:t>l</w:t>
      </w:r>
      <w:r w:rsidR="00F0509D">
        <w:rPr>
          <w:color w:val="auto"/>
        </w:rPr>
        <w:t xml:space="preserve"> </w:t>
      </w:r>
      <w:r w:rsidR="007E3D23">
        <w:rPr>
          <w:color w:val="auto"/>
        </w:rPr>
        <w:t>15% in</w:t>
      </w:r>
      <w:r w:rsidR="00F0509D">
        <w:rPr>
          <w:color w:val="auto"/>
        </w:rPr>
        <w:t xml:space="preserve"> area medica </w:t>
      </w:r>
      <w:r w:rsidR="007E3D23">
        <w:rPr>
          <w:color w:val="auto"/>
        </w:rPr>
        <w:t xml:space="preserve">e del 10% in </w:t>
      </w:r>
      <w:r w:rsidR="00F0509D">
        <w:rPr>
          <w:color w:val="auto"/>
        </w:rPr>
        <w:t>terapia intensiva.</w:t>
      </w:r>
      <w:r w:rsidR="00626103" w:rsidRPr="003245C8">
        <w:rPr>
          <w:color w:val="auto"/>
        </w:rPr>
        <w:t xml:space="preserve"> </w:t>
      </w:r>
      <w:bookmarkEnd w:id="0"/>
      <w:r w:rsidR="00BD67DE" w:rsidRPr="003245C8">
        <w:rPr>
          <w:color w:val="auto"/>
        </w:rPr>
        <w:t>«</w:t>
      </w:r>
      <w:r w:rsidR="00547F28">
        <w:rPr>
          <w:color w:val="auto"/>
        </w:rPr>
        <w:t xml:space="preserve">Aumentano </w:t>
      </w:r>
      <w:r w:rsidR="00BD67DE" w:rsidRPr="003245C8">
        <w:rPr>
          <w:color w:val="auto"/>
        </w:rPr>
        <w:t xml:space="preserve">– </w:t>
      </w:r>
      <w:r w:rsidR="0006040F">
        <w:rPr>
          <w:color w:val="auto"/>
        </w:rPr>
        <w:t>puntualizza</w:t>
      </w:r>
      <w:r w:rsidR="0006040F" w:rsidRPr="003245C8">
        <w:rPr>
          <w:color w:val="auto"/>
        </w:rPr>
        <w:t xml:space="preserve"> </w:t>
      </w:r>
      <w:r w:rsidR="00BD67DE" w:rsidRPr="003245C8">
        <w:rPr>
          <w:color w:val="auto"/>
        </w:rPr>
        <w:t>Marco Mosti, Direttore Operativo della Fondazione GIMBE –</w:t>
      </w:r>
      <w:r w:rsidR="00547F28">
        <w:rPr>
          <w:color w:val="auto"/>
        </w:rPr>
        <w:t xml:space="preserve"> </w:t>
      </w:r>
      <w:r w:rsidR="0006040F" w:rsidRPr="003245C8">
        <w:rPr>
          <w:color w:val="auto"/>
        </w:rPr>
        <w:t xml:space="preserve">gli ingressi giornalieri </w:t>
      </w:r>
      <w:r w:rsidR="00547F28">
        <w:rPr>
          <w:color w:val="auto"/>
        </w:rPr>
        <w:t xml:space="preserve">in terapia intensiva: la </w:t>
      </w:r>
      <w:r w:rsidR="00BD67DE" w:rsidRPr="003245C8">
        <w:rPr>
          <w:color w:val="auto"/>
        </w:rPr>
        <w:t xml:space="preserve">media mobile a 7 giorni </w:t>
      </w:r>
      <w:r w:rsidR="00547F28">
        <w:rPr>
          <w:color w:val="auto"/>
        </w:rPr>
        <w:t xml:space="preserve">passa da </w:t>
      </w:r>
      <w:r w:rsidR="00547F28" w:rsidRPr="003245C8">
        <w:rPr>
          <w:color w:val="auto"/>
        </w:rPr>
        <w:t>26 ingressi/die della settimana precedente</w:t>
      </w:r>
      <w:r w:rsidR="00547F28">
        <w:rPr>
          <w:color w:val="auto"/>
        </w:rPr>
        <w:t xml:space="preserve"> a </w:t>
      </w:r>
      <w:r w:rsidR="003245C8" w:rsidRPr="003245C8">
        <w:rPr>
          <w:color w:val="auto"/>
        </w:rPr>
        <w:t>34</w:t>
      </w:r>
      <w:r w:rsidR="00BD67DE" w:rsidRPr="003245C8">
        <w:rPr>
          <w:color w:val="auto"/>
        </w:rPr>
        <w:t>» (</w:t>
      </w:r>
      <w:r w:rsidR="00BD67DE" w:rsidRPr="003245C8">
        <w:rPr>
          <w:color w:val="auto"/>
          <w:highlight w:val="yellow"/>
        </w:rPr>
        <w:t xml:space="preserve">figura </w:t>
      </w:r>
      <w:r w:rsidR="00FB6128">
        <w:rPr>
          <w:color w:val="auto"/>
          <w:highlight w:val="yellow"/>
        </w:rPr>
        <w:t>7</w:t>
      </w:r>
      <w:r w:rsidR="00BD67DE" w:rsidRPr="003245C8">
        <w:rPr>
          <w:color w:val="auto"/>
        </w:rPr>
        <w:t>).</w:t>
      </w:r>
    </w:p>
    <w:p w:rsidR="00D325D0" w:rsidRPr="00A85051" w:rsidRDefault="00D325D0" w:rsidP="00A5775A">
      <w:pPr>
        <w:spacing w:line="276" w:lineRule="auto"/>
        <w:jc w:val="both"/>
        <w:rPr>
          <w:color w:val="FF0000"/>
        </w:rPr>
      </w:pPr>
      <w:r w:rsidRPr="000A00BA">
        <w:rPr>
          <w:b/>
          <w:bCs/>
          <w:color w:val="auto"/>
        </w:rPr>
        <w:t>Vaccini: forniture</w:t>
      </w:r>
      <w:r w:rsidRPr="000A00BA">
        <w:rPr>
          <w:color w:val="auto"/>
        </w:rPr>
        <w:t xml:space="preserve">. </w:t>
      </w:r>
      <w:r w:rsidR="000A00BA" w:rsidRPr="000A00BA">
        <w:rPr>
          <w:color w:val="auto"/>
        </w:rPr>
        <w:t>Al 10 novembre (aggiornamento ore 6.11) risultano consegnate 99.901.969 dosi</w:t>
      </w:r>
      <w:r w:rsidR="00A5775A" w:rsidRPr="000A00BA">
        <w:rPr>
          <w:color w:val="auto"/>
        </w:rPr>
        <w:t xml:space="preserve">: </w:t>
      </w:r>
      <w:r w:rsidR="00973EE1" w:rsidRPr="000A00BA">
        <w:rPr>
          <w:color w:val="auto"/>
        </w:rPr>
        <w:t xml:space="preserve">in </w:t>
      </w:r>
      <w:r w:rsidR="00A33529" w:rsidRPr="000A00BA">
        <w:rPr>
          <w:color w:val="auto"/>
        </w:rPr>
        <w:t>assenza di</w:t>
      </w:r>
      <w:r w:rsidR="00112E06" w:rsidRPr="000A00BA">
        <w:rPr>
          <w:color w:val="auto"/>
        </w:rPr>
        <w:t xml:space="preserve"> </w:t>
      </w:r>
      <w:r w:rsidR="00A33529" w:rsidRPr="000A00BA">
        <w:rPr>
          <w:color w:val="auto"/>
        </w:rPr>
        <w:t xml:space="preserve">nuove </w:t>
      </w:r>
      <w:r w:rsidR="00071A13" w:rsidRPr="000A00BA">
        <w:rPr>
          <w:color w:val="auto"/>
        </w:rPr>
        <w:t xml:space="preserve">forniture </w:t>
      </w:r>
      <w:r w:rsidR="00530B88" w:rsidRPr="000A00BA">
        <w:rPr>
          <w:color w:val="auto"/>
        </w:rPr>
        <w:t xml:space="preserve">per la </w:t>
      </w:r>
      <w:r w:rsidR="000A00BA" w:rsidRPr="000A00BA">
        <w:rPr>
          <w:color w:val="auto"/>
        </w:rPr>
        <w:t>quarta</w:t>
      </w:r>
      <w:r w:rsidR="00530B88" w:rsidRPr="000A00BA">
        <w:rPr>
          <w:color w:val="auto"/>
        </w:rPr>
        <w:t xml:space="preserve"> settimana consecutiva</w:t>
      </w:r>
      <w:r w:rsidR="00011791" w:rsidRPr="000A00BA">
        <w:rPr>
          <w:color w:val="auto"/>
        </w:rPr>
        <w:t xml:space="preserve"> </w:t>
      </w:r>
      <w:r w:rsidR="00973EE1" w:rsidRPr="000A00BA">
        <w:rPr>
          <w:color w:val="auto"/>
        </w:rPr>
        <w:t>si riducono</w:t>
      </w:r>
      <w:r w:rsidR="001A5713" w:rsidRPr="000A00BA">
        <w:rPr>
          <w:color w:val="auto"/>
        </w:rPr>
        <w:t xml:space="preserve"> </w:t>
      </w:r>
      <w:r w:rsidR="00530B88" w:rsidRPr="000A00BA">
        <w:rPr>
          <w:color w:val="auto"/>
        </w:rPr>
        <w:t xml:space="preserve">le </w:t>
      </w:r>
      <w:r w:rsidR="00315CB0" w:rsidRPr="000A00BA">
        <w:rPr>
          <w:color w:val="auto"/>
        </w:rPr>
        <w:t>scorte di vaccini a mRNA</w:t>
      </w:r>
      <w:r w:rsidR="00530B88" w:rsidRPr="000A00BA">
        <w:rPr>
          <w:color w:val="auto"/>
        </w:rPr>
        <w:t>, che</w:t>
      </w:r>
      <w:r w:rsidR="00112E06" w:rsidRPr="000A00BA">
        <w:rPr>
          <w:color w:val="auto"/>
        </w:rPr>
        <w:t xml:space="preserve"> </w:t>
      </w:r>
      <w:r w:rsidR="00041D6E" w:rsidRPr="000A00BA">
        <w:rPr>
          <w:color w:val="auto"/>
        </w:rPr>
        <w:t xml:space="preserve">si attestano </w:t>
      </w:r>
      <w:r w:rsidR="00E618D5" w:rsidRPr="000A00BA">
        <w:rPr>
          <w:color w:val="auto"/>
        </w:rPr>
        <w:t xml:space="preserve">a </w:t>
      </w:r>
      <w:r w:rsidR="00FE2F96" w:rsidRPr="000A00BA">
        <w:rPr>
          <w:color w:val="auto"/>
        </w:rPr>
        <w:t xml:space="preserve">quota </w:t>
      </w:r>
      <w:r w:rsidR="000A00BA" w:rsidRPr="000A00BA">
        <w:rPr>
          <w:color w:val="auto"/>
        </w:rPr>
        <w:t>8,8</w:t>
      </w:r>
      <w:r w:rsidR="00011791" w:rsidRPr="000A00BA">
        <w:rPr>
          <w:color w:val="auto"/>
        </w:rPr>
        <w:t xml:space="preserve"> milioni </w:t>
      </w:r>
      <w:r w:rsidR="00457621" w:rsidRPr="000A00BA">
        <w:rPr>
          <w:color w:val="auto"/>
        </w:rPr>
        <w:t>di dosi</w:t>
      </w:r>
      <w:r w:rsidRPr="000A00BA">
        <w:rPr>
          <w:color w:val="auto"/>
        </w:rPr>
        <w:t>.</w:t>
      </w:r>
      <w:r w:rsidR="00011791" w:rsidRPr="000A00BA">
        <w:rPr>
          <w:color w:val="auto"/>
        </w:rPr>
        <w:t xml:space="preserve"> </w:t>
      </w:r>
    </w:p>
    <w:p w:rsidR="000A00BA" w:rsidRPr="000A00BA" w:rsidRDefault="000A00BA" w:rsidP="00D30930">
      <w:pPr>
        <w:spacing w:line="276" w:lineRule="auto"/>
        <w:jc w:val="both"/>
        <w:rPr>
          <w:color w:val="auto"/>
        </w:rPr>
      </w:pPr>
      <w:r w:rsidRPr="000A00BA">
        <w:rPr>
          <w:b/>
          <w:color w:val="auto"/>
        </w:rPr>
        <w:t>Vaccini: somministrazioni.</w:t>
      </w:r>
      <w:r w:rsidRPr="000A00BA">
        <w:rPr>
          <w:color w:val="auto"/>
        </w:rPr>
        <w:t xml:space="preserve"> Al 10 novembre (aggiornamento ore 6.11) il 79% della popolazione (n. 46.784.051) ha ricevuto almeno una dose di vaccino (+127.761 rispetto alla settimana precedente) e il 76,4% (n. 45.243.732) ha completato il ciclo vaccinale (+379.124 rispetto alla settimana precedente) (</w:t>
      </w:r>
      <w:r w:rsidRPr="000A00BA">
        <w:rPr>
          <w:color w:val="auto"/>
          <w:highlight w:val="yellow"/>
        </w:rPr>
        <w:t>figura 8</w:t>
      </w:r>
      <w:r w:rsidRPr="000A00BA">
        <w:rPr>
          <w:color w:val="auto"/>
        </w:rPr>
        <w:t xml:space="preserve">). In </w:t>
      </w:r>
      <w:r w:rsidR="008F284F">
        <w:rPr>
          <w:color w:val="auto"/>
        </w:rPr>
        <w:t xml:space="preserve">lieve calo (-4,8%) </w:t>
      </w:r>
      <w:r w:rsidRPr="000A00BA">
        <w:rPr>
          <w:color w:val="auto"/>
        </w:rPr>
        <w:t xml:space="preserve">nell’ultima settimana il numero </w:t>
      </w:r>
      <w:r w:rsidR="008F284F">
        <w:rPr>
          <w:color w:val="auto"/>
        </w:rPr>
        <w:t xml:space="preserve">totale </w:t>
      </w:r>
      <w:r w:rsidRPr="000A00BA">
        <w:rPr>
          <w:color w:val="auto"/>
        </w:rPr>
        <w:t>di somministrazioni (n. 1.025.882) (</w:t>
      </w:r>
      <w:r w:rsidRPr="000A00BA">
        <w:rPr>
          <w:color w:val="auto"/>
          <w:highlight w:val="yellow"/>
        </w:rPr>
        <w:t>figura 9</w:t>
      </w:r>
      <w:r w:rsidRPr="000A00BA">
        <w:rPr>
          <w:color w:val="auto"/>
        </w:rPr>
        <w:t>), con una media mobile a 7 giorni di 169.844 somministrazioni/die.</w:t>
      </w:r>
    </w:p>
    <w:p w:rsidR="00B672EA" w:rsidRPr="00A85051" w:rsidRDefault="00B672EA" w:rsidP="00C70295">
      <w:pPr>
        <w:spacing w:line="276" w:lineRule="auto"/>
        <w:jc w:val="both"/>
        <w:rPr>
          <w:color w:val="FF0000"/>
        </w:rPr>
      </w:pPr>
      <w:r w:rsidRPr="000A00BA">
        <w:rPr>
          <w:b/>
          <w:color w:val="auto"/>
        </w:rPr>
        <w:t xml:space="preserve">Vaccini: </w:t>
      </w:r>
      <w:r w:rsidR="003E293F" w:rsidRPr="000A00BA">
        <w:rPr>
          <w:b/>
          <w:color w:val="auto"/>
        </w:rPr>
        <w:t>nuovi vaccinati</w:t>
      </w:r>
      <w:r w:rsidRPr="000A00BA">
        <w:rPr>
          <w:color w:val="auto"/>
        </w:rPr>
        <w:t xml:space="preserve">. </w:t>
      </w:r>
      <w:r w:rsidR="00F7332F" w:rsidRPr="000A00BA">
        <w:rPr>
          <w:color w:val="auto"/>
        </w:rPr>
        <w:t>D</w:t>
      </w:r>
      <w:r w:rsidRPr="000A00BA">
        <w:rPr>
          <w:color w:val="auto"/>
        </w:rPr>
        <w:t xml:space="preserve">opo </w:t>
      </w:r>
      <w:r w:rsidR="00F7332F" w:rsidRPr="000A00BA">
        <w:rPr>
          <w:color w:val="auto"/>
        </w:rPr>
        <w:t>aver</w:t>
      </w:r>
      <w:r w:rsidR="00C70295" w:rsidRPr="000A00BA">
        <w:rPr>
          <w:color w:val="auto"/>
        </w:rPr>
        <w:t xml:space="preserve"> sfiorato quota</w:t>
      </w:r>
      <w:r w:rsidRPr="000A00BA">
        <w:rPr>
          <w:color w:val="auto"/>
        </w:rPr>
        <w:t xml:space="preserve"> 440</w:t>
      </w:r>
      <w:r w:rsidR="00D563B4">
        <w:rPr>
          <w:color w:val="auto"/>
        </w:rPr>
        <w:t xml:space="preserve"> </w:t>
      </w:r>
      <w:r w:rsidRPr="000A00BA">
        <w:rPr>
          <w:color w:val="auto"/>
        </w:rPr>
        <w:t xml:space="preserve">mila nella settimana 11-17 ottobre, </w:t>
      </w:r>
      <w:r w:rsidR="005A3333">
        <w:rPr>
          <w:color w:val="auto"/>
        </w:rPr>
        <w:t>in</w:t>
      </w:r>
      <w:r w:rsidR="005A3333" w:rsidRPr="001F48D1">
        <w:rPr>
          <w:color w:val="auto"/>
        </w:rPr>
        <w:t xml:space="preserve"> tre settimane </w:t>
      </w:r>
      <w:r w:rsidR="00F7332F" w:rsidRPr="000A00BA">
        <w:rPr>
          <w:color w:val="auto"/>
        </w:rPr>
        <w:t xml:space="preserve">il numero dei nuovi vaccinati </w:t>
      </w:r>
      <w:r w:rsidRPr="001F48D1">
        <w:rPr>
          <w:color w:val="auto"/>
        </w:rPr>
        <w:t xml:space="preserve">è crollato </w:t>
      </w:r>
      <w:r w:rsidR="000A00BA" w:rsidRPr="001F48D1">
        <w:rPr>
          <w:color w:val="auto"/>
        </w:rPr>
        <w:t>del 75,4%</w:t>
      </w:r>
      <w:r w:rsidR="005A3333">
        <w:rPr>
          <w:color w:val="auto"/>
        </w:rPr>
        <w:t xml:space="preserve"> </w:t>
      </w:r>
      <w:r w:rsidRPr="001F48D1">
        <w:rPr>
          <w:color w:val="auto"/>
        </w:rPr>
        <w:t>(</w:t>
      </w:r>
      <w:r w:rsidRPr="001F48D1">
        <w:rPr>
          <w:color w:val="auto"/>
          <w:highlight w:val="yellow"/>
        </w:rPr>
        <w:t>figura 1</w:t>
      </w:r>
      <w:r w:rsidR="00012B67" w:rsidRPr="001F48D1">
        <w:rPr>
          <w:color w:val="auto"/>
          <w:highlight w:val="yellow"/>
        </w:rPr>
        <w:t>0</w:t>
      </w:r>
      <w:r w:rsidR="005A3333" w:rsidRPr="001F48D1">
        <w:rPr>
          <w:color w:val="auto"/>
        </w:rPr>
        <w:t>)</w:t>
      </w:r>
      <w:r w:rsidR="005A3333">
        <w:rPr>
          <w:color w:val="auto"/>
        </w:rPr>
        <w:t>: d</w:t>
      </w:r>
      <w:r w:rsidRPr="001F48D1">
        <w:rPr>
          <w:color w:val="auto"/>
        </w:rPr>
        <w:t xml:space="preserve">ei </w:t>
      </w:r>
      <w:r w:rsidR="000A00BA" w:rsidRPr="001F48D1">
        <w:rPr>
          <w:color w:val="auto"/>
        </w:rPr>
        <w:t xml:space="preserve">108.497 </w:t>
      </w:r>
      <w:r w:rsidRPr="001F48D1">
        <w:rPr>
          <w:color w:val="auto"/>
        </w:rPr>
        <w:t xml:space="preserve">nuovi vaccinati nella settimana </w:t>
      </w:r>
      <w:r w:rsidR="000A00BA" w:rsidRPr="001F48D1">
        <w:rPr>
          <w:color w:val="auto"/>
        </w:rPr>
        <w:t xml:space="preserve">1-7 novembre </w:t>
      </w:r>
      <w:r w:rsidRPr="001F48D1">
        <w:rPr>
          <w:color w:val="auto"/>
        </w:rPr>
        <w:t>il 7</w:t>
      </w:r>
      <w:r w:rsidR="001F48D1" w:rsidRPr="001F48D1">
        <w:rPr>
          <w:color w:val="auto"/>
        </w:rPr>
        <w:t>2</w:t>
      </w:r>
      <w:r w:rsidRPr="001F48D1">
        <w:rPr>
          <w:color w:val="auto"/>
        </w:rPr>
        <w:t>,</w:t>
      </w:r>
      <w:r w:rsidR="00E10DC3" w:rsidRPr="001F48D1">
        <w:rPr>
          <w:color w:val="auto"/>
        </w:rPr>
        <w:t>2</w:t>
      </w:r>
      <w:r w:rsidRPr="001F48D1">
        <w:rPr>
          <w:color w:val="auto"/>
        </w:rPr>
        <w:t xml:space="preserve">% </w:t>
      </w:r>
      <w:r w:rsidR="00DC4862" w:rsidRPr="001F48D1">
        <w:rPr>
          <w:color w:val="auto"/>
        </w:rPr>
        <w:t>appart</w:t>
      </w:r>
      <w:r w:rsidR="00DC4862">
        <w:rPr>
          <w:color w:val="auto"/>
        </w:rPr>
        <w:t>iene</w:t>
      </w:r>
      <w:r w:rsidR="00DC4862" w:rsidRPr="001F48D1">
        <w:rPr>
          <w:color w:val="auto"/>
        </w:rPr>
        <w:t xml:space="preserve"> </w:t>
      </w:r>
      <w:r w:rsidRPr="001F48D1">
        <w:rPr>
          <w:color w:val="auto"/>
        </w:rPr>
        <w:t xml:space="preserve">a fasce anagrafiche che includono persone in </w:t>
      </w:r>
      <w:r w:rsidR="001A5713" w:rsidRPr="001F48D1">
        <w:rPr>
          <w:color w:val="auto"/>
        </w:rPr>
        <w:t xml:space="preserve">età lavorativa </w:t>
      </w:r>
      <w:r w:rsidRPr="001F48D1">
        <w:rPr>
          <w:color w:val="auto"/>
        </w:rPr>
        <w:t>(</w:t>
      </w:r>
      <w:r w:rsidRPr="002369FF">
        <w:rPr>
          <w:color w:val="auto"/>
          <w:highlight w:val="yellow"/>
        </w:rPr>
        <w:t>figura 1</w:t>
      </w:r>
      <w:r w:rsidR="00012B67" w:rsidRPr="002369FF">
        <w:rPr>
          <w:color w:val="auto"/>
          <w:highlight w:val="yellow"/>
        </w:rPr>
        <w:t>1</w:t>
      </w:r>
      <w:r w:rsidRPr="002369FF">
        <w:rPr>
          <w:color w:val="auto"/>
        </w:rPr>
        <w:t>). Rispetto alle persone ancora da vaccinare</w:t>
      </w:r>
      <w:r w:rsidR="008F284F">
        <w:rPr>
          <w:color w:val="auto"/>
        </w:rPr>
        <w:t xml:space="preserve"> preoccupano sia </w:t>
      </w:r>
      <w:r w:rsidR="002369FF" w:rsidRPr="002369FF">
        <w:rPr>
          <w:color w:val="auto"/>
        </w:rPr>
        <w:t>i quasi</w:t>
      </w:r>
      <w:r w:rsidR="00953D24" w:rsidRPr="002369FF">
        <w:rPr>
          <w:color w:val="auto"/>
        </w:rPr>
        <w:t xml:space="preserve"> 2,7 milioni di over 50 ad elevato rischio di malattia grave e ospedalizzazione</w:t>
      </w:r>
      <w:r w:rsidR="008F284F">
        <w:rPr>
          <w:color w:val="auto"/>
        </w:rPr>
        <w:t xml:space="preserve">, sia </w:t>
      </w:r>
      <w:r w:rsidR="001A5713" w:rsidRPr="002369FF">
        <w:rPr>
          <w:color w:val="auto"/>
        </w:rPr>
        <w:t>gli oltre 1,</w:t>
      </w:r>
      <w:r w:rsidR="002369FF" w:rsidRPr="002369FF">
        <w:rPr>
          <w:color w:val="auto"/>
        </w:rPr>
        <w:t>2</w:t>
      </w:r>
      <w:r w:rsidR="001A5713" w:rsidRPr="002369FF">
        <w:rPr>
          <w:color w:val="auto"/>
        </w:rPr>
        <w:t xml:space="preserve"> milioni nella fascia 12-19 che </w:t>
      </w:r>
      <w:r w:rsidR="00E41FA3">
        <w:rPr>
          <w:color w:val="auto"/>
        </w:rPr>
        <w:t>influiscono negativamente sul</w:t>
      </w:r>
      <w:r w:rsidR="001A5713" w:rsidRPr="002369FF">
        <w:rPr>
          <w:color w:val="auto"/>
        </w:rPr>
        <w:t xml:space="preserve">la sicurezza </w:t>
      </w:r>
      <w:r w:rsidR="00E41FA3">
        <w:rPr>
          <w:color w:val="auto"/>
        </w:rPr>
        <w:t>negli ambienti scolastici</w:t>
      </w:r>
      <w:r w:rsidR="00953D24" w:rsidRPr="002369FF">
        <w:rPr>
          <w:color w:val="auto"/>
        </w:rPr>
        <w:t xml:space="preserve"> </w:t>
      </w:r>
      <w:r w:rsidRPr="002369FF">
        <w:rPr>
          <w:color w:val="auto"/>
        </w:rPr>
        <w:t>(</w:t>
      </w:r>
      <w:r w:rsidRPr="002369FF">
        <w:rPr>
          <w:color w:val="auto"/>
          <w:highlight w:val="yellow"/>
        </w:rPr>
        <w:t>figura 1</w:t>
      </w:r>
      <w:r w:rsidR="00012B67" w:rsidRPr="002369FF">
        <w:rPr>
          <w:color w:val="auto"/>
          <w:highlight w:val="yellow"/>
        </w:rPr>
        <w:t>2</w:t>
      </w:r>
      <w:r w:rsidRPr="002369FF">
        <w:rPr>
          <w:color w:val="auto"/>
        </w:rPr>
        <w:t>).</w:t>
      </w:r>
    </w:p>
    <w:p w:rsidR="0026223C" w:rsidRPr="002369FF" w:rsidRDefault="00DD1090" w:rsidP="0026223C">
      <w:pPr>
        <w:spacing w:line="276" w:lineRule="auto"/>
        <w:jc w:val="both"/>
        <w:rPr>
          <w:color w:val="auto"/>
        </w:rPr>
      </w:pPr>
      <w:r w:rsidRPr="002369FF">
        <w:rPr>
          <w:b/>
          <w:color w:val="auto"/>
          <w:u w:color="FF0000"/>
        </w:rPr>
        <w:t>Vaccini: copertur</w:t>
      </w:r>
      <w:r w:rsidR="004A3B4B" w:rsidRPr="002369FF">
        <w:rPr>
          <w:b/>
          <w:color w:val="auto"/>
          <w:u w:color="FF0000"/>
        </w:rPr>
        <w:t>e</w:t>
      </w:r>
      <w:r w:rsidRPr="002369FF">
        <w:rPr>
          <w:b/>
          <w:color w:val="auto"/>
          <w:u w:color="FF0000"/>
        </w:rPr>
        <w:t>.</w:t>
      </w:r>
      <w:r w:rsidRPr="002369FF">
        <w:rPr>
          <w:color w:val="auto"/>
          <w:u w:color="FF0000"/>
        </w:rPr>
        <w:t xml:space="preserve"> </w:t>
      </w:r>
      <w:r w:rsidR="004A3B4B" w:rsidRPr="002369FF">
        <w:rPr>
          <w:color w:val="auto"/>
        </w:rPr>
        <w:t>Le coperture vaccinali con almeno una dose di vaccino sono molto variabili</w:t>
      </w:r>
      <w:r w:rsidR="00936D85" w:rsidRPr="002369FF">
        <w:rPr>
          <w:color w:val="auto"/>
        </w:rPr>
        <w:t xml:space="preserve"> nelle diverse fasce di età</w:t>
      </w:r>
      <w:r w:rsidR="004A3B4B" w:rsidRPr="002369FF">
        <w:rPr>
          <w:color w:val="auto"/>
        </w:rPr>
        <w:t xml:space="preserve">: </w:t>
      </w:r>
      <w:r w:rsidR="00D34302" w:rsidRPr="002369FF">
        <w:rPr>
          <w:color w:val="auto"/>
        </w:rPr>
        <w:t>dal 97</w:t>
      </w:r>
      <w:r w:rsidR="002B6B31" w:rsidRPr="002369FF">
        <w:rPr>
          <w:color w:val="auto"/>
        </w:rPr>
        <w:t>,1</w:t>
      </w:r>
      <w:r w:rsidR="004A3B4B" w:rsidRPr="002369FF">
        <w:rPr>
          <w:color w:val="auto"/>
        </w:rPr>
        <w:t xml:space="preserve">% degli over 80 al </w:t>
      </w:r>
      <w:r w:rsidR="002369FF" w:rsidRPr="002369FF">
        <w:rPr>
          <w:color w:val="auto"/>
        </w:rPr>
        <w:t>74</w:t>
      </w:r>
      <w:r w:rsidR="004A3B4B" w:rsidRPr="002369FF">
        <w:rPr>
          <w:color w:val="auto"/>
        </w:rPr>
        <w:t>% della fascia 12-19 (</w:t>
      </w:r>
      <w:r w:rsidR="004A3B4B" w:rsidRPr="002369FF">
        <w:rPr>
          <w:color w:val="auto"/>
          <w:highlight w:val="yellow"/>
        </w:rPr>
        <w:t xml:space="preserve">figura </w:t>
      </w:r>
      <w:r w:rsidR="00184E2C" w:rsidRPr="002369FF">
        <w:rPr>
          <w:color w:val="auto"/>
          <w:highlight w:val="yellow"/>
        </w:rPr>
        <w:t>1</w:t>
      </w:r>
      <w:r w:rsidR="00012B67" w:rsidRPr="002369FF">
        <w:rPr>
          <w:color w:val="auto"/>
          <w:highlight w:val="yellow"/>
        </w:rPr>
        <w:t>3</w:t>
      </w:r>
      <w:r w:rsidR="004A3B4B" w:rsidRPr="002369FF">
        <w:rPr>
          <w:color w:val="auto"/>
        </w:rPr>
        <w:t>)</w:t>
      </w:r>
      <w:r w:rsidR="00DC4862">
        <w:rPr>
          <w:color w:val="auto"/>
        </w:rPr>
        <w:t xml:space="preserve"> e</w:t>
      </w:r>
      <w:r w:rsidR="004A3B4B" w:rsidRPr="002369FF">
        <w:rPr>
          <w:color w:val="auto"/>
        </w:rPr>
        <w:t xml:space="preserve">, rispetto alla settimana precedente, </w:t>
      </w:r>
      <w:r w:rsidR="00526D10" w:rsidRPr="002369FF">
        <w:rPr>
          <w:color w:val="auto"/>
        </w:rPr>
        <w:t xml:space="preserve">gli </w:t>
      </w:r>
      <w:r w:rsidR="004A3B4B" w:rsidRPr="002369FF">
        <w:rPr>
          <w:color w:val="auto"/>
        </w:rPr>
        <w:t xml:space="preserve">incrementi </w:t>
      </w:r>
      <w:r w:rsidR="00526D10" w:rsidRPr="002369FF">
        <w:rPr>
          <w:color w:val="auto"/>
        </w:rPr>
        <w:t xml:space="preserve">sono </w:t>
      </w:r>
      <w:r w:rsidR="00FD0889" w:rsidRPr="002369FF">
        <w:rPr>
          <w:color w:val="auto"/>
        </w:rPr>
        <w:t xml:space="preserve">sempre più </w:t>
      </w:r>
      <w:r w:rsidR="004A3B4B" w:rsidRPr="002369FF">
        <w:rPr>
          <w:color w:val="auto"/>
        </w:rPr>
        <w:t>modesti</w:t>
      </w:r>
      <w:r w:rsidR="00A85051" w:rsidRPr="002369FF">
        <w:rPr>
          <w:color w:val="auto"/>
        </w:rPr>
        <w:t>.</w:t>
      </w:r>
    </w:p>
    <w:p w:rsidR="006F05AA" w:rsidRPr="00A85051" w:rsidRDefault="00F86251" w:rsidP="00A85051">
      <w:pPr>
        <w:spacing w:line="276" w:lineRule="auto"/>
        <w:jc w:val="both"/>
        <w:rPr>
          <w:color w:val="FF0000"/>
        </w:rPr>
      </w:pPr>
      <w:r w:rsidRPr="00D30930">
        <w:rPr>
          <w:b/>
          <w:color w:val="auto"/>
        </w:rPr>
        <w:t xml:space="preserve">Vaccini: </w:t>
      </w:r>
      <w:r w:rsidR="00440DF1">
        <w:rPr>
          <w:b/>
          <w:color w:val="auto"/>
        </w:rPr>
        <w:t>efficacia</w:t>
      </w:r>
      <w:r w:rsidRPr="00F7332F">
        <w:rPr>
          <w:color w:val="auto"/>
        </w:rPr>
        <w:t xml:space="preserve">. </w:t>
      </w:r>
      <w:r w:rsidR="007E3D23">
        <w:rPr>
          <w:color w:val="auto"/>
        </w:rPr>
        <w:t>L</w:t>
      </w:r>
      <w:r w:rsidR="0026223C" w:rsidRPr="0026223C">
        <w:rPr>
          <w:color w:val="auto"/>
        </w:rPr>
        <w:t xml:space="preserve">’efficacia </w:t>
      </w:r>
      <w:r w:rsidR="002970AF">
        <w:rPr>
          <w:color w:val="auto"/>
        </w:rPr>
        <w:t xml:space="preserve">del vaccino sulla malattia grave </w:t>
      </w:r>
      <w:r w:rsidR="0026223C">
        <w:t xml:space="preserve">si </w:t>
      </w:r>
      <w:r w:rsidR="002970AF">
        <w:t xml:space="preserve">conferma </w:t>
      </w:r>
      <w:r w:rsidR="0026223C">
        <w:t>molto elevata</w:t>
      </w:r>
      <w:r w:rsidR="00457942">
        <w:t xml:space="preserve"> e l’incidenza di diagnosi, ospedalizzazioni, ricoveri in terapia intensiva e decessi </w:t>
      </w:r>
      <w:r w:rsidR="007E3D23">
        <w:t>è nettamente inferiore nelle</w:t>
      </w:r>
      <w:r w:rsidR="00457942">
        <w:t xml:space="preserve"> persone vaccinate con ciclo completo, in tutte le fasce di età, rispetto a</w:t>
      </w:r>
      <w:r w:rsidR="008F284F">
        <w:t>i non vaccinati</w:t>
      </w:r>
      <w:r w:rsidR="00457942">
        <w:t xml:space="preserve"> (</w:t>
      </w:r>
      <w:r w:rsidR="00457942" w:rsidRPr="00C66BFE">
        <w:rPr>
          <w:highlight w:val="yellow"/>
        </w:rPr>
        <w:t xml:space="preserve">figura </w:t>
      </w:r>
      <w:r w:rsidR="00C66BFE" w:rsidRPr="00C66BFE">
        <w:rPr>
          <w:highlight w:val="yellow"/>
        </w:rPr>
        <w:t>14</w:t>
      </w:r>
      <w:r w:rsidR="00457942">
        <w:t xml:space="preserve">). </w:t>
      </w:r>
      <w:r w:rsidR="007E3D23">
        <w:t>Tuttavia, in particolare negli over</w:t>
      </w:r>
      <w:r w:rsidR="001753F4">
        <w:t xml:space="preserve"> </w:t>
      </w:r>
      <w:r w:rsidR="007E3D23">
        <w:t xml:space="preserve">60, l’efficacia nei confronti della malattia grave è </w:t>
      </w:r>
      <w:r w:rsidR="0026223C">
        <w:t xml:space="preserve">in </w:t>
      </w:r>
      <w:r w:rsidR="00F7332F">
        <w:t xml:space="preserve">lieve </w:t>
      </w:r>
      <w:r w:rsidR="001753F4">
        <w:t xml:space="preserve">ma </w:t>
      </w:r>
      <w:r w:rsidR="0026223C">
        <w:t>progressiva diminuzione</w:t>
      </w:r>
      <w:r w:rsidR="00F15D70">
        <w:t>, soprattutto da quando la variante delta</w:t>
      </w:r>
      <w:r w:rsidR="001367B8">
        <w:t xml:space="preserve"> è diventata prevalente</w:t>
      </w:r>
      <w:r w:rsidR="002369FF">
        <w:t xml:space="preserve">. </w:t>
      </w:r>
      <w:r w:rsidR="0061675A">
        <w:t>S</w:t>
      </w:r>
      <w:r w:rsidR="002369FF" w:rsidRPr="002369FF">
        <w:t xml:space="preserve">econdo l’ultimo </w:t>
      </w:r>
      <w:hyperlink r:id="rId8" w:history="1">
        <w:r w:rsidR="002369FF" w:rsidRPr="002369FF">
          <w:rPr>
            <w:rStyle w:val="Collegamentoipertestuale"/>
          </w:rPr>
          <w:t>report della Sorveglianza integrata COVID-19 dell’Istituto Superiore di Sanità</w:t>
        </w:r>
      </w:hyperlink>
      <w:r w:rsidR="0061675A">
        <w:t>,</w:t>
      </w:r>
      <w:r w:rsidR="002369FF" w:rsidRPr="002369FF">
        <w:t xml:space="preserve"> per </w:t>
      </w:r>
      <w:r w:rsidR="007E3D23">
        <w:t>il</w:t>
      </w:r>
      <w:r w:rsidR="002369FF" w:rsidRPr="002369FF">
        <w:t xml:space="preserve"> ricovero in terapia </w:t>
      </w:r>
      <w:r w:rsidR="002369FF" w:rsidRPr="002369FF">
        <w:rPr>
          <w:color w:val="auto"/>
        </w:rPr>
        <w:t xml:space="preserve">intensiva l’efficacia nel periodo 5 luglio-31 ottobre </w:t>
      </w:r>
      <w:r w:rsidR="00FE754C">
        <w:rPr>
          <w:color w:val="auto"/>
        </w:rPr>
        <w:t xml:space="preserve">si attesta </w:t>
      </w:r>
      <w:r w:rsidR="002369FF" w:rsidRPr="002369FF">
        <w:rPr>
          <w:color w:val="auto"/>
        </w:rPr>
        <w:t>al 90</w:t>
      </w:r>
      <w:r w:rsidR="0061675A">
        <w:rPr>
          <w:color w:val="auto"/>
        </w:rPr>
        <w:t>%</w:t>
      </w:r>
      <w:r w:rsidR="0061675A" w:rsidRPr="0061675A">
        <w:rPr>
          <w:color w:val="auto"/>
        </w:rPr>
        <w:t xml:space="preserve"> </w:t>
      </w:r>
      <w:r w:rsidR="0061675A" w:rsidRPr="002369FF">
        <w:rPr>
          <w:color w:val="auto"/>
        </w:rPr>
        <w:t xml:space="preserve">negli over 80 </w:t>
      </w:r>
      <w:r w:rsidR="002369FF" w:rsidRPr="002369FF">
        <w:rPr>
          <w:color w:val="auto"/>
        </w:rPr>
        <w:t>e</w:t>
      </w:r>
      <w:r w:rsidR="0061675A">
        <w:rPr>
          <w:color w:val="auto"/>
        </w:rPr>
        <w:t xml:space="preserve"> al </w:t>
      </w:r>
      <w:r w:rsidR="0061675A" w:rsidRPr="002369FF">
        <w:rPr>
          <w:color w:val="auto"/>
        </w:rPr>
        <w:t xml:space="preserve">94,8% </w:t>
      </w:r>
      <w:r w:rsidR="002369FF" w:rsidRPr="002369FF">
        <w:rPr>
          <w:color w:val="auto"/>
        </w:rPr>
        <w:t>nella fascia 60-79 anni</w:t>
      </w:r>
      <w:r w:rsidR="00DC4862">
        <w:rPr>
          <w:color w:val="auto"/>
        </w:rPr>
        <w:t>,</w:t>
      </w:r>
      <w:r w:rsidR="00DC4862" w:rsidRPr="002369FF">
        <w:rPr>
          <w:color w:val="auto"/>
        </w:rPr>
        <w:t xml:space="preserve"> </w:t>
      </w:r>
      <w:r w:rsidR="007E3D23">
        <w:rPr>
          <w:color w:val="auto"/>
        </w:rPr>
        <w:t xml:space="preserve">mentre </w:t>
      </w:r>
      <w:r w:rsidR="002369FF" w:rsidRPr="002369FF">
        <w:rPr>
          <w:color w:val="auto"/>
        </w:rPr>
        <w:t>per i ricoveri in area medica al</w:t>
      </w:r>
      <w:r w:rsidR="00F0509D">
        <w:rPr>
          <w:color w:val="auto"/>
        </w:rPr>
        <w:t>l’</w:t>
      </w:r>
      <w:r w:rsidR="002369FF" w:rsidRPr="002369FF">
        <w:rPr>
          <w:color w:val="auto"/>
        </w:rPr>
        <w:t xml:space="preserve">88,8% negli over 80 e al 91,5% nella fascia 60-79 anni. </w:t>
      </w:r>
      <w:r w:rsidR="007936A8" w:rsidRPr="002369FF">
        <w:rPr>
          <w:color w:val="auto"/>
        </w:rPr>
        <w:t>«</w:t>
      </w:r>
      <w:r w:rsidR="001367B8">
        <w:rPr>
          <w:color w:val="auto"/>
        </w:rPr>
        <w:t xml:space="preserve">Nel ribadire l’inutilità di dosare </w:t>
      </w:r>
      <w:r w:rsidR="00EE489D" w:rsidRPr="002369FF">
        <w:rPr>
          <w:color w:val="auto"/>
        </w:rPr>
        <w:t>gli anticorpi circolanti</w:t>
      </w:r>
      <w:r w:rsidR="00440DF1">
        <w:rPr>
          <w:color w:val="auto"/>
        </w:rPr>
        <w:t xml:space="preserve"> per il processo decisionale vaccinale </w:t>
      </w:r>
      <w:r w:rsidR="007936A8" w:rsidRPr="002369FF">
        <w:rPr>
          <w:color w:val="auto"/>
        </w:rPr>
        <w:t>– commenta Cartabellotta –</w:t>
      </w:r>
      <w:r w:rsidR="00234E8A" w:rsidRPr="002369FF">
        <w:rPr>
          <w:color w:val="auto"/>
        </w:rPr>
        <w:t xml:space="preserve"> </w:t>
      </w:r>
      <w:r w:rsidR="00EE489D" w:rsidRPr="002369FF">
        <w:rPr>
          <w:color w:val="auto"/>
        </w:rPr>
        <w:t xml:space="preserve">questi dati </w:t>
      </w:r>
      <w:r w:rsidR="007936A8" w:rsidRPr="002369FF">
        <w:rPr>
          <w:color w:val="auto"/>
        </w:rPr>
        <w:t xml:space="preserve">confermano </w:t>
      </w:r>
      <w:r w:rsidR="00234E8A" w:rsidRPr="002369FF">
        <w:rPr>
          <w:color w:val="auto"/>
        </w:rPr>
        <w:t xml:space="preserve">le indicazioni alla dose </w:t>
      </w:r>
      <w:r w:rsidR="00234E8A" w:rsidRPr="002369FF">
        <w:rPr>
          <w:i/>
          <w:color w:val="auto"/>
        </w:rPr>
        <w:t xml:space="preserve">booster </w:t>
      </w:r>
      <w:r w:rsidR="00E600E6">
        <w:rPr>
          <w:color w:val="auto"/>
        </w:rPr>
        <w:t>per le</w:t>
      </w:r>
      <w:r w:rsidR="00E600E6" w:rsidRPr="002369FF">
        <w:rPr>
          <w:color w:val="auto"/>
        </w:rPr>
        <w:t xml:space="preserve"> </w:t>
      </w:r>
      <w:r w:rsidR="007936A8" w:rsidRPr="002369FF">
        <w:rPr>
          <w:color w:val="auto"/>
        </w:rPr>
        <w:t>catego</w:t>
      </w:r>
      <w:r w:rsidR="001A5713" w:rsidRPr="002369FF">
        <w:rPr>
          <w:color w:val="auto"/>
        </w:rPr>
        <w:t>rie a rischio identificate dal Ministero della Salute</w:t>
      </w:r>
      <w:r w:rsidR="00234E8A" w:rsidRPr="002369FF">
        <w:rPr>
          <w:color w:val="auto"/>
        </w:rPr>
        <w:t xml:space="preserve"> e la necessità di accelerarne la somministrazione</w:t>
      </w:r>
      <w:r w:rsidR="007936A8" w:rsidRPr="002369FF">
        <w:rPr>
          <w:color w:val="auto"/>
        </w:rPr>
        <w:t>».</w:t>
      </w:r>
      <w:r w:rsidR="00F7332F" w:rsidRPr="002369FF">
        <w:rPr>
          <w:color w:val="auto"/>
        </w:rPr>
        <w:t xml:space="preserve"> </w:t>
      </w:r>
    </w:p>
    <w:p w:rsidR="009A4F94" w:rsidRDefault="00440DF1" w:rsidP="00330F1C">
      <w:pPr>
        <w:spacing w:line="276" w:lineRule="auto"/>
        <w:jc w:val="both"/>
        <w:rPr>
          <w:color w:val="auto"/>
        </w:rPr>
      </w:pPr>
      <w:r w:rsidRPr="00D30930">
        <w:rPr>
          <w:b/>
          <w:color w:val="auto"/>
        </w:rPr>
        <w:t>Vaccini: terza dose</w:t>
      </w:r>
      <w:r w:rsidRPr="00F7332F">
        <w:rPr>
          <w:color w:val="auto"/>
        </w:rPr>
        <w:t xml:space="preserve">. </w:t>
      </w:r>
      <w:r w:rsidR="007E3D23">
        <w:rPr>
          <w:color w:val="auto"/>
        </w:rPr>
        <w:t xml:space="preserve">Su una platea </w:t>
      </w:r>
      <w:r w:rsidR="007E3D23" w:rsidRPr="007E3D23">
        <w:rPr>
          <w:color w:val="auto"/>
        </w:rPr>
        <w:t>costituita da 890.460 persone per la dose aggiuntiva e da 5.131.</w:t>
      </w:r>
      <w:r w:rsidR="007E3D23">
        <w:rPr>
          <w:color w:val="auto"/>
        </w:rPr>
        <w:t xml:space="preserve">130 persone per la dose </w:t>
      </w:r>
      <w:r w:rsidR="007E3D23" w:rsidRPr="00F809CD">
        <w:rPr>
          <w:i/>
          <w:color w:val="auto"/>
        </w:rPr>
        <w:t>booster</w:t>
      </w:r>
      <w:r w:rsidR="007E3D23">
        <w:rPr>
          <w:color w:val="auto"/>
        </w:rPr>
        <w:t xml:space="preserve"> (</w:t>
      </w:r>
      <w:r w:rsidR="007E3D23" w:rsidRPr="007E3D23">
        <w:rPr>
          <w:color w:val="auto"/>
          <w:highlight w:val="yellow"/>
        </w:rPr>
        <w:t>figura 1</w:t>
      </w:r>
      <w:r w:rsidR="00C66BFE">
        <w:rPr>
          <w:color w:val="auto"/>
          <w:highlight w:val="yellow"/>
        </w:rPr>
        <w:t>5</w:t>
      </w:r>
      <w:r w:rsidR="007E3D23">
        <w:rPr>
          <w:color w:val="auto"/>
        </w:rPr>
        <w:t>), a</w:t>
      </w:r>
      <w:r w:rsidR="002E3070" w:rsidRPr="00266FB9">
        <w:rPr>
          <w:color w:val="auto"/>
        </w:rPr>
        <w:t xml:space="preserve">l </w:t>
      </w:r>
      <w:r w:rsidR="008D3512">
        <w:rPr>
          <w:color w:val="auto"/>
        </w:rPr>
        <w:t>10</w:t>
      </w:r>
      <w:bookmarkStart w:id="1" w:name="_GoBack"/>
      <w:bookmarkEnd w:id="1"/>
      <w:r w:rsidR="005378B1" w:rsidRPr="00266FB9">
        <w:rPr>
          <w:color w:val="auto"/>
        </w:rPr>
        <w:t xml:space="preserve"> novembre</w:t>
      </w:r>
      <w:r w:rsidR="002E3070" w:rsidRPr="00266FB9">
        <w:rPr>
          <w:color w:val="auto"/>
        </w:rPr>
        <w:t xml:space="preserve"> </w:t>
      </w:r>
      <w:r w:rsidR="00D12939" w:rsidRPr="00266FB9">
        <w:rPr>
          <w:color w:val="auto"/>
        </w:rPr>
        <w:t>sono</w:t>
      </w:r>
      <w:r w:rsidR="009B067C" w:rsidRPr="00266FB9">
        <w:rPr>
          <w:color w:val="auto"/>
        </w:rPr>
        <w:t xml:space="preserve"> state somministrate</w:t>
      </w:r>
      <w:r w:rsidR="00FD0889" w:rsidRPr="00266FB9">
        <w:rPr>
          <w:color w:val="auto"/>
        </w:rPr>
        <w:t xml:space="preserve"> </w:t>
      </w:r>
      <w:r w:rsidR="00266FB9" w:rsidRPr="00266FB9">
        <w:rPr>
          <w:color w:val="auto"/>
        </w:rPr>
        <w:t xml:space="preserve">2.409.596 </w:t>
      </w:r>
      <w:r w:rsidR="00D12939" w:rsidRPr="00266FB9">
        <w:rPr>
          <w:color w:val="auto"/>
        </w:rPr>
        <w:t>terze dosi</w:t>
      </w:r>
      <w:r w:rsidR="009B067C" w:rsidRPr="00266FB9">
        <w:rPr>
          <w:color w:val="auto"/>
        </w:rPr>
        <w:t xml:space="preserve"> di </w:t>
      </w:r>
      <w:r w:rsidR="009B067C" w:rsidRPr="00266FB9">
        <w:rPr>
          <w:color w:val="auto"/>
        </w:rPr>
        <w:lastRenderedPageBreak/>
        <w:t xml:space="preserve">cui </w:t>
      </w:r>
      <w:r w:rsidR="00266FB9" w:rsidRPr="00266FB9">
        <w:rPr>
          <w:color w:val="auto"/>
        </w:rPr>
        <w:t xml:space="preserve">383.769 </w:t>
      </w:r>
      <w:r w:rsidR="009B067C" w:rsidRPr="00266FB9">
        <w:rPr>
          <w:color w:val="auto"/>
        </w:rPr>
        <w:t>dosi aggiuntive</w:t>
      </w:r>
      <w:r w:rsidR="00905FCC" w:rsidRPr="00266FB9">
        <w:rPr>
          <w:color w:val="auto"/>
        </w:rPr>
        <w:t xml:space="preserve"> </w:t>
      </w:r>
      <w:r w:rsidR="009B067C" w:rsidRPr="00266FB9">
        <w:rPr>
          <w:color w:val="auto"/>
        </w:rPr>
        <w:t>e</w:t>
      </w:r>
      <w:r w:rsidR="005378B1" w:rsidRPr="00266FB9">
        <w:rPr>
          <w:color w:val="auto"/>
        </w:rPr>
        <w:t xml:space="preserve"> </w:t>
      </w:r>
      <w:r w:rsidR="00266FB9" w:rsidRPr="00266FB9">
        <w:rPr>
          <w:color w:val="auto"/>
        </w:rPr>
        <w:t>2.025.827</w:t>
      </w:r>
      <w:r w:rsidR="005378B1" w:rsidRPr="00266FB9">
        <w:rPr>
          <w:color w:val="auto"/>
        </w:rPr>
        <w:t xml:space="preserve"> </w:t>
      </w:r>
      <w:r w:rsidR="00FE754C">
        <w:rPr>
          <w:color w:val="auto"/>
        </w:rPr>
        <w:t xml:space="preserve">di </w:t>
      </w:r>
      <w:r w:rsidR="009B067C" w:rsidRPr="000E770E">
        <w:rPr>
          <w:color w:val="auto"/>
        </w:rPr>
        <w:t xml:space="preserve">dosi </w:t>
      </w:r>
      <w:r w:rsidR="009B067C" w:rsidRPr="000E770E">
        <w:rPr>
          <w:i/>
          <w:color w:val="auto"/>
        </w:rPr>
        <w:t>booster</w:t>
      </w:r>
      <w:r w:rsidR="00D12939" w:rsidRPr="000E770E">
        <w:rPr>
          <w:color w:val="auto"/>
        </w:rPr>
        <w:t xml:space="preserve">, con una media </w:t>
      </w:r>
      <w:r w:rsidR="00DC4862">
        <w:rPr>
          <w:color w:val="auto"/>
        </w:rPr>
        <w:t xml:space="preserve">mobile a 7 giorni </w:t>
      </w:r>
      <w:r>
        <w:rPr>
          <w:color w:val="auto"/>
        </w:rPr>
        <w:t>che</w:t>
      </w:r>
      <w:r w:rsidR="00DC4862">
        <w:rPr>
          <w:color w:val="auto"/>
        </w:rPr>
        <w:t xml:space="preserve"> </w:t>
      </w:r>
      <w:r>
        <w:rPr>
          <w:color w:val="auto"/>
        </w:rPr>
        <w:t xml:space="preserve">ha </w:t>
      </w:r>
      <w:r w:rsidR="00DC4862">
        <w:rPr>
          <w:color w:val="auto"/>
        </w:rPr>
        <w:t xml:space="preserve">superato quota 100 mila </w:t>
      </w:r>
      <w:r w:rsidR="00D12939" w:rsidRPr="000E770E">
        <w:rPr>
          <w:color w:val="auto"/>
        </w:rPr>
        <w:t>(</w:t>
      </w:r>
      <w:r w:rsidR="00D12939" w:rsidRPr="000E770E">
        <w:rPr>
          <w:color w:val="auto"/>
          <w:highlight w:val="yellow"/>
        </w:rPr>
        <w:t xml:space="preserve">figura </w:t>
      </w:r>
      <w:r w:rsidR="00E355FA" w:rsidRPr="000E770E">
        <w:rPr>
          <w:color w:val="auto"/>
          <w:highlight w:val="yellow"/>
        </w:rPr>
        <w:t>1</w:t>
      </w:r>
      <w:r w:rsidR="00C66BFE">
        <w:rPr>
          <w:color w:val="auto"/>
          <w:highlight w:val="yellow"/>
        </w:rPr>
        <w:t>6</w:t>
      </w:r>
      <w:r w:rsidR="00D12939" w:rsidRPr="000E770E">
        <w:rPr>
          <w:color w:val="auto"/>
        </w:rPr>
        <w:t xml:space="preserve">). </w:t>
      </w:r>
      <w:r w:rsidR="002E3070" w:rsidRPr="000E770E">
        <w:rPr>
          <w:color w:val="auto"/>
        </w:rPr>
        <w:t>Il tasso nazionale di copertura vaccinale per le dosi aggiuntive è del</w:t>
      </w:r>
      <w:r w:rsidR="000E770E" w:rsidRPr="000E770E">
        <w:rPr>
          <w:color w:val="auto"/>
        </w:rPr>
        <w:t xml:space="preserve"> 40</w:t>
      </w:r>
      <w:r w:rsidR="005378B1" w:rsidRPr="000E770E">
        <w:rPr>
          <w:color w:val="auto"/>
        </w:rPr>
        <w:t>%</w:t>
      </w:r>
      <w:r w:rsidR="002E3070" w:rsidRPr="000E770E">
        <w:rPr>
          <w:color w:val="auto"/>
        </w:rPr>
        <w:t xml:space="preserve"> con nette differenze regionali: dal</w:t>
      </w:r>
      <w:r w:rsidR="00E600E6">
        <w:rPr>
          <w:color w:val="auto"/>
        </w:rPr>
        <w:t xml:space="preserve"> </w:t>
      </w:r>
      <w:r w:rsidR="000E770E" w:rsidRPr="000E770E">
        <w:rPr>
          <w:color w:val="auto"/>
        </w:rPr>
        <w:t>2</w:t>
      </w:r>
      <w:r w:rsidR="005378B1" w:rsidRPr="000E770E">
        <w:rPr>
          <w:color w:val="auto"/>
        </w:rPr>
        <w:t>,</w:t>
      </w:r>
      <w:r w:rsidR="000E770E" w:rsidRPr="000E770E">
        <w:rPr>
          <w:color w:val="auto"/>
        </w:rPr>
        <w:t>3</w:t>
      </w:r>
      <w:r w:rsidR="005378B1" w:rsidRPr="000E770E">
        <w:rPr>
          <w:color w:val="auto"/>
        </w:rPr>
        <w:t>%</w:t>
      </w:r>
      <w:r w:rsidR="002E3070" w:rsidRPr="000E770E">
        <w:rPr>
          <w:color w:val="auto"/>
        </w:rPr>
        <w:t xml:space="preserve"> della Valle D’Aosta al </w:t>
      </w:r>
      <w:r w:rsidR="000E770E" w:rsidRPr="000E770E">
        <w:rPr>
          <w:color w:val="auto"/>
        </w:rPr>
        <w:t>100</w:t>
      </w:r>
      <w:r w:rsidR="002E3070" w:rsidRPr="000E770E">
        <w:rPr>
          <w:color w:val="auto"/>
        </w:rPr>
        <w:t>% d</w:t>
      </w:r>
      <w:r w:rsidR="000E770E" w:rsidRPr="000E770E">
        <w:rPr>
          <w:color w:val="auto"/>
        </w:rPr>
        <w:t>i Umbria e Piemonte</w:t>
      </w:r>
      <w:r w:rsidR="002E3070" w:rsidRPr="000E770E">
        <w:rPr>
          <w:color w:val="auto"/>
        </w:rPr>
        <w:t xml:space="preserve"> (</w:t>
      </w:r>
      <w:r w:rsidR="002E3070" w:rsidRPr="000E770E">
        <w:rPr>
          <w:color w:val="auto"/>
          <w:highlight w:val="yellow"/>
        </w:rPr>
        <w:t>figura 1</w:t>
      </w:r>
      <w:r w:rsidR="00C66BFE">
        <w:rPr>
          <w:color w:val="auto"/>
          <w:highlight w:val="yellow"/>
        </w:rPr>
        <w:t>7</w:t>
      </w:r>
      <w:r w:rsidR="002E3070" w:rsidRPr="000E770E">
        <w:rPr>
          <w:color w:val="auto"/>
        </w:rPr>
        <w:t xml:space="preserve">). </w:t>
      </w:r>
      <w:r w:rsidR="007D29FD" w:rsidRPr="000E770E">
        <w:rPr>
          <w:color w:val="auto"/>
        </w:rPr>
        <w:t xml:space="preserve">La copertura nazionale </w:t>
      </w:r>
      <w:r w:rsidR="00D12939" w:rsidRPr="000E770E">
        <w:rPr>
          <w:color w:val="auto"/>
        </w:rPr>
        <w:t xml:space="preserve">con </w:t>
      </w:r>
      <w:r w:rsidR="00784E4D" w:rsidRPr="000E770E">
        <w:rPr>
          <w:color w:val="auto"/>
        </w:rPr>
        <w:t xml:space="preserve">dose </w:t>
      </w:r>
      <w:r w:rsidR="00784E4D" w:rsidRPr="000E770E">
        <w:rPr>
          <w:i/>
          <w:color w:val="auto"/>
        </w:rPr>
        <w:t>booster</w:t>
      </w:r>
      <w:r w:rsidR="00784E4D" w:rsidRPr="000E770E">
        <w:rPr>
          <w:color w:val="auto"/>
        </w:rPr>
        <w:t xml:space="preserve"> è del </w:t>
      </w:r>
      <w:r w:rsidR="000E770E" w:rsidRPr="000E770E">
        <w:rPr>
          <w:color w:val="auto"/>
        </w:rPr>
        <w:t>39,5</w:t>
      </w:r>
      <w:r w:rsidR="00784E4D" w:rsidRPr="000E770E">
        <w:rPr>
          <w:color w:val="auto"/>
        </w:rPr>
        <w:t>%</w:t>
      </w:r>
      <w:r w:rsidR="00EB1389">
        <w:rPr>
          <w:color w:val="auto"/>
        </w:rPr>
        <w:t>,</w:t>
      </w:r>
      <w:r w:rsidR="00784E4D" w:rsidRPr="000E770E">
        <w:rPr>
          <w:color w:val="auto"/>
        </w:rPr>
        <w:t xml:space="preserve"> </w:t>
      </w:r>
      <w:r w:rsidR="007D29FD" w:rsidRPr="000E770E">
        <w:rPr>
          <w:color w:val="auto"/>
        </w:rPr>
        <w:t xml:space="preserve">anche qui con notevoli </w:t>
      </w:r>
      <w:r w:rsidR="00D12939" w:rsidRPr="000E770E">
        <w:rPr>
          <w:color w:val="auto"/>
        </w:rPr>
        <w:t xml:space="preserve">differenze </w:t>
      </w:r>
      <w:r w:rsidR="000D1250" w:rsidRPr="000E770E">
        <w:rPr>
          <w:color w:val="auto"/>
        </w:rPr>
        <w:t>tra le Regioni</w:t>
      </w:r>
      <w:r w:rsidR="00D12939" w:rsidRPr="000E770E">
        <w:rPr>
          <w:color w:val="auto"/>
        </w:rPr>
        <w:t xml:space="preserve">: dal </w:t>
      </w:r>
      <w:r w:rsidR="00784E4D" w:rsidRPr="000E770E">
        <w:rPr>
          <w:color w:val="auto"/>
        </w:rPr>
        <w:t>1</w:t>
      </w:r>
      <w:r w:rsidR="000E770E" w:rsidRPr="000E770E">
        <w:rPr>
          <w:color w:val="auto"/>
        </w:rPr>
        <w:t>8</w:t>
      </w:r>
      <w:r w:rsidR="00D5452F" w:rsidRPr="000E770E">
        <w:rPr>
          <w:color w:val="auto"/>
        </w:rPr>
        <w:t>,</w:t>
      </w:r>
      <w:r w:rsidR="000E770E" w:rsidRPr="000E770E">
        <w:rPr>
          <w:color w:val="auto"/>
        </w:rPr>
        <w:t>3</w:t>
      </w:r>
      <w:r w:rsidR="00784E4D" w:rsidRPr="000E770E">
        <w:rPr>
          <w:color w:val="auto"/>
        </w:rPr>
        <w:t xml:space="preserve">% della Calabria al </w:t>
      </w:r>
      <w:r w:rsidR="000E770E" w:rsidRPr="000E770E">
        <w:rPr>
          <w:color w:val="auto"/>
        </w:rPr>
        <w:t>81</w:t>
      </w:r>
      <w:r w:rsidR="00FD0889" w:rsidRPr="000E770E">
        <w:rPr>
          <w:color w:val="auto"/>
        </w:rPr>
        <w:t>,</w:t>
      </w:r>
      <w:r w:rsidR="000E770E" w:rsidRPr="000E770E">
        <w:rPr>
          <w:color w:val="auto"/>
        </w:rPr>
        <w:t>2</w:t>
      </w:r>
      <w:r w:rsidR="00FD0889" w:rsidRPr="000E770E">
        <w:rPr>
          <w:color w:val="auto"/>
        </w:rPr>
        <w:t>%</w:t>
      </w:r>
      <w:r w:rsidR="00D12939" w:rsidRPr="000E770E">
        <w:rPr>
          <w:color w:val="auto"/>
        </w:rPr>
        <w:t xml:space="preserve"> del </w:t>
      </w:r>
      <w:r w:rsidR="00FD0889" w:rsidRPr="000E770E">
        <w:rPr>
          <w:color w:val="auto"/>
        </w:rPr>
        <w:t>Molise</w:t>
      </w:r>
      <w:r w:rsidR="00D12939" w:rsidRPr="000E770E">
        <w:rPr>
          <w:color w:val="auto"/>
        </w:rPr>
        <w:t xml:space="preserve"> </w:t>
      </w:r>
      <w:r w:rsidR="00784E4D" w:rsidRPr="000E770E">
        <w:rPr>
          <w:color w:val="auto"/>
        </w:rPr>
        <w:t>(</w:t>
      </w:r>
      <w:r w:rsidR="00784E4D" w:rsidRPr="000E770E">
        <w:rPr>
          <w:color w:val="auto"/>
          <w:highlight w:val="yellow"/>
        </w:rPr>
        <w:t>figura 1</w:t>
      </w:r>
      <w:r w:rsidR="00C66BFE">
        <w:rPr>
          <w:color w:val="auto"/>
          <w:highlight w:val="yellow"/>
        </w:rPr>
        <w:t>8</w:t>
      </w:r>
      <w:r w:rsidR="00784E4D" w:rsidRPr="000E770E">
        <w:rPr>
          <w:color w:val="auto"/>
        </w:rPr>
        <w:t xml:space="preserve">). </w:t>
      </w:r>
    </w:p>
    <w:p w:rsidR="00C235D7" w:rsidRPr="00C235D7" w:rsidRDefault="00547F28" w:rsidP="00330F1C">
      <w:pPr>
        <w:spacing w:line="276" w:lineRule="auto"/>
        <w:jc w:val="both"/>
        <w:rPr>
          <w:color w:val="auto"/>
        </w:rPr>
      </w:pPr>
      <w:r>
        <w:rPr>
          <w:color w:val="auto"/>
        </w:rPr>
        <w:t>Della</w:t>
      </w:r>
      <w:r w:rsidR="00FE754C">
        <w:rPr>
          <w:color w:val="auto"/>
        </w:rPr>
        <w:t xml:space="preserve"> </w:t>
      </w:r>
      <w:r w:rsidR="00C235D7" w:rsidRPr="00C235D7">
        <w:rPr>
          <w:color w:val="auto"/>
        </w:rPr>
        <w:t xml:space="preserve">platea </w:t>
      </w:r>
      <w:r w:rsidR="001B3DE6">
        <w:rPr>
          <w:color w:val="auto"/>
        </w:rPr>
        <w:t>relativa alla</w:t>
      </w:r>
      <w:r w:rsidR="00C235D7" w:rsidRPr="00C235D7">
        <w:rPr>
          <w:color w:val="auto"/>
        </w:rPr>
        <w:t xml:space="preserve"> dose </w:t>
      </w:r>
      <w:r w:rsidR="00C235D7" w:rsidRPr="00F809CD">
        <w:rPr>
          <w:i/>
          <w:color w:val="auto"/>
        </w:rPr>
        <w:t>booster</w:t>
      </w:r>
      <w:r w:rsidR="00C235D7" w:rsidRPr="00C235D7">
        <w:rPr>
          <w:color w:val="auto"/>
        </w:rPr>
        <w:t xml:space="preserve">, ferma all’aggiornamento del 2 novembre, </w:t>
      </w:r>
      <w:r w:rsidR="001367B8">
        <w:rPr>
          <w:color w:val="auto"/>
        </w:rPr>
        <w:t>rimangono</w:t>
      </w:r>
      <w:r w:rsidR="00C235D7" w:rsidRPr="00C235D7">
        <w:rPr>
          <w:color w:val="auto"/>
        </w:rPr>
        <w:t xml:space="preserve"> </w:t>
      </w:r>
      <w:r w:rsidR="001B3DE6">
        <w:rPr>
          <w:color w:val="auto"/>
        </w:rPr>
        <w:t xml:space="preserve">ancora </w:t>
      </w:r>
      <w:r w:rsidR="00C235D7" w:rsidRPr="00C235D7">
        <w:rPr>
          <w:color w:val="auto"/>
        </w:rPr>
        <w:t xml:space="preserve">da </w:t>
      </w:r>
      <w:r w:rsidR="001B3DE6">
        <w:rPr>
          <w:color w:val="auto"/>
        </w:rPr>
        <w:t xml:space="preserve">vaccinare </w:t>
      </w:r>
      <w:r w:rsidR="00C235D7" w:rsidRPr="00C235D7">
        <w:rPr>
          <w:color w:val="auto"/>
        </w:rPr>
        <w:t xml:space="preserve">oltre 3,1 milioni di </w:t>
      </w:r>
      <w:r w:rsidR="001B3DE6">
        <w:rPr>
          <w:color w:val="auto"/>
        </w:rPr>
        <w:t xml:space="preserve">persone, alle quali ogni settimana si aggiungono circa 800mila </w:t>
      </w:r>
      <w:r w:rsidR="00C235D7" w:rsidRPr="00C235D7">
        <w:rPr>
          <w:color w:val="auto"/>
        </w:rPr>
        <w:t xml:space="preserve">over 60 che hanno completato il ciclo vaccinale nei mesi di maggio e giugno. </w:t>
      </w:r>
      <w:r w:rsidR="00440DF1">
        <w:rPr>
          <w:color w:val="auto"/>
        </w:rPr>
        <w:t>Ovvero</w:t>
      </w:r>
      <w:r w:rsidR="001367B8">
        <w:rPr>
          <w:color w:val="auto"/>
        </w:rPr>
        <w:t>, e</w:t>
      </w:r>
      <w:r w:rsidR="00C235D7" w:rsidRPr="00C235D7">
        <w:rPr>
          <w:color w:val="auto"/>
        </w:rPr>
        <w:t xml:space="preserve">ntro fine anno </w:t>
      </w:r>
      <w:r w:rsidR="004A447F">
        <w:rPr>
          <w:color w:val="auto"/>
        </w:rPr>
        <w:t xml:space="preserve">si </w:t>
      </w:r>
      <w:r w:rsidR="004A447F" w:rsidRPr="00BF469C">
        <w:rPr>
          <w:color w:val="auto"/>
        </w:rPr>
        <w:t>aggiungeranno</w:t>
      </w:r>
      <w:r w:rsidR="001367B8">
        <w:rPr>
          <w:color w:val="auto"/>
        </w:rPr>
        <w:t xml:space="preserve"> </w:t>
      </w:r>
      <w:r w:rsidR="00034A98">
        <w:rPr>
          <w:color w:val="auto"/>
        </w:rPr>
        <w:t>a</w:t>
      </w:r>
      <w:r w:rsidR="001B3DE6">
        <w:rPr>
          <w:color w:val="auto"/>
        </w:rPr>
        <w:t xml:space="preserve"> questa </w:t>
      </w:r>
      <w:r w:rsidR="00034A98">
        <w:rPr>
          <w:color w:val="auto"/>
        </w:rPr>
        <w:t xml:space="preserve">platea ben </w:t>
      </w:r>
      <w:r w:rsidR="00C235D7" w:rsidRPr="00C235D7">
        <w:rPr>
          <w:color w:val="auto"/>
        </w:rPr>
        <w:t xml:space="preserve">7,4 milioni </w:t>
      </w:r>
      <w:r w:rsidR="004A447F">
        <w:rPr>
          <w:color w:val="auto"/>
        </w:rPr>
        <w:t>d</w:t>
      </w:r>
      <w:r w:rsidR="00C235D7" w:rsidRPr="00C235D7">
        <w:rPr>
          <w:color w:val="auto"/>
        </w:rPr>
        <w:t xml:space="preserve">i </w:t>
      </w:r>
      <w:r w:rsidR="00034A98">
        <w:rPr>
          <w:color w:val="auto"/>
        </w:rPr>
        <w:t>persone</w:t>
      </w:r>
      <w:r w:rsidR="007917C5">
        <w:rPr>
          <w:color w:val="auto"/>
        </w:rPr>
        <w:t xml:space="preserve">, </w:t>
      </w:r>
      <w:r w:rsidR="001367B8">
        <w:rPr>
          <w:color w:val="auto"/>
        </w:rPr>
        <w:t xml:space="preserve">oltre a </w:t>
      </w:r>
      <w:r w:rsidR="001B3DE6">
        <w:rPr>
          <w:color w:val="auto"/>
        </w:rPr>
        <w:t xml:space="preserve">circa </w:t>
      </w:r>
      <w:r w:rsidR="00C235D7" w:rsidRPr="00C235D7">
        <w:rPr>
          <w:color w:val="auto"/>
        </w:rPr>
        <w:t>750 mila under 60 vaccinati con Johnson&amp;Johnson entro fine giugno</w:t>
      </w:r>
      <w:r w:rsidR="00034A98">
        <w:rPr>
          <w:color w:val="auto"/>
        </w:rPr>
        <w:t xml:space="preserve">. Complessivamente, si tratta di </w:t>
      </w:r>
      <w:r w:rsidR="001367B8">
        <w:rPr>
          <w:color w:val="auto"/>
        </w:rPr>
        <w:t xml:space="preserve">oltre 11 milioni di </w:t>
      </w:r>
      <w:r w:rsidR="00034A98">
        <w:rPr>
          <w:color w:val="auto"/>
        </w:rPr>
        <w:t xml:space="preserve">dosi </w:t>
      </w:r>
      <w:r w:rsidR="00034A98">
        <w:rPr>
          <w:i/>
          <w:color w:val="auto"/>
        </w:rPr>
        <w:t xml:space="preserve">booster </w:t>
      </w:r>
      <w:r w:rsidR="00034A98">
        <w:rPr>
          <w:color w:val="auto"/>
        </w:rPr>
        <w:t>che impongono alle Regioni un deciso cambio di passo</w:t>
      </w:r>
      <w:r w:rsidR="00440DF1">
        <w:rPr>
          <w:color w:val="auto"/>
        </w:rPr>
        <w:t xml:space="preserve"> </w:t>
      </w:r>
      <w:r w:rsidR="00440DF1" w:rsidRPr="00440DF1">
        <w:rPr>
          <w:color w:val="auto"/>
        </w:rPr>
        <w:t>sia in termini di comunica</w:t>
      </w:r>
      <w:r w:rsidR="00440DF1">
        <w:rPr>
          <w:color w:val="auto"/>
        </w:rPr>
        <w:t xml:space="preserve">zione e persuasione, sia di </w:t>
      </w:r>
      <w:r w:rsidR="00440DF1" w:rsidRPr="00440DF1">
        <w:rPr>
          <w:color w:val="auto"/>
        </w:rPr>
        <w:t xml:space="preserve">organizzazione, </w:t>
      </w:r>
      <w:r w:rsidR="00034A98">
        <w:rPr>
          <w:color w:val="auto"/>
        </w:rPr>
        <w:t xml:space="preserve">visto che entro fine dicembre </w:t>
      </w:r>
      <w:r w:rsidR="001B3DE6">
        <w:rPr>
          <w:color w:val="auto"/>
        </w:rPr>
        <w:t xml:space="preserve">bisognerebbe </w:t>
      </w:r>
      <w:r w:rsidR="00034A98">
        <w:rPr>
          <w:color w:val="auto"/>
        </w:rPr>
        <w:t xml:space="preserve">somministrare </w:t>
      </w:r>
      <w:r w:rsidR="001367B8">
        <w:rPr>
          <w:color w:val="auto"/>
        </w:rPr>
        <w:t xml:space="preserve">circa </w:t>
      </w:r>
      <w:r w:rsidR="00C235D7" w:rsidRPr="00C235D7">
        <w:rPr>
          <w:color w:val="auto"/>
        </w:rPr>
        <w:t xml:space="preserve">1,4 milioni di </w:t>
      </w:r>
      <w:r w:rsidR="00440DF1">
        <w:rPr>
          <w:color w:val="auto"/>
        </w:rPr>
        <w:t>dosi</w:t>
      </w:r>
      <w:r w:rsidR="00C235D7" w:rsidRPr="00C235D7">
        <w:rPr>
          <w:color w:val="auto"/>
        </w:rPr>
        <w:t xml:space="preserve"> settimanali</w:t>
      </w:r>
      <w:r w:rsidR="00034A98">
        <w:rPr>
          <w:color w:val="auto"/>
        </w:rPr>
        <w:t>.</w:t>
      </w:r>
    </w:p>
    <w:p w:rsidR="00666867" w:rsidRDefault="00547F28" w:rsidP="00666867">
      <w:pPr>
        <w:spacing w:after="120" w:line="276" w:lineRule="auto"/>
        <w:jc w:val="both"/>
        <w:rPr>
          <w:color w:val="auto"/>
        </w:rPr>
      </w:pPr>
      <w:r w:rsidRPr="00C235D7">
        <w:rPr>
          <w:color w:val="auto"/>
        </w:rPr>
        <w:t xml:space="preserve">«Con l’aumento della circolazione virale che si riflette sulle ospedalizzazioni, il progressivo calo dell’efficacia vaccinale e l’esiguo aumento dei nuovi vaccinati – conclude Cartabellotta – l’accelerazione </w:t>
      </w:r>
      <w:r>
        <w:rPr>
          <w:color w:val="auto"/>
        </w:rPr>
        <w:t>sul fronte delle terze dosi</w:t>
      </w:r>
      <w:r w:rsidRPr="00C235D7">
        <w:rPr>
          <w:color w:val="auto"/>
        </w:rPr>
        <w:t xml:space="preserve"> è una strategia fondamentale per contenere la quarta ondata</w:t>
      </w:r>
      <w:r>
        <w:rPr>
          <w:color w:val="auto"/>
        </w:rPr>
        <w:t xml:space="preserve">. Da questo punto di vista </w:t>
      </w:r>
      <w:r w:rsidR="001E49E6">
        <w:rPr>
          <w:color w:val="auto"/>
        </w:rPr>
        <w:t>iniziano a preoccupare</w:t>
      </w:r>
      <w:r>
        <w:rPr>
          <w:color w:val="auto"/>
        </w:rPr>
        <w:t xml:space="preserve"> </w:t>
      </w:r>
      <w:r w:rsidR="001E49E6">
        <w:rPr>
          <w:color w:val="auto"/>
        </w:rPr>
        <w:t xml:space="preserve">sia </w:t>
      </w:r>
      <w:r>
        <w:rPr>
          <w:color w:val="auto"/>
        </w:rPr>
        <w:t xml:space="preserve">le mancate consegne di vaccini da 4 settimane </w:t>
      </w:r>
      <w:r w:rsidR="001E49E6">
        <w:rPr>
          <w:color w:val="auto"/>
        </w:rPr>
        <w:t xml:space="preserve">senza </w:t>
      </w:r>
      <w:r w:rsidRPr="00C235D7">
        <w:rPr>
          <w:color w:val="auto"/>
        </w:rPr>
        <w:t>informazioni ufficiali sul piano delle forniture</w:t>
      </w:r>
      <w:r>
        <w:rPr>
          <w:color w:val="auto"/>
        </w:rPr>
        <w:t xml:space="preserve">, </w:t>
      </w:r>
      <w:r w:rsidR="001E49E6">
        <w:rPr>
          <w:color w:val="auto"/>
        </w:rPr>
        <w:t>sia</w:t>
      </w:r>
      <w:r>
        <w:rPr>
          <w:color w:val="auto"/>
        </w:rPr>
        <w:t xml:space="preserve"> </w:t>
      </w:r>
      <w:r w:rsidRPr="00C235D7">
        <w:rPr>
          <w:color w:val="auto"/>
        </w:rPr>
        <w:t xml:space="preserve">alcune criticità </w:t>
      </w:r>
      <w:r>
        <w:rPr>
          <w:color w:val="auto"/>
        </w:rPr>
        <w:t>che ostacolano</w:t>
      </w:r>
      <w:r w:rsidRPr="00C235D7">
        <w:rPr>
          <w:color w:val="auto"/>
        </w:rPr>
        <w:t xml:space="preserve"> il monitoraggio delle performance </w:t>
      </w:r>
      <w:r>
        <w:rPr>
          <w:color w:val="auto"/>
        </w:rPr>
        <w:t>delle Regioni</w:t>
      </w:r>
      <w:r w:rsidR="00666867">
        <w:rPr>
          <w:color w:val="auto"/>
        </w:rPr>
        <w:t>,</w:t>
      </w:r>
      <w:r>
        <w:rPr>
          <w:color w:val="auto"/>
        </w:rPr>
        <w:t xml:space="preserve"> che </w:t>
      </w:r>
      <w:r w:rsidR="00666867">
        <w:rPr>
          <w:color w:val="auto"/>
        </w:rPr>
        <w:t xml:space="preserve">di fatto </w:t>
      </w:r>
      <w:r w:rsidR="001B3DE6">
        <w:rPr>
          <w:color w:val="auto"/>
        </w:rPr>
        <w:t>vanno</w:t>
      </w:r>
      <w:r>
        <w:rPr>
          <w:color w:val="auto"/>
        </w:rPr>
        <w:t xml:space="preserve"> in ordine sparso. Innanzitutto</w:t>
      </w:r>
      <w:r w:rsidRPr="00C235D7">
        <w:rPr>
          <w:color w:val="auto"/>
        </w:rPr>
        <w:t xml:space="preserve">, </w:t>
      </w:r>
      <w:r>
        <w:rPr>
          <w:color w:val="auto"/>
        </w:rPr>
        <w:t>l</w:t>
      </w:r>
      <w:r w:rsidRPr="00C235D7">
        <w:rPr>
          <w:color w:val="auto"/>
        </w:rPr>
        <w:t xml:space="preserve">a </w:t>
      </w:r>
      <w:hyperlink r:id="rId9" w:history="1">
        <w:r w:rsidRPr="00C235D7">
          <w:rPr>
            <w:rStyle w:val="Collegamentoipertestuale"/>
            <w:color w:val="auto"/>
          </w:rPr>
          <w:t>platea vaccinabile con la terza dose</w:t>
        </w:r>
      </w:hyperlink>
      <w:r w:rsidRPr="00C235D7">
        <w:rPr>
          <w:color w:val="auto"/>
        </w:rPr>
        <w:t xml:space="preserve"> </w:t>
      </w:r>
      <w:r>
        <w:rPr>
          <w:color w:val="auto"/>
        </w:rPr>
        <w:t xml:space="preserve">non è stata ancora ufficialmente estesa agli </w:t>
      </w:r>
      <w:r w:rsidRPr="00C235D7">
        <w:rPr>
          <w:color w:val="auto"/>
        </w:rPr>
        <w:t>under 60 che hanno ricev</w:t>
      </w:r>
      <w:r>
        <w:rPr>
          <w:color w:val="auto"/>
        </w:rPr>
        <w:t xml:space="preserve">uto il vaccino Johnson&amp;Johnson. In secondo luogo la platea per la dose </w:t>
      </w:r>
      <w:r>
        <w:rPr>
          <w:i/>
          <w:color w:val="auto"/>
        </w:rPr>
        <w:t xml:space="preserve">booster </w:t>
      </w:r>
      <w:r>
        <w:rPr>
          <w:color w:val="auto"/>
        </w:rPr>
        <w:t xml:space="preserve">non viene costantemente aggiornata con il numero di persone che progressivamente raggiungono i 6 mesi dal completamento del ciclo vaccinale, con conseguente sovrastima delle performance regionali. Infine, non è disponibile </w:t>
      </w:r>
      <w:r w:rsidR="001E49E6">
        <w:rPr>
          <w:color w:val="auto"/>
        </w:rPr>
        <w:t xml:space="preserve">alcun </w:t>
      </w:r>
      <w:r w:rsidR="00666867">
        <w:rPr>
          <w:color w:val="auto"/>
        </w:rPr>
        <w:t>dettaglio del</w:t>
      </w:r>
      <w:r w:rsidR="001E49E6">
        <w:rPr>
          <w:color w:val="auto"/>
        </w:rPr>
        <w:t>le categorie dei vaccinati con d</w:t>
      </w:r>
      <w:r w:rsidR="00666867">
        <w:rPr>
          <w:color w:val="auto"/>
        </w:rPr>
        <w:t xml:space="preserve">ose </w:t>
      </w:r>
      <w:r w:rsidR="00666867" w:rsidRPr="00666867">
        <w:rPr>
          <w:i/>
          <w:color w:val="auto"/>
        </w:rPr>
        <w:t>booster</w:t>
      </w:r>
      <w:r w:rsidR="00666867">
        <w:rPr>
          <w:color w:val="auto"/>
        </w:rPr>
        <w:t xml:space="preserve"> </w:t>
      </w:r>
      <w:r>
        <w:rPr>
          <w:color w:val="auto"/>
        </w:rPr>
        <w:t>(operatori sanitari, ospiti RSA, over 60 e persone fragili), rendendo</w:t>
      </w:r>
      <w:r w:rsidR="00666867">
        <w:rPr>
          <w:color w:val="auto"/>
        </w:rPr>
        <w:t xml:space="preserve"> </w:t>
      </w:r>
      <w:r w:rsidR="001E49E6">
        <w:rPr>
          <w:color w:val="auto"/>
        </w:rPr>
        <w:t>di fatto</w:t>
      </w:r>
      <w:r>
        <w:rPr>
          <w:color w:val="auto"/>
        </w:rPr>
        <w:t xml:space="preserve"> impossibile identificare eventuali criticità </w:t>
      </w:r>
      <w:r w:rsidR="00666867">
        <w:rPr>
          <w:color w:val="auto"/>
        </w:rPr>
        <w:t>regionali</w:t>
      </w:r>
      <w:r w:rsidR="00315A37" w:rsidRPr="002369FF">
        <w:rPr>
          <w:color w:val="auto"/>
        </w:rPr>
        <w:t>»</w:t>
      </w:r>
      <w:r w:rsidR="00666867" w:rsidRPr="009A4F94">
        <w:rPr>
          <w:color w:val="auto"/>
        </w:rPr>
        <w:t>.</w:t>
      </w:r>
    </w:p>
    <w:p w:rsidR="007B682B" w:rsidRPr="00234B97" w:rsidRDefault="00666867" w:rsidP="00BD67DE">
      <w:pPr>
        <w:spacing w:after="120" w:line="276" w:lineRule="auto"/>
        <w:rPr>
          <w:rStyle w:val="Hyperlink0"/>
        </w:rPr>
      </w:pPr>
      <w:r w:rsidRPr="00234B97">
        <w:rPr>
          <w:i/>
          <w:iCs/>
        </w:rPr>
        <w:t>Il</w:t>
      </w:r>
      <w:r w:rsidR="00CE577D" w:rsidRPr="00234B97">
        <w:rPr>
          <w:i/>
          <w:iCs/>
        </w:rPr>
        <w:t xml:space="preserve"> monitoraggio GIMBE dell'epidemia di COVID-19 è disponibile a: </w:t>
      </w:r>
      <w:hyperlink r:id="rId10" w:history="1">
        <w:r w:rsidR="00CE577D" w:rsidRPr="00234B97">
          <w:rPr>
            <w:rStyle w:val="Hyperlink0"/>
          </w:rPr>
          <w:t>https://coronavirus.gimbe.org</w:t>
        </w:r>
      </w:hyperlink>
    </w:p>
    <w:p w:rsidR="005A138A" w:rsidRPr="00613848" w:rsidRDefault="00CE577D" w:rsidP="00BD67DE">
      <w:pPr>
        <w:spacing w:after="120"/>
        <w:rPr>
          <w:rFonts w:eastAsia="Calibri" w:cs="Calibri"/>
          <w:color w:val="0563C1"/>
          <w:sz w:val="20"/>
          <w:szCs w:val="20"/>
          <w:u w:val="single" w:color="0563C1"/>
        </w:rPr>
      </w:pPr>
      <w:r w:rsidRPr="00234B97">
        <w:rPr>
          <w:b/>
          <w:bCs/>
        </w:rPr>
        <w:t>CONTATTI</w:t>
      </w:r>
      <w:r w:rsidRPr="00234B97">
        <w:rPr>
          <w:i/>
          <w:iCs/>
        </w:rPr>
        <w:br/>
      </w:r>
      <w:r w:rsidRPr="00234B97">
        <w:rPr>
          <w:b/>
          <w:bCs/>
        </w:rPr>
        <w:t>Fondazione GIMBE</w:t>
      </w:r>
      <w:r w:rsidRPr="00234B97">
        <w:rPr>
          <w:i/>
          <w:iCs/>
          <w:color w:val="0563C1"/>
          <w:u w:val="single" w:color="0563C1"/>
        </w:rPr>
        <w:br/>
      </w:r>
      <w:r w:rsidRPr="00234B97">
        <w:rPr>
          <w:sz w:val="20"/>
          <w:szCs w:val="20"/>
        </w:rPr>
        <w:t>Via Amendola 2 - 40121 Bologna</w:t>
      </w:r>
      <w:r w:rsidRPr="00234B97">
        <w:rPr>
          <w:sz w:val="20"/>
          <w:szCs w:val="20"/>
        </w:rPr>
        <w:br/>
        <w:t>Tel. 051 5883920 - Fax 051 4075774</w:t>
      </w:r>
      <w:r w:rsidRPr="00234B97">
        <w:rPr>
          <w:sz w:val="20"/>
          <w:szCs w:val="20"/>
        </w:rPr>
        <w:br/>
        <w:t xml:space="preserve">E-mail: </w:t>
      </w:r>
      <w:hyperlink r:id="rId11" w:history="1">
        <w:r w:rsidRPr="00234B97">
          <w:rPr>
            <w:rStyle w:val="Hyperlink1"/>
          </w:rPr>
          <w:t>ufficio.stampa@gimbe.org</w:t>
        </w:r>
      </w:hyperlink>
    </w:p>
    <w:p w:rsidR="00F458BE" w:rsidRDefault="00F458BE" w:rsidP="00F64A4A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7B682B" w:rsidRDefault="00CE577D" w:rsidP="00D0282D">
      <w:pPr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</w:p>
    <w:p w:rsidR="00584564" w:rsidRPr="00234B97" w:rsidRDefault="000E770E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62CC8582" wp14:editId="5B2AC0E3">
            <wp:extent cx="5760000" cy="3193390"/>
            <wp:effectExtent l="0" t="0" r="0" b="762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234B97" w:rsidRDefault="007B682B">
      <w:pPr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Pr="00234B97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>Figura 2</w:t>
      </w:r>
      <w:r w:rsidRPr="00234B97">
        <w:rPr>
          <w:b/>
          <w:bCs/>
          <w:color w:val="00457D"/>
          <w:sz w:val="24"/>
          <w:szCs w:val="24"/>
          <w:u w:color="00457D"/>
        </w:rPr>
        <w:br/>
      </w:r>
      <w:r w:rsidR="000E770E"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1236BD8D" wp14:editId="59129214">
            <wp:extent cx="5760000" cy="3094654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94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770E" w:rsidRDefault="000E770E">
      <w:pPr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Pr="00234B97" w:rsidRDefault="00CE577D">
      <w:pPr>
        <w:jc w:val="center"/>
        <w:sectPr w:rsidR="007B682B" w:rsidRPr="00234B97">
          <w:pgSz w:w="11900" w:h="16840"/>
          <w:pgMar w:top="993" w:right="1134" w:bottom="709" w:left="1134" w:header="709" w:footer="709" w:gutter="0"/>
          <w:cols w:space="720"/>
        </w:sectPr>
      </w:pPr>
      <w:r w:rsidRPr="00234B97">
        <w:rPr>
          <w:b/>
          <w:bCs/>
          <w:color w:val="00457D"/>
          <w:sz w:val="24"/>
          <w:szCs w:val="24"/>
          <w:u w:color="00457D"/>
        </w:rPr>
        <w:br/>
      </w:r>
    </w:p>
    <w:p w:rsidR="007B682B" w:rsidRPr="00234B97" w:rsidRDefault="00CE577D">
      <w:pPr>
        <w:spacing w:after="0" w:line="36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>Figura 3</w:t>
      </w:r>
    </w:p>
    <w:p w:rsidR="007B682B" w:rsidRPr="00234B97" w:rsidRDefault="000E770E">
      <w:pPr>
        <w:spacing w:after="0" w:line="36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387AEA86" wp14:editId="5E83E7AD">
            <wp:extent cx="9360000" cy="5368175"/>
            <wp:effectExtent l="0" t="0" r="0" b="444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536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234B97" w:rsidRDefault="007B682B">
      <w:pPr>
        <w:spacing w:after="0" w:line="360" w:lineRule="auto"/>
        <w:jc w:val="center"/>
        <w:sectPr w:rsidR="007B682B" w:rsidRPr="00234B97" w:rsidSect="00AF08E9">
          <w:pgSz w:w="16840" w:h="11900" w:orient="landscape"/>
          <w:pgMar w:top="992" w:right="1134" w:bottom="709" w:left="1134" w:header="709" w:footer="709" w:gutter="0"/>
          <w:cols w:space="720"/>
          <w:docGrid w:linePitch="299"/>
        </w:sectPr>
      </w:pPr>
    </w:p>
    <w:p w:rsidR="00184E2C" w:rsidRDefault="00E10DC3" w:rsidP="00E10DC3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4</w:t>
      </w:r>
    </w:p>
    <w:p w:rsidR="00FB6128" w:rsidRDefault="00FB6128" w:rsidP="00E10DC3">
      <w:pPr>
        <w:spacing w:after="0"/>
        <w:jc w:val="center"/>
        <w:rPr>
          <w:color w:val="auto"/>
        </w:rPr>
      </w:pPr>
      <w:r>
        <w:rPr>
          <w:noProof/>
        </w:rPr>
        <w:drawing>
          <wp:inline distT="0" distB="0" distL="0" distR="0" wp14:anchorId="055BBF41" wp14:editId="2BC4C734">
            <wp:extent cx="5760000" cy="2824094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24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6128" w:rsidRDefault="00FB6128" w:rsidP="00E10DC3">
      <w:pPr>
        <w:spacing w:after="0"/>
        <w:jc w:val="center"/>
        <w:rPr>
          <w:color w:val="auto"/>
        </w:rPr>
      </w:pPr>
    </w:p>
    <w:p w:rsidR="00FB6128" w:rsidRPr="00FB6128" w:rsidRDefault="00FB6128" w:rsidP="00FB6128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 xml:space="preserve">Figura </w:t>
      </w:r>
      <w:r>
        <w:rPr>
          <w:b/>
          <w:bCs/>
          <w:color w:val="00457D"/>
          <w:sz w:val="24"/>
          <w:szCs w:val="24"/>
          <w:u w:color="00457D"/>
        </w:rPr>
        <w:t>5</w:t>
      </w:r>
    </w:p>
    <w:p w:rsidR="00184E2C" w:rsidRDefault="000E770E" w:rsidP="000E770E">
      <w:pPr>
        <w:spacing w:after="0" w:line="276" w:lineRule="auto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371ADE46" wp14:editId="1CCDE8BE">
            <wp:extent cx="5760000" cy="3159622"/>
            <wp:effectExtent l="0" t="0" r="0" b="317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59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770E" w:rsidRDefault="000E770E" w:rsidP="00626103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FB6128" w:rsidRDefault="00FB6128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FB6128" w:rsidRPr="00234B97" w:rsidRDefault="00FB6128" w:rsidP="00FB6128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>
        <w:rPr>
          <w:b/>
          <w:bCs/>
          <w:color w:val="00457D"/>
          <w:sz w:val="24"/>
          <w:szCs w:val="24"/>
          <w:u w:color="00457D"/>
        </w:rPr>
        <w:t>6</w:t>
      </w:r>
    </w:p>
    <w:p w:rsidR="00B66203" w:rsidRPr="00234B97" w:rsidRDefault="000E770E" w:rsidP="00340152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2266752D" wp14:editId="4FAA0302">
            <wp:extent cx="5760000" cy="5170369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170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4E2C" w:rsidRDefault="00CE577D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542585">
        <w:rPr>
          <w:b/>
          <w:bCs/>
          <w:color w:val="00457D"/>
          <w:sz w:val="24"/>
          <w:szCs w:val="24"/>
          <w:u w:color="00457D"/>
        </w:rPr>
        <w:t>Figura</w:t>
      </w:r>
      <w:r w:rsidR="00E10DC3">
        <w:rPr>
          <w:b/>
          <w:bCs/>
          <w:color w:val="00457D"/>
          <w:sz w:val="24"/>
          <w:szCs w:val="24"/>
          <w:u w:color="00457D"/>
        </w:rPr>
        <w:t xml:space="preserve"> </w:t>
      </w:r>
      <w:r w:rsidR="00FB6128">
        <w:rPr>
          <w:b/>
          <w:bCs/>
          <w:color w:val="00457D"/>
          <w:sz w:val="24"/>
          <w:szCs w:val="24"/>
          <w:u w:color="00457D"/>
        </w:rPr>
        <w:t>7</w:t>
      </w:r>
    </w:p>
    <w:p w:rsidR="00184E2C" w:rsidRDefault="000E770E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48423E64" wp14:editId="306053ED">
            <wp:extent cx="5760000" cy="2826141"/>
            <wp:effectExtent l="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26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4E2C" w:rsidRDefault="00184E2C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E10DC3" w:rsidRDefault="00E10DC3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7B682B" w:rsidRPr="00542585" w:rsidRDefault="006176B8" w:rsidP="003874BF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542585"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 w:rsidR="00E10DC3">
        <w:rPr>
          <w:b/>
          <w:bCs/>
          <w:color w:val="00457D"/>
          <w:sz w:val="24"/>
          <w:szCs w:val="24"/>
          <w:u w:color="00457D"/>
        </w:rPr>
        <w:t>8</w:t>
      </w:r>
    </w:p>
    <w:p w:rsidR="00542585" w:rsidRDefault="004572B2" w:rsidP="00F529F2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7A807D84" wp14:editId="2E5C29AA">
            <wp:extent cx="5760000" cy="4518923"/>
            <wp:effectExtent l="0" t="0" r="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18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1E56" w:rsidRDefault="005C1E56" w:rsidP="005C1E56">
      <w:pPr>
        <w:spacing w:after="0" w:line="240" w:lineRule="auto"/>
        <w:rPr>
          <w:b/>
          <w:bCs/>
          <w:color w:val="FF0000"/>
          <w:sz w:val="24"/>
          <w:szCs w:val="24"/>
          <w:u w:color="00457D"/>
        </w:rPr>
      </w:pPr>
    </w:p>
    <w:p w:rsidR="0036634C" w:rsidRDefault="00C510AB" w:rsidP="005C1E56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 xml:space="preserve">Figura </w:t>
      </w:r>
      <w:r w:rsidR="00E10DC3">
        <w:rPr>
          <w:b/>
          <w:bCs/>
          <w:color w:val="00457D"/>
          <w:sz w:val="24"/>
          <w:szCs w:val="24"/>
          <w:u w:color="00457D"/>
        </w:rPr>
        <w:t>9</w:t>
      </w:r>
    </w:p>
    <w:p w:rsidR="001B3764" w:rsidRDefault="004572B2" w:rsidP="005C1E56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20B72A36" wp14:editId="2DDB3016">
            <wp:extent cx="5760000" cy="3067655"/>
            <wp:effectExtent l="0" t="0" r="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6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764" w:rsidRDefault="001B3764" w:rsidP="005C1E56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E10DC3" w:rsidRDefault="00E10DC3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1B3764" w:rsidRDefault="001B3764" w:rsidP="005C1E56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 w:rsidR="00E10DC3">
        <w:rPr>
          <w:b/>
          <w:bCs/>
          <w:color w:val="00457D"/>
          <w:sz w:val="24"/>
          <w:szCs w:val="24"/>
          <w:u w:color="00457D"/>
        </w:rPr>
        <w:t>0</w:t>
      </w:r>
    </w:p>
    <w:p w:rsidR="001B3764" w:rsidRDefault="004572B2" w:rsidP="005C1E56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4CD086FF" wp14:editId="76D7B7A7">
            <wp:extent cx="5760000" cy="3067655"/>
            <wp:effectExtent l="0" t="0" r="0" b="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6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764" w:rsidRDefault="001B3764" w:rsidP="005C1E56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E10DC3" w:rsidRDefault="00E10DC3" w:rsidP="00E10DC3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11</w:t>
      </w:r>
    </w:p>
    <w:p w:rsidR="00012B67" w:rsidRDefault="002369FF" w:rsidP="00012B67">
      <w:pPr>
        <w:spacing w:line="276" w:lineRule="auto"/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4CAD8BC3" wp14:editId="38D788B0">
            <wp:extent cx="5760000" cy="3661941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61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0DC3" w:rsidRDefault="00E10DC3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E10DC3" w:rsidRDefault="00E10DC3" w:rsidP="00E10DC3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12</w:t>
      </w:r>
    </w:p>
    <w:p w:rsidR="00012B67" w:rsidRPr="003F6A89" w:rsidRDefault="002369FF" w:rsidP="00012B67">
      <w:pPr>
        <w:spacing w:line="276" w:lineRule="auto"/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3FA3A167" wp14:editId="0373C19E">
            <wp:extent cx="5760000" cy="3655916"/>
            <wp:effectExtent l="0" t="0" r="0" b="190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55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2B67" w:rsidRDefault="00012B67" w:rsidP="005C1E56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1B3764" w:rsidRDefault="001B3764" w:rsidP="005C1E56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1</w:t>
      </w:r>
      <w:r w:rsidR="00012B67">
        <w:rPr>
          <w:b/>
          <w:bCs/>
          <w:color w:val="00457D"/>
          <w:sz w:val="24"/>
          <w:szCs w:val="24"/>
          <w:u w:color="00457D"/>
        </w:rPr>
        <w:t>3</w:t>
      </w:r>
    </w:p>
    <w:p w:rsidR="00775DC3" w:rsidRPr="003E512B" w:rsidRDefault="004572B2" w:rsidP="00D34302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0AD76BAC" wp14:editId="054A4B7A">
            <wp:extent cx="5760000" cy="3442302"/>
            <wp:effectExtent l="0" t="0" r="0" b="635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42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10AB" w:rsidRDefault="00C510AB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C66BFE" w:rsidRDefault="00C66BFE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  <w:sectPr w:rsidR="00C66BFE">
          <w:pgSz w:w="11900" w:h="16840"/>
          <w:pgMar w:top="1134" w:right="1134" w:bottom="1418" w:left="1134" w:header="709" w:footer="709" w:gutter="0"/>
          <w:cols w:space="720"/>
        </w:sectPr>
      </w:pPr>
    </w:p>
    <w:p w:rsidR="00C66BFE" w:rsidRDefault="00C66BFE" w:rsidP="00C66BFE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14</w:t>
      </w:r>
    </w:p>
    <w:p w:rsidR="00C66BFE" w:rsidRDefault="00C66BFE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  <w:sectPr w:rsidR="00C66BFE" w:rsidSect="00C66BFE">
          <w:pgSz w:w="16840" w:h="11900" w:orient="landscape"/>
          <w:pgMar w:top="1134" w:right="1134" w:bottom="1134" w:left="1418" w:header="709" w:footer="709" w:gutter="0"/>
          <w:cols w:space="720"/>
          <w:docGrid w:linePitch="299"/>
        </w:sectPr>
      </w:pPr>
      <w:r>
        <w:rPr>
          <w:noProof/>
        </w:rPr>
        <w:drawing>
          <wp:inline distT="0" distB="0" distL="0" distR="0" wp14:anchorId="0E3E3E52" wp14:editId="04E98FB5">
            <wp:extent cx="9072880" cy="4983480"/>
            <wp:effectExtent l="0" t="0" r="0" b="7620"/>
            <wp:docPr id="1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880" cy="498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10AB" w:rsidRPr="005B129C" w:rsidRDefault="00C510AB" w:rsidP="00C510AB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 w:rsidR="00C66BFE">
        <w:rPr>
          <w:b/>
          <w:bCs/>
          <w:color w:val="00457D"/>
          <w:sz w:val="24"/>
          <w:szCs w:val="24"/>
          <w:u w:color="00457D"/>
        </w:rPr>
        <w:t>5</w:t>
      </w:r>
    </w:p>
    <w:p w:rsidR="00184E2C" w:rsidRDefault="004572B2" w:rsidP="00184E2C">
      <w:pPr>
        <w:spacing w:line="276" w:lineRule="auto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0F3AC3E9" wp14:editId="5C7A7B1D">
            <wp:extent cx="5760000" cy="3843297"/>
            <wp:effectExtent l="0" t="0" r="0" b="508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43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4E2C" w:rsidRDefault="00184E2C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F01E45" w:rsidRDefault="00184E2C" w:rsidP="00622991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1</w:t>
      </w:r>
      <w:r w:rsidR="00C66BFE">
        <w:rPr>
          <w:b/>
          <w:bCs/>
          <w:color w:val="00457D"/>
          <w:sz w:val="24"/>
          <w:szCs w:val="24"/>
          <w:u w:color="00457D"/>
        </w:rPr>
        <w:t>6</w:t>
      </w:r>
    </w:p>
    <w:p w:rsidR="00953D24" w:rsidRDefault="00622991" w:rsidP="00622991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61D1ED96" wp14:editId="4D947C77">
            <wp:extent cx="5760000" cy="3125637"/>
            <wp:effectExtent l="0" t="0" r="0" b="0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25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53D24">
        <w:rPr>
          <w:b/>
          <w:bCs/>
          <w:color w:val="00457D"/>
          <w:sz w:val="24"/>
          <w:szCs w:val="24"/>
          <w:u w:color="00457D"/>
        </w:rPr>
        <w:br w:type="page"/>
      </w:r>
    </w:p>
    <w:p w:rsidR="00E355FA" w:rsidRDefault="00E355FA" w:rsidP="00E355FA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 w:rsidR="00C66BFE">
        <w:rPr>
          <w:b/>
          <w:bCs/>
          <w:color w:val="00457D"/>
          <w:sz w:val="24"/>
          <w:szCs w:val="24"/>
          <w:u w:color="00457D"/>
        </w:rPr>
        <w:t>7</w:t>
      </w:r>
    </w:p>
    <w:p w:rsidR="003A5301" w:rsidRPr="005B129C" w:rsidRDefault="00622991" w:rsidP="00622991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5477CD6D" wp14:editId="1310B387">
            <wp:extent cx="5616000" cy="4218990"/>
            <wp:effectExtent l="0" t="0" r="3810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421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1E45" w:rsidRPr="00622991" w:rsidRDefault="00F01E45">
      <w:pPr>
        <w:spacing w:after="0" w:line="240" w:lineRule="auto"/>
        <w:rPr>
          <w:b/>
          <w:bCs/>
          <w:color w:val="00457D"/>
          <w:sz w:val="20"/>
          <w:szCs w:val="24"/>
          <w:u w:color="00457D"/>
        </w:rPr>
      </w:pPr>
    </w:p>
    <w:p w:rsidR="00184E2C" w:rsidRPr="005B129C" w:rsidRDefault="00184E2C" w:rsidP="00184E2C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1</w:t>
      </w:r>
      <w:r w:rsidR="00C66BFE">
        <w:rPr>
          <w:b/>
          <w:bCs/>
          <w:color w:val="00457D"/>
          <w:sz w:val="24"/>
          <w:szCs w:val="24"/>
          <w:u w:color="00457D"/>
        </w:rPr>
        <w:t>8</w:t>
      </w:r>
    </w:p>
    <w:p w:rsidR="00340152" w:rsidRDefault="00622991" w:rsidP="00953D24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02C40F39" wp14:editId="3688B4A1">
            <wp:extent cx="5616000" cy="4218990"/>
            <wp:effectExtent l="0" t="0" r="3810" b="0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421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72B2" w:rsidRDefault="00CE577D" w:rsidP="004572B2">
      <w:pPr>
        <w:spacing w:line="276" w:lineRule="auto"/>
        <w:jc w:val="center"/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 xml:space="preserve">Tabella 1. Indicatori regionali: settimana </w:t>
      </w:r>
      <w:r w:rsidR="004572B2">
        <w:rPr>
          <w:b/>
          <w:bCs/>
          <w:color w:val="00457D"/>
          <w:sz w:val="24"/>
          <w:szCs w:val="24"/>
          <w:u w:color="00457D"/>
        </w:rPr>
        <w:t>3-9</w:t>
      </w:r>
      <w:r w:rsidR="005672CD">
        <w:rPr>
          <w:b/>
          <w:bCs/>
          <w:color w:val="00457D"/>
          <w:sz w:val="24"/>
          <w:szCs w:val="24"/>
          <w:u w:color="00457D"/>
        </w:rPr>
        <w:t xml:space="preserve"> novembre</w:t>
      </w:r>
      <w:r w:rsidRPr="00234B97">
        <w:rPr>
          <w:b/>
          <w:bCs/>
          <w:color w:val="00457D"/>
          <w:sz w:val="24"/>
          <w:szCs w:val="24"/>
          <w:u w:color="00457D"/>
        </w:rPr>
        <w:t xml:space="preserve"> 2021</w:t>
      </w:r>
    </w:p>
    <w:tbl>
      <w:tblPr>
        <w:tblW w:w="9498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1984"/>
        <w:gridCol w:w="1276"/>
        <w:gridCol w:w="2126"/>
        <w:gridCol w:w="2127"/>
      </w:tblGrid>
      <w:tr w:rsidR="004572B2" w:rsidRPr="004572B2" w:rsidTr="004572B2">
        <w:trPr>
          <w:trHeight w:val="907"/>
        </w:trPr>
        <w:tc>
          <w:tcPr>
            <w:tcW w:w="198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4572B2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Regione</w:t>
            </w:r>
          </w:p>
        </w:tc>
        <w:tc>
          <w:tcPr>
            <w:tcW w:w="1984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1"/>
                <w:szCs w:val="21"/>
                <w:bdr w:val="none" w:sz="0" w:space="0" w:color="auto"/>
              </w:rPr>
            </w:pPr>
            <w:r w:rsidRPr="004572B2">
              <w:rPr>
                <w:rFonts w:eastAsia="Times New Roman" w:cs="Calibri"/>
                <w:b/>
                <w:bCs/>
                <w:color w:val="FFFFFF"/>
                <w:sz w:val="21"/>
                <w:szCs w:val="21"/>
                <w:bdr w:val="none" w:sz="0" w:space="0" w:color="auto"/>
              </w:rPr>
              <w:t>Casi attualmente positivi per 100.000 abitanti</w:t>
            </w:r>
          </w:p>
        </w:tc>
        <w:tc>
          <w:tcPr>
            <w:tcW w:w="1276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4572B2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 xml:space="preserve">Variazione </w:t>
            </w:r>
            <w:r w:rsidRPr="004572B2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br/>
              <w:t>% nuovi casi</w:t>
            </w:r>
          </w:p>
        </w:tc>
        <w:tc>
          <w:tcPr>
            <w:tcW w:w="2126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4572B2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Posti letto in area medica occupati da pazienti COVID−19</w:t>
            </w:r>
          </w:p>
        </w:tc>
        <w:tc>
          <w:tcPr>
            <w:tcW w:w="2127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00457D"/>
            </w:tcBorders>
            <w:shd w:val="clear" w:color="000000" w:fill="00457D"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4572B2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 xml:space="preserve">Posti letto in terapia intensiva occupati da </w:t>
            </w:r>
            <w:r w:rsidRPr="004572B2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br/>
              <w:t>pazienti COVID−19</w:t>
            </w:r>
          </w:p>
        </w:tc>
      </w:tr>
      <w:tr w:rsidR="004572B2" w:rsidRPr="004572B2" w:rsidTr="004572B2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572B2">
              <w:rPr>
                <w:rFonts w:eastAsia="Times New Roman" w:cs="Calibri"/>
                <w:bdr w:val="none" w:sz="0" w:space="0" w:color="auto"/>
              </w:rPr>
              <w:t>Abruzzo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9C0006"/>
                <w:bdr w:val="none" w:sz="0" w:space="0" w:color="auto"/>
              </w:rPr>
              <w:t>182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9C0006"/>
                <w:bdr w:val="none" w:sz="0" w:space="0" w:color="auto"/>
              </w:rPr>
              <w:t>36,5%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</w:tr>
      <w:tr w:rsidR="004572B2" w:rsidRPr="004572B2" w:rsidTr="004572B2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572B2">
              <w:rPr>
                <w:rFonts w:eastAsia="Times New Roman" w:cs="Calibri"/>
                <w:bdr w:val="none" w:sz="0" w:space="0" w:color="auto"/>
              </w:rPr>
              <w:t>Basilicata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9C0006"/>
                <w:bdr w:val="none" w:sz="0" w:space="0" w:color="auto"/>
              </w:rPr>
              <w:t>156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9C0006"/>
                <w:bdr w:val="none" w:sz="0" w:space="0" w:color="auto"/>
              </w:rPr>
              <w:t>18,0%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006100"/>
                <w:bdr w:val="none" w:sz="0" w:space="0" w:color="auto"/>
              </w:rPr>
              <w:t>0%</w:t>
            </w:r>
          </w:p>
        </w:tc>
      </w:tr>
      <w:tr w:rsidR="004572B2" w:rsidRPr="004572B2" w:rsidTr="004572B2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572B2">
              <w:rPr>
                <w:rFonts w:eastAsia="Times New Roman" w:cs="Calibri"/>
                <w:bdr w:val="none" w:sz="0" w:space="0" w:color="auto"/>
              </w:rPr>
              <w:t>Calabria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9C0006"/>
                <w:bdr w:val="none" w:sz="0" w:space="0" w:color="auto"/>
              </w:rPr>
              <w:t>187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9C0006"/>
                <w:bdr w:val="none" w:sz="0" w:space="0" w:color="auto"/>
              </w:rPr>
              <w:t>26,5%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006100"/>
                <w:bdr w:val="none" w:sz="0" w:space="0" w:color="auto"/>
              </w:rPr>
              <w:t>11%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</w:tr>
      <w:tr w:rsidR="004572B2" w:rsidRPr="004572B2" w:rsidTr="004572B2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572B2">
              <w:rPr>
                <w:rFonts w:eastAsia="Times New Roman" w:cs="Calibri"/>
                <w:bdr w:val="none" w:sz="0" w:space="0" w:color="auto"/>
              </w:rPr>
              <w:t>Campania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9C0006"/>
                <w:bdr w:val="none" w:sz="0" w:space="0" w:color="auto"/>
              </w:rPr>
              <w:t>186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9C0006"/>
                <w:bdr w:val="none" w:sz="0" w:space="0" w:color="auto"/>
              </w:rPr>
              <w:t>17,5%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006100"/>
                <w:bdr w:val="none" w:sz="0" w:space="0" w:color="auto"/>
              </w:rPr>
              <w:t>8%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</w:tr>
      <w:tr w:rsidR="004572B2" w:rsidRPr="004572B2" w:rsidTr="004572B2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572B2" w:rsidRPr="004572B2" w:rsidRDefault="00A60B78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572B2">
              <w:rPr>
                <w:rFonts w:eastAsia="Times New Roman" w:cs="Calibri"/>
                <w:bdr w:val="none" w:sz="0" w:space="0" w:color="auto"/>
              </w:rPr>
              <w:t>Emilia-Romagna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9C0006"/>
                <w:bdr w:val="none" w:sz="0" w:space="0" w:color="auto"/>
              </w:rPr>
              <w:t>197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9C0006"/>
                <w:bdr w:val="none" w:sz="0" w:space="0" w:color="auto"/>
              </w:rPr>
              <w:t>24,3%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</w:tr>
      <w:tr w:rsidR="004572B2" w:rsidRPr="004572B2" w:rsidTr="004572B2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572B2" w:rsidRPr="004572B2" w:rsidRDefault="00A60B78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572B2">
              <w:rPr>
                <w:rFonts w:eastAsia="Times New Roman" w:cs="Calibri"/>
                <w:bdr w:val="none" w:sz="0" w:space="0" w:color="auto"/>
              </w:rPr>
              <w:t>Friuli-Venezia Giulia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9C0006"/>
                <w:bdr w:val="none" w:sz="0" w:space="0" w:color="auto"/>
              </w:rPr>
              <w:t>292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9C0006"/>
                <w:bdr w:val="none" w:sz="0" w:space="0" w:color="auto"/>
              </w:rPr>
              <w:t>53,6%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006100"/>
                <w:bdr w:val="none" w:sz="0" w:space="0" w:color="auto"/>
              </w:rPr>
              <w:t>10%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9C0006"/>
                <w:bdr w:val="none" w:sz="0" w:space="0" w:color="auto"/>
              </w:rPr>
              <w:t>11%</w:t>
            </w:r>
          </w:p>
        </w:tc>
      </w:tr>
      <w:tr w:rsidR="004572B2" w:rsidRPr="004572B2" w:rsidTr="004572B2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572B2">
              <w:rPr>
                <w:rFonts w:eastAsia="Times New Roman" w:cs="Calibri"/>
                <w:bdr w:val="none" w:sz="0" w:space="0" w:color="auto"/>
              </w:rPr>
              <w:t>Lazio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9C0006"/>
                <w:bdr w:val="none" w:sz="0" w:space="0" w:color="auto"/>
              </w:rPr>
              <w:t>191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9C0006"/>
                <w:bdr w:val="none" w:sz="0" w:space="0" w:color="auto"/>
              </w:rPr>
              <w:t>27,5%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006100"/>
                <w:bdr w:val="none" w:sz="0" w:space="0" w:color="auto"/>
              </w:rPr>
              <w:t>8%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</w:tr>
      <w:tr w:rsidR="004572B2" w:rsidRPr="004572B2" w:rsidTr="004572B2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572B2">
              <w:rPr>
                <w:rFonts w:eastAsia="Times New Roman" w:cs="Calibri"/>
                <w:bdr w:val="none" w:sz="0" w:space="0" w:color="auto"/>
              </w:rPr>
              <w:t>Liguria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9C0006"/>
                <w:bdr w:val="none" w:sz="0" w:space="0" w:color="auto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9C0006"/>
                <w:bdr w:val="none" w:sz="0" w:space="0" w:color="auto"/>
              </w:rPr>
              <w:t>14,0%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</w:tr>
      <w:tr w:rsidR="004572B2" w:rsidRPr="004572B2" w:rsidTr="004572B2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572B2">
              <w:rPr>
                <w:rFonts w:eastAsia="Times New Roman" w:cs="Calibri"/>
                <w:bdr w:val="none" w:sz="0" w:space="0" w:color="auto"/>
              </w:rPr>
              <w:t>Lombardia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9C0006"/>
                <w:bdr w:val="none" w:sz="0" w:space="0" w:color="auto"/>
              </w:rPr>
              <w:t>121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9C0006"/>
                <w:bdr w:val="none" w:sz="0" w:space="0" w:color="auto"/>
              </w:rPr>
              <w:t>62,8%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</w:tr>
      <w:tr w:rsidR="004572B2" w:rsidRPr="004572B2" w:rsidTr="004572B2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572B2">
              <w:rPr>
                <w:rFonts w:eastAsia="Times New Roman" w:cs="Calibri"/>
                <w:bdr w:val="none" w:sz="0" w:space="0" w:color="auto"/>
              </w:rPr>
              <w:t>Marche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9C0006"/>
                <w:bdr w:val="none" w:sz="0" w:space="0" w:color="auto"/>
              </w:rPr>
              <w:t>187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9C0006"/>
                <w:bdr w:val="none" w:sz="0" w:space="0" w:color="auto"/>
              </w:rPr>
              <w:t>67,6%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9C0006"/>
                <w:bdr w:val="none" w:sz="0" w:space="0" w:color="auto"/>
              </w:rPr>
              <w:t>11%</w:t>
            </w:r>
          </w:p>
        </w:tc>
      </w:tr>
      <w:tr w:rsidR="004572B2" w:rsidRPr="004572B2" w:rsidTr="004572B2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572B2">
              <w:rPr>
                <w:rFonts w:eastAsia="Times New Roman" w:cs="Calibri"/>
                <w:bdr w:val="none" w:sz="0" w:space="0" w:color="auto"/>
              </w:rPr>
              <w:t>Molise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9C0006"/>
                <w:bdr w:val="none" w:sz="0" w:space="0" w:color="auto"/>
              </w:rPr>
              <w:t>47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9C0006"/>
                <w:bdr w:val="none" w:sz="0" w:space="0" w:color="auto"/>
              </w:rPr>
              <w:t>17,6%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</w:tr>
      <w:tr w:rsidR="004572B2" w:rsidRPr="004572B2" w:rsidTr="004572B2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572B2">
              <w:rPr>
                <w:rFonts w:eastAsia="Times New Roman" w:cs="Calibri"/>
                <w:bdr w:val="none" w:sz="0" w:space="0" w:color="auto"/>
              </w:rPr>
              <w:t>Piemonte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9C0006"/>
                <w:bdr w:val="none" w:sz="0" w:space="0" w:color="auto"/>
              </w:rPr>
              <w:t>115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9C0006"/>
                <w:bdr w:val="none" w:sz="0" w:space="0" w:color="auto"/>
              </w:rPr>
              <w:t>53,3%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</w:tr>
      <w:tr w:rsidR="004572B2" w:rsidRPr="004572B2" w:rsidTr="004572B2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572B2">
              <w:rPr>
                <w:rFonts w:eastAsia="Times New Roman" w:cs="Calibri"/>
                <w:bdr w:val="none" w:sz="0" w:space="0" w:color="auto"/>
              </w:rPr>
              <w:t>Prov. Aut. Bolzano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9C0006"/>
                <w:bdr w:val="none" w:sz="0" w:space="0" w:color="auto"/>
              </w:rPr>
              <w:t>412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9C0006"/>
                <w:bdr w:val="none" w:sz="0" w:space="0" w:color="auto"/>
              </w:rPr>
              <w:t>75,3%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006100"/>
                <w:bdr w:val="none" w:sz="0" w:space="0" w:color="auto"/>
              </w:rPr>
              <w:t>13%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</w:tr>
      <w:tr w:rsidR="004572B2" w:rsidRPr="004572B2" w:rsidTr="004572B2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572B2">
              <w:rPr>
                <w:rFonts w:eastAsia="Times New Roman" w:cs="Calibri"/>
                <w:bdr w:val="none" w:sz="0" w:space="0" w:color="auto"/>
              </w:rPr>
              <w:t>Prov. Aut. Trento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9C0006"/>
                <w:bdr w:val="none" w:sz="0" w:space="0" w:color="auto"/>
              </w:rPr>
              <w:t>113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9C0006"/>
                <w:bdr w:val="none" w:sz="0" w:space="0" w:color="auto"/>
              </w:rPr>
              <w:t>48,2%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006100"/>
                <w:bdr w:val="none" w:sz="0" w:space="0" w:color="auto"/>
              </w:rPr>
              <w:t>2%</w:t>
            </w:r>
          </w:p>
        </w:tc>
      </w:tr>
      <w:tr w:rsidR="004572B2" w:rsidRPr="004572B2" w:rsidTr="004572B2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572B2">
              <w:rPr>
                <w:rFonts w:eastAsia="Times New Roman" w:cs="Calibri"/>
                <w:bdr w:val="none" w:sz="0" w:space="0" w:color="auto"/>
              </w:rPr>
              <w:t>Puglia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9C0006"/>
                <w:bdr w:val="none" w:sz="0" w:space="0" w:color="auto"/>
              </w:rPr>
              <w:t>89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9C0006"/>
                <w:bdr w:val="none" w:sz="0" w:space="0" w:color="auto"/>
              </w:rPr>
              <w:t>17,8%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</w:tr>
      <w:tr w:rsidR="004572B2" w:rsidRPr="004572B2" w:rsidTr="004572B2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572B2">
              <w:rPr>
                <w:rFonts w:eastAsia="Times New Roman" w:cs="Calibri"/>
                <w:bdr w:val="none" w:sz="0" w:space="0" w:color="auto"/>
              </w:rPr>
              <w:t>Sardegna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9C0006"/>
                <w:bdr w:val="none" w:sz="0" w:space="0" w:color="auto"/>
              </w:rPr>
              <w:t>96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9C0006"/>
                <w:bdr w:val="none" w:sz="0" w:space="0" w:color="auto"/>
              </w:rPr>
              <w:t>68,1%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</w:tr>
      <w:tr w:rsidR="004572B2" w:rsidRPr="004572B2" w:rsidTr="004572B2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572B2">
              <w:rPr>
                <w:rFonts w:eastAsia="Times New Roman" w:cs="Calibri"/>
                <w:bdr w:val="none" w:sz="0" w:space="0" w:color="auto"/>
              </w:rPr>
              <w:t>Sicilia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9C0006"/>
                <w:bdr w:val="none" w:sz="0" w:space="0" w:color="auto"/>
              </w:rPr>
              <w:t>177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9C0006"/>
                <w:bdr w:val="none" w:sz="0" w:space="0" w:color="auto"/>
              </w:rPr>
              <w:t>36,4%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006100"/>
                <w:bdr w:val="none" w:sz="0" w:space="0" w:color="auto"/>
              </w:rPr>
              <w:t>10%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</w:tr>
      <w:tr w:rsidR="004572B2" w:rsidRPr="004572B2" w:rsidTr="004572B2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572B2">
              <w:rPr>
                <w:rFonts w:eastAsia="Times New Roman" w:cs="Calibri"/>
                <w:bdr w:val="none" w:sz="0" w:space="0" w:color="auto"/>
              </w:rPr>
              <w:t>Toscana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9C0006"/>
                <w:bdr w:val="none" w:sz="0" w:space="0" w:color="auto"/>
              </w:rPr>
              <w:t>180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9C0006"/>
                <w:bdr w:val="none" w:sz="0" w:space="0" w:color="auto"/>
              </w:rPr>
              <w:t>12,7%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</w:tr>
      <w:tr w:rsidR="004572B2" w:rsidRPr="004572B2" w:rsidTr="004572B2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572B2">
              <w:rPr>
                <w:rFonts w:eastAsia="Times New Roman" w:cs="Calibri"/>
                <w:bdr w:val="none" w:sz="0" w:space="0" w:color="auto"/>
              </w:rPr>
              <w:t>Umbria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9C0006"/>
                <w:bdr w:val="none" w:sz="0" w:space="0" w:color="auto"/>
              </w:rPr>
              <w:t>167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9C0006"/>
                <w:bdr w:val="none" w:sz="0" w:space="0" w:color="auto"/>
              </w:rPr>
              <w:t>50,8%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</w:tr>
      <w:tr w:rsidR="004572B2" w:rsidRPr="004572B2" w:rsidTr="004572B2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572B2">
              <w:rPr>
                <w:rFonts w:eastAsia="Times New Roman" w:cs="Calibri"/>
                <w:bdr w:val="none" w:sz="0" w:space="0" w:color="auto"/>
              </w:rPr>
              <w:t>Valle D'Aosta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9C0006"/>
                <w:bdr w:val="none" w:sz="0" w:space="0" w:color="auto"/>
              </w:rPr>
              <w:t>66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9C0006"/>
                <w:bdr w:val="none" w:sz="0" w:space="0" w:color="auto"/>
              </w:rPr>
              <w:t>51,5%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006100"/>
                <w:bdr w:val="none" w:sz="0" w:space="0" w:color="auto"/>
              </w:rPr>
              <w:t>0%</w:t>
            </w:r>
          </w:p>
        </w:tc>
      </w:tr>
      <w:tr w:rsidR="004572B2" w:rsidRPr="004572B2" w:rsidTr="004572B2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572B2">
              <w:rPr>
                <w:rFonts w:eastAsia="Times New Roman" w:cs="Calibri"/>
                <w:bdr w:val="none" w:sz="0" w:space="0" w:color="auto"/>
              </w:rPr>
              <w:t>Veneto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9C0006"/>
                <w:bdr w:val="none" w:sz="0" w:space="0" w:color="auto"/>
              </w:rPr>
              <w:t>270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9C0006"/>
                <w:bdr w:val="none" w:sz="0" w:space="0" w:color="auto"/>
              </w:rPr>
              <w:t>60,1%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</w:tr>
      <w:tr w:rsidR="004572B2" w:rsidRPr="004572B2" w:rsidTr="004572B2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00457D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4572B2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ITALIA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9C0006"/>
                <w:bdr w:val="none" w:sz="0" w:space="0" w:color="auto"/>
              </w:rPr>
            </w:pPr>
            <w:r w:rsidRPr="004572B2">
              <w:rPr>
                <w:rFonts w:eastAsia="Times New Roman" w:cs="Calibri"/>
                <w:b/>
                <w:bCs/>
                <w:color w:val="9C0006"/>
                <w:bdr w:val="none" w:sz="0" w:space="0" w:color="auto"/>
              </w:rPr>
              <w:t>168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9C0006"/>
                <w:bdr w:val="none" w:sz="0" w:space="0" w:color="auto"/>
              </w:rPr>
            </w:pPr>
            <w:r w:rsidRPr="004572B2">
              <w:rPr>
                <w:rFonts w:eastAsia="Times New Roman" w:cs="Calibri"/>
                <w:b/>
                <w:bCs/>
                <w:color w:val="9C0006"/>
                <w:bdr w:val="none" w:sz="0" w:space="0" w:color="auto"/>
              </w:rPr>
              <w:t>37,7%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4572B2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6%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4572B2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5%</w:t>
            </w:r>
          </w:p>
        </w:tc>
      </w:tr>
      <w:tr w:rsidR="004572B2" w:rsidRPr="004572B2" w:rsidTr="004572B2">
        <w:trPr>
          <w:trHeight w:val="1710"/>
        </w:trPr>
        <w:tc>
          <w:tcPr>
            <w:tcW w:w="9498" w:type="dxa"/>
            <w:gridSpan w:val="5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vAlign w:val="center"/>
            <w:hideMark/>
          </w:tcPr>
          <w:p w:rsidR="004572B2" w:rsidRPr="004572B2" w:rsidRDefault="004572B2" w:rsidP="00457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</w:pPr>
            <w:r w:rsidRPr="004572B2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>Nota: nella prima colonna rosso, verde e giallo indicano rispettivamente una performance regionale in peggioramento, in miglioramento o stabile, rispetto alla settimana precedente.</w:t>
            </w:r>
            <w:r w:rsidRPr="004572B2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br/>
              <w:t>Nella seconda colonna rosso e verde indicano rispettivamente un aumento o una diminuzione di nuovi casi rispetto alla settimana precedente.</w:t>
            </w:r>
            <w:r w:rsidRPr="004572B2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br/>
              <w:t>Nelle ultime 2 colonne rosso e verde indicano il superamento, o meno, della soglia di saturazione del 15% per l’area medica e del 10% per le terapie intensive (dati Agenas).</w:t>
            </w:r>
          </w:p>
        </w:tc>
      </w:tr>
    </w:tbl>
    <w:p w:rsidR="005E38B7" w:rsidRDefault="005E38B7">
      <w:pPr>
        <w:spacing w:after="0" w:line="240" w:lineRule="auto"/>
      </w:pPr>
      <w:r>
        <w:br w:type="page"/>
      </w:r>
    </w:p>
    <w:p w:rsidR="005E38B7" w:rsidRPr="00F441F1" w:rsidRDefault="005E38B7" w:rsidP="005E38B7">
      <w:pPr>
        <w:spacing w:after="8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F441F1">
        <w:rPr>
          <w:b/>
          <w:bCs/>
          <w:color w:val="00457D"/>
          <w:sz w:val="24"/>
          <w:szCs w:val="24"/>
          <w:u w:color="00457D"/>
        </w:rPr>
        <w:lastRenderedPageBreak/>
        <w:t>Tabella 2. Nuovi casi nell’ultima settimana suddivisi per provincia</w:t>
      </w:r>
    </w:p>
    <w:p w:rsidR="005E38B7" w:rsidRDefault="005E38B7" w:rsidP="005E38B7">
      <w:pPr>
        <w:spacing w:after="80" w:line="240" w:lineRule="auto"/>
        <w:jc w:val="center"/>
        <w:rPr>
          <w:b/>
          <w:bCs/>
          <w:color w:val="00457D"/>
          <w:spacing w:val="-3"/>
          <w:sz w:val="10"/>
          <w:szCs w:val="10"/>
          <w:u w:color="00457D"/>
        </w:rPr>
      </w:pPr>
    </w:p>
    <w:tbl>
      <w:tblPr>
        <w:tblStyle w:val="TableNormal"/>
        <w:tblW w:w="736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472C4"/>
        <w:tblLayout w:type="fixed"/>
        <w:tblLook w:val="04A0" w:firstRow="1" w:lastRow="0" w:firstColumn="1" w:lastColumn="0" w:noHBand="0" w:noVBand="1"/>
      </w:tblPr>
      <w:tblGrid>
        <w:gridCol w:w="2000"/>
        <w:gridCol w:w="2248"/>
        <w:gridCol w:w="3118"/>
      </w:tblGrid>
      <w:tr w:rsidR="005E38B7" w:rsidRPr="005672CD" w:rsidTr="005E38B7">
        <w:trPr>
          <w:trHeight w:val="481"/>
          <w:tblHeader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FFFFFF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Cs w:val="20"/>
              </w:rPr>
            </w:pPr>
            <w:r w:rsidRPr="005672CD">
              <w:rPr>
                <w:rFonts w:cs="Calibri"/>
                <w:b/>
                <w:bCs/>
                <w:color w:val="FFFFFF"/>
                <w:szCs w:val="20"/>
                <w:u w:color="FFFFFF"/>
              </w:rPr>
              <w:t>Regione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FFFFFF"/>
              <w:bottom w:val="single" w:sz="4" w:space="0" w:color="00457D"/>
              <w:right w:val="single" w:sz="4" w:space="0" w:color="FFFFFF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Cs w:val="20"/>
              </w:rPr>
            </w:pPr>
            <w:r w:rsidRPr="005672CD">
              <w:rPr>
                <w:rFonts w:cs="Calibri"/>
                <w:b/>
                <w:bCs/>
                <w:color w:val="FFFFFF"/>
                <w:szCs w:val="20"/>
                <w:u w:color="FFFFFF"/>
              </w:rPr>
              <w:t>Provincia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FFFFFF"/>
              <w:bottom w:val="single" w:sz="4" w:space="0" w:color="00457D"/>
              <w:right w:val="single" w:sz="4" w:space="0" w:color="00457D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38B7" w:rsidRPr="005672CD" w:rsidRDefault="005E38B7" w:rsidP="004572B2">
            <w:pPr>
              <w:spacing w:after="0" w:line="240" w:lineRule="auto"/>
              <w:jc w:val="center"/>
              <w:rPr>
                <w:rFonts w:cs="Calibri"/>
                <w:szCs w:val="20"/>
              </w:rPr>
            </w:pPr>
            <w:r w:rsidRPr="005672CD">
              <w:rPr>
                <w:rFonts w:cs="Calibri"/>
                <w:b/>
                <w:bCs/>
                <w:color w:val="FFFFFF"/>
                <w:szCs w:val="20"/>
                <w:u w:color="FFFFFF"/>
              </w:rPr>
              <w:t xml:space="preserve">Nuovi casi per 100.000 abitanti </w:t>
            </w:r>
            <w:r w:rsidR="004572B2">
              <w:rPr>
                <w:rFonts w:cs="Calibri"/>
                <w:b/>
                <w:bCs/>
                <w:color w:val="FFFFFF"/>
                <w:szCs w:val="20"/>
                <w:u w:color="FFFFFF"/>
              </w:rPr>
              <w:t>3-9</w:t>
            </w:r>
            <w:r w:rsidRPr="005672CD">
              <w:rPr>
                <w:rFonts w:cs="Calibri"/>
                <w:b/>
                <w:bCs/>
                <w:color w:val="FFFFFF"/>
                <w:szCs w:val="20"/>
                <w:u w:color="FFFFFF"/>
              </w:rPr>
              <w:t xml:space="preserve"> novembre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Teramo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128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L'Aquila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76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Pescara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37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Chieti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27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Basilicata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Matera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35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Basilicata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Potenza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27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Vibo Valentia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93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Reggio di Calabria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87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Crotone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80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Cosenza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50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Catanzaro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36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Napoli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84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Caserta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81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Salerno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68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Avellino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58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Benevento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43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Forlì-Cesena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139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Ravenna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100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Bologna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87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Rimini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75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Modena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60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Ferrara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56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Reggio nell'Emilia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40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Piacenza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38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Parma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33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Trieste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479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Gorizia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221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Udine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121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Pordenone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93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Rieti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126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Viterbo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85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Frosinone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85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Roma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78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Latina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67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Imperia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83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Genova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51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Savona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47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La Spezia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34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lastRenderedPageBreak/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Lodi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58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Monza e della Brianza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56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Varese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53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Mantova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52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Milano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52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Cremona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46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Sondrio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45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Brescia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45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Pavia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41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Como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38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Lecco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36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Bergamo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26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Fermo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97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Pesaro e Urbino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78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Ascoli Piceno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70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Ancona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61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Macerata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48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Molise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Isernia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29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Molise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Campobasso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17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P.A. Bolzano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Bolzano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260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P.A. Trento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Trento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82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Asti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75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Torino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56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Biella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55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Cuneo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54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Vercelli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51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Verbano-Cusio-Ossola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44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Alessandria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42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Novara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36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Taranto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58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Foggia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48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Brindisi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41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Lecce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32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Bari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32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Barletta-Andria-Trani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14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Sassari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39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Nuoro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38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Oristano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34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Cagliari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11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Sud Sardegna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9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lastRenderedPageBreak/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Messina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123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Catania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94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Siracusa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86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Enna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54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Trapani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54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Caltanissetta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51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Agrigento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37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Palermo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33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Ragusa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18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Siena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95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Grosseto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87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Prato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79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Massa Carrara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70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Pisa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68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Pistoia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67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Lucca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62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Firenze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56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Arezzo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51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Livorno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46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Umbria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Perugia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76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Umbria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Terni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42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Valle d'Aosta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Aosta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40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Padova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119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Belluno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106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Vicenza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102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Treviso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101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Venezia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101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Rovigo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95</w:t>
            </w:r>
          </w:p>
        </w:tc>
      </w:tr>
      <w:tr w:rsidR="004572B2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CA65AE">
              <w:t>Verona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4572B2" w:rsidRPr="005672CD" w:rsidRDefault="004572B2" w:rsidP="004572B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A65AE">
              <w:t>93</w:t>
            </w:r>
          </w:p>
        </w:tc>
      </w:tr>
    </w:tbl>
    <w:p w:rsidR="005E38B7" w:rsidRDefault="005E38B7" w:rsidP="005E38B7">
      <w:pPr>
        <w:widowControl w:val="0"/>
        <w:spacing w:after="80" w:line="240" w:lineRule="auto"/>
        <w:jc w:val="center"/>
      </w:pPr>
    </w:p>
    <w:p w:rsidR="005E38B7" w:rsidRPr="00234B97" w:rsidRDefault="005E38B7"/>
    <w:sectPr w:rsidR="005E38B7" w:rsidRPr="00234B97">
      <w:pgSz w:w="11900" w:h="16840"/>
      <w:pgMar w:top="1134" w:right="1134" w:bottom="1418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6E15" w:rsidRDefault="00DC6E15">
      <w:pPr>
        <w:spacing w:after="0" w:line="240" w:lineRule="auto"/>
      </w:pPr>
      <w:r>
        <w:separator/>
      </w:r>
    </w:p>
  </w:endnote>
  <w:endnote w:type="continuationSeparator" w:id="0">
    <w:p w:rsidR="00DC6E15" w:rsidRDefault="00DC6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6E15" w:rsidRDefault="00DC6E15">
      <w:pPr>
        <w:spacing w:after="0" w:line="240" w:lineRule="auto"/>
      </w:pPr>
      <w:r>
        <w:separator/>
      </w:r>
    </w:p>
  </w:footnote>
  <w:footnote w:type="continuationSeparator" w:id="0">
    <w:p w:rsidR="00DC6E15" w:rsidRDefault="00DC6E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56765"/>
    <w:multiLevelType w:val="hybridMultilevel"/>
    <w:tmpl w:val="BA56089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E31B35"/>
    <w:multiLevelType w:val="hybridMultilevel"/>
    <w:tmpl w:val="104A423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2004E8"/>
    <w:multiLevelType w:val="hybridMultilevel"/>
    <w:tmpl w:val="D040A854"/>
    <w:styleLink w:val="Stileimportato2"/>
    <w:lvl w:ilvl="0" w:tplc="1DBC225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974C630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3AADE7A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B94C8AC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3C812E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A5A4DA0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504A174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3C8E36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4FE0B30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839119D"/>
    <w:multiLevelType w:val="hybridMultilevel"/>
    <w:tmpl w:val="DD3E50C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514920"/>
    <w:multiLevelType w:val="hybridMultilevel"/>
    <w:tmpl w:val="3F8C4CC8"/>
    <w:numStyleLink w:val="Stileimportato1"/>
  </w:abstractNum>
  <w:abstractNum w:abstractNumId="5" w15:restartNumberingAfterBreak="0">
    <w:nsid w:val="0F8A42AC"/>
    <w:multiLevelType w:val="hybridMultilevel"/>
    <w:tmpl w:val="E5D47D4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09C76B5"/>
    <w:multiLevelType w:val="hybridMultilevel"/>
    <w:tmpl w:val="988EFE2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7124B2D"/>
    <w:multiLevelType w:val="hybridMultilevel"/>
    <w:tmpl w:val="D040A854"/>
    <w:numStyleLink w:val="Stileimportato2"/>
  </w:abstractNum>
  <w:abstractNum w:abstractNumId="8" w15:restartNumberingAfterBreak="0">
    <w:nsid w:val="191273B9"/>
    <w:multiLevelType w:val="hybridMultilevel"/>
    <w:tmpl w:val="9384A2D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AA843EA"/>
    <w:multiLevelType w:val="hybridMultilevel"/>
    <w:tmpl w:val="3F8C4CC8"/>
    <w:styleLink w:val="Stileimportato1"/>
    <w:lvl w:ilvl="0" w:tplc="1130B08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55641DE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BA41F62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2165A90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466D59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8B8BE44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9CC8006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B2CEC64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B5C6E1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2D776AB5"/>
    <w:multiLevelType w:val="hybridMultilevel"/>
    <w:tmpl w:val="F2B8299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FE3173C"/>
    <w:multiLevelType w:val="hybridMultilevel"/>
    <w:tmpl w:val="E4E27152"/>
    <w:lvl w:ilvl="0" w:tplc="E9C279F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B734450"/>
    <w:multiLevelType w:val="hybridMultilevel"/>
    <w:tmpl w:val="A300C374"/>
    <w:lvl w:ilvl="0" w:tplc="E77E4E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EBD4C86"/>
    <w:multiLevelType w:val="hybridMultilevel"/>
    <w:tmpl w:val="DB36269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209477B"/>
    <w:multiLevelType w:val="hybridMultilevel"/>
    <w:tmpl w:val="FE187BF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53B2B54"/>
    <w:multiLevelType w:val="hybridMultilevel"/>
    <w:tmpl w:val="2BA026B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7"/>
  </w:num>
  <w:num w:numId="5">
    <w:abstractNumId w:val="8"/>
  </w:num>
  <w:num w:numId="6">
    <w:abstractNumId w:val="15"/>
  </w:num>
  <w:num w:numId="7">
    <w:abstractNumId w:val="10"/>
  </w:num>
  <w:num w:numId="8">
    <w:abstractNumId w:val="1"/>
  </w:num>
  <w:num w:numId="9">
    <w:abstractNumId w:val="13"/>
  </w:num>
  <w:num w:numId="10">
    <w:abstractNumId w:val="3"/>
  </w:num>
  <w:num w:numId="11">
    <w:abstractNumId w:val="14"/>
  </w:num>
  <w:num w:numId="12">
    <w:abstractNumId w:val="0"/>
  </w:num>
  <w:num w:numId="13">
    <w:abstractNumId w:val="5"/>
  </w:num>
  <w:num w:numId="14">
    <w:abstractNumId w:val="11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682B"/>
    <w:rsid w:val="000022A7"/>
    <w:rsid w:val="00002300"/>
    <w:rsid w:val="00004BE3"/>
    <w:rsid w:val="00004BF7"/>
    <w:rsid w:val="00004CA3"/>
    <w:rsid w:val="00005172"/>
    <w:rsid w:val="000056DE"/>
    <w:rsid w:val="00007BF9"/>
    <w:rsid w:val="0001122C"/>
    <w:rsid w:val="00011791"/>
    <w:rsid w:val="00012113"/>
    <w:rsid w:val="0001299A"/>
    <w:rsid w:val="00012B67"/>
    <w:rsid w:val="00014385"/>
    <w:rsid w:val="00015BAE"/>
    <w:rsid w:val="00017890"/>
    <w:rsid w:val="000206F4"/>
    <w:rsid w:val="00021C19"/>
    <w:rsid w:val="000222A5"/>
    <w:rsid w:val="00023784"/>
    <w:rsid w:val="00027033"/>
    <w:rsid w:val="000300C2"/>
    <w:rsid w:val="00033800"/>
    <w:rsid w:val="00033A78"/>
    <w:rsid w:val="0003499E"/>
    <w:rsid w:val="00034A98"/>
    <w:rsid w:val="000352B4"/>
    <w:rsid w:val="000373F1"/>
    <w:rsid w:val="00037451"/>
    <w:rsid w:val="00037A0A"/>
    <w:rsid w:val="00037F01"/>
    <w:rsid w:val="00040D5E"/>
    <w:rsid w:val="000415C2"/>
    <w:rsid w:val="00041D6E"/>
    <w:rsid w:val="000421A9"/>
    <w:rsid w:val="00042E7E"/>
    <w:rsid w:val="00043C39"/>
    <w:rsid w:val="00046B65"/>
    <w:rsid w:val="00051038"/>
    <w:rsid w:val="00052578"/>
    <w:rsid w:val="000552E2"/>
    <w:rsid w:val="00057324"/>
    <w:rsid w:val="0005772C"/>
    <w:rsid w:val="00057C36"/>
    <w:rsid w:val="00057E5F"/>
    <w:rsid w:val="0006040F"/>
    <w:rsid w:val="00061D4E"/>
    <w:rsid w:val="00062223"/>
    <w:rsid w:val="000625F5"/>
    <w:rsid w:val="00063723"/>
    <w:rsid w:val="000653E7"/>
    <w:rsid w:val="00067039"/>
    <w:rsid w:val="000673B6"/>
    <w:rsid w:val="00071A13"/>
    <w:rsid w:val="0007243C"/>
    <w:rsid w:val="00072C04"/>
    <w:rsid w:val="00073A8A"/>
    <w:rsid w:val="00073DFF"/>
    <w:rsid w:val="000743B7"/>
    <w:rsid w:val="000747A9"/>
    <w:rsid w:val="000762C3"/>
    <w:rsid w:val="00077B4C"/>
    <w:rsid w:val="00077B7F"/>
    <w:rsid w:val="000803DA"/>
    <w:rsid w:val="00080F14"/>
    <w:rsid w:val="0008362E"/>
    <w:rsid w:val="0008457A"/>
    <w:rsid w:val="00085386"/>
    <w:rsid w:val="00087236"/>
    <w:rsid w:val="00095DC5"/>
    <w:rsid w:val="00096350"/>
    <w:rsid w:val="000A00BA"/>
    <w:rsid w:val="000A08BA"/>
    <w:rsid w:val="000A0EDA"/>
    <w:rsid w:val="000A6581"/>
    <w:rsid w:val="000A6DB2"/>
    <w:rsid w:val="000A72BA"/>
    <w:rsid w:val="000B0548"/>
    <w:rsid w:val="000B0AC0"/>
    <w:rsid w:val="000B119C"/>
    <w:rsid w:val="000B1B66"/>
    <w:rsid w:val="000B21CF"/>
    <w:rsid w:val="000B2449"/>
    <w:rsid w:val="000B25F9"/>
    <w:rsid w:val="000B3CDF"/>
    <w:rsid w:val="000B5AC9"/>
    <w:rsid w:val="000C6B69"/>
    <w:rsid w:val="000C789B"/>
    <w:rsid w:val="000D0625"/>
    <w:rsid w:val="000D1250"/>
    <w:rsid w:val="000D24D7"/>
    <w:rsid w:val="000D2CAA"/>
    <w:rsid w:val="000D3B36"/>
    <w:rsid w:val="000D40CB"/>
    <w:rsid w:val="000D5B61"/>
    <w:rsid w:val="000D5C61"/>
    <w:rsid w:val="000D75CD"/>
    <w:rsid w:val="000D7E45"/>
    <w:rsid w:val="000E1A5A"/>
    <w:rsid w:val="000E476D"/>
    <w:rsid w:val="000E5ABA"/>
    <w:rsid w:val="000E6F3B"/>
    <w:rsid w:val="000E770E"/>
    <w:rsid w:val="000F0385"/>
    <w:rsid w:val="000F09AA"/>
    <w:rsid w:val="000F1EC4"/>
    <w:rsid w:val="000F2082"/>
    <w:rsid w:val="000F2389"/>
    <w:rsid w:val="000F387B"/>
    <w:rsid w:val="000F3AC7"/>
    <w:rsid w:val="000F4209"/>
    <w:rsid w:val="000F4917"/>
    <w:rsid w:val="000F5019"/>
    <w:rsid w:val="000F50A4"/>
    <w:rsid w:val="000F6EBD"/>
    <w:rsid w:val="00101803"/>
    <w:rsid w:val="001022BC"/>
    <w:rsid w:val="00102EF5"/>
    <w:rsid w:val="00103B2C"/>
    <w:rsid w:val="0010442F"/>
    <w:rsid w:val="00104974"/>
    <w:rsid w:val="0010568D"/>
    <w:rsid w:val="00106801"/>
    <w:rsid w:val="001104E4"/>
    <w:rsid w:val="00112E06"/>
    <w:rsid w:val="001130FB"/>
    <w:rsid w:val="00114088"/>
    <w:rsid w:val="00114459"/>
    <w:rsid w:val="00115B80"/>
    <w:rsid w:val="00116006"/>
    <w:rsid w:val="00116C93"/>
    <w:rsid w:val="00117E10"/>
    <w:rsid w:val="00120DCD"/>
    <w:rsid w:val="00121EB7"/>
    <w:rsid w:val="00122302"/>
    <w:rsid w:val="0012327E"/>
    <w:rsid w:val="00123878"/>
    <w:rsid w:val="00123934"/>
    <w:rsid w:val="0012399B"/>
    <w:rsid w:val="0012540D"/>
    <w:rsid w:val="00126938"/>
    <w:rsid w:val="00127307"/>
    <w:rsid w:val="00127892"/>
    <w:rsid w:val="001304B0"/>
    <w:rsid w:val="0013077F"/>
    <w:rsid w:val="001324D5"/>
    <w:rsid w:val="00135006"/>
    <w:rsid w:val="00135DBC"/>
    <w:rsid w:val="001367B8"/>
    <w:rsid w:val="0014031D"/>
    <w:rsid w:val="001410D3"/>
    <w:rsid w:val="0014184C"/>
    <w:rsid w:val="00141F0A"/>
    <w:rsid w:val="00141F2F"/>
    <w:rsid w:val="00144E5A"/>
    <w:rsid w:val="0014500F"/>
    <w:rsid w:val="00147243"/>
    <w:rsid w:val="001473B8"/>
    <w:rsid w:val="001513A9"/>
    <w:rsid w:val="001518FD"/>
    <w:rsid w:val="001527E3"/>
    <w:rsid w:val="001532BC"/>
    <w:rsid w:val="001533C7"/>
    <w:rsid w:val="001533DC"/>
    <w:rsid w:val="001546C9"/>
    <w:rsid w:val="00157CBE"/>
    <w:rsid w:val="00157F8B"/>
    <w:rsid w:val="00161AEE"/>
    <w:rsid w:val="00162B3C"/>
    <w:rsid w:val="0016301A"/>
    <w:rsid w:val="00163CCF"/>
    <w:rsid w:val="001667ED"/>
    <w:rsid w:val="0016753E"/>
    <w:rsid w:val="00171468"/>
    <w:rsid w:val="0017383E"/>
    <w:rsid w:val="001753F4"/>
    <w:rsid w:val="00175709"/>
    <w:rsid w:val="00176590"/>
    <w:rsid w:val="00176B1E"/>
    <w:rsid w:val="001803BE"/>
    <w:rsid w:val="00181F5C"/>
    <w:rsid w:val="00183B21"/>
    <w:rsid w:val="00184068"/>
    <w:rsid w:val="00184E2C"/>
    <w:rsid w:val="00187EBF"/>
    <w:rsid w:val="00191EB1"/>
    <w:rsid w:val="0019345D"/>
    <w:rsid w:val="00197134"/>
    <w:rsid w:val="00197435"/>
    <w:rsid w:val="001A156C"/>
    <w:rsid w:val="001A1A34"/>
    <w:rsid w:val="001A1D07"/>
    <w:rsid w:val="001A25C7"/>
    <w:rsid w:val="001A2CC0"/>
    <w:rsid w:val="001A2F4F"/>
    <w:rsid w:val="001A3E0F"/>
    <w:rsid w:val="001A3E43"/>
    <w:rsid w:val="001A503E"/>
    <w:rsid w:val="001A50D6"/>
    <w:rsid w:val="001A5713"/>
    <w:rsid w:val="001A633C"/>
    <w:rsid w:val="001A65C5"/>
    <w:rsid w:val="001A7237"/>
    <w:rsid w:val="001A7CDE"/>
    <w:rsid w:val="001B0691"/>
    <w:rsid w:val="001B3047"/>
    <w:rsid w:val="001B3764"/>
    <w:rsid w:val="001B3DE6"/>
    <w:rsid w:val="001B71EA"/>
    <w:rsid w:val="001B723C"/>
    <w:rsid w:val="001C0EBF"/>
    <w:rsid w:val="001C3E66"/>
    <w:rsid w:val="001C7E16"/>
    <w:rsid w:val="001D0234"/>
    <w:rsid w:val="001D0E98"/>
    <w:rsid w:val="001D224C"/>
    <w:rsid w:val="001D48DB"/>
    <w:rsid w:val="001D5B10"/>
    <w:rsid w:val="001D7E62"/>
    <w:rsid w:val="001E1FB2"/>
    <w:rsid w:val="001E481E"/>
    <w:rsid w:val="001E49E6"/>
    <w:rsid w:val="001E5259"/>
    <w:rsid w:val="001E5653"/>
    <w:rsid w:val="001E6262"/>
    <w:rsid w:val="001F1E82"/>
    <w:rsid w:val="001F2BEC"/>
    <w:rsid w:val="001F2C8F"/>
    <w:rsid w:val="001F30E7"/>
    <w:rsid w:val="001F3785"/>
    <w:rsid w:val="001F4334"/>
    <w:rsid w:val="001F48D1"/>
    <w:rsid w:val="001F4A7E"/>
    <w:rsid w:val="001F4AD2"/>
    <w:rsid w:val="001F50EF"/>
    <w:rsid w:val="001F63AA"/>
    <w:rsid w:val="001F668D"/>
    <w:rsid w:val="001F6835"/>
    <w:rsid w:val="001F7135"/>
    <w:rsid w:val="00200400"/>
    <w:rsid w:val="002009F4"/>
    <w:rsid w:val="00201768"/>
    <w:rsid w:val="0020699D"/>
    <w:rsid w:val="00207EFE"/>
    <w:rsid w:val="00210040"/>
    <w:rsid w:val="002122FF"/>
    <w:rsid w:val="002127CE"/>
    <w:rsid w:val="002127D1"/>
    <w:rsid w:val="00212F66"/>
    <w:rsid w:val="00213464"/>
    <w:rsid w:val="00213DE0"/>
    <w:rsid w:val="00216973"/>
    <w:rsid w:val="002171F6"/>
    <w:rsid w:val="002222F6"/>
    <w:rsid w:val="00223DBB"/>
    <w:rsid w:val="00226C11"/>
    <w:rsid w:val="00234B97"/>
    <w:rsid w:val="00234E8A"/>
    <w:rsid w:val="002351A0"/>
    <w:rsid w:val="00236626"/>
    <w:rsid w:val="002369FF"/>
    <w:rsid w:val="00236FB0"/>
    <w:rsid w:val="0024188A"/>
    <w:rsid w:val="002427A3"/>
    <w:rsid w:val="00243949"/>
    <w:rsid w:val="00244983"/>
    <w:rsid w:val="00245030"/>
    <w:rsid w:val="00245DC3"/>
    <w:rsid w:val="0024739E"/>
    <w:rsid w:val="00247670"/>
    <w:rsid w:val="00247BA3"/>
    <w:rsid w:val="00250437"/>
    <w:rsid w:val="002515D1"/>
    <w:rsid w:val="00251A96"/>
    <w:rsid w:val="0025323D"/>
    <w:rsid w:val="00253DD5"/>
    <w:rsid w:val="002540D8"/>
    <w:rsid w:val="00254744"/>
    <w:rsid w:val="002549B0"/>
    <w:rsid w:val="002569A9"/>
    <w:rsid w:val="0026223C"/>
    <w:rsid w:val="00262272"/>
    <w:rsid w:val="002634F1"/>
    <w:rsid w:val="00263A36"/>
    <w:rsid w:val="00263DA4"/>
    <w:rsid w:val="0026464D"/>
    <w:rsid w:val="00265C72"/>
    <w:rsid w:val="00265ECF"/>
    <w:rsid w:val="00266358"/>
    <w:rsid w:val="002667D7"/>
    <w:rsid w:val="002669FF"/>
    <w:rsid w:val="00266BEA"/>
    <w:rsid w:val="00266FB9"/>
    <w:rsid w:val="0026717A"/>
    <w:rsid w:val="002676BD"/>
    <w:rsid w:val="00272094"/>
    <w:rsid w:val="002739E8"/>
    <w:rsid w:val="00273C22"/>
    <w:rsid w:val="00275B6C"/>
    <w:rsid w:val="00275C72"/>
    <w:rsid w:val="00275FFE"/>
    <w:rsid w:val="00276FFD"/>
    <w:rsid w:val="00282D8E"/>
    <w:rsid w:val="0028387B"/>
    <w:rsid w:val="002846B6"/>
    <w:rsid w:val="00286F0E"/>
    <w:rsid w:val="002870DE"/>
    <w:rsid w:val="0029023D"/>
    <w:rsid w:val="00290AD4"/>
    <w:rsid w:val="00290E33"/>
    <w:rsid w:val="00291ECD"/>
    <w:rsid w:val="0029423D"/>
    <w:rsid w:val="00296666"/>
    <w:rsid w:val="002970AF"/>
    <w:rsid w:val="002A0FB9"/>
    <w:rsid w:val="002A225E"/>
    <w:rsid w:val="002A2883"/>
    <w:rsid w:val="002A407A"/>
    <w:rsid w:val="002A4098"/>
    <w:rsid w:val="002A50E7"/>
    <w:rsid w:val="002A53C2"/>
    <w:rsid w:val="002B0423"/>
    <w:rsid w:val="002B20E2"/>
    <w:rsid w:val="002B2371"/>
    <w:rsid w:val="002B3E49"/>
    <w:rsid w:val="002B6B31"/>
    <w:rsid w:val="002B7A43"/>
    <w:rsid w:val="002C0EEE"/>
    <w:rsid w:val="002C16AA"/>
    <w:rsid w:val="002C19C1"/>
    <w:rsid w:val="002C4CF0"/>
    <w:rsid w:val="002C672C"/>
    <w:rsid w:val="002C7BFD"/>
    <w:rsid w:val="002C7D11"/>
    <w:rsid w:val="002D270C"/>
    <w:rsid w:val="002D288E"/>
    <w:rsid w:val="002D30A6"/>
    <w:rsid w:val="002D4F74"/>
    <w:rsid w:val="002D5592"/>
    <w:rsid w:val="002D66EF"/>
    <w:rsid w:val="002E0B40"/>
    <w:rsid w:val="002E0CF7"/>
    <w:rsid w:val="002E1532"/>
    <w:rsid w:val="002E1669"/>
    <w:rsid w:val="002E3070"/>
    <w:rsid w:val="002E30C9"/>
    <w:rsid w:val="002E452A"/>
    <w:rsid w:val="002E63F1"/>
    <w:rsid w:val="002E732B"/>
    <w:rsid w:val="002F4065"/>
    <w:rsid w:val="002F5606"/>
    <w:rsid w:val="002F60B6"/>
    <w:rsid w:val="002F6277"/>
    <w:rsid w:val="002F6D59"/>
    <w:rsid w:val="002F7E69"/>
    <w:rsid w:val="002F7EF9"/>
    <w:rsid w:val="00300770"/>
    <w:rsid w:val="00301555"/>
    <w:rsid w:val="00301F67"/>
    <w:rsid w:val="00302774"/>
    <w:rsid w:val="00304225"/>
    <w:rsid w:val="00305C43"/>
    <w:rsid w:val="00306641"/>
    <w:rsid w:val="003068D2"/>
    <w:rsid w:val="00312170"/>
    <w:rsid w:val="0031239E"/>
    <w:rsid w:val="00312A53"/>
    <w:rsid w:val="00312D49"/>
    <w:rsid w:val="00312EB1"/>
    <w:rsid w:val="00315A37"/>
    <w:rsid w:val="00315CB0"/>
    <w:rsid w:val="00317E3D"/>
    <w:rsid w:val="00320D92"/>
    <w:rsid w:val="00321D29"/>
    <w:rsid w:val="00322631"/>
    <w:rsid w:val="00322C39"/>
    <w:rsid w:val="003245C8"/>
    <w:rsid w:val="00325D76"/>
    <w:rsid w:val="00326426"/>
    <w:rsid w:val="0032674E"/>
    <w:rsid w:val="00330F1C"/>
    <w:rsid w:val="00330F23"/>
    <w:rsid w:val="00331A02"/>
    <w:rsid w:val="00332BC9"/>
    <w:rsid w:val="00332E22"/>
    <w:rsid w:val="00333D4F"/>
    <w:rsid w:val="0033511B"/>
    <w:rsid w:val="00337427"/>
    <w:rsid w:val="003375DC"/>
    <w:rsid w:val="00337B53"/>
    <w:rsid w:val="00340152"/>
    <w:rsid w:val="003408FB"/>
    <w:rsid w:val="0034119B"/>
    <w:rsid w:val="00342065"/>
    <w:rsid w:val="00342A3A"/>
    <w:rsid w:val="0034565E"/>
    <w:rsid w:val="003461BD"/>
    <w:rsid w:val="0035087A"/>
    <w:rsid w:val="00351746"/>
    <w:rsid w:val="00353CBD"/>
    <w:rsid w:val="00354B9D"/>
    <w:rsid w:val="0035543D"/>
    <w:rsid w:val="003612F6"/>
    <w:rsid w:val="003614B8"/>
    <w:rsid w:val="0036518B"/>
    <w:rsid w:val="0036634C"/>
    <w:rsid w:val="0037026E"/>
    <w:rsid w:val="00370F56"/>
    <w:rsid w:val="003726E1"/>
    <w:rsid w:val="0037430E"/>
    <w:rsid w:val="003744DF"/>
    <w:rsid w:val="003747F1"/>
    <w:rsid w:val="0038374F"/>
    <w:rsid w:val="003874BF"/>
    <w:rsid w:val="00390F8F"/>
    <w:rsid w:val="00391BD8"/>
    <w:rsid w:val="00391D3F"/>
    <w:rsid w:val="003920FB"/>
    <w:rsid w:val="003932D6"/>
    <w:rsid w:val="00393652"/>
    <w:rsid w:val="00394992"/>
    <w:rsid w:val="0039505A"/>
    <w:rsid w:val="00396346"/>
    <w:rsid w:val="003A051C"/>
    <w:rsid w:val="003A0661"/>
    <w:rsid w:val="003A27B9"/>
    <w:rsid w:val="003A3BE0"/>
    <w:rsid w:val="003A5301"/>
    <w:rsid w:val="003A5C42"/>
    <w:rsid w:val="003A62BF"/>
    <w:rsid w:val="003B0352"/>
    <w:rsid w:val="003B037E"/>
    <w:rsid w:val="003B0622"/>
    <w:rsid w:val="003B19AE"/>
    <w:rsid w:val="003B3D8B"/>
    <w:rsid w:val="003B5F29"/>
    <w:rsid w:val="003B632B"/>
    <w:rsid w:val="003B6B24"/>
    <w:rsid w:val="003B6F85"/>
    <w:rsid w:val="003B720F"/>
    <w:rsid w:val="003C0C5D"/>
    <w:rsid w:val="003C17AF"/>
    <w:rsid w:val="003C186F"/>
    <w:rsid w:val="003C1BE8"/>
    <w:rsid w:val="003C2801"/>
    <w:rsid w:val="003C4E72"/>
    <w:rsid w:val="003C5AEF"/>
    <w:rsid w:val="003C620D"/>
    <w:rsid w:val="003C6C3F"/>
    <w:rsid w:val="003C724A"/>
    <w:rsid w:val="003D049D"/>
    <w:rsid w:val="003D1170"/>
    <w:rsid w:val="003D2A0B"/>
    <w:rsid w:val="003D353F"/>
    <w:rsid w:val="003D3EE4"/>
    <w:rsid w:val="003D4657"/>
    <w:rsid w:val="003D4BA4"/>
    <w:rsid w:val="003D4BF6"/>
    <w:rsid w:val="003D4D75"/>
    <w:rsid w:val="003D514B"/>
    <w:rsid w:val="003D5397"/>
    <w:rsid w:val="003D5649"/>
    <w:rsid w:val="003D7D3B"/>
    <w:rsid w:val="003E083A"/>
    <w:rsid w:val="003E1DB5"/>
    <w:rsid w:val="003E293F"/>
    <w:rsid w:val="003E33FF"/>
    <w:rsid w:val="003E35A0"/>
    <w:rsid w:val="003E3C44"/>
    <w:rsid w:val="003E3EB4"/>
    <w:rsid w:val="003E3FDD"/>
    <w:rsid w:val="003E49D4"/>
    <w:rsid w:val="003E512B"/>
    <w:rsid w:val="003E5D4D"/>
    <w:rsid w:val="003E5E24"/>
    <w:rsid w:val="003E6288"/>
    <w:rsid w:val="003E6CFB"/>
    <w:rsid w:val="003F07EE"/>
    <w:rsid w:val="003F0B7E"/>
    <w:rsid w:val="003F0EDE"/>
    <w:rsid w:val="003F1259"/>
    <w:rsid w:val="003F2987"/>
    <w:rsid w:val="003F5167"/>
    <w:rsid w:val="003F5612"/>
    <w:rsid w:val="003F6A5F"/>
    <w:rsid w:val="003F6A89"/>
    <w:rsid w:val="00402E63"/>
    <w:rsid w:val="00403D87"/>
    <w:rsid w:val="004041F5"/>
    <w:rsid w:val="00405588"/>
    <w:rsid w:val="004055EE"/>
    <w:rsid w:val="00406554"/>
    <w:rsid w:val="00407F58"/>
    <w:rsid w:val="004127E6"/>
    <w:rsid w:val="004129D3"/>
    <w:rsid w:val="00413881"/>
    <w:rsid w:val="00414839"/>
    <w:rsid w:val="00414912"/>
    <w:rsid w:val="004167BB"/>
    <w:rsid w:val="00417326"/>
    <w:rsid w:val="00417D75"/>
    <w:rsid w:val="00420736"/>
    <w:rsid w:val="00421389"/>
    <w:rsid w:val="0042267C"/>
    <w:rsid w:val="0042340E"/>
    <w:rsid w:val="0043299D"/>
    <w:rsid w:val="00432C1D"/>
    <w:rsid w:val="00434350"/>
    <w:rsid w:val="00435DD8"/>
    <w:rsid w:val="0043788D"/>
    <w:rsid w:val="00440059"/>
    <w:rsid w:val="0044051F"/>
    <w:rsid w:val="004405AB"/>
    <w:rsid w:val="00440DF1"/>
    <w:rsid w:val="004410BB"/>
    <w:rsid w:val="0044264D"/>
    <w:rsid w:val="00442D9F"/>
    <w:rsid w:val="00443AF2"/>
    <w:rsid w:val="00444814"/>
    <w:rsid w:val="00444CD7"/>
    <w:rsid w:val="00445E8D"/>
    <w:rsid w:val="00450520"/>
    <w:rsid w:val="00450606"/>
    <w:rsid w:val="00450FC6"/>
    <w:rsid w:val="0045113F"/>
    <w:rsid w:val="00451EEA"/>
    <w:rsid w:val="004535DC"/>
    <w:rsid w:val="00456315"/>
    <w:rsid w:val="00457225"/>
    <w:rsid w:val="004572B2"/>
    <w:rsid w:val="00457621"/>
    <w:rsid w:val="00457942"/>
    <w:rsid w:val="00460941"/>
    <w:rsid w:val="00460D0D"/>
    <w:rsid w:val="0046121C"/>
    <w:rsid w:val="00461433"/>
    <w:rsid w:val="00463915"/>
    <w:rsid w:val="004642E7"/>
    <w:rsid w:val="00465213"/>
    <w:rsid w:val="00471002"/>
    <w:rsid w:val="0047216B"/>
    <w:rsid w:val="00472289"/>
    <w:rsid w:val="00473630"/>
    <w:rsid w:val="00474D7E"/>
    <w:rsid w:val="004759A5"/>
    <w:rsid w:val="00476376"/>
    <w:rsid w:val="004770F1"/>
    <w:rsid w:val="00477725"/>
    <w:rsid w:val="0047778D"/>
    <w:rsid w:val="00477B91"/>
    <w:rsid w:val="00477F83"/>
    <w:rsid w:val="0048071C"/>
    <w:rsid w:val="00480E53"/>
    <w:rsid w:val="004821B7"/>
    <w:rsid w:val="004824DB"/>
    <w:rsid w:val="00483C7A"/>
    <w:rsid w:val="00484A42"/>
    <w:rsid w:val="00485372"/>
    <w:rsid w:val="00485811"/>
    <w:rsid w:val="004875F7"/>
    <w:rsid w:val="00490739"/>
    <w:rsid w:val="0049135C"/>
    <w:rsid w:val="00491484"/>
    <w:rsid w:val="004919DD"/>
    <w:rsid w:val="004920AE"/>
    <w:rsid w:val="0049213B"/>
    <w:rsid w:val="0049218A"/>
    <w:rsid w:val="004921A6"/>
    <w:rsid w:val="00492A5B"/>
    <w:rsid w:val="0049544D"/>
    <w:rsid w:val="0049549E"/>
    <w:rsid w:val="00495A9F"/>
    <w:rsid w:val="00496B48"/>
    <w:rsid w:val="00497D65"/>
    <w:rsid w:val="00497E19"/>
    <w:rsid w:val="004A0F1A"/>
    <w:rsid w:val="004A19D1"/>
    <w:rsid w:val="004A3027"/>
    <w:rsid w:val="004A309A"/>
    <w:rsid w:val="004A3B4B"/>
    <w:rsid w:val="004A447F"/>
    <w:rsid w:val="004A7B51"/>
    <w:rsid w:val="004B102C"/>
    <w:rsid w:val="004B512D"/>
    <w:rsid w:val="004B5CB6"/>
    <w:rsid w:val="004B6438"/>
    <w:rsid w:val="004C0E6D"/>
    <w:rsid w:val="004C465D"/>
    <w:rsid w:val="004C70BD"/>
    <w:rsid w:val="004C75FC"/>
    <w:rsid w:val="004D0234"/>
    <w:rsid w:val="004D0247"/>
    <w:rsid w:val="004D0801"/>
    <w:rsid w:val="004D0D54"/>
    <w:rsid w:val="004D0E27"/>
    <w:rsid w:val="004D1C78"/>
    <w:rsid w:val="004D2A97"/>
    <w:rsid w:val="004D2E6B"/>
    <w:rsid w:val="004D3C41"/>
    <w:rsid w:val="004D3CD7"/>
    <w:rsid w:val="004D52D6"/>
    <w:rsid w:val="004D5525"/>
    <w:rsid w:val="004D562D"/>
    <w:rsid w:val="004D5CB3"/>
    <w:rsid w:val="004D5CBF"/>
    <w:rsid w:val="004D7ABD"/>
    <w:rsid w:val="004E117D"/>
    <w:rsid w:val="004E18F8"/>
    <w:rsid w:val="004E220C"/>
    <w:rsid w:val="004E289D"/>
    <w:rsid w:val="004E3F56"/>
    <w:rsid w:val="004E3F72"/>
    <w:rsid w:val="004E555F"/>
    <w:rsid w:val="004E6C61"/>
    <w:rsid w:val="004F0669"/>
    <w:rsid w:val="004F07A7"/>
    <w:rsid w:val="004F17AF"/>
    <w:rsid w:val="004F2DDA"/>
    <w:rsid w:val="004F6556"/>
    <w:rsid w:val="004F70C6"/>
    <w:rsid w:val="00500C6B"/>
    <w:rsid w:val="00505750"/>
    <w:rsid w:val="00505C8D"/>
    <w:rsid w:val="00506BF3"/>
    <w:rsid w:val="00507572"/>
    <w:rsid w:val="005110E4"/>
    <w:rsid w:val="00513024"/>
    <w:rsid w:val="00514887"/>
    <w:rsid w:val="00516F1E"/>
    <w:rsid w:val="00517884"/>
    <w:rsid w:val="005200FB"/>
    <w:rsid w:val="005206D7"/>
    <w:rsid w:val="00521427"/>
    <w:rsid w:val="00521485"/>
    <w:rsid w:val="005216C3"/>
    <w:rsid w:val="005239E5"/>
    <w:rsid w:val="005265EC"/>
    <w:rsid w:val="005268E4"/>
    <w:rsid w:val="00526D10"/>
    <w:rsid w:val="00526D94"/>
    <w:rsid w:val="00527260"/>
    <w:rsid w:val="0053071C"/>
    <w:rsid w:val="00530B88"/>
    <w:rsid w:val="00530CC1"/>
    <w:rsid w:val="00533B1C"/>
    <w:rsid w:val="0053578B"/>
    <w:rsid w:val="0053669F"/>
    <w:rsid w:val="00536726"/>
    <w:rsid w:val="005378B1"/>
    <w:rsid w:val="00540EB3"/>
    <w:rsid w:val="00542585"/>
    <w:rsid w:val="0054316E"/>
    <w:rsid w:val="00544321"/>
    <w:rsid w:val="00545404"/>
    <w:rsid w:val="005455CA"/>
    <w:rsid w:val="00547B69"/>
    <w:rsid w:val="00547F28"/>
    <w:rsid w:val="00553823"/>
    <w:rsid w:val="005549FE"/>
    <w:rsid w:val="00554C0B"/>
    <w:rsid w:val="00555BDA"/>
    <w:rsid w:val="005568AB"/>
    <w:rsid w:val="00560DC0"/>
    <w:rsid w:val="0056300B"/>
    <w:rsid w:val="00563184"/>
    <w:rsid w:val="00565708"/>
    <w:rsid w:val="00566BD9"/>
    <w:rsid w:val="005672CD"/>
    <w:rsid w:val="00567F60"/>
    <w:rsid w:val="00571451"/>
    <w:rsid w:val="00572677"/>
    <w:rsid w:val="00573388"/>
    <w:rsid w:val="0057352F"/>
    <w:rsid w:val="00573CC2"/>
    <w:rsid w:val="005776BB"/>
    <w:rsid w:val="00580465"/>
    <w:rsid w:val="00580D28"/>
    <w:rsid w:val="00582285"/>
    <w:rsid w:val="00583951"/>
    <w:rsid w:val="00584564"/>
    <w:rsid w:val="00584F59"/>
    <w:rsid w:val="0058585F"/>
    <w:rsid w:val="00587698"/>
    <w:rsid w:val="0059338C"/>
    <w:rsid w:val="005943D6"/>
    <w:rsid w:val="00594D45"/>
    <w:rsid w:val="0059524A"/>
    <w:rsid w:val="00595E1C"/>
    <w:rsid w:val="00595E53"/>
    <w:rsid w:val="00596736"/>
    <w:rsid w:val="005979B2"/>
    <w:rsid w:val="005A102B"/>
    <w:rsid w:val="005A1383"/>
    <w:rsid w:val="005A138A"/>
    <w:rsid w:val="005A2F3C"/>
    <w:rsid w:val="005A3333"/>
    <w:rsid w:val="005A52DD"/>
    <w:rsid w:val="005A6770"/>
    <w:rsid w:val="005A735E"/>
    <w:rsid w:val="005A755B"/>
    <w:rsid w:val="005A7880"/>
    <w:rsid w:val="005B103D"/>
    <w:rsid w:val="005B129C"/>
    <w:rsid w:val="005B1AF1"/>
    <w:rsid w:val="005B3275"/>
    <w:rsid w:val="005B4786"/>
    <w:rsid w:val="005B48EF"/>
    <w:rsid w:val="005B4F47"/>
    <w:rsid w:val="005B5BD7"/>
    <w:rsid w:val="005B6229"/>
    <w:rsid w:val="005C1BAF"/>
    <w:rsid w:val="005C1E30"/>
    <w:rsid w:val="005C1E56"/>
    <w:rsid w:val="005C2C9D"/>
    <w:rsid w:val="005C335F"/>
    <w:rsid w:val="005C40D9"/>
    <w:rsid w:val="005C4488"/>
    <w:rsid w:val="005C52AD"/>
    <w:rsid w:val="005C61A2"/>
    <w:rsid w:val="005C6FBE"/>
    <w:rsid w:val="005D08F1"/>
    <w:rsid w:val="005D1676"/>
    <w:rsid w:val="005D18C9"/>
    <w:rsid w:val="005D1A29"/>
    <w:rsid w:val="005D1E21"/>
    <w:rsid w:val="005D214D"/>
    <w:rsid w:val="005E19B1"/>
    <w:rsid w:val="005E1B40"/>
    <w:rsid w:val="005E26E5"/>
    <w:rsid w:val="005E375E"/>
    <w:rsid w:val="005E38B7"/>
    <w:rsid w:val="005E3CC5"/>
    <w:rsid w:val="005F14E1"/>
    <w:rsid w:val="005F1BEA"/>
    <w:rsid w:val="005F2C47"/>
    <w:rsid w:val="005F43B2"/>
    <w:rsid w:val="005F47B7"/>
    <w:rsid w:val="005F493D"/>
    <w:rsid w:val="005F4AAD"/>
    <w:rsid w:val="005F5079"/>
    <w:rsid w:val="005F57E7"/>
    <w:rsid w:val="005F69C0"/>
    <w:rsid w:val="006026F8"/>
    <w:rsid w:val="00603956"/>
    <w:rsid w:val="00605F09"/>
    <w:rsid w:val="0060713D"/>
    <w:rsid w:val="00610E6C"/>
    <w:rsid w:val="0061216F"/>
    <w:rsid w:val="006121D4"/>
    <w:rsid w:val="00613848"/>
    <w:rsid w:val="00614210"/>
    <w:rsid w:val="00614835"/>
    <w:rsid w:val="0061581B"/>
    <w:rsid w:val="00615DC1"/>
    <w:rsid w:val="0061675A"/>
    <w:rsid w:val="00617672"/>
    <w:rsid w:val="006176B8"/>
    <w:rsid w:val="00617D14"/>
    <w:rsid w:val="0062012B"/>
    <w:rsid w:val="00622991"/>
    <w:rsid w:val="006236A4"/>
    <w:rsid w:val="00624679"/>
    <w:rsid w:val="00624898"/>
    <w:rsid w:val="00624DFE"/>
    <w:rsid w:val="00626103"/>
    <w:rsid w:val="0062682F"/>
    <w:rsid w:val="00631870"/>
    <w:rsid w:val="00632644"/>
    <w:rsid w:val="00632798"/>
    <w:rsid w:val="00634030"/>
    <w:rsid w:val="00634936"/>
    <w:rsid w:val="006362D6"/>
    <w:rsid w:val="006369E2"/>
    <w:rsid w:val="00636A4A"/>
    <w:rsid w:val="00636D6F"/>
    <w:rsid w:val="006370BE"/>
    <w:rsid w:val="00640F5E"/>
    <w:rsid w:val="00641764"/>
    <w:rsid w:val="00641859"/>
    <w:rsid w:val="00643C9B"/>
    <w:rsid w:val="0064474F"/>
    <w:rsid w:val="006479B3"/>
    <w:rsid w:val="00647D99"/>
    <w:rsid w:val="00647FC0"/>
    <w:rsid w:val="006501A2"/>
    <w:rsid w:val="00650970"/>
    <w:rsid w:val="00651334"/>
    <w:rsid w:val="0065366C"/>
    <w:rsid w:val="00653A32"/>
    <w:rsid w:val="00655803"/>
    <w:rsid w:val="00655A1E"/>
    <w:rsid w:val="006603AC"/>
    <w:rsid w:val="00660954"/>
    <w:rsid w:val="00663407"/>
    <w:rsid w:val="00663DCF"/>
    <w:rsid w:val="006642BB"/>
    <w:rsid w:val="006662C5"/>
    <w:rsid w:val="00666867"/>
    <w:rsid w:val="00666A47"/>
    <w:rsid w:val="00672C34"/>
    <w:rsid w:val="0067368F"/>
    <w:rsid w:val="00673E96"/>
    <w:rsid w:val="00677ADA"/>
    <w:rsid w:val="00677B01"/>
    <w:rsid w:val="0068026F"/>
    <w:rsid w:val="00684004"/>
    <w:rsid w:val="0068405E"/>
    <w:rsid w:val="006850DD"/>
    <w:rsid w:val="00690B90"/>
    <w:rsid w:val="00691E7E"/>
    <w:rsid w:val="006927A5"/>
    <w:rsid w:val="00692A2C"/>
    <w:rsid w:val="00694315"/>
    <w:rsid w:val="00694ABC"/>
    <w:rsid w:val="00694C16"/>
    <w:rsid w:val="00694C54"/>
    <w:rsid w:val="00695005"/>
    <w:rsid w:val="0069612A"/>
    <w:rsid w:val="00696746"/>
    <w:rsid w:val="006A03AB"/>
    <w:rsid w:val="006A22DD"/>
    <w:rsid w:val="006A37A7"/>
    <w:rsid w:val="006A3F3C"/>
    <w:rsid w:val="006A7099"/>
    <w:rsid w:val="006B344A"/>
    <w:rsid w:val="006B365C"/>
    <w:rsid w:val="006B3B7F"/>
    <w:rsid w:val="006B6E29"/>
    <w:rsid w:val="006B75AC"/>
    <w:rsid w:val="006B77FA"/>
    <w:rsid w:val="006C08D3"/>
    <w:rsid w:val="006C142C"/>
    <w:rsid w:val="006C2BF6"/>
    <w:rsid w:val="006C2FDF"/>
    <w:rsid w:val="006C322E"/>
    <w:rsid w:val="006C3678"/>
    <w:rsid w:val="006C7761"/>
    <w:rsid w:val="006D0DB7"/>
    <w:rsid w:val="006D1931"/>
    <w:rsid w:val="006D26E1"/>
    <w:rsid w:val="006D2E9D"/>
    <w:rsid w:val="006D60A3"/>
    <w:rsid w:val="006D67CC"/>
    <w:rsid w:val="006E201D"/>
    <w:rsid w:val="006E2AC2"/>
    <w:rsid w:val="006E2BC3"/>
    <w:rsid w:val="006E2DDC"/>
    <w:rsid w:val="006E4065"/>
    <w:rsid w:val="006E4555"/>
    <w:rsid w:val="006E4E9A"/>
    <w:rsid w:val="006E6EF5"/>
    <w:rsid w:val="006E6F88"/>
    <w:rsid w:val="006E759D"/>
    <w:rsid w:val="006F05AA"/>
    <w:rsid w:val="006F1B45"/>
    <w:rsid w:val="006F2768"/>
    <w:rsid w:val="006F3DD6"/>
    <w:rsid w:val="006F4447"/>
    <w:rsid w:val="006F46F1"/>
    <w:rsid w:val="006F5548"/>
    <w:rsid w:val="006F5A3D"/>
    <w:rsid w:val="006F6446"/>
    <w:rsid w:val="006F6B3E"/>
    <w:rsid w:val="006F7494"/>
    <w:rsid w:val="00701FEB"/>
    <w:rsid w:val="00705A25"/>
    <w:rsid w:val="00705BEA"/>
    <w:rsid w:val="00707895"/>
    <w:rsid w:val="00710899"/>
    <w:rsid w:val="007111CC"/>
    <w:rsid w:val="0071252F"/>
    <w:rsid w:val="007126C0"/>
    <w:rsid w:val="0071337F"/>
    <w:rsid w:val="007135C5"/>
    <w:rsid w:val="007145F8"/>
    <w:rsid w:val="00714C4E"/>
    <w:rsid w:val="00715CA2"/>
    <w:rsid w:val="00716FA6"/>
    <w:rsid w:val="0072059E"/>
    <w:rsid w:val="007237EA"/>
    <w:rsid w:val="00727126"/>
    <w:rsid w:val="007273EF"/>
    <w:rsid w:val="007275D3"/>
    <w:rsid w:val="00731555"/>
    <w:rsid w:val="007328D1"/>
    <w:rsid w:val="00732E1A"/>
    <w:rsid w:val="007334AB"/>
    <w:rsid w:val="00733EDF"/>
    <w:rsid w:val="007355A6"/>
    <w:rsid w:val="00735B0D"/>
    <w:rsid w:val="00736022"/>
    <w:rsid w:val="00736B4B"/>
    <w:rsid w:val="00741703"/>
    <w:rsid w:val="00741B18"/>
    <w:rsid w:val="007433AC"/>
    <w:rsid w:val="00743F51"/>
    <w:rsid w:val="00745607"/>
    <w:rsid w:val="00745D53"/>
    <w:rsid w:val="00746D21"/>
    <w:rsid w:val="00750B6D"/>
    <w:rsid w:val="0075163A"/>
    <w:rsid w:val="00753317"/>
    <w:rsid w:val="00753DEA"/>
    <w:rsid w:val="00753E57"/>
    <w:rsid w:val="007575B8"/>
    <w:rsid w:val="00757965"/>
    <w:rsid w:val="007627B7"/>
    <w:rsid w:val="00763956"/>
    <w:rsid w:val="0076460C"/>
    <w:rsid w:val="00764772"/>
    <w:rsid w:val="007654DA"/>
    <w:rsid w:val="00766C89"/>
    <w:rsid w:val="007672F4"/>
    <w:rsid w:val="00770441"/>
    <w:rsid w:val="00770468"/>
    <w:rsid w:val="00775DC3"/>
    <w:rsid w:val="00776FE3"/>
    <w:rsid w:val="00777916"/>
    <w:rsid w:val="00781526"/>
    <w:rsid w:val="007825E9"/>
    <w:rsid w:val="00782610"/>
    <w:rsid w:val="00782A95"/>
    <w:rsid w:val="007831C1"/>
    <w:rsid w:val="00784E4D"/>
    <w:rsid w:val="007917C5"/>
    <w:rsid w:val="00791E54"/>
    <w:rsid w:val="0079301A"/>
    <w:rsid w:val="007936A8"/>
    <w:rsid w:val="00793A6D"/>
    <w:rsid w:val="00793BD4"/>
    <w:rsid w:val="00793FA3"/>
    <w:rsid w:val="007945DD"/>
    <w:rsid w:val="00796514"/>
    <w:rsid w:val="00796F41"/>
    <w:rsid w:val="00797AB7"/>
    <w:rsid w:val="007A01BF"/>
    <w:rsid w:val="007A2B0B"/>
    <w:rsid w:val="007A5044"/>
    <w:rsid w:val="007A602C"/>
    <w:rsid w:val="007A6242"/>
    <w:rsid w:val="007A69F8"/>
    <w:rsid w:val="007A6E24"/>
    <w:rsid w:val="007B0A1A"/>
    <w:rsid w:val="007B1735"/>
    <w:rsid w:val="007B2AD3"/>
    <w:rsid w:val="007B2B6D"/>
    <w:rsid w:val="007B33B7"/>
    <w:rsid w:val="007B398D"/>
    <w:rsid w:val="007B43CC"/>
    <w:rsid w:val="007B4655"/>
    <w:rsid w:val="007B682B"/>
    <w:rsid w:val="007B6DAF"/>
    <w:rsid w:val="007C11CB"/>
    <w:rsid w:val="007C4ED4"/>
    <w:rsid w:val="007C5961"/>
    <w:rsid w:val="007C6E4D"/>
    <w:rsid w:val="007D101B"/>
    <w:rsid w:val="007D1633"/>
    <w:rsid w:val="007D2352"/>
    <w:rsid w:val="007D2680"/>
    <w:rsid w:val="007D29FD"/>
    <w:rsid w:val="007D3363"/>
    <w:rsid w:val="007D47A3"/>
    <w:rsid w:val="007D5A05"/>
    <w:rsid w:val="007D5F8C"/>
    <w:rsid w:val="007D70D0"/>
    <w:rsid w:val="007E07AE"/>
    <w:rsid w:val="007E0A27"/>
    <w:rsid w:val="007E1912"/>
    <w:rsid w:val="007E1F3B"/>
    <w:rsid w:val="007E2283"/>
    <w:rsid w:val="007E2586"/>
    <w:rsid w:val="007E3D23"/>
    <w:rsid w:val="007E4775"/>
    <w:rsid w:val="007E5D35"/>
    <w:rsid w:val="007E629F"/>
    <w:rsid w:val="007E79D7"/>
    <w:rsid w:val="007F139F"/>
    <w:rsid w:val="007F1BAD"/>
    <w:rsid w:val="007F2079"/>
    <w:rsid w:val="007F4CB5"/>
    <w:rsid w:val="007F4E31"/>
    <w:rsid w:val="007F5B75"/>
    <w:rsid w:val="007F6C2C"/>
    <w:rsid w:val="007F6D39"/>
    <w:rsid w:val="007F79CD"/>
    <w:rsid w:val="007F79F1"/>
    <w:rsid w:val="008002F6"/>
    <w:rsid w:val="00801062"/>
    <w:rsid w:val="00801F3C"/>
    <w:rsid w:val="008020E7"/>
    <w:rsid w:val="00803E96"/>
    <w:rsid w:val="0080443D"/>
    <w:rsid w:val="008061EC"/>
    <w:rsid w:val="00811174"/>
    <w:rsid w:val="00811B49"/>
    <w:rsid w:val="00813F9F"/>
    <w:rsid w:val="00814786"/>
    <w:rsid w:val="00814DCC"/>
    <w:rsid w:val="00815D0F"/>
    <w:rsid w:val="00815E48"/>
    <w:rsid w:val="008160C8"/>
    <w:rsid w:val="00816811"/>
    <w:rsid w:val="00822041"/>
    <w:rsid w:val="00822759"/>
    <w:rsid w:val="00824DF6"/>
    <w:rsid w:val="00825C99"/>
    <w:rsid w:val="00827B8E"/>
    <w:rsid w:val="008327BE"/>
    <w:rsid w:val="00836563"/>
    <w:rsid w:val="00836759"/>
    <w:rsid w:val="00837F1E"/>
    <w:rsid w:val="00840EBB"/>
    <w:rsid w:val="00842C8F"/>
    <w:rsid w:val="008436F7"/>
    <w:rsid w:val="00843C5C"/>
    <w:rsid w:val="008444B0"/>
    <w:rsid w:val="0084571A"/>
    <w:rsid w:val="00846200"/>
    <w:rsid w:val="0085003A"/>
    <w:rsid w:val="00852C4B"/>
    <w:rsid w:val="00854918"/>
    <w:rsid w:val="008551BE"/>
    <w:rsid w:val="008552D6"/>
    <w:rsid w:val="0085655A"/>
    <w:rsid w:val="00857AB0"/>
    <w:rsid w:val="008610FE"/>
    <w:rsid w:val="008617F3"/>
    <w:rsid w:val="00861A3B"/>
    <w:rsid w:val="00863261"/>
    <w:rsid w:val="00864639"/>
    <w:rsid w:val="008663EB"/>
    <w:rsid w:val="00867620"/>
    <w:rsid w:val="008703FF"/>
    <w:rsid w:val="00870881"/>
    <w:rsid w:val="0087125A"/>
    <w:rsid w:val="00872355"/>
    <w:rsid w:val="00872CB5"/>
    <w:rsid w:val="008738A0"/>
    <w:rsid w:val="00875B0E"/>
    <w:rsid w:val="00875ED5"/>
    <w:rsid w:val="008777DB"/>
    <w:rsid w:val="00880B5D"/>
    <w:rsid w:val="00880C14"/>
    <w:rsid w:val="008828FB"/>
    <w:rsid w:val="00883915"/>
    <w:rsid w:val="008864FB"/>
    <w:rsid w:val="008947F5"/>
    <w:rsid w:val="00894C91"/>
    <w:rsid w:val="008A299E"/>
    <w:rsid w:val="008A3887"/>
    <w:rsid w:val="008A3B8C"/>
    <w:rsid w:val="008A44E1"/>
    <w:rsid w:val="008A6C7F"/>
    <w:rsid w:val="008A7B7E"/>
    <w:rsid w:val="008B15D8"/>
    <w:rsid w:val="008B1D8F"/>
    <w:rsid w:val="008B22E8"/>
    <w:rsid w:val="008B2AAF"/>
    <w:rsid w:val="008B33A7"/>
    <w:rsid w:val="008B3B5E"/>
    <w:rsid w:val="008B4CFE"/>
    <w:rsid w:val="008B58F8"/>
    <w:rsid w:val="008B625F"/>
    <w:rsid w:val="008C05C3"/>
    <w:rsid w:val="008C1196"/>
    <w:rsid w:val="008C1F7C"/>
    <w:rsid w:val="008C27CE"/>
    <w:rsid w:val="008C4763"/>
    <w:rsid w:val="008C5E4E"/>
    <w:rsid w:val="008C626F"/>
    <w:rsid w:val="008C677D"/>
    <w:rsid w:val="008C6E0A"/>
    <w:rsid w:val="008D00D2"/>
    <w:rsid w:val="008D21DE"/>
    <w:rsid w:val="008D3512"/>
    <w:rsid w:val="008D351A"/>
    <w:rsid w:val="008D3CA5"/>
    <w:rsid w:val="008D5FB8"/>
    <w:rsid w:val="008D7A28"/>
    <w:rsid w:val="008E0517"/>
    <w:rsid w:val="008E1A1B"/>
    <w:rsid w:val="008E2689"/>
    <w:rsid w:val="008E33A1"/>
    <w:rsid w:val="008E4092"/>
    <w:rsid w:val="008F0A73"/>
    <w:rsid w:val="008F11C8"/>
    <w:rsid w:val="008F284F"/>
    <w:rsid w:val="008F29A1"/>
    <w:rsid w:val="008F2AB2"/>
    <w:rsid w:val="008F3DF3"/>
    <w:rsid w:val="008F66E7"/>
    <w:rsid w:val="0090300F"/>
    <w:rsid w:val="00903DE5"/>
    <w:rsid w:val="00905FCC"/>
    <w:rsid w:val="009061FE"/>
    <w:rsid w:val="00906BDB"/>
    <w:rsid w:val="00910EAA"/>
    <w:rsid w:val="009129F1"/>
    <w:rsid w:val="00913ACC"/>
    <w:rsid w:val="00913BEB"/>
    <w:rsid w:val="00913E30"/>
    <w:rsid w:val="00920965"/>
    <w:rsid w:val="009216B6"/>
    <w:rsid w:val="009231D3"/>
    <w:rsid w:val="00924945"/>
    <w:rsid w:val="00924D28"/>
    <w:rsid w:val="00924D62"/>
    <w:rsid w:val="0092593F"/>
    <w:rsid w:val="00930098"/>
    <w:rsid w:val="009332D3"/>
    <w:rsid w:val="009346D0"/>
    <w:rsid w:val="00935328"/>
    <w:rsid w:val="00935401"/>
    <w:rsid w:val="00936B4D"/>
    <w:rsid w:val="00936D85"/>
    <w:rsid w:val="009403CB"/>
    <w:rsid w:val="00940E5B"/>
    <w:rsid w:val="00941445"/>
    <w:rsid w:val="00942F02"/>
    <w:rsid w:val="00944092"/>
    <w:rsid w:val="00946299"/>
    <w:rsid w:val="0094638F"/>
    <w:rsid w:val="009466A4"/>
    <w:rsid w:val="00946F37"/>
    <w:rsid w:val="00947330"/>
    <w:rsid w:val="00947865"/>
    <w:rsid w:val="00953D24"/>
    <w:rsid w:val="00955021"/>
    <w:rsid w:val="00955B70"/>
    <w:rsid w:val="0095662D"/>
    <w:rsid w:val="00957769"/>
    <w:rsid w:val="00957E32"/>
    <w:rsid w:val="009615E6"/>
    <w:rsid w:val="00961D34"/>
    <w:rsid w:val="009630F6"/>
    <w:rsid w:val="009643C6"/>
    <w:rsid w:val="00971726"/>
    <w:rsid w:val="00971D6F"/>
    <w:rsid w:val="00972DD8"/>
    <w:rsid w:val="00973EE1"/>
    <w:rsid w:val="0097494A"/>
    <w:rsid w:val="00975A2D"/>
    <w:rsid w:val="00975FC3"/>
    <w:rsid w:val="009762C3"/>
    <w:rsid w:val="0097785F"/>
    <w:rsid w:val="009809FC"/>
    <w:rsid w:val="0098299E"/>
    <w:rsid w:val="00982AA4"/>
    <w:rsid w:val="00982E58"/>
    <w:rsid w:val="00982FBA"/>
    <w:rsid w:val="0098487C"/>
    <w:rsid w:val="00984C2B"/>
    <w:rsid w:val="00984FFB"/>
    <w:rsid w:val="00985E6B"/>
    <w:rsid w:val="00986267"/>
    <w:rsid w:val="00986C25"/>
    <w:rsid w:val="009905F1"/>
    <w:rsid w:val="00991024"/>
    <w:rsid w:val="00993472"/>
    <w:rsid w:val="00993DFA"/>
    <w:rsid w:val="00993E22"/>
    <w:rsid w:val="00997E70"/>
    <w:rsid w:val="009A1C72"/>
    <w:rsid w:val="009A1DFB"/>
    <w:rsid w:val="009A3154"/>
    <w:rsid w:val="009A341F"/>
    <w:rsid w:val="009A34E5"/>
    <w:rsid w:val="009A389D"/>
    <w:rsid w:val="009A3BFF"/>
    <w:rsid w:val="009A4229"/>
    <w:rsid w:val="009A4F94"/>
    <w:rsid w:val="009A647E"/>
    <w:rsid w:val="009A6621"/>
    <w:rsid w:val="009B067C"/>
    <w:rsid w:val="009B13A0"/>
    <w:rsid w:val="009B2C8D"/>
    <w:rsid w:val="009B2F08"/>
    <w:rsid w:val="009B371B"/>
    <w:rsid w:val="009B4B46"/>
    <w:rsid w:val="009B6252"/>
    <w:rsid w:val="009B71E8"/>
    <w:rsid w:val="009B7CBC"/>
    <w:rsid w:val="009C0F77"/>
    <w:rsid w:val="009C36F3"/>
    <w:rsid w:val="009C41D8"/>
    <w:rsid w:val="009C44C5"/>
    <w:rsid w:val="009C48C9"/>
    <w:rsid w:val="009D4A03"/>
    <w:rsid w:val="009D710A"/>
    <w:rsid w:val="009D74BC"/>
    <w:rsid w:val="009E0CAE"/>
    <w:rsid w:val="009E269C"/>
    <w:rsid w:val="009E2750"/>
    <w:rsid w:val="009E27B4"/>
    <w:rsid w:val="009E41F3"/>
    <w:rsid w:val="009E42F7"/>
    <w:rsid w:val="009E4CC9"/>
    <w:rsid w:val="009E53C6"/>
    <w:rsid w:val="009E6B01"/>
    <w:rsid w:val="009F33ED"/>
    <w:rsid w:val="009F5E5D"/>
    <w:rsid w:val="009F73FD"/>
    <w:rsid w:val="009F77A2"/>
    <w:rsid w:val="00A00F54"/>
    <w:rsid w:val="00A01528"/>
    <w:rsid w:val="00A047C6"/>
    <w:rsid w:val="00A058D9"/>
    <w:rsid w:val="00A06C04"/>
    <w:rsid w:val="00A06D49"/>
    <w:rsid w:val="00A07987"/>
    <w:rsid w:val="00A108BA"/>
    <w:rsid w:val="00A110EF"/>
    <w:rsid w:val="00A1291F"/>
    <w:rsid w:val="00A12C1B"/>
    <w:rsid w:val="00A13133"/>
    <w:rsid w:val="00A13153"/>
    <w:rsid w:val="00A1387C"/>
    <w:rsid w:val="00A13AE3"/>
    <w:rsid w:val="00A13EAB"/>
    <w:rsid w:val="00A14CE0"/>
    <w:rsid w:val="00A15244"/>
    <w:rsid w:val="00A153C5"/>
    <w:rsid w:val="00A16EF0"/>
    <w:rsid w:val="00A22D49"/>
    <w:rsid w:val="00A25891"/>
    <w:rsid w:val="00A263C6"/>
    <w:rsid w:val="00A303CB"/>
    <w:rsid w:val="00A314DD"/>
    <w:rsid w:val="00A321C6"/>
    <w:rsid w:val="00A32AD4"/>
    <w:rsid w:val="00A33529"/>
    <w:rsid w:val="00A33BE7"/>
    <w:rsid w:val="00A33F59"/>
    <w:rsid w:val="00A346DD"/>
    <w:rsid w:val="00A36909"/>
    <w:rsid w:val="00A37905"/>
    <w:rsid w:val="00A37F61"/>
    <w:rsid w:val="00A40F01"/>
    <w:rsid w:val="00A42754"/>
    <w:rsid w:val="00A438B3"/>
    <w:rsid w:val="00A46150"/>
    <w:rsid w:val="00A46946"/>
    <w:rsid w:val="00A46E1B"/>
    <w:rsid w:val="00A46F1D"/>
    <w:rsid w:val="00A474BF"/>
    <w:rsid w:val="00A47542"/>
    <w:rsid w:val="00A525F7"/>
    <w:rsid w:val="00A53C37"/>
    <w:rsid w:val="00A553F8"/>
    <w:rsid w:val="00A5586E"/>
    <w:rsid w:val="00A564F2"/>
    <w:rsid w:val="00A56ABF"/>
    <w:rsid w:val="00A5775A"/>
    <w:rsid w:val="00A60B78"/>
    <w:rsid w:val="00A60D85"/>
    <w:rsid w:val="00A64725"/>
    <w:rsid w:val="00A65462"/>
    <w:rsid w:val="00A700EF"/>
    <w:rsid w:val="00A703E5"/>
    <w:rsid w:val="00A7130A"/>
    <w:rsid w:val="00A72492"/>
    <w:rsid w:val="00A74C39"/>
    <w:rsid w:val="00A75868"/>
    <w:rsid w:val="00A76391"/>
    <w:rsid w:val="00A76E11"/>
    <w:rsid w:val="00A7772E"/>
    <w:rsid w:val="00A77BBF"/>
    <w:rsid w:val="00A80B27"/>
    <w:rsid w:val="00A81E2A"/>
    <w:rsid w:val="00A8444F"/>
    <w:rsid w:val="00A85051"/>
    <w:rsid w:val="00A86B88"/>
    <w:rsid w:val="00A86CE3"/>
    <w:rsid w:val="00A914AC"/>
    <w:rsid w:val="00A94175"/>
    <w:rsid w:val="00AA014E"/>
    <w:rsid w:val="00AA149F"/>
    <w:rsid w:val="00AA1561"/>
    <w:rsid w:val="00AA1E07"/>
    <w:rsid w:val="00AA33DA"/>
    <w:rsid w:val="00AA3B0A"/>
    <w:rsid w:val="00AA3F44"/>
    <w:rsid w:val="00AA4374"/>
    <w:rsid w:val="00AA58B0"/>
    <w:rsid w:val="00AA6389"/>
    <w:rsid w:val="00AA64E5"/>
    <w:rsid w:val="00AA6C06"/>
    <w:rsid w:val="00AA7725"/>
    <w:rsid w:val="00AB1454"/>
    <w:rsid w:val="00AB1727"/>
    <w:rsid w:val="00AB3133"/>
    <w:rsid w:val="00AB4E9F"/>
    <w:rsid w:val="00AB62F8"/>
    <w:rsid w:val="00AC22AB"/>
    <w:rsid w:val="00AC2B7E"/>
    <w:rsid w:val="00AC2F43"/>
    <w:rsid w:val="00AC451C"/>
    <w:rsid w:val="00AC62A8"/>
    <w:rsid w:val="00AD1E10"/>
    <w:rsid w:val="00AD2EF1"/>
    <w:rsid w:val="00AD4BCC"/>
    <w:rsid w:val="00AD5A55"/>
    <w:rsid w:val="00AD5A92"/>
    <w:rsid w:val="00AE02A2"/>
    <w:rsid w:val="00AE0B11"/>
    <w:rsid w:val="00AE1BD7"/>
    <w:rsid w:val="00AE2767"/>
    <w:rsid w:val="00AE340B"/>
    <w:rsid w:val="00AE3EC3"/>
    <w:rsid w:val="00AE41A0"/>
    <w:rsid w:val="00AE4F91"/>
    <w:rsid w:val="00AE5586"/>
    <w:rsid w:val="00AE5B4A"/>
    <w:rsid w:val="00AE6A72"/>
    <w:rsid w:val="00AE7D92"/>
    <w:rsid w:val="00AF08E9"/>
    <w:rsid w:val="00AF0F8E"/>
    <w:rsid w:val="00AF12C3"/>
    <w:rsid w:val="00AF16A2"/>
    <w:rsid w:val="00AF3E34"/>
    <w:rsid w:val="00B00C4C"/>
    <w:rsid w:val="00B03E87"/>
    <w:rsid w:val="00B0473F"/>
    <w:rsid w:val="00B063E2"/>
    <w:rsid w:val="00B07EF4"/>
    <w:rsid w:val="00B11517"/>
    <w:rsid w:val="00B12B0E"/>
    <w:rsid w:val="00B132E7"/>
    <w:rsid w:val="00B17F0A"/>
    <w:rsid w:val="00B254AD"/>
    <w:rsid w:val="00B305F0"/>
    <w:rsid w:val="00B30901"/>
    <w:rsid w:val="00B30C5E"/>
    <w:rsid w:val="00B32455"/>
    <w:rsid w:val="00B324DC"/>
    <w:rsid w:val="00B339C4"/>
    <w:rsid w:val="00B33EDF"/>
    <w:rsid w:val="00B33F8A"/>
    <w:rsid w:val="00B34C35"/>
    <w:rsid w:val="00B34E04"/>
    <w:rsid w:val="00B36516"/>
    <w:rsid w:val="00B40E79"/>
    <w:rsid w:val="00B41F6B"/>
    <w:rsid w:val="00B4215E"/>
    <w:rsid w:val="00B4242D"/>
    <w:rsid w:val="00B42E1B"/>
    <w:rsid w:val="00B46108"/>
    <w:rsid w:val="00B4610A"/>
    <w:rsid w:val="00B46C56"/>
    <w:rsid w:val="00B46E4C"/>
    <w:rsid w:val="00B50183"/>
    <w:rsid w:val="00B51419"/>
    <w:rsid w:val="00B51B74"/>
    <w:rsid w:val="00B52247"/>
    <w:rsid w:val="00B52AF9"/>
    <w:rsid w:val="00B54301"/>
    <w:rsid w:val="00B54FC9"/>
    <w:rsid w:val="00B561D7"/>
    <w:rsid w:val="00B56876"/>
    <w:rsid w:val="00B61E79"/>
    <w:rsid w:val="00B6203D"/>
    <w:rsid w:val="00B635A4"/>
    <w:rsid w:val="00B649F9"/>
    <w:rsid w:val="00B66203"/>
    <w:rsid w:val="00B672EA"/>
    <w:rsid w:val="00B67538"/>
    <w:rsid w:val="00B70699"/>
    <w:rsid w:val="00B7201F"/>
    <w:rsid w:val="00B740D8"/>
    <w:rsid w:val="00B74FCA"/>
    <w:rsid w:val="00B77E16"/>
    <w:rsid w:val="00B80C2A"/>
    <w:rsid w:val="00B81071"/>
    <w:rsid w:val="00B8174F"/>
    <w:rsid w:val="00B81B08"/>
    <w:rsid w:val="00B842A4"/>
    <w:rsid w:val="00B85EBA"/>
    <w:rsid w:val="00B86D74"/>
    <w:rsid w:val="00B86D95"/>
    <w:rsid w:val="00B86DE1"/>
    <w:rsid w:val="00B90481"/>
    <w:rsid w:val="00B90D08"/>
    <w:rsid w:val="00B91F2F"/>
    <w:rsid w:val="00B91F34"/>
    <w:rsid w:val="00B922F0"/>
    <w:rsid w:val="00B935C1"/>
    <w:rsid w:val="00B94292"/>
    <w:rsid w:val="00B9495B"/>
    <w:rsid w:val="00B950D8"/>
    <w:rsid w:val="00B951CE"/>
    <w:rsid w:val="00B951EB"/>
    <w:rsid w:val="00BA0BFE"/>
    <w:rsid w:val="00BA0E9E"/>
    <w:rsid w:val="00BA43D6"/>
    <w:rsid w:val="00BA66B2"/>
    <w:rsid w:val="00BB04A6"/>
    <w:rsid w:val="00BB07D7"/>
    <w:rsid w:val="00BB0B64"/>
    <w:rsid w:val="00BB16C6"/>
    <w:rsid w:val="00BB1851"/>
    <w:rsid w:val="00BB383A"/>
    <w:rsid w:val="00BB5F01"/>
    <w:rsid w:val="00BB60A5"/>
    <w:rsid w:val="00BC0336"/>
    <w:rsid w:val="00BC0433"/>
    <w:rsid w:val="00BC1FCA"/>
    <w:rsid w:val="00BC432F"/>
    <w:rsid w:val="00BC4CC8"/>
    <w:rsid w:val="00BC4D3E"/>
    <w:rsid w:val="00BC660B"/>
    <w:rsid w:val="00BC73B6"/>
    <w:rsid w:val="00BC759D"/>
    <w:rsid w:val="00BC7745"/>
    <w:rsid w:val="00BC7AB6"/>
    <w:rsid w:val="00BC7EC5"/>
    <w:rsid w:val="00BD0977"/>
    <w:rsid w:val="00BD0D3E"/>
    <w:rsid w:val="00BD1202"/>
    <w:rsid w:val="00BD2319"/>
    <w:rsid w:val="00BD27F8"/>
    <w:rsid w:val="00BD3F2E"/>
    <w:rsid w:val="00BD4719"/>
    <w:rsid w:val="00BD4CEC"/>
    <w:rsid w:val="00BD5050"/>
    <w:rsid w:val="00BD67DE"/>
    <w:rsid w:val="00BD684B"/>
    <w:rsid w:val="00BD6AC0"/>
    <w:rsid w:val="00BD7112"/>
    <w:rsid w:val="00BD7ADC"/>
    <w:rsid w:val="00BD7DAB"/>
    <w:rsid w:val="00BE1761"/>
    <w:rsid w:val="00BE32A5"/>
    <w:rsid w:val="00BE3414"/>
    <w:rsid w:val="00BE3893"/>
    <w:rsid w:val="00BE3F28"/>
    <w:rsid w:val="00BE3F2B"/>
    <w:rsid w:val="00BE5310"/>
    <w:rsid w:val="00BF05A8"/>
    <w:rsid w:val="00BF12A8"/>
    <w:rsid w:val="00BF1551"/>
    <w:rsid w:val="00BF36B3"/>
    <w:rsid w:val="00BF469C"/>
    <w:rsid w:val="00BF55B6"/>
    <w:rsid w:val="00BF7794"/>
    <w:rsid w:val="00C00CFE"/>
    <w:rsid w:val="00C02CEF"/>
    <w:rsid w:val="00C03625"/>
    <w:rsid w:val="00C049FB"/>
    <w:rsid w:val="00C07B82"/>
    <w:rsid w:val="00C10469"/>
    <w:rsid w:val="00C1172E"/>
    <w:rsid w:val="00C12AB9"/>
    <w:rsid w:val="00C15A30"/>
    <w:rsid w:val="00C15EAF"/>
    <w:rsid w:val="00C174AA"/>
    <w:rsid w:val="00C21A63"/>
    <w:rsid w:val="00C22774"/>
    <w:rsid w:val="00C23477"/>
    <w:rsid w:val="00C235D7"/>
    <w:rsid w:val="00C24A58"/>
    <w:rsid w:val="00C24DC9"/>
    <w:rsid w:val="00C2588C"/>
    <w:rsid w:val="00C25CCC"/>
    <w:rsid w:val="00C2652A"/>
    <w:rsid w:val="00C265DE"/>
    <w:rsid w:val="00C269F1"/>
    <w:rsid w:val="00C26E1B"/>
    <w:rsid w:val="00C30159"/>
    <w:rsid w:val="00C30D3B"/>
    <w:rsid w:val="00C31A5D"/>
    <w:rsid w:val="00C320D6"/>
    <w:rsid w:val="00C33661"/>
    <w:rsid w:val="00C3740F"/>
    <w:rsid w:val="00C40581"/>
    <w:rsid w:val="00C41B42"/>
    <w:rsid w:val="00C4313A"/>
    <w:rsid w:val="00C43985"/>
    <w:rsid w:val="00C44288"/>
    <w:rsid w:val="00C4440A"/>
    <w:rsid w:val="00C45B48"/>
    <w:rsid w:val="00C464DA"/>
    <w:rsid w:val="00C50B1C"/>
    <w:rsid w:val="00C50BD9"/>
    <w:rsid w:val="00C510AB"/>
    <w:rsid w:val="00C5216E"/>
    <w:rsid w:val="00C526A6"/>
    <w:rsid w:val="00C5279E"/>
    <w:rsid w:val="00C534E1"/>
    <w:rsid w:val="00C53812"/>
    <w:rsid w:val="00C54017"/>
    <w:rsid w:val="00C550FD"/>
    <w:rsid w:val="00C5672F"/>
    <w:rsid w:val="00C569D7"/>
    <w:rsid w:val="00C57BD2"/>
    <w:rsid w:val="00C60722"/>
    <w:rsid w:val="00C6367C"/>
    <w:rsid w:val="00C65468"/>
    <w:rsid w:val="00C6598C"/>
    <w:rsid w:val="00C66BFE"/>
    <w:rsid w:val="00C66C47"/>
    <w:rsid w:val="00C70295"/>
    <w:rsid w:val="00C71231"/>
    <w:rsid w:val="00C718CD"/>
    <w:rsid w:val="00C73150"/>
    <w:rsid w:val="00C744C9"/>
    <w:rsid w:val="00C75102"/>
    <w:rsid w:val="00C760F3"/>
    <w:rsid w:val="00C817D6"/>
    <w:rsid w:val="00C82D0C"/>
    <w:rsid w:val="00C83D13"/>
    <w:rsid w:val="00C85275"/>
    <w:rsid w:val="00C85A8F"/>
    <w:rsid w:val="00C90441"/>
    <w:rsid w:val="00C90B7F"/>
    <w:rsid w:val="00C90F39"/>
    <w:rsid w:val="00C91DE7"/>
    <w:rsid w:val="00C92095"/>
    <w:rsid w:val="00C92515"/>
    <w:rsid w:val="00C94E2D"/>
    <w:rsid w:val="00C95AC9"/>
    <w:rsid w:val="00C95BCB"/>
    <w:rsid w:val="00C95BFF"/>
    <w:rsid w:val="00C9732C"/>
    <w:rsid w:val="00C974D4"/>
    <w:rsid w:val="00CA73D7"/>
    <w:rsid w:val="00CB0E1E"/>
    <w:rsid w:val="00CB20B0"/>
    <w:rsid w:val="00CB2555"/>
    <w:rsid w:val="00CB5C32"/>
    <w:rsid w:val="00CB5CD3"/>
    <w:rsid w:val="00CB5E57"/>
    <w:rsid w:val="00CB7A6F"/>
    <w:rsid w:val="00CC2FB5"/>
    <w:rsid w:val="00CC5999"/>
    <w:rsid w:val="00CC620E"/>
    <w:rsid w:val="00CC723C"/>
    <w:rsid w:val="00CC75F9"/>
    <w:rsid w:val="00CC7750"/>
    <w:rsid w:val="00CD09A4"/>
    <w:rsid w:val="00CD0E65"/>
    <w:rsid w:val="00CD10F7"/>
    <w:rsid w:val="00CD2020"/>
    <w:rsid w:val="00CD409D"/>
    <w:rsid w:val="00CD4B38"/>
    <w:rsid w:val="00CD53ED"/>
    <w:rsid w:val="00CD582C"/>
    <w:rsid w:val="00CD5A84"/>
    <w:rsid w:val="00CD74C7"/>
    <w:rsid w:val="00CD7610"/>
    <w:rsid w:val="00CE0F85"/>
    <w:rsid w:val="00CE119C"/>
    <w:rsid w:val="00CE3EAA"/>
    <w:rsid w:val="00CE577D"/>
    <w:rsid w:val="00CE58E8"/>
    <w:rsid w:val="00CE670D"/>
    <w:rsid w:val="00CF062A"/>
    <w:rsid w:val="00CF11B3"/>
    <w:rsid w:val="00CF2295"/>
    <w:rsid w:val="00CF2721"/>
    <w:rsid w:val="00CF456C"/>
    <w:rsid w:val="00CF5DEB"/>
    <w:rsid w:val="00CF68DE"/>
    <w:rsid w:val="00CF72E9"/>
    <w:rsid w:val="00CF74E2"/>
    <w:rsid w:val="00D00D7E"/>
    <w:rsid w:val="00D00E9B"/>
    <w:rsid w:val="00D01B87"/>
    <w:rsid w:val="00D0282D"/>
    <w:rsid w:val="00D02D5E"/>
    <w:rsid w:val="00D0315E"/>
    <w:rsid w:val="00D0330D"/>
    <w:rsid w:val="00D03C0F"/>
    <w:rsid w:val="00D04E11"/>
    <w:rsid w:val="00D1010A"/>
    <w:rsid w:val="00D12939"/>
    <w:rsid w:val="00D1391B"/>
    <w:rsid w:val="00D1624F"/>
    <w:rsid w:val="00D17415"/>
    <w:rsid w:val="00D20A66"/>
    <w:rsid w:val="00D21777"/>
    <w:rsid w:val="00D225B0"/>
    <w:rsid w:val="00D22854"/>
    <w:rsid w:val="00D23836"/>
    <w:rsid w:val="00D241E2"/>
    <w:rsid w:val="00D257A4"/>
    <w:rsid w:val="00D26A8F"/>
    <w:rsid w:val="00D30930"/>
    <w:rsid w:val="00D325D0"/>
    <w:rsid w:val="00D33951"/>
    <w:rsid w:val="00D34004"/>
    <w:rsid w:val="00D34302"/>
    <w:rsid w:val="00D36B44"/>
    <w:rsid w:val="00D37DB1"/>
    <w:rsid w:val="00D405FC"/>
    <w:rsid w:val="00D41BA2"/>
    <w:rsid w:val="00D42384"/>
    <w:rsid w:val="00D42875"/>
    <w:rsid w:val="00D43896"/>
    <w:rsid w:val="00D45C5F"/>
    <w:rsid w:val="00D50EF0"/>
    <w:rsid w:val="00D50EF2"/>
    <w:rsid w:val="00D538B5"/>
    <w:rsid w:val="00D5452F"/>
    <w:rsid w:val="00D54B4A"/>
    <w:rsid w:val="00D55C02"/>
    <w:rsid w:val="00D563B4"/>
    <w:rsid w:val="00D56BB9"/>
    <w:rsid w:val="00D5785E"/>
    <w:rsid w:val="00D61C25"/>
    <w:rsid w:val="00D62CC9"/>
    <w:rsid w:val="00D64DEC"/>
    <w:rsid w:val="00D65B96"/>
    <w:rsid w:val="00D6645A"/>
    <w:rsid w:val="00D707B3"/>
    <w:rsid w:val="00D71F7F"/>
    <w:rsid w:val="00D729A6"/>
    <w:rsid w:val="00D744AC"/>
    <w:rsid w:val="00D75179"/>
    <w:rsid w:val="00D76765"/>
    <w:rsid w:val="00D7724D"/>
    <w:rsid w:val="00D7796E"/>
    <w:rsid w:val="00D77EAE"/>
    <w:rsid w:val="00D80DD9"/>
    <w:rsid w:val="00D828A0"/>
    <w:rsid w:val="00D82FAF"/>
    <w:rsid w:val="00D83353"/>
    <w:rsid w:val="00D84781"/>
    <w:rsid w:val="00D84790"/>
    <w:rsid w:val="00D936AC"/>
    <w:rsid w:val="00D93F71"/>
    <w:rsid w:val="00D943DC"/>
    <w:rsid w:val="00D94910"/>
    <w:rsid w:val="00D94FF1"/>
    <w:rsid w:val="00D9517B"/>
    <w:rsid w:val="00D952E7"/>
    <w:rsid w:val="00D95AF5"/>
    <w:rsid w:val="00DA02A0"/>
    <w:rsid w:val="00DA0EE7"/>
    <w:rsid w:val="00DA1178"/>
    <w:rsid w:val="00DA133A"/>
    <w:rsid w:val="00DA1853"/>
    <w:rsid w:val="00DA2B4C"/>
    <w:rsid w:val="00DA33DB"/>
    <w:rsid w:val="00DA3756"/>
    <w:rsid w:val="00DA39C5"/>
    <w:rsid w:val="00DA672A"/>
    <w:rsid w:val="00DA708A"/>
    <w:rsid w:val="00DA7117"/>
    <w:rsid w:val="00DB1167"/>
    <w:rsid w:val="00DB26FB"/>
    <w:rsid w:val="00DB2CEA"/>
    <w:rsid w:val="00DB51B3"/>
    <w:rsid w:val="00DB5E0F"/>
    <w:rsid w:val="00DB6A15"/>
    <w:rsid w:val="00DC0FBB"/>
    <w:rsid w:val="00DC12BC"/>
    <w:rsid w:val="00DC15CF"/>
    <w:rsid w:val="00DC15ED"/>
    <w:rsid w:val="00DC2299"/>
    <w:rsid w:val="00DC23FC"/>
    <w:rsid w:val="00DC27B0"/>
    <w:rsid w:val="00DC2E6E"/>
    <w:rsid w:val="00DC3704"/>
    <w:rsid w:val="00DC4350"/>
    <w:rsid w:val="00DC4862"/>
    <w:rsid w:val="00DC513A"/>
    <w:rsid w:val="00DC6175"/>
    <w:rsid w:val="00DC637B"/>
    <w:rsid w:val="00DC6E15"/>
    <w:rsid w:val="00DC6EA0"/>
    <w:rsid w:val="00DC770C"/>
    <w:rsid w:val="00DD0F99"/>
    <w:rsid w:val="00DD1090"/>
    <w:rsid w:val="00DD2ADA"/>
    <w:rsid w:val="00DD30B2"/>
    <w:rsid w:val="00DD3438"/>
    <w:rsid w:val="00DD5C2C"/>
    <w:rsid w:val="00DD6DE7"/>
    <w:rsid w:val="00DD73D5"/>
    <w:rsid w:val="00DD78C8"/>
    <w:rsid w:val="00DE0043"/>
    <w:rsid w:val="00DE0A4B"/>
    <w:rsid w:val="00DE3995"/>
    <w:rsid w:val="00DE6192"/>
    <w:rsid w:val="00DE7474"/>
    <w:rsid w:val="00DE7E8F"/>
    <w:rsid w:val="00DF0EB0"/>
    <w:rsid w:val="00DF2577"/>
    <w:rsid w:val="00DF56AC"/>
    <w:rsid w:val="00DF6FFD"/>
    <w:rsid w:val="00DF7F37"/>
    <w:rsid w:val="00E00F2C"/>
    <w:rsid w:val="00E02403"/>
    <w:rsid w:val="00E027E8"/>
    <w:rsid w:val="00E05220"/>
    <w:rsid w:val="00E06871"/>
    <w:rsid w:val="00E07201"/>
    <w:rsid w:val="00E075CE"/>
    <w:rsid w:val="00E1041B"/>
    <w:rsid w:val="00E10DC3"/>
    <w:rsid w:val="00E11711"/>
    <w:rsid w:val="00E13512"/>
    <w:rsid w:val="00E154C3"/>
    <w:rsid w:val="00E2010C"/>
    <w:rsid w:val="00E2042C"/>
    <w:rsid w:val="00E2195C"/>
    <w:rsid w:val="00E21BD0"/>
    <w:rsid w:val="00E21E4A"/>
    <w:rsid w:val="00E2256F"/>
    <w:rsid w:val="00E26609"/>
    <w:rsid w:val="00E300F1"/>
    <w:rsid w:val="00E32D9C"/>
    <w:rsid w:val="00E33744"/>
    <w:rsid w:val="00E33CA9"/>
    <w:rsid w:val="00E355FA"/>
    <w:rsid w:val="00E36ACB"/>
    <w:rsid w:val="00E3714A"/>
    <w:rsid w:val="00E37174"/>
    <w:rsid w:val="00E404D6"/>
    <w:rsid w:val="00E40793"/>
    <w:rsid w:val="00E41153"/>
    <w:rsid w:val="00E412E8"/>
    <w:rsid w:val="00E41677"/>
    <w:rsid w:val="00E41FA3"/>
    <w:rsid w:val="00E42527"/>
    <w:rsid w:val="00E430A3"/>
    <w:rsid w:val="00E466E5"/>
    <w:rsid w:val="00E47A88"/>
    <w:rsid w:val="00E50DB3"/>
    <w:rsid w:val="00E54306"/>
    <w:rsid w:val="00E56B15"/>
    <w:rsid w:val="00E600E6"/>
    <w:rsid w:val="00E60808"/>
    <w:rsid w:val="00E6094F"/>
    <w:rsid w:val="00E618D5"/>
    <w:rsid w:val="00E62318"/>
    <w:rsid w:val="00E62D7E"/>
    <w:rsid w:val="00E640D2"/>
    <w:rsid w:val="00E64C44"/>
    <w:rsid w:val="00E67F80"/>
    <w:rsid w:val="00E71FFF"/>
    <w:rsid w:val="00E73ECC"/>
    <w:rsid w:val="00E749D4"/>
    <w:rsid w:val="00E758A1"/>
    <w:rsid w:val="00E765CD"/>
    <w:rsid w:val="00E7721C"/>
    <w:rsid w:val="00E77426"/>
    <w:rsid w:val="00E77B0B"/>
    <w:rsid w:val="00E802A1"/>
    <w:rsid w:val="00E82446"/>
    <w:rsid w:val="00E82977"/>
    <w:rsid w:val="00E83882"/>
    <w:rsid w:val="00E838BE"/>
    <w:rsid w:val="00E84324"/>
    <w:rsid w:val="00E858E0"/>
    <w:rsid w:val="00E914EB"/>
    <w:rsid w:val="00E91DC0"/>
    <w:rsid w:val="00E926BB"/>
    <w:rsid w:val="00E93B9A"/>
    <w:rsid w:val="00E97680"/>
    <w:rsid w:val="00E97CA3"/>
    <w:rsid w:val="00EA05C9"/>
    <w:rsid w:val="00EA24C3"/>
    <w:rsid w:val="00EA4155"/>
    <w:rsid w:val="00EA429E"/>
    <w:rsid w:val="00EA5BB5"/>
    <w:rsid w:val="00EA6AE2"/>
    <w:rsid w:val="00EB034D"/>
    <w:rsid w:val="00EB1389"/>
    <w:rsid w:val="00EB16CF"/>
    <w:rsid w:val="00EB21C9"/>
    <w:rsid w:val="00EB2EE9"/>
    <w:rsid w:val="00EB3216"/>
    <w:rsid w:val="00EB3A2B"/>
    <w:rsid w:val="00EB6539"/>
    <w:rsid w:val="00EB6697"/>
    <w:rsid w:val="00EC0703"/>
    <w:rsid w:val="00EC401B"/>
    <w:rsid w:val="00EC5B15"/>
    <w:rsid w:val="00ED316F"/>
    <w:rsid w:val="00ED47EC"/>
    <w:rsid w:val="00ED709C"/>
    <w:rsid w:val="00ED7456"/>
    <w:rsid w:val="00ED7B5B"/>
    <w:rsid w:val="00ED7F42"/>
    <w:rsid w:val="00EE1262"/>
    <w:rsid w:val="00EE265E"/>
    <w:rsid w:val="00EE280D"/>
    <w:rsid w:val="00EE385A"/>
    <w:rsid w:val="00EE417D"/>
    <w:rsid w:val="00EE489D"/>
    <w:rsid w:val="00EE55C6"/>
    <w:rsid w:val="00EE6872"/>
    <w:rsid w:val="00EE6E7C"/>
    <w:rsid w:val="00EE7BA6"/>
    <w:rsid w:val="00EF4A8B"/>
    <w:rsid w:val="00EF64BE"/>
    <w:rsid w:val="00EF6CF6"/>
    <w:rsid w:val="00EF6DC3"/>
    <w:rsid w:val="00F00978"/>
    <w:rsid w:val="00F01E45"/>
    <w:rsid w:val="00F03DC7"/>
    <w:rsid w:val="00F0509D"/>
    <w:rsid w:val="00F05E94"/>
    <w:rsid w:val="00F07317"/>
    <w:rsid w:val="00F106B7"/>
    <w:rsid w:val="00F10F26"/>
    <w:rsid w:val="00F112A8"/>
    <w:rsid w:val="00F117F4"/>
    <w:rsid w:val="00F122C0"/>
    <w:rsid w:val="00F12951"/>
    <w:rsid w:val="00F134C8"/>
    <w:rsid w:val="00F13AD1"/>
    <w:rsid w:val="00F14A72"/>
    <w:rsid w:val="00F15458"/>
    <w:rsid w:val="00F1592D"/>
    <w:rsid w:val="00F15D70"/>
    <w:rsid w:val="00F17918"/>
    <w:rsid w:val="00F17D4C"/>
    <w:rsid w:val="00F21976"/>
    <w:rsid w:val="00F22EF9"/>
    <w:rsid w:val="00F23E06"/>
    <w:rsid w:val="00F2750E"/>
    <w:rsid w:val="00F27836"/>
    <w:rsid w:val="00F27FC0"/>
    <w:rsid w:val="00F304F2"/>
    <w:rsid w:val="00F305D9"/>
    <w:rsid w:val="00F31B40"/>
    <w:rsid w:val="00F3221C"/>
    <w:rsid w:val="00F34894"/>
    <w:rsid w:val="00F4004D"/>
    <w:rsid w:val="00F407F6"/>
    <w:rsid w:val="00F416BF"/>
    <w:rsid w:val="00F441F1"/>
    <w:rsid w:val="00F44AE4"/>
    <w:rsid w:val="00F454DA"/>
    <w:rsid w:val="00F45600"/>
    <w:rsid w:val="00F458BE"/>
    <w:rsid w:val="00F45A03"/>
    <w:rsid w:val="00F463B8"/>
    <w:rsid w:val="00F470D4"/>
    <w:rsid w:val="00F47218"/>
    <w:rsid w:val="00F51467"/>
    <w:rsid w:val="00F51F39"/>
    <w:rsid w:val="00F529F2"/>
    <w:rsid w:val="00F52DDA"/>
    <w:rsid w:val="00F551FA"/>
    <w:rsid w:val="00F55396"/>
    <w:rsid w:val="00F553EF"/>
    <w:rsid w:val="00F575A4"/>
    <w:rsid w:val="00F604BA"/>
    <w:rsid w:val="00F614A1"/>
    <w:rsid w:val="00F63151"/>
    <w:rsid w:val="00F64A4A"/>
    <w:rsid w:val="00F65203"/>
    <w:rsid w:val="00F65592"/>
    <w:rsid w:val="00F663F8"/>
    <w:rsid w:val="00F66EB5"/>
    <w:rsid w:val="00F678B6"/>
    <w:rsid w:val="00F720D8"/>
    <w:rsid w:val="00F72194"/>
    <w:rsid w:val="00F72734"/>
    <w:rsid w:val="00F72B0C"/>
    <w:rsid w:val="00F72FD4"/>
    <w:rsid w:val="00F7332F"/>
    <w:rsid w:val="00F7357D"/>
    <w:rsid w:val="00F7419D"/>
    <w:rsid w:val="00F75BEE"/>
    <w:rsid w:val="00F75FCC"/>
    <w:rsid w:val="00F772F5"/>
    <w:rsid w:val="00F77D1F"/>
    <w:rsid w:val="00F77DC0"/>
    <w:rsid w:val="00F809CD"/>
    <w:rsid w:val="00F8233A"/>
    <w:rsid w:val="00F825E1"/>
    <w:rsid w:val="00F82848"/>
    <w:rsid w:val="00F83402"/>
    <w:rsid w:val="00F83B09"/>
    <w:rsid w:val="00F86251"/>
    <w:rsid w:val="00F92CFC"/>
    <w:rsid w:val="00F93CAD"/>
    <w:rsid w:val="00F93DAF"/>
    <w:rsid w:val="00F95688"/>
    <w:rsid w:val="00F96518"/>
    <w:rsid w:val="00F970BE"/>
    <w:rsid w:val="00F97375"/>
    <w:rsid w:val="00FA0A87"/>
    <w:rsid w:val="00FA2822"/>
    <w:rsid w:val="00FA3FEB"/>
    <w:rsid w:val="00FA59F5"/>
    <w:rsid w:val="00FA709B"/>
    <w:rsid w:val="00FA791F"/>
    <w:rsid w:val="00FB0E8B"/>
    <w:rsid w:val="00FB396D"/>
    <w:rsid w:val="00FB53E2"/>
    <w:rsid w:val="00FB6128"/>
    <w:rsid w:val="00FC0FA2"/>
    <w:rsid w:val="00FC29A4"/>
    <w:rsid w:val="00FC5A8C"/>
    <w:rsid w:val="00FC64DD"/>
    <w:rsid w:val="00FD03FA"/>
    <w:rsid w:val="00FD07CB"/>
    <w:rsid w:val="00FD0889"/>
    <w:rsid w:val="00FD0D93"/>
    <w:rsid w:val="00FD15C5"/>
    <w:rsid w:val="00FD2D0B"/>
    <w:rsid w:val="00FD4218"/>
    <w:rsid w:val="00FD5775"/>
    <w:rsid w:val="00FD5BEE"/>
    <w:rsid w:val="00FD6AEE"/>
    <w:rsid w:val="00FD7913"/>
    <w:rsid w:val="00FE1310"/>
    <w:rsid w:val="00FE1CCB"/>
    <w:rsid w:val="00FE2956"/>
    <w:rsid w:val="00FE2CC8"/>
    <w:rsid w:val="00FE2F96"/>
    <w:rsid w:val="00FE452F"/>
    <w:rsid w:val="00FE50E9"/>
    <w:rsid w:val="00FE61B8"/>
    <w:rsid w:val="00FE71F0"/>
    <w:rsid w:val="00FE754C"/>
    <w:rsid w:val="00FF0A58"/>
    <w:rsid w:val="00FF2742"/>
    <w:rsid w:val="00FF42E8"/>
    <w:rsid w:val="00FF4B84"/>
    <w:rsid w:val="00FF504D"/>
    <w:rsid w:val="00FF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AD3524"/>
  <w15:docId w15:val="{4E5000CE-B9DF-4575-ADBA-C710AD0FA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rsid w:val="00C66BFE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aragrafoelenco">
    <w:name w:val="List Paragraph"/>
    <w:uiPriority w:val="34"/>
    <w:qFormat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Stileimportato1">
    <w:name w:val="Stile importato 1"/>
    <w:pPr>
      <w:numPr>
        <w:numId w:val="1"/>
      </w:numPr>
    </w:pPr>
  </w:style>
  <w:style w:type="paragraph" w:customStyle="1" w:styleId="Didefault">
    <w:name w:val="Di 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Stileimportato2">
    <w:name w:val="Stile importato 2"/>
    <w:pPr>
      <w:numPr>
        <w:numId w:val="3"/>
      </w:numPr>
    </w:pPr>
  </w:style>
  <w:style w:type="character" w:customStyle="1" w:styleId="Link">
    <w:name w:val="Link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Link"/>
    <w:rPr>
      <w:rFonts w:ascii="Calibri" w:eastAsia="Calibri" w:hAnsi="Calibri" w:cs="Calibri"/>
      <w:i/>
      <w:iCs/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Link"/>
    <w:rPr>
      <w:rFonts w:ascii="Calibri" w:eastAsia="Calibri" w:hAnsi="Calibri" w:cs="Calibri"/>
      <w:color w:val="0563C1"/>
      <w:sz w:val="20"/>
      <w:szCs w:val="20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paragraph" w:styleId="Testocommento">
    <w:name w:val="annotation text"/>
    <w:basedOn w:val="Normale"/>
    <w:link w:val="TestocommentoCarattere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Pr>
      <w:rFonts w:ascii="Calibri" w:hAnsi="Calibri" w:cs="Arial Unicode MS"/>
      <w:color w:val="000000"/>
      <w:u w:color="00000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7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7494"/>
    <w:rPr>
      <w:rFonts w:ascii="Tahoma" w:hAnsi="Tahoma" w:cs="Tahoma"/>
      <w:color w:val="000000"/>
      <w:sz w:val="16"/>
      <w:szCs w:val="16"/>
      <w:u w:color="00000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E577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E577D"/>
    <w:rPr>
      <w:rFonts w:ascii="Calibri" w:hAnsi="Calibri" w:cs="Arial Unicode MS"/>
      <w:b/>
      <w:bCs/>
      <w:color w:val="000000"/>
      <w:u w:color="000000"/>
    </w:rPr>
  </w:style>
  <w:style w:type="paragraph" w:styleId="Intestazione">
    <w:name w:val="header"/>
    <w:basedOn w:val="Normale"/>
    <w:link w:val="IntestazioneCarattere"/>
    <w:uiPriority w:val="99"/>
    <w:unhideWhenUsed/>
    <w:rsid w:val="00AF0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08E9"/>
    <w:rPr>
      <w:rFonts w:ascii="Calibri" w:hAnsi="Calibri" w:cs="Arial Unicode MS"/>
      <w:color w:val="000000"/>
      <w:sz w:val="22"/>
      <w:szCs w:val="22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AF0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08E9"/>
    <w:rPr>
      <w:rFonts w:ascii="Calibri" w:hAnsi="Calibri" w:cs="Arial Unicode MS"/>
      <w:color w:val="000000"/>
      <w:sz w:val="22"/>
      <w:szCs w:val="22"/>
      <w:u w:color="00000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7E45"/>
    <w:rPr>
      <w:color w:val="FF00FF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26A8F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05C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sz w:val="20"/>
      <w:szCs w:val="20"/>
      <w:bdr w:val="none" w:sz="0" w:space="0" w:color="auto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05C8D"/>
    <w:rPr>
      <w:rFonts w:asciiTheme="minorHAnsi" w:eastAsiaTheme="minorHAnsi" w:hAnsiTheme="minorHAnsi" w:cstheme="minorBidi"/>
      <w:bdr w:val="none" w:sz="0" w:space="0" w:color="auto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05C8D"/>
    <w:rPr>
      <w:vertAlign w:val="superscrip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3F2987"/>
    <w:rPr>
      <w:color w:val="605E5C"/>
      <w:shd w:val="clear" w:color="auto" w:fill="E1DFDD"/>
    </w:rPr>
  </w:style>
  <w:style w:type="paragraph" w:styleId="Testonormale">
    <w:name w:val="Plain Text"/>
    <w:basedOn w:val="Normale"/>
    <w:link w:val="TestonormaleCarattere"/>
    <w:uiPriority w:val="99"/>
    <w:unhideWhenUsed/>
    <w:rsid w:val="00C4440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eastAsiaTheme="minorHAnsi" w:cs="Calibri"/>
      <w:color w:val="00457D"/>
      <w:bdr w:val="none" w:sz="0" w:space="0" w:color="auto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C4440A"/>
    <w:rPr>
      <w:rFonts w:ascii="Calibri" w:eastAsiaTheme="minorHAnsi" w:hAnsi="Calibri" w:cs="Calibri"/>
      <w:color w:val="00457D"/>
      <w:sz w:val="22"/>
      <w:szCs w:val="22"/>
      <w:bdr w:val="none" w:sz="0" w:space="0" w:color="auto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262272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370F56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3D5649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F86251"/>
    <w:rPr>
      <w:b/>
      <w:bCs/>
    </w:rPr>
  </w:style>
  <w:style w:type="paragraph" w:styleId="Revisione">
    <w:name w:val="Revision"/>
    <w:hidden/>
    <w:uiPriority w:val="99"/>
    <w:semiHidden/>
    <w:rsid w:val="004A0F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hAnsi="Calibri" w:cs="Arial Unicode MS"/>
      <w:color w:val="000000"/>
      <w:sz w:val="22"/>
      <w:szCs w:val="22"/>
      <w:u w:color="000000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7A6242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EE417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9346D0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B34E0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5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9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57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23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9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73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935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8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7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37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32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52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4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786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854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799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863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770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5905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55571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8782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1189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2420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0767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454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24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0123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5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33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6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997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426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85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90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855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57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214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368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579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692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69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37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7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8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79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39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867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35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4756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711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44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42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793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930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15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81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543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043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4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1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97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39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8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71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43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49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346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299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646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460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3120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0878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9032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574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6366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40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807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44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75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1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404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9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06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79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69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523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649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72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26147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4639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478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84552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7963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2832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13162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8684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66569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442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194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96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13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9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53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5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405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89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85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57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70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3536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4614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7339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0491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1833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1804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7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1698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37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40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26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674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143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176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270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110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07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93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2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70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9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9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28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89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983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615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05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201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454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6792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8288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5761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632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403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971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516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02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62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03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857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16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6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86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7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26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412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1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521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648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1743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263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528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8409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7844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277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5195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6339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5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72724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8047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48053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32772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02561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2448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816780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79425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03756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1506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192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1265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103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06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9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68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386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965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56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196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922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1370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848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5901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359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829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96482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6391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5230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5072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8908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8147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0315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1927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8966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045165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831440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58794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72925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88812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24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698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032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23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783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9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0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4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61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1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717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118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108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176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592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450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8343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21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4146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841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4477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74905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4178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96849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4864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62765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269608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995233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2274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0259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2280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5840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53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90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1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10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80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86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361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4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721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708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781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039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9045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515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1474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4025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68004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6790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3329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00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8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87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23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63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04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715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364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472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534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19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8284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5281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180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65748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23618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0196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07713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1655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29353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970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8527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7581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8976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213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245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0155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2323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126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9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71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20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919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213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265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730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8561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912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834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693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068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0702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36114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952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675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9346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4507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7684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0122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89780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76145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26641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7916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5103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8177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404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0868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538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738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013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560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503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1582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2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242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85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93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918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7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1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01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945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13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103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670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227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416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71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082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0464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4154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5467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2242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0241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0216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46498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6206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4946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45268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07755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04702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31010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57938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99260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307094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495554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7354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301249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330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7502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3211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089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3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00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5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9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5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76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3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0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6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8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4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picentro.iss.it/coronavirus/bollettino/Bollettino-sorveglianza-integrata-COVID-19_3-novembre-2021.pdf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fficio.stampa@gimbe.org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10" Type="http://schemas.openxmlformats.org/officeDocument/2006/relationships/hyperlink" Target="https://coronavirus.gimbe.org" TargetMode="Externa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trovanorme.salute.gov.it/norme/renderNormsanPdf?anno=2021&amp;codLeg=83176&amp;parte=1%20&amp;serie=null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3AA17F-2C08-4D69-B038-B966F0F6F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17</Pages>
  <Words>2165</Words>
  <Characters>12347</Characters>
  <Application>Microsoft Office Word</Application>
  <DocSecurity>0</DocSecurity>
  <Lines>102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Nino Cartabellotta</dc:creator>
  <cp:lastModifiedBy>Luca Bellusci</cp:lastModifiedBy>
  <cp:revision>21</cp:revision>
  <cp:lastPrinted>2021-10-20T13:41:00Z</cp:lastPrinted>
  <dcterms:created xsi:type="dcterms:W3CDTF">2021-11-10T15:36:00Z</dcterms:created>
  <dcterms:modified xsi:type="dcterms:W3CDTF">2021-11-11T09:58:00Z</dcterms:modified>
</cp:coreProperties>
</file>