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4A64F" w14:textId="77777777" w:rsidR="002348D4" w:rsidRPr="003F49EE" w:rsidRDefault="002348D4" w:rsidP="002348D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3F49EE">
        <w:rPr>
          <w:b/>
          <w:bCs/>
          <w:color w:val="auto"/>
          <w:sz w:val="36"/>
          <w:szCs w:val="33"/>
        </w:rPr>
        <w:t>COMUNICATO STAMPA</w:t>
      </w:r>
    </w:p>
    <w:p w14:paraId="51DAF099" w14:textId="4AC3CF7B" w:rsidR="00B1023B" w:rsidRPr="00B1023B" w:rsidRDefault="00B1023B" w:rsidP="00B1023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B1023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CORONAVIRUS: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bookmarkStart w:id="0" w:name="_GoBack"/>
      <w:bookmarkEnd w:id="0"/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NELL’ULTIMA </w:t>
      </w:r>
      <w:r w:rsidRPr="00B1023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SETTIMANA RISALGONO I CONTAGI (+11,4%). IN AUMENTO ANCHE I DECESSI (+9,8%): OLTRE 100 AL GIORNO DA QUATTRO SETTIMANE. </w:t>
      </w:r>
    </w:p>
    <w:p w14:paraId="3F8E9277" w14:textId="54FB730E" w:rsidR="00B1023B" w:rsidRPr="00B1023B" w:rsidRDefault="00B1023B" w:rsidP="00B1023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B1023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IN CALO I RICOVERI ORDINARI (-6,9%), STABILI LE TERAPIE INTENSIVE (+1,6%).  </w:t>
      </w:r>
    </w:p>
    <w:p w14:paraId="1AC14F84" w14:textId="2520413C" w:rsidR="00B1023B" w:rsidRPr="00B1023B" w:rsidRDefault="00B1023B" w:rsidP="00B1023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B1023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NUOVE VARIANTI: POTENZIARE SEQUENZIAMENTO E AUMENTARE COPERTURE VACCINALI. </w:t>
      </w:r>
      <w:r w:rsidR="00C837F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br/>
      </w:r>
      <w:r w:rsidRPr="00B1023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11,7 MILIONI DI ANZIANI E FRAGILI SENZA QUARTA DOSE.</w:t>
      </w:r>
    </w:p>
    <w:p w14:paraId="6F65BD11" w14:textId="77777777" w:rsidR="00B1023B" w:rsidRDefault="00B1023B" w:rsidP="00B1023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B1023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SCREENING SU VIAGGIATORI DALLA CINA: DUBBIA EFFICACIA PER ARGINARE LA CIRCOLAZIONE VIRALE</w:t>
      </w:r>
    </w:p>
    <w:p w14:paraId="4EBE8C42" w14:textId="77777777" w:rsidR="002348D4" w:rsidRPr="000C635A" w:rsidRDefault="00A605F7" w:rsidP="00D30E1F">
      <w:pPr>
        <w:spacing w:after="20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 xml:space="preserve">9 gennaio 2023 </w:t>
      </w:r>
      <w:r w:rsidR="002348D4" w:rsidRPr="000C635A">
        <w:rPr>
          <w:rFonts w:cs="Calibri"/>
          <w:b/>
          <w:bCs/>
          <w:color w:val="auto"/>
          <w:sz w:val="24"/>
          <w:szCs w:val="24"/>
        </w:rPr>
        <w:t>- Fondazione GIMBE, Bologna</w:t>
      </w:r>
    </w:p>
    <w:p w14:paraId="7F1798EA" w14:textId="77777777" w:rsidR="00DD6B88" w:rsidRPr="00A47A38" w:rsidRDefault="00DD6B88" w:rsidP="00FA5297">
      <w:pPr>
        <w:spacing w:after="0" w:line="276" w:lineRule="auto"/>
        <w:jc w:val="both"/>
        <w:rPr>
          <w:color w:val="FF0000"/>
        </w:rPr>
      </w:pPr>
    </w:p>
    <w:p w14:paraId="47523A26" w14:textId="77777777" w:rsidR="00DD6B88" w:rsidRPr="003F49EE" w:rsidRDefault="00DD6B88" w:rsidP="00DD6B88">
      <w:pPr>
        <w:spacing w:line="276" w:lineRule="auto"/>
        <w:jc w:val="both"/>
        <w:rPr>
          <w:b/>
          <w:color w:val="auto"/>
        </w:rPr>
      </w:pPr>
      <w:r w:rsidRPr="003F49EE">
        <w:rPr>
          <w:b/>
          <w:color w:val="auto"/>
        </w:rPr>
        <w:t>MONITORAGGIO PANDEMIA COVID-19</w:t>
      </w:r>
    </w:p>
    <w:p w14:paraId="388DA86F" w14:textId="77777777" w:rsidR="00A605F7" w:rsidRPr="006270DF" w:rsidRDefault="002B03E1" w:rsidP="004F372D">
      <w:pPr>
        <w:spacing w:line="276" w:lineRule="auto"/>
        <w:jc w:val="both"/>
        <w:rPr>
          <w:color w:val="auto"/>
        </w:rPr>
      </w:pPr>
      <w:bookmarkStart w:id="1" w:name="_Hlk105580520"/>
      <w:r w:rsidRPr="002B03E1">
        <w:rPr>
          <w:color w:val="auto"/>
        </w:rPr>
        <w:t>Il monitoraggio indipendente della Fondazione GIMBE rileva nella settimana 30 dicembre</w:t>
      </w:r>
      <w:r>
        <w:rPr>
          <w:color w:val="auto"/>
        </w:rPr>
        <w:t xml:space="preserve"> 2022</w:t>
      </w:r>
      <w:r w:rsidR="00DA091B">
        <w:rPr>
          <w:color w:val="auto"/>
        </w:rPr>
        <w:t>-</w:t>
      </w:r>
      <w:r w:rsidRPr="002B03E1">
        <w:rPr>
          <w:color w:val="auto"/>
        </w:rPr>
        <w:t>5 gennaio 2023, rispetto alla precedente, un aumento di nuovi casi (135.977 vs 122.099) (</w:t>
      </w:r>
      <w:r w:rsidRPr="002B03E1">
        <w:rPr>
          <w:color w:val="auto"/>
          <w:highlight w:val="yellow"/>
        </w:rPr>
        <w:t>figura 1</w:t>
      </w:r>
      <w:r w:rsidRPr="002B03E1">
        <w:rPr>
          <w:color w:val="auto"/>
        </w:rPr>
        <w:t>) e dei decessi (775 vs 706) (</w:t>
      </w:r>
      <w:r w:rsidRPr="002B03E1">
        <w:rPr>
          <w:color w:val="auto"/>
          <w:highlight w:val="yellow"/>
        </w:rPr>
        <w:t>figura 2</w:t>
      </w:r>
      <w:r w:rsidRPr="002B03E1">
        <w:rPr>
          <w:color w:val="auto"/>
        </w:rPr>
        <w:t>). In calo i casi attualmente positivi (406.182 vs 417.661), le persone in isolamento domiciliare (398.147 vs 409.059), i ricoveri con sintomi (7.716 vs 8.288</w:t>
      </w:r>
      <w:r w:rsidR="00DA091B" w:rsidRPr="002B03E1">
        <w:rPr>
          <w:color w:val="auto"/>
        </w:rPr>
        <w:t>)</w:t>
      </w:r>
      <w:r w:rsidR="00DA091B">
        <w:rPr>
          <w:color w:val="auto"/>
        </w:rPr>
        <w:t xml:space="preserve">; </w:t>
      </w:r>
      <w:r w:rsidR="008D5FF3">
        <w:rPr>
          <w:color w:val="auto"/>
        </w:rPr>
        <w:t>stabili</w:t>
      </w:r>
      <w:r w:rsidRPr="002B03E1">
        <w:rPr>
          <w:color w:val="auto"/>
        </w:rPr>
        <w:t xml:space="preserve"> le terapie intensive (319 vs 314) (</w:t>
      </w:r>
      <w:r w:rsidRPr="008D5FF3">
        <w:rPr>
          <w:color w:val="auto"/>
          <w:highlight w:val="yellow"/>
        </w:rPr>
        <w:t>figura 3</w:t>
      </w:r>
      <w:r w:rsidRPr="002B03E1">
        <w:rPr>
          <w:color w:val="auto"/>
        </w:rPr>
        <w:t>). In dettaglio, rispetto alla settimana precedente, si registrano le seguenti variazioni:</w:t>
      </w:r>
    </w:p>
    <w:p w14:paraId="2D8381FE" w14:textId="77777777" w:rsidR="008D5FF3" w:rsidRPr="008D5FF3" w:rsidRDefault="008D5FF3" w:rsidP="008D5FF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D5FF3">
        <w:rPr>
          <w:color w:val="auto"/>
        </w:rPr>
        <w:t>Decessi: 775 (+9,8%), di cui 52 riferiti a periodi precedenti</w:t>
      </w:r>
    </w:p>
    <w:p w14:paraId="291EB4AF" w14:textId="77777777" w:rsidR="008D5FF3" w:rsidRPr="008D5FF3" w:rsidRDefault="008D5FF3" w:rsidP="008D5FF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D5FF3">
        <w:rPr>
          <w:color w:val="auto"/>
        </w:rPr>
        <w:t>Terapia intensiva: +5 (+1,6%)</w:t>
      </w:r>
    </w:p>
    <w:p w14:paraId="1A065506" w14:textId="77777777" w:rsidR="008D5FF3" w:rsidRPr="008D5FF3" w:rsidRDefault="008D5FF3" w:rsidP="008D5FF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D5FF3">
        <w:rPr>
          <w:color w:val="auto"/>
        </w:rPr>
        <w:t>Ricoverati con sintomi: -572 (-6,9%)</w:t>
      </w:r>
    </w:p>
    <w:p w14:paraId="7FF88A89" w14:textId="77777777" w:rsidR="008D5FF3" w:rsidRPr="008D5FF3" w:rsidRDefault="008D5FF3" w:rsidP="008D5FF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D5FF3">
        <w:rPr>
          <w:color w:val="auto"/>
        </w:rPr>
        <w:t>Isolamento domiciliare: -10.912 (-2,7%)</w:t>
      </w:r>
    </w:p>
    <w:p w14:paraId="7CE7B548" w14:textId="77777777" w:rsidR="008D5FF3" w:rsidRPr="008D5FF3" w:rsidRDefault="008D5FF3" w:rsidP="008D5FF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D5FF3">
        <w:rPr>
          <w:color w:val="auto"/>
        </w:rPr>
        <w:t>Nuovi casi: 135.977 (+11,4%)</w:t>
      </w:r>
    </w:p>
    <w:p w14:paraId="602293C0" w14:textId="77777777" w:rsidR="00A605F7" w:rsidRPr="006270DF" w:rsidRDefault="008D5FF3" w:rsidP="008D5FF3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8D5FF3">
        <w:rPr>
          <w:color w:val="auto"/>
        </w:rPr>
        <w:t>Casi attualmente positivi: -11.479 (-2,7%)</w:t>
      </w:r>
    </w:p>
    <w:p w14:paraId="298B0BB0" w14:textId="77777777" w:rsidR="00A605F7" w:rsidRPr="000C0DA8" w:rsidRDefault="00053240" w:rsidP="00231857">
      <w:pPr>
        <w:spacing w:line="276" w:lineRule="auto"/>
        <w:jc w:val="both"/>
        <w:rPr>
          <w:color w:val="FF0000"/>
        </w:rPr>
      </w:pPr>
      <w:r w:rsidRPr="008D5FF3">
        <w:rPr>
          <w:b/>
          <w:color w:val="auto"/>
        </w:rPr>
        <w:t xml:space="preserve">Nuovi </w:t>
      </w:r>
      <w:r w:rsidRPr="000C0DA8">
        <w:rPr>
          <w:b/>
          <w:color w:val="auto"/>
        </w:rPr>
        <w:t xml:space="preserve">casi. </w:t>
      </w:r>
      <w:bookmarkStart w:id="2" w:name="_Hlk123984615"/>
      <w:r w:rsidR="004E49F5" w:rsidRPr="000C0DA8">
        <w:rPr>
          <w:color w:val="auto"/>
        </w:rPr>
        <w:t>«</w:t>
      </w:r>
      <w:r w:rsidR="004D517B">
        <w:rPr>
          <w:color w:val="auto"/>
        </w:rPr>
        <w:t>S</w:t>
      </w:r>
      <w:r w:rsidR="00DA091B">
        <w:rPr>
          <w:color w:val="auto"/>
        </w:rPr>
        <w:t>ul fronte de</w:t>
      </w:r>
      <w:r w:rsidR="004D517B">
        <w:rPr>
          <w:color w:val="auto"/>
        </w:rPr>
        <w:t xml:space="preserve">i </w:t>
      </w:r>
      <w:r w:rsidR="00DA091B" w:rsidRPr="000C0DA8">
        <w:rPr>
          <w:color w:val="auto"/>
        </w:rPr>
        <w:t>nuovi casi settimanali</w:t>
      </w:r>
      <w:r w:rsidR="008660ED">
        <w:rPr>
          <w:color w:val="auto"/>
        </w:rPr>
        <w:t xml:space="preserve"> </w:t>
      </w:r>
      <w:r w:rsidR="004D517B" w:rsidRPr="000C0DA8">
        <w:rPr>
          <w:color w:val="auto"/>
        </w:rPr>
        <w:t>– dichiara Nino Cartabellotta, Presidente della Fondazione GIMBE –</w:t>
      </w:r>
      <w:r w:rsidR="00DA091B">
        <w:rPr>
          <w:color w:val="auto"/>
        </w:rPr>
        <w:t xml:space="preserve"> si</w:t>
      </w:r>
      <w:r w:rsidR="004D517B" w:rsidRPr="000C0DA8">
        <w:rPr>
          <w:color w:val="auto"/>
        </w:rPr>
        <w:t xml:space="preserve"> </w:t>
      </w:r>
      <w:r w:rsidR="00DA091B">
        <w:rPr>
          <w:color w:val="auto"/>
        </w:rPr>
        <w:t xml:space="preserve">registra </w:t>
      </w:r>
      <w:r w:rsidR="004D517B">
        <w:rPr>
          <w:color w:val="auto"/>
        </w:rPr>
        <w:t>un aumento</w:t>
      </w:r>
      <w:r w:rsidR="004E10EB">
        <w:rPr>
          <w:color w:val="auto"/>
        </w:rPr>
        <w:t xml:space="preserve"> </w:t>
      </w:r>
      <w:r w:rsidR="004D517B" w:rsidRPr="000C0DA8">
        <w:rPr>
          <w:color w:val="auto"/>
        </w:rPr>
        <w:t>(+11,4%)</w:t>
      </w:r>
      <w:r w:rsidRPr="000C0DA8">
        <w:rPr>
          <w:color w:val="auto"/>
        </w:rPr>
        <w:t>: da</w:t>
      </w:r>
      <w:r w:rsidR="00CB5568" w:rsidRPr="000C0DA8">
        <w:rPr>
          <w:color w:val="auto"/>
        </w:rPr>
        <w:t>i</w:t>
      </w:r>
      <w:r w:rsidRPr="000C0DA8">
        <w:rPr>
          <w:color w:val="auto"/>
        </w:rPr>
        <w:t xml:space="preserve"> </w:t>
      </w:r>
      <w:r w:rsidR="008D5FF3" w:rsidRPr="000C0DA8">
        <w:rPr>
          <w:color w:val="auto"/>
        </w:rPr>
        <w:t>122</w:t>
      </w:r>
      <w:r w:rsidRPr="000C0DA8">
        <w:rPr>
          <w:color w:val="auto"/>
        </w:rPr>
        <w:t xml:space="preserve"> mila della settimana </w:t>
      </w:r>
      <w:r w:rsidR="004159AC" w:rsidRPr="000C0DA8">
        <w:rPr>
          <w:color w:val="auto"/>
        </w:rPr>
        <w:t xml:space="preserve">precedente </w:t>
      </w:r>
      <w:r w:rsidR="008D5FF3" w:rsidRPr="000C0DA8">
        <w:rPr>
          <w:color w:val="auto"/>
        </w:rPr>
        <w:t>salgono</w:t>
      </w:r>
      <w:r w:rsidR="004177D9" w:rsidRPr="000C0DA8">
        <w:rPr>
          <w:color w:val="auto"/>
        </w:rPr>
        <w:t xml:space="preserve"> a</w:t>
      </w:r>
      <w:r w:rsidRPr="000C0DA8">
        <w:rPr>
          <w:color w:val="auto"/>
        </w:rPr>
        <w:t xml:space="preserve"> quota </w:t>
      </w:r>
      <w:r w:rsidR="008D5FF3" w:rsidRPr="000C0DA8">
        <w:rPr>
          <w:color w:val="auto"/>
        </w:rPr>
        <w:t>135</w:t>
      </w:r>
      <w:r w:rsidRPr="000C0DA8">
        <w:rPr>
          <w:color w:val="auto"/>
        </w:rPr>
        <w:t xml:space="preserve"> mila, con una media mobile a 7 </w:t>
      </w:r>
      <w:r w:rsidR="008D5FF3" w:rsidRPr="000C0DA8">
        <w:rPr>
          <w:color w:val="auto"/>
        </w:rPr>
        <w:t>giorni di oltre 19</w:t>
      </w:r>
      <w:r w:rsidRPr="000C0DA8">
        <w:rPr>
          <w:color w:val="auto"/>
        </w:rPr>
        <w:t xml:space="preserve"> mila casi al giorno</w:t>
      </w:r>
      <w:bookmarkEnd w:id="1"/>
      <w:r w:rsidR="004E49F5" w:rsidRPr="000C0DA8">
        <w:rPr>
          <w:color w:val="auto"/>
        </w:rPr>
        <w:t>»</w:t>
      </w:r>
      <w:r w:rsidRPr="000C0DA8">
        <w:rPr>
          <w:color w:val="auto"/>
        </w:rPr>
        <w:t xml:space="preserve"> </w:t>
      </w:r>
      <w:bookmarkEnd w:id="2"/>
      <w:r w:rsidRPr="000C0DA8">
        <w:rPr>
          <w:color w:val="auto"/>
        </w:rPr>
        <w:t>(</w:t>
      </w:r>
      <w:r w:rsidRPr="000C0DA8">
        <w:rPr>
          <w:color w:val="auto"/>
          <w:highlight w:val="yellow"/>
        </w:rPr>
        <w:t xml:space="preserve">figura </w:t>
      </w:r>
      <w:r w:rsidR="006B64AD" w:rsidRPr="000C0DA8">
        <w:rPr>
          <w:color w:val="auto"/>
          <w:highlight w:val="yellow"/>
        </w:rPr>
        <w:t>3</w:t>
      </w:r>
      <w:r w:rsidRPr="000C0DA8">
        <w:rPr>
          <w:color w:val="auto"/>
        </w:rPr>
        <w:t xml:space="preserve">). </w:t>
      </w:r>
      <w:r w:rsidR="004D517B">
        <w:rPr>
          <w:color w:val="auto"/>
        </w:rPr>
        <w:t xml:space="preserve">I nuovi casi </w:t>
      </w:r>
      <w:r w:rsidR="00DA091B">
        <w:rPr>
          <w:color w:val="auto"/>
        </w:rPr>
        <w:t xml:space="preserve">crescono </w:t>
      </w:r>
      <w:r w:rsidR="004D517B">
        <w:rPr>
          <w:color w:val="auto"/>
        </w:rPr>
        <w:t>i</w:t>
      </w:r>
      <w:r w:rsidR="008D5FF3" w:rsidRPr="000C0DA8">
        <w:rPr>
          <w:color w:val="auto"/>
        </w:rPr>
        <w:t>n 14 Regioni</w:t>
      </w:r>
      <w:r w:rsidR="004D517B">
        <w:rPr>
          <w:color w:val="auto"/>
        </w:rPr>
        <w:t>:</w:t>
      </w:r>
      <w:r w:rsidR="008D5FF3" w:rsidRPr="000C0DA8">
        <w:rPr>
          <w:color w:val="auto"/>
        </w:rPr>
        <w:t xml:space="preserve"> dal +1,4% del Veneto al +44,4% della Puglia</w:t>
      </w:r>
      <w:r w:rsidR="004D517B">
        <w:rPr>
          <w:color w:val="auto"/>
        </w:rPr>
        <w:t xml:space="preserve">. </w:t>
      </w:r>
      <w:r w:rsidR="008D5FF3" w:rsidRPr="000C0DA8">
        <w:rPr>
          <w:color w:val="auto"/>
        </w:rPr>
        <w:t xml:space="preserve">7 Regioni </w:t>
      </w:r>
      <w:r w:rsidR="00E610F4" w:rsidRPr="000C0DA8">
        <w:rPr>
          <w:color w:val="auto"/>
        </w:rPr>
        <w:t>registra</w:t>
      </w:r>
      <w:r w:rsidR="00DF2E1C" w:rsidRPr="000C0DA8">
        <w:rPr>
          <w:color w:val="auto"/>
        </w:rPr>
        <w:t>no</w:t>
      </w:r>
      <w:r w:rsidR="00E610F4" w:rsidRPr="000C0DA8">
        <w:rPr>
          <w:color w:val="auto"/>
        </w:rPr>
        <w:t xml:space="preserve"> </w:t>
      </w:r>
      <w:r w:rsidR="00DA091B">
        <w:rPr>
          <w:color w:val="auto"/>
        </w:rPr>
        <w:t xml:space="preserve">invece </w:t>
      </w:r>
      <w:r w:rsidR="00E610F4" w:rsidRPr="000C0DA8">
        <w:rPr>
          <w:color w:val="auto"/>
        </w:rPr>
        <w:t xml:space="preserve">un </w:t>
      </w:r>
      <w:r w:rsidR="006270DF" w:rsidRPr="000C0DA8">
        <w:rPr>
          <w:color w:val="auto"/>
        </w:rPr>
        <w:t>calo</w:t>
      </w:r>
      <w:r w:rsidR="004D517B">
        <w:rPr>
          <w:color w:val="auto"/>
        </w:rPr>
        <w:t>:</w:t>
      </w:r>
      <w:r w:rsidR="006270DF" w:rsidRPr="000C0DA8">
        <w:rPr>
          <w:color w:val="auto"/>
        </w:rPr>
        <w:t xml:space="preserve"> </w:t>
      </w:r>
      <w:r w:rsidRPr="000C0DA8">
        <w:rPr>
          <w:color w:val="auto"/>
        </w:rPr>
        <w:t>dal</w:t>
      </w:r>
      <w:r w:rsidR="006270DF" w:rsidRPr="000C0DA8">
        <w:rPr>
          <w:color w:val="auto"/>
        </w:rPr>
        <w:t xml:space="preserve"> -</w:t>
      </w:r>
      <w:r w:rsidR="008D5FF3" w:rsidRPr="000C0DA8">
        <w:rPr>
          <w:color w:val="auto"/>
        </w:rPr>
        <w:t>0,4% del Piemonte al -45% della Valle D’Aosta</w:t>
      </w:r>
      <w:r w:rsidR="007A4E68" w:rsidRPr="000C0DA8">
        <w:rPr>
          <w:color w:val="auto"/>
        </w:rPr>
        <w:t xml:space="preserve"> </w:t>
      </w:r>
      <w:r w:rsidRPr="000C0DA8">
        <w:rPr>
          <w:color w:val="auto"/>
        </w:rPr>
        <w:t>(</w:t>
      </w:r>
      <w:r w:rsidRPr="000C0DA8">
        <w:rPr>
          <w:color w:val="auto"/>
          <w:highlight w:val="yellow"/>
        </w:rPr>
        <w:t>tabella 1</w:t>
      </w:r>
      <w:r w:rsidRPr="000C0DA8">
        <w:rPr>
          <w:color w:val="auto"/>
        </w:rPr>
        <w:t xml:space="preserve">). </w:t>
      </w:r>
      <w:r w:rsidR="00E610F4" w:rsidRPr="000C0DA8">
        <w:rPr>
          <w:color w:val="auto"/>
        </w:rPr>
        <w:t xml:space="preserve">In </w:t>
      </w:r>
      <w:r w:rsidR="00442D2F" w:rsidRPr="000C0DA8">
        <w:rPr>
          <w:color w:val="auto"/>
        </w:rPr>
        <w:t>67</w:t>
      </w:r>
      <w:r w:rsidR="00E610F4" w:rsidRPr="000C0DA8">
        <w:rPr>
          <w:color w:val="auto"/>
        </w:rPr>
        <w:t xml:space="preserve"> Province si </w:t>
      </w:r>
      <w:r w:rsidR="00DF2E1C" w:rsidRPr="000C0DA8">
        <w:rPr>
          <w:color w:val="auto"/>
        </w:rPr>
        <w:t xml:space="preserve">rileva </w:t>
      </w:r>
      <w:r w:rsidR="00E610F4" w:rsidRPr="000C0DA8">
        <w:rPr>
          <w:color w:val="auto"/>
        </w:rPr>
        <w:t xml:space="preserve">un aumento </w:t>
      </w:r>
      <w:r w:rsidRPr="000C0DA8">
        <w:rPr>
          <w:color w:val="auto"/>
        </w:rPr>
        <w:t xml:space="preserve">dei nuovi casi (dal </w:t>
      </w:r>
      <w:r w:rsidR="00E610F4" w:rsidRPr="000C0DA8">
        <w:rPr>
          <w:color w:val="auto"/>
        </w:rPr>
        <w:t>+0,</w:t>
      </w:r>
      <w:r w:rsidR="00442D2F" w:rsidRPr="000C0DA8">
        <w:rPr>
          <w:color w:val="auto"/>
        </w:rPr>
        <w:t>5</w:t>
      </w:r>
      <w:r w:rsidR="00E610F4" w:rsidRPr="000C0DA8">
        <w:rPr>
          <w:color w:val="auto"/>
        </w:rPr>
        <w:t xml:space="preserve">% di </w:t>
      </w:r>
      <w:r w:rsidR="00442D2F" w:rsidRPr="000C0DA8">
        <w:rPr>
          <w:color w:val="auto"/>
        </w:rPr>
        <w:t xml:space="preserve">Ascoli Piceno </w:t>
      </w:r>
      <w:r w:rsidR="00E610F4" w:rsidRPr="000C0DA8">
        <w:rPr>
          <w:color w:val="auto"/>
        </w:rPr>
        <w:t>al +</w:t>
      </w:r>
      <w:r w:rsidR="00442D2F" w:rsidRPr="000C0DA8">
        <w:rPr>
          <w:color w:val="auto"/>
        </w:rPr>
        <w:t>62,6</w:t>
      </w:r>
      <w:r w:rsidR="00E610F4" w:rsidRPr="000C0DA8">
        <w:rPr>
          <w:color w:val="auto"/>
        </w:rPr>
        <w:t xml:space="preserve">% di </w:t>
      </w:r>
      <w:r w:rsidR="00442D2F" w:rsidRPr="000C0DA8">
        <w:rPr>
          <w:color w:val="auto"/>
        </w:rPr>
        <w:t>Bari</w:t>
      </w:r>
      <w:r w:rsidR="004159AC" w:rsidRPr="000C0DA8">
        <w:rPr>
          <w:color w:val="auto"/>
        </w:rPr>
        <w:t>)</w:t>
      </w:r>
      <w:r w:rsidR="00E610F4" w:rsidRPr="000C0DA8">
        <w:rPr>
          <w:color w:val="auto"/>
        </w:rPr>
        <w:t xml:space="preserve">, in </w:t>
      </w:r>
      <w:r w:rsidR="00442D2F" w:rsidRPr="000C0DA8">
        <w:rPr>
          <w:color w:val="auto"/>
        </w:rPr>
        <w:t>40</w:t>
      </w:r>
      <w:r w:rsidR="00E610F4" w:rsidRPr="000C0DA8">
        <w:rPr>
          <w:color w:val="auto"/>
        </w:rPr>
        <w:t xml:space="preserve"> una diminuzione (dal -</w:t>
      </w:r>
      <w:r w:rsidR="00442D2F" w:rsidRPr="000C0DA8">
        <w:rPr>
          <w:color w:val="auto"/>
        </w:rPr>
        <w:t>0</w:t>
      </w:r>
      <w:r w:rsidR="00E610F4" w:rsidRPr="000C0DA8">
        <w:rPr>
          <w:color w:val="auto"/>
        </w:rPr>
        <w:t>,</w:t>
      </w:r>
      <w:r w:rsidR="00442D2F" w:rsidRPr="000C0DA8">
        <w:rPr>
          <w:color w:val="auto"/>
        </w:rPr>
        <w:t>1</w:t>
      </w:r>
      <w:r w:rsidR="00E610F4" w:rsidRPr="000C0DA8">
        <w:rPr>
          <w:color w:val="auto"/>
        </w:rPr>
        <w:t xml:space="preserve">% di </w:t>
      </w:r>
      <w:r w:rsidR="00442D2F" w:rsidRPr="000C0DA8">
        <w:rPr>
          <w:color w:val="auto"/>
        </w:rPr>
        <w:t>Reggio nell’Emilia</w:t>
      </w:r>
      <w:r w:rsidR="00231857" w:rsidRPr="000C0DA8">
        <w:rPr>
          <w:color w:val="auto"/>
        </w:rPr>
        <w:t xml:space="preserve"> </w:t>
      </w:r>
      <w:r w:rsidR="00E610F4" w:rsidRPr="000C0DA8">
        <w:rPr>
          <w:color w:val="auto"/>
        </w:rPr>
        <w:t>al -</w:t>
      </w:r>
      <w:r w:rsidR="00442D2F" w:rsidRPr="000C0DA8">
        <w:rPr>
          <w:color w:val="auto"/>
        </w:rPr>
        <w:t>45</w:t>
      </w:r>
      <w:r w:rsidR="00E610F4" w:rsidRPr="000C0DA8">
        <w:rPr>
          <w:color w:val="auto"/>
        </w:rPr>
        <w:t xml:space="preserve">% di </w:t>
      </w:r>
      <w:r w:rsidR="00442D2F" w:rsidRPr="000C0DA8">
        <w:rPr>
          <w:color w:val="auto"/>
        </w:rPr>
        <w:t>Aosta</w:t>
      </w:r>
      <w:r w:rsidR="00E610F4" w:rsidRPr="000C0DA8">
        <w:rPr>
          <w:color w:val="auto"/>
        </w:rPr>
        <w:t>)</w:t>
      </w:r>
      <w:r w:rsidRPr="000C0DA8">
        <w:rPr>
          <w:color w:val="auto"/>
        </w:rPr>
        <w:t xml:space="preserve">. </w:t>
      </w:r>
      <w:r w:rsidR="000C0DA8" w:rsidRPr="000C0DA8">
        <w:rPr>
          <w:color w:val="auto"/>
        </w:rPr>
        <w:t>In nessuna Provincia l</w:t>
      </w:r>
      <w:r w:rsidRPr="000C0DA8">
        <w:rPr>
          <w:color w:val="auto"/>
        </w:rPr>
        <w:t>’incidenza supera</w:t>
      </w:r>
      <w:r w:rsidR="000C0DA8" w:rsidRPr="000C0DA8">
        <w:rPr>
          <w:color w:val="auto"/>
        </w:rPr>
        <w:t xml:space="preserve"> i 500 casi per 100.000 abitanti</w:t>
      </w:r>
      <w:r w:rsidR="00231857" w:rsidRPr="000C0DA8">
        <w:rPr>
          <w:color w:val="auto"/>
        </w:rPr>
        <w:t xml:space="preserve"> </w:t>
      </w:r>
      <w:r w:rsidRPr="000C0DA8">
        <w:rPr>
          <w:color w:val="auto"/>
        </w:rPr>
        <w:t>(</w:t>
      </w:r>
      <w:r w:rsidRPr="000C0DA8">
        <w:rPr>
          <w:color w:val="auto"/>
          <w:highlight w:val="yellow"/>
        </w:rPr>
        <w:t>tabella 2</w:t>
      </w:r>
      <w:r w:rsidRPr="000C0DA8">
        <w:rPr>
          <w:color w:val="auto"/>
        </w:rPr>
        <w:t>).</w:t>
      </w:r>
    </w:p>
    <w:p w14:paraId="564C17BB" w14:textId="77777777" w:rsidR="00A605F7" w:rsidRPr="006270DF" w:rsidRDefault="000C0DA8" w:rsidP="004F372D">
      <w:pPr>
        <w:spacing w:line="276" w:lineRule="auto"/>
        <w:jc w:val="both"/>
        <w:rPr>
          <w:color w:val="auto"/>
        </w:rPr>
      </w:pPr>
      <w:bookmarkStart w:id="3" w:name="_Hlk116462683"/>
      <w:r w:rsidRPr="000C0DA8">
        <w:rPr>
          <w:b/>
          <w:color w:val="auto"/>
        </w:rPr>
        <w:t>Testing.</w:t>
      </w:r>
      <w:r w:rsidRPr="000C0DA8">
        <w:rPr>
          <w:color w:val="auto"/>
        </w:rPr>
        <w:t xml:space="preserve"> </w:t>
      </w:r>
      <w:r w:rsidR="00FA56CF">
        <w:rPr>
          <w:color w:val="auto"/>
        </w:rPr>
        <w:t xml:space="preserve">Cresce </w:t>
      </w:r>
      <w:r>
        <w:rPr>
          <w:color w:val="auto"/>
        </w:rPr>
        <w:t>i</w:t>
      </w:r>
      <w:r w:rsidRPr="000C0DA8">
        <w:rPr>
          <w:color w:val="auto"/>
        </w:rPr>
        <w:t>l numero dei tamponi totali (+6%): da 807.118 della settimana 23-29 dicembre 2022 a 855.823 della settimana 30 dicembre 2022-5 gennaio 2023. In particolare i tam</w:t>
      </w:r>
      <w:r>
        <w:rPr>
          <w:color w:val="auto"/>
        </w:rPr>
        <w:t xml:space="preserve">poni rapidi sono aumentati del </w:t>
      </w:r>
      <w:r w:rsidRPr="000C0DA8">
        <w:rPr>
          <w:color w:val="auto"/>
        </w:rPr>
        <w:t>5,4% (+36.648)</w:t>
      </w:r>
      <w:r>
        <w:rPr>
          <w:color w:val="auto"/>
        </w:rPr>
        <w:t xml:space="preserve">, mentre </w:t>
      </w:r>
      <w:r w:rsidRPr="000C0DA8">
        <w:rPr>
          <w:color w:val="auto"/>
        </w:rPr>
        <w:t xml:space="preserve">quelli molecolari </w:t>
      </w:r>
      <w:r>
        <w:rPr>
          <w:color w:val="auto"/>
        </w:rPr>
        <w:t xml:space="preserve">del </w:t>
      </w:r>
      <w:r w:rsidRPr="000C0DA8">
        <w:rPr>
          <w:color w:val="auto"/>
        </w:rPr>
        <w:t>9,3% (+12.057) (</w:t>
      </w:r>
      <w:r w:rsidRPr="000C0DA8">
        <w:rPr>
          <w:color w:val="auto"/>
          <w:highlight w:val="yellow"/>
        </w:rPr>
        <w:t>figura 4</w:t>
      </w:r>
      <w:r w:rsidRPr="000C0DA8">
        <w:rPr>
          <w:color w:val="auto"/>
        </w:rPr>
        <w:t xml:space="preserve">). La media mobile a 7 giorni del </w:t>
      </w:r>
      <w:r>
        <w:rPr>
          <w:color w:val="auto"/>
        </w:rPr>
        <w:t xml:space="preserve">tasso di positività </w:t>
      </w:r>
      <w:r w:rsidR="00FA56CF">
        <w:rPr>
          <w:color w:val="auto"/>
        </w:rPr>
        <w:t xml:space="preserve">sale </w:t>
      </w:r>
      <w:r>
        <w:rPr>
          <w:color w:val="auto"/>
        </w:rPr>
        <w:t>dall’</w:t>
      </w:r>
      <w:r w:rsidRPr="000C0DA8">
        <w:rPr>
          <w:color w:val="auto"/>
        </w:rPr>
        <w:t>11,9% al 12,3% per i tamponi molecolari e dal 15,4% al 16,5% per gli antigenici rapidi (</w:t>
      </w:r>
      <w:r w:rsidRPr="000C0DA8">
        <w:rPr>
          <w:color w:val="auto"/>
          <w:highlight w:val="yellow"/>
        </w:rPr>
        <w:t>figura 5</w:t>
      </w:r>
      <w:r w:rsidRPr="000C0DA8">
        <w:rPr>
          <w:color w:val="auto"/>
        </w:rPr>
        <w:t>).</w:t>
      </w:r>
    </w:p>
    <w:p w14:paraId="403754FF" w14:textId="77777777" w:rsidR="006270DF" w:rsidRPr="00A605F7" w:rsidRDefault="00053240" w:rsidP="00053240">
      <w:pPr>
        <w:jc w:val="both"/>
        <w:rPr>
          <w:color w:val="FF0000"/>
        </w:rPr>
      </w:pPr>
      <w:r w:rsidRPr="000C0DA8">
        <w:rPr>
          <w:b/>
          <w:color w:val="auto"/>
        </w:rPr>
        <w:lastRenderedPageBreak/>
        <w:t>Ospedalizzazioni</w:t>
      </w:r>
      <w:r w:rsidRPr="000C0DA8">
        <w:rPr>
          <w:color w:val="auto"/>
        </w:rPr>
        <w:t xml:space="preserve">. </w:t>
      </w:r>
      <w:bookmarkStart w:id="4" w:name="_Hlk115867154"/>
      <w:r w:rsidR="004E49F5" w:rsidRPr="000C0DA8">
        <w:rPr>
          <w:color w:val="auto"/>
        </w:rPr>
        <w:t xml:space="preserve">«Sul fronte degli ospedali – afferma Marco Mosti, Direttore Operativo della Fondazione GIMBE – </w:t>
      </w:r>
      <w:r w:rsidR="000C0DA8" w:rsidRPr="000C0DA8">
        <w:rPr>
          <w:color w:val="auto"/>
        </w:rPr>
        <w:t>calano</w:t>
      </w:r>
      <w:r w:rsidR="006270DF" w:rsidRPr="000C0DA8">
        <w:rPr>
          <w:color w:val="auto"/>
        </w:rPr>
        <w:t xml:space="preserve"> </w:t>
      </w:r>
      <w:r w:rsidR="00497B80" w:rsidRPr="000C0DA8">
        <w:rPr>
          <w:color w:val="auto"/>
        </w:rPr>
        <w:t xml:space="preserve">i ricoveri </w:t>
      </w:r>
      <w:r w:rsidRPr="000C0DA8">
        <w:rPr>
          <w:color w:val="auto"/>
        </w:rPr>
        <w:t>in area medica</w:t>
      </w:r>
      <w:r w:rsidRPr="000C0DA8" w:rsidDel="004A178B">
        <w:rPr>
          <w:color w:val="auto"/>
        </w:rPr>
        <w:t xml:space="preserve"> </w:t>
      </w:r>
      <w:r w:rsidRPr="000C0DA8">
        <w:rPr>
          <w:color w:val="auto"/>
        </w:rPr>
        <w:t>(</w:t>
      </w:r>
      <w:r w:rsidR="000C0DA8" w:rsidRPr="000C0DA8">
        <w:rPr>
          <w:color w:val="auto"/>
        </w:rPr>
        <w:t>-6,9</w:t>
      </w:r>
      <w:r w:rsidRPr="000C0DA8">
        <w:rPr>
          <w:color w:val="auto"/>
        </w:rPr>
        <w:t>%)</w:t>
      </w:r>
      <w:r w:rsidR="006270DF" w:rsidRPr="000C0DA8">
        <w:rPr>
          <w:color w:val="auto"/>
        </w:rPr>
        <w:t xml:space="preserve">, mentre </w:t>
      </w:r>
      <w:r w:rsidR="00DA1711">
        <w:rPr>
          <w:color w:val="auto"/>
        </w:rPr>
        <w:t>appaiono</w:t>
      </w:r>
      <w:r w:rsidR="00DA1711" w:rsidRPr="000C0DA8">
        <w:rPr>
          <w:color w:val="auto"/>
        </w:rPr>
        <w:t xml:space="preserve"> </w:t>
      </w:r>
      <w:r w:rsidR="000C0DA8" w:rsidRPr="000C0DA8">
        <w:rPr>
          <w:color w:val="auto"/>
        </w:rPr>
        <w:t>sostanzialmente stabili</w:t>
      </w:r>
      <w:r w:rsidR="00A703AA" w:rsidRPr="000C0DA8">
        <w:rPr>
          <w:color w:val="auto"/>
        </w:rPr>
        <w:t xml:space="preserve"> </w:t>
      </w:r>
      <w:r w:rsidR="000C0DA8" w:rsidRPr="000C0DA8">
        <w:rPr>
          <w:color w:val="auto"/>
        </w:rPr>
        <w:t>quelli in terapia intensiva (+1,6</w:t>
      </w:r>
      <w:r w:rsidR="006270DF" w:rsidRPr="000C0DA8">
        <w:rPr>
          <w:color w:val="auto"/>
        </w:rPr>
        <w:t>%)</w:t>
      </w:r>
      <w:r w:rsidR="004E49F5" w:rsidRPr="000C0DA8">
        <w:rPr>
          <w:color w:val="auto"/>
        </w:rPr>
        <w:t>»</w:t>
      </w:r>
      <w:r w:rsidRPr="000C0DA8">
        <w:rPr>
          <w:color w:val="auto"/>
        </w:rPr>
        <w:t xml:space="preserve">. </w:t>
      </w:r>
      <w:bookmarkEnd w:id="4"/>
      <w:r w:rsidRPr="000C0DA8">
        <w:rPr>
          <w:color w:val="auto"/>
        </w:rPr>
        <w:t xml:space="preserve">In termini assoluti, i posti letto COVID occupati in area critica, raggiunto il </w:t>
      </w:r>
      <w:r w:rsidR="006270DF" w:rsidRPr="000C0DA8">
        <w:rPr>
          <w:color w:val="auto"/>
        </w:rPr>
        <w:t>massimo</w:t>
      </w:r>
      <w:r w:rsidRPr="000C0DA8">
        <w:rPr>
          <w:color w:val="auto"/>
        </w:rPr>
        <w:t xml:space="preserve"> di </w:t>
      </w:r>
      <w:r w:rsidR="006270DF" w:rsidRPr="000C0DA8">
        <w:rPr>
          <w:color w:val="auto"/>
        </w:rPr>
        <w:t>347</w:t>
      </w:r>
      <w:r w:rsidRPr="000C0DA8">
        <w:rPr>
          <w:color w:val="auto"/>
        </w:rPr>
        <w:t xml:space="preserve"> il </w:t>
      </w:r>
      <w:r w:rsidR="00E610F4" w:rsidRPr="000C0DA8">
        <w:rPr>
          <w:color w:val="auto"/>
        </w:rPr>
        <w:t>1</w:t>
      </w:r>
      <w:r w:rsidR="006270DF" w:rsidRPr="000C0DA8">
        <w:rPr>
          <w:color w:val="auto"/>
        </w:rPr>
        <w:t>2</w:t>
      </w:r>
      <w:r w:rsidR="00E610F4" w:rsidRPr="000C0DA8">
        <w:rPr>
          <w:color w:val="auto"/>
        </w:rPr>
        <w:t xml:space="preserve"> novembre</w:t>
      </w:r>
      <w:r w:rsidR="000E509B" w:rsidRPr="000C0DA8">
        <w:rPr>
          <w:color w:val="auto"/>
        </w:rPr>
        <w:t>,</w:t>
      </w:r>
      <w:r w:rsidRPr="000C0DA8">
        <w:rPr>
          <w:color w:val="auto"/>
        </w:rPr>
        <w:t xml:space="preserve"> sono </w:t>
      </w:r>
      <w:r w:rsidR="006270DF" w:rsidRPr="000C0DA8">
        <w:rPr>
          <w:color w:val="auto"/>
        </w:rPr>
        <w:t>scesi</w:t>
      </w:r>
      <w:r w:rsidR="00E610F4" w:rsidRPr="000C0DA8">
        <w:rPr>
          <w:color w:val="auto"/>
        </w:rPr>
        <w:t xml:space="preserve"> </w:t>
      </w:r>
      <w:r w:rsidRPr="000C0DA8">
        <w:rPr>
          <w:color w:val="auto"/>
        </w:rPr>
        <w:t xml:space="preserve">a </w:t>
      </w:r>
      <w:r w:rsidR="000C0DA8" w:rsidRPr="000C0DA8">
        <w:rPr>
          <w:color w:val="auto"/>
        </w:rPr>
        <w:t>304</w:t>
      </w:r>
      <w:r w:rsidRPr="000C0DA8">
        <w:rPr>
          <w:color w:val="auto"/>
        </w:rPr>
        <w:t xml:space="preserve"> </w:t>
      </w:r>
      <w:r w:rsidR="006270DF" w:rsidRPr="000C0DA8">
        <w:rPr>
          <w:color w:val="auto"/>
        </w:rPr>
        <w:t xml:space="preserve">il </w:t>
      </w:r>
      <w:r w:rsidR="000C0DA8" w:rsidRPr="000C0DA8">
        <w:rPr>
          <w:color w:val="auto"/>
        </w:rPr>
        <w:t>30</w:t>
      </w:r>
      <w:r w:rsidR="00096BD0" w:rsidRPr="000C0DA8">
        <w:rPr>
          <w:color w:val="auto"/>
        </w:rPr>
        <w:t xml:space="preserve"> </w:t>
      </w:r>
      <w:r w:rsidR="00EB76DA" w:rsidRPr="000C0DA8">
        <w:rPr>
          <w:color w:val="auto"/>
        </w:rPr>
        <w:t>dicembre</w:t>
      </w:r>
      <w:r w:rsidR="000C0DA8" w:rsidRPr="000C0DA8">
        <w:rPr>
          <w:color w:val="auto"/>
        </w:rPr>
        <w:t xml:space="preserve"> per risalire a quota 319 il 5 gennaio</w:t>
      </w:r>
      <w:r w:rsidRPr="000C0DA8">
        <w:rPr>
          <w:color w:val="auto"/>
        </w:rPr>
        <w:t xml:space="preserve">; in area medica, raggiunto il </w:t>
      </w:r>
      <w:r w:rsidR="006270DF" w:rsidRPr="000C0DA8">
        <w:rPr>
          <w:color w:val="auto"/>
        </w:rPr>
        <w:t>massimo</w:t>
      </w:r>
      <w:r w:rsidRPr="000C0DA8">
        <w:rPr>
          <w:color w:val="auto"/>
        </w:rPr>
        <w:t xml:space="preserve"> </w:t>
      </w:r>
      <w:r w:rsidR="00301185" w:rsidRPr="000C0DA8">
        <w:rPr>
          <w:color w:val="auto"/>
        </w:rPr>
        <w:t>di</w:t>
      </w:r>
      <w:r w:rsidRPr="000C0DA8">
        <w:rPr>
          <w:color w:val="auto"/>
        </w:rPr>
        <w:t xml:space="preserve"> </w:t>
      </w:r>
      <w:r w:rsidR="006270DF" w:rsidRPr="000C0DA8">
        <w:rPr>
          <w:color w:val="auto"/>
        </w:rPr>
        <w:t>9.764</w:t>
      </w:r>
      <w:r w:rsidR="00E610F4" w:rsidRPr="000C0DA8">
        <w:rPr>
          <w:color w:val="auto"/>
        </w:rPr>
        <w:t xml:space="preserve"> </w:t>
      </w:r>
      <w:r w:rsidR="006270DF" w:rsidRPr="000C0DA8">
        <w:rPr>
          <w:color w:val="auto"/>
        </w:rPr>
        <w:t xml:space="preserve">il </w:t>
      </w:r>
      <w:r w:rsidR="00E610F4" w:rsidRPr="000C0DA8">
        <w:rPr>
          <w:color w:val="auto"/>
        </w:rPr>
        <w:t>1</w:t>
      </w:r>
      <w:r w:rsidR="006270DF" w:rsidRPr="000C0DA8">
        <w:rPr>
          <w:color w:val="auto"/>
        </w:rPr>
        <w:t>2</w:t>
      </w:r>
      <w:r w:rsidR="00E610F4" w:rsidRPr="000C0DA8">
        <w:rPr>
          <w:color w:val="auto"/>
        </w:rPr>
        <w:t xml:space="preserve"> </w:t>
      </w:r>
      <w:r w:rsidR="006270DF" w:rsidRPr="000C0DA8">
        <w:rPr>
          <w:color w:val="auto"/>
        </w:rPr>
        <w:t>dicembre</w:t>
      </w:r>
      <w:r w:rsidR="000E509B" w:rsidRPr="000C0DA8">
        <w:rPr>
          <w:color w:val="auto"/>
        </w:rPr>
        <w:t>,</w:t>
      </w:r>
      <w:r w:rsidR="006270DF" w:rsidRPr="000C0DA8">
        <w:rPr>
          <w:color w:val="auto"/>
        </w:rPr>
        <w:t xml:space="preserve"> </w:t>
      </w:r>
      <w:r w:rsidR="002E6239" w:rsidRPr="000C0DA8">
        <w:rPr>
          <w:color w:val="auto"/>
        </w:rPr>
        <w:t xml:space="preserve">sono scesi a </w:t>
      </w:r>
      <w:r w:rsidR="00301185" w:rsidRPr="000C0DA8">
        <w:rPr>
          <w:color w:val="auto"/>
        </w:rPr>
        <w:t xml:space="preserve">quota </w:t>
      </w:r>
      <w:r w:rsidR="000C0DA8" w:rsidRPr="000C0DA8">
        <w:rPr>
          <w:color w:val="auto"/>
        </w:rPr>
        <w:t>7.716</w:t>
      </w:r>
      <w:r w:rsidR="006270DF" w:rsidRPr="000C0DA8">
        <w:rPr>
          <w:color w:val="auto"/>
        </w:rPr>
        <w:t xml:space="preserve"> il 5</w:t>
      </w:r>
      <w:r w:rsidR="00EB76DA" w:rsidRPr="000C0DA8">
        <w:rPr>
          <w:color w:val="auto"/>
        </w:rPr>
        <w:t xml:space="preserve"> </w:t>
      </w:r>
      <w:r w:rsidR="000C0DA8" w:rsidRPr="000C0DA8">
        <w:rPr>
          <w:color w:val="auto"/>
        </w:rPr>
        <w:t>gennaio</w:t>
      </w:r>
      <w:r w:rsidRPr="000C0DA8">
        <w:rPr>
          <w:color w:val="auto"/>
        </w:rPr>
        <w:t xml:space="preserve"> (</w:t>
      </w:r>
      <w:r w:rsidRPr="000C0DA8">
        <w:rPr>
          <w:color w:val="auto"/>
          <w:highlight w:val="yellow"/>
        </w:rPr>
        <w:t>figura</w:t>
      </w:r>
      <w:r w:rsidR="006B64AD" w:rsidRPr="000C0DA8">
        <w:rPr>
          <w:color w:val="auto"/>
          <w:highlight w:val="yellow"/>
        </w:rPr>
        <w:t xml:space="preserve"> 6</w:t>
      </w:r>
      <w:r w:rsidRPr="000C0DA8">
        <w:rPr>
          <w:color w:val="auto"/>
        </w:rPr>
        <w:t>)</w:t>
      </w:r>
      <w:bookmarkEnd w:id="3"/>
      <w:r w:rsidRPr="000C0DA8">
        <w:rPr>
          <w:color w:val="auto"/>
        </w:rPr>
        <w:t xml:space="preserve">. </w:t>
      </w:r>
      <w:r w:rsidR="003352D2" w:rsidRPr="000C0DA8">
        <w:rPr>
          <w:color w:val="auto"/>
        </w:rPr>
        <w:t>Al</w:t>
      </w:r>
      <w:r w:rsidR="006270DF" w:rsidRPr="000C0DA8">
        <w:rPr>
          <w:color w:val="auto"/>
        </w:rPr>
        <w:t xml:space="preserve"> </w:t>
      </w:r>
      <w:r w:rsidR="000C0DA8" w:rsidRPr="000C0DA8">
        <w:rPr>
          <w:color w:val="auto"/>
        </w:rPr>
        <w:t>5 gennaio</w:t>
      </w:r>
      <w:r w:rsidR="003352D2" w:rsidRPr="000C0DA8">
        <w:rPr>
          <w:color w:val="auto"/>
        </w:rPr>
        <w:t xml:space="preserve"> il tasso </w:t>
      </w:r>
      <w:r w:rsidR="003352D2" w:rsidRPr="001B1992">
        <w:rPr>
          <w:color w:val="auto"/>
        </w:rPr>
        <w:t>nazionale di occupazione da parte di pazienti COVID è del 1</w:t>
      </w:r>
      <w:r w:rsidR="001B1992" w:rsidRPr="001B1992">
        <w:rPr>
          <w:color w:val="auto"/>
        </w:rPr>
        <w:t>2</w:t>
      </w:r>
      <w:r w:rsidR="003352D2" w:rsidRPr="001B1992">
        <w:rPr>
          <w:color w:val="auto"/>
        </w:rPr>
        <w:t>,</w:t>
      </w:r>
      <w:r w:rsidR="001B1992" w:rsidRPr="001B1992">
        <w:rPr>
          <w:color w:val="auto"/>
        </w:rPr>
        <w:t>1</w:t>
      </w:r>
      <w:r w:rsidR="003352D2" w:rsidRPr="001B1992">
        <w:rPr>
          <w:color w:val="auto"/>
        </w:rPr>
        <w:t xml:space="preserve">% in area medica (dal </w:t>
      </w:r>
      <w:r w:rsidR="001B1992" w:rsidRPr="001B1992">
        <w:rPr>
          <w:color w:val="auto"/>
        </w:rPr>
        <w:t>4,5</w:t>
      </w:r>
      <w:r w:rsidR="006037AE" w:rsidRPr="001B1992">
        <w:rPr>
          <w:color w:val="auto"/>
        </w:rPr>
        <w:t xml:space="preserve">% </w:t>
      </w:r>
      <w:r w:rsidR="003352D2" w:rsidRPr="001B1992">
        <w:rPr>
          <w:color w:val="auto"/>
        </w:rPr>
        <w:t>dell</w:t>
      </w:r>
      <w:r w:rsidR="006037AE" w:rsidRPr="001B1992">
        <w:rPr>
          <w:color w:val="auto"/>
        </w:rPr>
        <w:t>a Valle D’Aosta</w:t>
      </w:r>
      <w:r w:rsidR="001B1992" w:rsidRPr="001B1992">
        <w:rPr>
          <w:color w:val="auto"/>
        </w:rPr>
        <w:t xml:space="preserve"> al 28,5% dell’Umbria</w:t>
      </w:r>
      <w:r w:rsidR="003352D2" w:rsidRPr="001B1992">
        <w:rPr>
          <w:color w:val="auto"/>
        </w:rPr>
        <w:t>) e del 3,</w:t>
      </w:r>
      <w:r w:rsidR="006037AE" w:rsidRPr="001B1992">
        <w:rPr>
          <w:color w:val="auto"/>
        </w:rPr>
        <w:t>2</w:t>
      </w:r>
      <w:r w:rsidR="003352D2" w:rsidRPr="001B1992">
        <w:rPr>
          <w:color w:val="auto"/>
        </w:rPr>
        <w:t>% in area critica (</w:t>
      </w:r>
      <w:r w:rsidR="00096BD0" w:rsidRPr="001B1992">
        <w:rPr>
          <w:color w:val="auto"/>
        </w:rPr>
        <w:t>dall</w:t>
      </w:r>
      <w:r w:rsidR="00842244" w:rsidRPr="001B1992">
        <w:rPr>
          <w:color w:val="auto"/>
        </w:rPr>
        <w:t xml:space="preserve">o 0% di </w:t>
      </w:r>
      <w:r w:rsidR="001B1992" w:rsidRPr="001B1992">
        <w:rPr>
          <w:color w:val="auto"/>
        </w:rPr>
        <w:t>Molise</w:t>
      </w:r>
      <w:r w:rsidR="006037AE" w:rsidRPr="001B1992">
        <w:rPr>
          <w:color w:val="auto"/>
        </w:rPr>
        <w:t xml:space="preserve"> e Valle D’Aosta</w:t>
      </w:r>
      <w:r w:rsidR="00842244" w:rsidRPr="001B1992">
        <w:rPr>
          <w:color w:val="auto"/>
        </w:rPr>
        <w:t xml:space="preserve"> </w:t>
      </w:r>
      <w:r w:rsidR="003352D2" w:rsidRPr="001B1992">
        <w:rPr>
          <w:color w:val="auto"/>
        </w:rPr>
        <w:t xml:space="preserve">al </w:t>
      </w:r>
      <w:r w:rsidR="006037AE" w:rsidRPr="001B1992">
        <w:rPr>
          <w:color w:val="auto"/>
        </w:rPr>
        <w:t>6</w:t>
      </w:r>
      <w:r w:rsidR="003352D2" w:rsidRPr="001B1992">
        <w:rPr>
          <w:color w:val="auto"/>
        </w:rPr>
        <w:t>,</w:t>
      </w:r>
      <w:r w:rsidR="006037AE" w:rsidRPr="001B1992">
        <w:rPr>
          <w:color w:val="auto"/>
        </w:rPr>
        <w:t>9</w:t>
      </w:r>
      <w:r w:rsidR="003352D2" w:rsidRPr="001B1992">
        <w:rPr>
          <w:color w:val="auto"/>
        </w:rPr>
        <w:t>% del</w:t>
      </w:r>
      <w:r w:rsidR="001B1992" w:rsidRPr="001B1992">
        <w:rPr>
          <w:color w:val="auto"/>
        </w:rPr>
        <w:t>la Calabria</w:t>
      </w:r>
      <w:r w:rsidR="003352D2" w:rsidRPr="001B1992">
        <w:rPr>
          <w:color w:val="auto"/>
        </w:rPr>
        <w:t xml:space="preserve">) </w:t>
      </w:r>
      <w:r w:rsidR="0027781E" w:rsidRPr="001B1992">
        <w:rPr>
          <w:color w:val="auto"/>
        </w:rPr>
        <w:t>(</w:t>
      </w:r>
      <w:r w:rsidR="0027781E" w:rsidRPr="001B1992">
        <w:rPr>
          <w:color w:val="auto"/>
          <w:highlight w:val="yellow"/>
        </w:rPr>
        <w:t>figura 7</w:t>
      </w:r>
      <w:r w:rsidR="0027781E" w:rsidRPr="001B1992">
        <w:rPr>
          <w:color w:val="auto"/>
        </w:rPr>
        <w:t>).</w:t>
      </w:r>
      <w:r w:rsidRPr="001B1992">
        <w:rPr>
          <w:color w:val="auto"/>
        </w:rPr>
        <w:t xml:space="preserve"> </w:t>
      </w:r>
      <w:r w:rsidR="004E49F5" w:rsidRPr="001B1992">
        <w:rPr>
          <w:color w:val="auto"/>
        </w:rPr>
        <w:t>«</w:t>
      </w:r>
      <w:r w:rsidR="006037AE" w:rsidRPr="001B1992">
        <w:rPr>
          <w:color w:val="auto"/>
        </w:rPr>
        <w:t xml:space="preserve">In lieve </w:t>
      </w:r>
      <w:r w:rsidR="001B1992" w:rsidRPr="001B1992">
        <w:rPr>
          <w:color w:val="auto"/>
        </w:rPr>
        <w:t>aumento</w:t>
      </w:r>
      <w:r w:rsidR="00231857" w:rsidRPr="001B1992">
        <w:rPr>
          <w:color w:val="auto"/>
        </w:rPr>
        <w:t xml:space="preserve"> il numero di </w:t>
      </w:r>
      <w:r w:rsidR="004E49F5" w:rsidRPr="001B1992">
        <w:rPr>
          <w:color w:val="auto"/>
        </w:rPr>
        <w:t xml:space="preserve">ingressi giornalieri in terapia intensiva – puntualizza Mosti – con una media mobile a 7 giorni di </w:t>
      </w:r>
      <w:r w:rsidR="001B1992" w:rsidRPr="001B1992">
        <w:rPr>
          <w:color w:val="auto"/>
        </w:rPr>
        <w:t>36</w:t>
      </w:r>
      <w:r w:rsidR="00231857" w:rsidRPr="001B1992">
        <w:rPr>
          <w:color w:val="auto"/>
        </w:rPr>
        <w:t xml:space="preserve"> ingressi/die</w:t>
      </w:r>
      <w:r w:rsidR="001B1992" w:rsidRPr="001B1992">
        <w:rPr>
          <w:color w:val="auto"/>
        </w:rPr>
        <w:t xml:space="preserve"> rispetto ai 33</w:t>
      </w:r>
      <w:r w:rsidR="006037AE" w:rsidRPr="001B1992">
        <w:rPr>
          <w:color w:val="auto"/>
        </w:rPr>
        <w:t xml:space="preserve"> della settimana precedente</w:t>
      </w:r>
      <w:r w:rsidR="004E49F5" w:rsidRPr="001B1992">
        <w:rPr>
          <w:color w:val="auto"/>
        </w:rPr>
        <w:t>» (</w:t>
      </w:r>
      <w:r w:rsidR="004E49F5" w:rsidRPr="001B1992">
        <w:rPr>
          <w:color w:val="auto"/>
          <w:highlight w:val="yellow"/>
        </w:rPr>
        <w:t>figura 8</w:t>
      </w:r>
      <w:r w:rsidR="004E49F5" w:rsidRPr="001B1992">
        <w:rPr>
          <w:color w:val="auto"/>
        </w:rPr>
        <w:t>).</w:t>
      </w:r>
    </w:p>
    <w:p w14:paraId="25C4A257" w14:textId="11D8FF7E" w:rsidR="00A605F7" w:rsidRPr="001B1992" w:rsidRDefault="00053240" w:rsidP="004F372D">
      <w:pPr>
        <w:spacing w:line="276" w:lineRule="auto"/>
        <w:jc w:val="both"/>
        <w:rPr>
          <w:color w:val="auto"/>
        </w:rPr>
      </w:pPr>
      <w:r w:rsidRPr="001B1992">
        <w:rPr>
          <w:b/>
          <w:color w:val="auto"/>
        </w:rPr>
        <w:t>Decessi.</w:t>
      </w:r>
      <w:r w:rsidRPr="001B1992">
        <w:rPr>
          <w:color w:val="auto"/>
        </w:rPr>
        <w:t xml:space="preserve"> </w:t>
      </w:r>
      <w:r w:rsidR="00B1023B">
        <w:rPr>
          <w:color w:val="auto"/>
        </w:rPr>
        <w:t xml:space="preserve">Tornano a salire </w:t>
      </w:r>
      <w:r w:rsidR="00DA1711">
        <w:rPr>
          <w:color w:val="auto"/>
        </w:rPr>
        <w:t>i</w:t>
      </w:r>
      <w:r w:rsidR="00BD5B00" w:rsidRPr="001B1992">
        <w:rPr>
          <w:color w:val="auto"/>
        </w:rPr>
        <w:t xml:space="preserve"> </w:t>
      </w:r>
      <w:r w:rsidRPr="001B1992">
        <w:rPr>
          <w:color w:val="auto"/>
        </w:rPr>
        <w:t>decessi</w:t>
      </w:r>
      <w:r w:rsidR="003565F0">
        <w:rPr>
          <w:color w:val="auto"/>
        </w:rPr>
        <w:t xml:space="preserve"> che da quattro settimane superano i 100 al giorno</w:t>
      </w:r>
      <w:r w:rsidRPr="001B1992">
        <w:rPr>
          <w:color w:val="auto"/>
        </w:rPr>
        <w:t xml:space="preserve">: </w:t>
      </w:r>
      <w:r w:rsidR="001B1992" w:rsidRPr="001B1992">
        <w:rPr>
          <w:color w:val="auto"/>
        </w:rPr>
        <w:t>775</w:t>
      </w:r>
      <w:r w:rsidRPr="001B1992">
        <w:rPr>
          <w:color w:val="auto"/>
        </w:rPr>
        <w:t xml:space="preserve"> </w:t>
      </w:r>
      <w:r w:rsidR="001773CB" w:rsidRPr="001B1992">
        <w:rPr>
          <w:color w:val="auto"/>
        </w:rPr>
        <w:t xml:space="preserve">negli ultimi 7 giorni (di cui </w:t>
      </w:r>
      <w:r w:rsidR="001B1992" w:rsidRPr="001B1992">
        <w:rPr>
          <w:color w:val="auto"/>
        </w:rPr>
        <w:t>52</w:t>
      </w:r>
      <w:r w:rsidR="00096BD0" w:rsidRPr="001B1992">
        <w:rPr>
          <w:color w:val="auto"/>
        </w:rPr>
        <w:t xml:space="preserve"> </w:t>
      </w:r>
      <w:r w:rsidRPr="001B1992">
        <w:rPr>
          <w:color w:val="auto"/>
        </w:rPr>
        <w:t xml:space="preserve">riferiti a periodi precedenti), con una media di </w:t>
      </w:r>
      <w:r w:rsidR="001B1992" w:rsidRPr="001B1992">
        <w:rPr>
          <w:color w:val="auto"/>
        </w:rPr>
        <w:t>111</w:t>
      </w:r>
      <w:r w:rsidR="00C904CF" w:rsidRPr="001B1992">
        <w:rPr>
          <w:color w:val="auto"/>
        </w:rPr>
        <w:t xml:space="preserve"> </w:t>
      </w:r>
      <w:r w:rsidRPr="001B1992">
        <w:rPr>
          <w:color w:val="auto"/>
        </w:rPr>
        <w:t xml:space="preserve">al giorno rispetto </w:t>
      </w:r>
      <w:r w:rsidR="00231857" w:rsidRPr="001B1992">
        <w:rPr>
          <w:color w:val="auto"/>
        </w:rPr>
        <w:t xml:space="preserve">ai </w:t>
      </w:r>
      <w:r w:rsidR="001B1992" w:rsidRPr="001B1992">
        <w:rPr>
          <w:color w:val="auto"/>
        </w:rPr>
        <w:t>101</w:t>
      </w:r>
      <w:r w:rsidRPr="001B1992">
        <w:rPr>
          <w:color w:val="auto"/>
        </w:rPr>
        <w:t xml:space="preserve"> della settimana precedente.</w:t>
      </w:r>
      <w:r w:rsidR="00D648B7" w:rsidRPr="001B1992">
        <w:rPr>
          <w:color w:val="auto"/>
        </w:rPr>
        <w:t xml:space="preserve"> </w:t>
      </w:r>
    </w:p>
    <w:p w14:paraId="0394A612" w14:textId="77777777" w:rsidR="00DD6B88" w:rsidRPr="003F49EE" w:rsidRDefault="00DD6B88" w:rsidP="00053240">
      <w:pPr>
        <w:spacing w:line="276" w:lineRule="auto"/>
        <w:jc w:val="both"/>
        <w:rPr>
          <w:b/>
          <w:color w:val="auto"/>
        </w:rPr>
      </w:pPr>
      <w:r w:rsidRPr="003F49EE">
        <w:rPr>
          <w:b/>
          <w:color w:val="auto"/>
        </w:rPr>
        <w:t>MONITORAGGIO CAMPAGNA VACCINALE</w:t>
      </w:r>
    </w:p>
    <w:p w14:paraId="78B3B86F" w14:textId="77777777" w:rsidR="00A605F7" w:rsidRPr="00622506" w:rsidRDefault="008F54DA" w:rsidP="004F372D">
      <w:pPr>
        <w:spacing w:line="276" w:lineRule="auto"/>
        <w:jc w:val="both"/>
        <w:rPr>
          <w:color w:val="auto"/>
        </w:rPr>
      </w:pPr>
      <w:r w:rsidRPr="008F54DA">
        <w:rPr>
          <w:b/>
          <w:color w:val="auto"/>
        </w:rPr>
        <w:t>Vaccini: nuovi vaccinati.</w:t>
      </w:r>
      <w:r w:rsidRPr="008F54DA">
        <w:rPr>
          <w:color w:val="auto"/>
        </w:rPr>
        <w:t xml:space="preserve"> Nella settimana 30 dicembre</w:t>
      </w:r>
      <w:r>
        <w:rPr>
          <w:color w:val="auto"/>
        </w:rPr>
        <w:t xml:space="preserve"> 2022</w:t>
      </w:r>
      <w:r w:rsidR="008C3373">
        <w:rPr>
          <w:color w:val="auto"/>
        </w:rPr>
        <w:t>-</w:t>
      </w:r>
      <w:r w:rsidRPr="008F54DA">
        <w:rPr>
          <w:color w:val="auto"/>
        </w:rPr>
        <w:t xml:space="preserve">5 gennaio </w:t>
      </w:r>
      <w:r>
        <w:rPr>
          <w:color w:val="auto"/>
        </w:rPr>
        <w:t xml:space="preserve">2023 </w:t>
      </w:r>
      <w:r w:rsidRPr="008F54DA">
        <w:rPr>
          <w:color w:val="auto"/>
        </w:rPr>
        <w:t>crescono i nuovi vaccinati: 614 rispetto ai 577 della settimana precedente (6,4%). Di questi il 24,1% è rappresentato dalla fascia 5-11: 148, con un incremento del 74,1% rispetto alla settimana precedente. Cresce tra gli over 50, più a rischio di malattia grave, il numero di nuovi vaccinati che si attesta a quota 199 (15,7% rispetto alla settimana precedente) (</w:t>
      </w:r>
      <w:r w:rsidRPr="008F54DA">
        <w:rPr>
          <w:color w:val="auto"/>
          <w:highlight w:val="yellow"/>
        </w:rPr>
        <w:t>figura 9</w:t>
      </w:r>
      <w:r w:rsidRPr="008F54DA">
        <w:rPr>
          <w:color w:val="auto"/>
        </w:rPr>
        <w:t>).</w:t>
      </w:r>
    </w:p>
    <w:p w14:paraId="21B7677F" w14:textId="77777777" w:rsidR="00864A05" w:rsidRDefault="00864A05" w:rsidP="00864A05">
      <w:pPr>
        <w:spacing w:after="0" w:line="276" w:lineRule="auto"/>
        <w:jc w:val="both"/>
        <w:rPr>
          <w:color w:val="auto"/>
        </w:rPr>
      </w:pPr>
      <w:r w:rsidRPr="00864A05">
        <w:rPr>
          <w:b/>
          <w:color w:val="auto"/>
        </w:rPr>
        <w:t>Vaccini: persone non vaccinate.</w:t>
      </w:r>
      <w:r w:rsidRPr="00864A05">
        <w:rPr>
          <w:color w:val="auto"/>
        </w:rPr>
        <w:t xml:space="preserve"> Al 6 gennaio (aggiornamento ore 06.17) sono 6,78 milioni le persone di età superiore a 5 anni che non hanno ricevuto nemmeno una dose di vaccino (</w:t>
      </w:r>
      <w:r w:rsidRPr="00864A05">
        <w:rPr>
          <w:color w:val="auto"/>
          <w:highlight w:val="yellow"/>
        </w:rPr>
        <w:t>figura 10</w:t>
      </w:r>
      <w:r w:rsidRPr="00864A05">
        <w:rPr>
          <w:color w:val="auto"/>
        </w:rPr>
        <w:t xml:space="preserve">), di cui: </w:t>
      </w:r>
    </w:p>
    <w:p w14:paraId="140A3FA4" w14:textId="77777777" w:rsidR="00864A05" w:rsidRDefault="00864A05" w:rsidP="00864A05">
      <w:pPr>
        <w:pStyle w:val="Paragrafoelenco"/>
        <w:numPr>
          <w:ilvl w:val="0"/>
          <w:numId w:val="48"/>
        </w:numPr>
        <w:spacing w:after="0" w:line="276" w:lineRule="auto"/>
        <w:jc w:val="both"/>
        <w:rPr>
          <w:color w:val="auto"/>
        </w:rPr>
      </w:pPr>
      <w:r w:rsidRPr="00864A05">
        <w:rPr>
          <w:color w:val="auto"/>
        </w:rPr>
        <w:t>6,15 milioni attualmente vaccinabili, pari al 10,7% della platea (dal 8,2% della Puglia al 14,2% della</w:t>
      </w:r>
      <w:r>
        <w:rPr>
          <w:color w:val="auto"/>
        </w:rPr>
        <w:t xml:space="preserve"> Valle </w:t>
      </w:r>
      <w:r w:rsidR="00021D57">
        <w:rPr>
          <w:color w:val="auto"/>
        </w:rPr>
        <w:t>D’Aosta</w:t>
      </w:r>
      <w:r>
        <w:rPr>
          <w:color w:val="auto"/>
        </w:rPr>
        <w:t>)</w:t>
      </w:r>
      <w:r w:rsidR="00EF7B51">
        <w:rPr>
          <w:color w:val="auto"/>
        </w:rPr>
        <w:t>;</w:t>
      </w:r>
    </w:p>
    <w:p w14:paraId="68383B83" w14:textId="77777777" w:rsidR="00A605F7" w:rsidRPr="00864A05" w:rsidRDefault="00864A05" w:rsidP="00864A05">
      <w:pPr>
        <w:pStyle w:val="Paragrafoelenco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864A05">
        <w:rPr>
          <w:color w:val="auto"/>
        </w:rPr>
        <w:t>0,63 milioni temporaneamente protette in quanto guarite da COVID-19 da meno di 180 giorni,</w:t>
      </w:r>
      <w:r>
        <w:rPr>
          <w:color w:val="auto"/>
        </w:rPr>
        <w:t xml:space="preserve"> pari al</w:t>
      </w:r>
      <w:r w:rsidR="00021D57">
        <w:rPr>
          <w:color w:val="auto"/>
        </w:rPr>
        <w:t>l’</w:t>
      </w:r>
      <w:r>
        <w:rPr>
          <w:color w:val="auto"/>
        </w:rPr>
        <w:t xml:space="preserve">1,1% della platea (dallo </w:t>
      </w:r>
      <w:r w:rsidRPr="00864A05">
        <w:rPr>
          <w:color w:val="auto"/>
        </w:rPr>
        <w:t xml:space="preserve">0,7% della Valle </w:t>
      </w:r>
      <w:r w:rsidR="00021D57" w:rsidRPr="00864A05">
        <w:rPr>
          <w:color w:val="auto"/>
        </w:rPr>
        <w:t>D</w:t>
      </w:r>
      <w:r w:rsidR="00021D57">
        <w:rPr>
          <w:color w:val="auto"/>
        </w:rPr>
        <w:t>’</w:t>
      </w:r>
      <w:r w:rsidR="00021D57" w:rsidRPr="00864A05">
        <w:rPr>
          <w:color w:val="auto"/>
        </w:rPr>
        <w:t xml:space="preserve">Aosta </w:t>
      </w:r>
      <w:r w:rsidRPr="00864A05">
        <w:rPr>
          <w:color w:val="auto"/>
        </w:rPr>
        <w:t xml:space="preserve">al 2,1% del Friuli </w:t>
      </w:r>
      <w:r w:rsidR="00021D57" w:rsidRPr="00864A05">
        <w:rPr>
          <w:color w:val="auto"/>
        </w:rPr>
        <w:t>Venezia</w:t>
      </w:r>
      <w:r w:rsidR="00021D57">
        <w:rPr>
          <w:color w:val="auto"/>
        </w:rPr>
        <w:t>-</w:t>
      </w:r>
      <w:r w:rsidRPr="00864A05">
        <w:rPr>
          <w:color w:val="auto"/>
        </w:rPr>
        <w:t>Giulia).</w:t>
      </w:r>
    </w:p>
    <w:p w14:paraId="504FEEA0" w14:textId="77777777" w:rsidR="00864A05" w:rsidRDefault="00864A05" w:rsidP="00864A05">
      <w:pPr>
        <w:spacing w:after="0" w:line="276" w:lineRule="auto"/>
        <w:jc w:val="both"/>
        <w:rPr>
          <w:color w:val="auto"/>
        </w:rPr>
      </w:pPr>
      <w:r w:rsidRPr="00864A05">
        <w:rPr>
          <w:b/>
          <w:color w:val="auto"/>
        </w:rPr>
        <w:t>Vaccini: terza dose.</w:t>
      </w:r>
      <w:r w:rsidRPr="00864A05">
        <w:rPr>
          <w:color w:val="auto"/>
        </w:rPr>
        <w:t xml:space="preserve"> Al 6 gennaio (aggiornamento ore 06.17) sono state somministrate 40.431.781 terze dosi con una media mobile a 7 giorni di 1.238 somministrazioni al giorno, in aumento rispetto alle 920 della settimana precedente. In base alla </w:t>
      </w:r>
      <w:hyperlink r:id="rId8" w:history="1">
        <w:r w:rsidRPr="00864A05">
          <w:rPr>
            <w:rStyle w:val="Collegamentoipertestuale"/>
            <w:color w:val="auto"/>
          </w:rPr>
          <w:t>platea ufficiale</w:t>
        </w:r>
      </w:hyperlink>
      <w:r w:rsidRPr="00864A05">
        <w:rPr>
          <w:color w:val="auto"/>
        </w:rPr>
        <w:t xml:space="preserve"> (n. 47.703.593), aggiornata al 20 maggio</w:t>
      </w:r>
      <w:r w:rsidR="00021D57">
        <w:rPr>
          <w:color w:val="auto"/>
        </w:rPr>
        <w:t>,</w:t>
      </w:r>
      <w:r w:rsidRPr="00864A05">
        <w:rPr>
          <w:color w:val="auto"/>
        </w:rPr>
        <w:t xml:space="preserve"> il tasso di copertura nazionale per le terze dosi è dell’84,8%: dal 78,6% della Sicilia all’88,7% della Lombardia. Sono 7,27 milioni le persone che non hanno ancora ricevuto la dose </w:t>
      </w:r>
      <w:r w:rsidRPr="00864A05">
        <w:rPr>
          <w:i/>
          <w:color w:val="auto"/>
        </w:rPr>
        <w:t>booster</w:t>
      </w:r>
      <w:r w:rsidRPr="00864A05">
        <w:rPr>
          <w:color w:val="auto"/>
        </w:rPr>
        <w:t xml:space="preserve"> (</w:t>
      </w:r>
      <w:r w:rsidRPr="00864A05">
        <w:rPr>
          <w:color w:val="auto"/>
          <w:highlight w:val="yellow"/>
        </w:rPr>
        <w:t>figura 11</w:t>
      </w:r>
      <w:r w:rsidRPr="00864A05">
        <w:rPr>
          <w:color w:val="auto"/>
        </w:rPr>
        <w:t xml:space="preserve">), di cui: </w:t>
      </w:r>
    </w:p>
    <w:p w14:paraId="25824864" w14:textId="77777777" w:rsidR="00864A05" w:rsidRDefault="00864A05" w:rsidP="00864A05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color w:val="auto"/>
        </w:rPr>
      </w:pPr>
      <w:r w:rsidRPr="00864A05">
        <w:rPr>
          <w:color w:val="auto"/>
        </w:rPr>
        <w:t>5,74 milioni possono riceverla subito, pari al 12% della platea (dal 7,5% del P</w:t>
      </w:r>
      <w:r>
        <w:rPr>
          <w:color w:val="auto"/>
        </w:rPr>
        <w:t>iemonte al 20,2% della Sicilia)</w:t>
      </w:r>
      <w:r w:rsidR="00EF7B51">
        <w:rPr>
          <w:color w:val="auto"/>
        </w:rPr>
        <w:t>;</w:t>
      </w:r>
    </w:p>
    <w:p w14:paraId="121FFD1F" w14:textId="77777777" w:rsidR="00A605F7" w:rsidRPr="00864A05" w:rsidRDefault="00864A05" w:rsidP="00864A05">
      <w:pPr>
        <w:pStyle w:val="Paragrafoelenco"/>
        <w:numPr>
          <w:ilvl w:val="0"/>
          <w:numId w:val="49"/>
        </w:numPr>
        <w:spacing w:line="276" w:lineRule="auto"/>
        <w:jc w:val="both"/>
        <w:rPr>
          <w:color w:val="auto"/>
        </w:rPr>
      </w:pPr>
      <w:r w:rsidRPr="00864A05">
        <w:rPr>
          <w:color w:val="auto"/>
        </w:rPr>
        <w:t>1,53 milioni non possono riceverla nell’immediato in quanto guarite da meno di 120 giorni, pari al 3,2% della platea (</w:t>
      </w:r>
      <w:r w:rsidR="00021D57" w:rsidRPr="00864A05">
        <w:rPr>
          <w:color w:val="auto"/>
        </w:rPr>
        <w:t>dal</w:t>
      </w:r>
      <w:r w:rsidR="00021D57">
        <w:rPr>
          <w:color w:val="auto"/>
        </w:rPr>
        <w:t>l’</w:t>
      </w:r>
      <w:r w:rsidRPr="00864A05">
        <w:rPr>
          <w:color w:val="auto"/>
        </w:rPr>
        <w:t>1,1% della Sicilia al 5,8% del Veneto).</w:t>
      </w:r>
    </w:p>
    <w:p w14:paraId="703E4B1A" w14:textId="77777777" w:rsidR="0011748C" w:rsidRPr="00A605F7" w:rsidRDefault="0011748C" w:rsidP="0011748C">
      <w:pPr>
        <w:spacing w:line="276" w:lineRule="auto"/>
        <w:jc w:val="both"/>
        <w:rPr>
          <w:color w:val="FF0000"/>
        </w:rPr>
      </w:pPr>
      <w:r w:rsidRPr="0011748C">
        <w:rPr>
          <w:b/>
          <w:color w:val="auto"/>
        </w:rPr>
        <w:t xml:space="preserve">Vaccini: quarta dose. </w:t>
      </w:r>
      <w:r w:rsidRPr="0011748C">
        <w:rPr>
          <w:color w:val="auto"/>
        </w:rPr>
        <w:t>La platea per il secondo richiamo (quarta dose), aggiornata al 17 settembre, è di 19,1 milioni di persone: di queste, 11,7 milioni possono riceverlo subito, 1,7 non sono eleggibili nell’immediato in quanto guarite da meno di 120 giorni e 5,7 milioni l’hanno già ricevuto. Al 6 gennaio (</w:t>
      </w:r>
      <w:r w:rsidRPr="00594AEA">
        <w:rPr>
          <w:color w:val="auto"/>
        </w:rPr>
        <w:t>aggiornamento ore 06.17) sono state somministrate 5.675.250 quarte dosi, con una media mobile di 9.550 somministrazioni al giorno, in aumento rispetto alle 6.275 della scorsa settimana (52,2%) (</w:t>
      </w:r>
      <w:r w:rsidRPr="00594AEA">
        <w:rPr>
          <w:color w:val="auto"/>
          <w:highlight w:val="yellow"/>
        </w:rPr>
        <w:t>figura 12</w:t>
      </w:r>
      <w:r w:rsidRPr="00594AEA">
        <w:rPr>
          <w:color w:val="auto"/>
        </w:rPr>
        <w:t xml:space="preserve">). In base alla </w:t>
      </w:r>
      <w:hyperlink r:id="rId9" w:history="1">
        <w:r w:rsidRPr="00594AEA">
          <w:rPr>
            <w:rStyle w:val="Collegamentoipertestuale"/>
            <w:color w:val="auto"/>
          </w:rPr>
          <w:t>platea ufficiale</w:t>
        </w:r>
      </w:hyperlink>
      <w:r w:rsidRPr="00594AEA">
        <w:rPr>
          <w:color w:val="auto"/>
        </w:rPr>
        <w:t xml:space="preserve"> (n. 19.119.772 di cui 13.060.462 over 60, 3.990.080 fragili e immunocompromessi, 1.748.256 di personale </w:t>
      </w:r>
      <w:r w:rsidRPr="0011748C">
        <w:rPr>
          <w:color w:val="auto"/>
        </w:rPr>
        <w:t>sanitario e 320.974 di ospiti delle RSA che non ricadono nelle categorie precedenti)</w:t>
      </w:r>
      <w:r w:rsidR="00021D57">
        <w:rPr>
          <w:color w:val="auto"/>
        </w:rPr>
        <w:t>,</w:t>
      </w:r>
      <w:r w:rsidRPr="0011748C">
        <w:rPr>
          <w:color w:val="auto"/>
        </w:rPr>
        <w:t xml:space="preserve"> il tasso di copertura nazionale per le quarte dosi è del 29,7% con nette differenze regionali: dal 13,4% della Calabria al 43,6% del Piemonte (</w:t>
      </w:r>
      <w:r w:rsidRPr="0011748C">
        <w:rPr>
          <w:color w:val="auto"/>
          <w:highlight w:val="yellow"/>
        </w:rPr>
        <w:t>figura 13</w:t>
      </w:r>
      <w:r w:rsidRPr="0011748C">
        <w:rPr>
          <w:color w:val="auto"/>
        </w:rPr>
        <w:t>).</w:t>
      </w:r>
      <w:r w:rsidRPr="0011748C">
        <w:rPr>
          <w:color w:val="FF0000"/>
        </w:rPr>
        <w:t xml:space="preserve"> </w:t>
      </w:r>
    </w:p>
    <w:p w14:paraId="20D4112B" w14:textId="77777777" w:rsidR="00A605F7" w:rsidRPr="00415695" w:rsidRDefault="00B80CBD" w:rsidP="00675E62">
      <w:pPr>
        <w:spacing w:after="120" w:line="276" w:lineRule="auto"/>
        <w:rPr>
          <w:bCs/>
          <w:color w:val="auto"/>
        </w:rPr>
      </w:pPr>
      <w:r w:rsidRPr="00864A05">
        <w:rPr>
          <w:b/>
          <w:color w:val="auto"/>
        </w:rPr>
        <w:t>Vaccini: quinta dose</w:t>
      </w:r>
      <w:r w:rsidRPr="00864A05">
        <w:rPr>
          <w:bCs/>
          <w:color w:val="auto"/>
        </w:rPr>
        <w:t xml:space="preserve">. </w:t>
      </w:r>
      <w:r w:rsidR="00FC739F" w:rsidRPr="00864A05">
        <w:rPr>
          <w:bCs/>
          <w:color w:val="auto"/>
        </w:rPr>
        <w:t>Non è ancora disponibile n</w:t>
      </w:r>
      <w:r w:rsidRPr="00864A05">
        <w:rPr>
          <w:bCs/>
          <w:color w:val="auto"/>
        </w:rPr>
        <w:t xml:space="preserve">essun dato ufficiale sulle somministrazioni. </w:t>
      </w:r>
    </w:p>
    <w:p w14:paraId="02A367AE" w14:textId="77777777" w:rsidR="00431179" w:rsidRDefault="00431179" w:rsidP="008C5CB5">
      <w:pPr>
        <w:rPr>
          <w:b/>
          <w:bCs/>
        </w:rPr>
      </w:pPr>
    </w:p>
    <w:p w14:paraId="488A9804" w14:textId="77777777" w:rsidR="00431179" w:rsidRPr="00431179" w:rsidRDefault="008C5CB5" w:rsidP="008C5CB5">
      <w:pPr>
        <w:rPr>
          <w:caps/>
        </w:rPr>
      </w:pPr>
      <w:r w:rsidRPr="00431179">
        <w:rPr>
          <w:b/>
          <w:bCs/>
          <w:caps/>
        </w:rPr>
        <w:t>Nuove varianti</w:t>
      </w:r>
      <w:r w:rsidRPr="00431179">
        <w:rPr>
          <w:caps/>
        </w:rPr>
        <w:t xml:space="preserve"> </w:t>
      </w:r>
    </w:p>
    <w:p w14:paraId="07F6AF7E" w14:textId="77777777" w:rsidR="008E6A8F" w:rsidRDefault="008C5CB5" w:rsidP="00697D9E">
      <w:pPr>
        <w:jc w:val="both"/>
      </w:pPr>
      <w:r w:rsidRPr="00480196">
        <w:t>«</w:t>
      </w:r>
      <w:r>
        <w:t xml:space="preserve">Le notizie provenienti dalla Cina </w:t>
      </w:r>
      <w:r w:rsidRPr="00480196">
        <w:t xml:space="preserve">– </w:t>
      </w:r>
      <w:r>
        <w:t xml:space="preserve">spiega </w:t>
      </w:r>
      <w:r w:rsidRPr="00480196">
        <w:t>Cartabellotta –</w:t>
      </w:r>
      <w:r>
        <w:t xml:space="preserve"> </w:t>
      </w:r>
      <w:r w:rsidR="00021D57">
        <w:t xml:space="preserve">nelle ultime settimane </w:t>
      </w:r>
      <w:r>
        <w:t xml:space="preserve">hanno generato un </w:t>
      </w:r>
      <w:r w:rsidR="00310448">
        <w:t>certo</w:t>
      </w:r>
      <w:r>
        <w:t xml:space="preserve"> allarmismo</w:t>
      </w:r>
      <w:r w:rsidR="00310448">
        <w:t xml:space="preserve">, anche se </w:t>
      </w:r>
      <w:r w:rsidR="008E6A8F">
        <w:t xml:space="preserve">quanto sta accadendo era </w:t>
      </w:r>
      <w:r w:rsidR="00310448">
        <w:t>ampiamente prevedibil</w:t>
      </w:r>
      <w:r w:rsidR="008E6A8F">
        <w:t>e</w:t>
      </w:r>
      <w:r w:rsidR="00CC4C84">
        <w:t xml:space="preserve">. Infatti, </w:t>
      </w:r>
      <w:r w:rsidR="008E6A8F">
        <w:t xml:space="preserve">è inevitabile che </w:t>
      </w:r>
      <w:r>
        <w:t xml:space="preserve">un Paese che ha vaccinato poco, in particolare anziani e fragili, </w:t>
      </w:r>
      <w:r w:rsidR="00CC4C84">
        <w:t xml:space="preserve">con </w:t>
      </w:r>
      <w:r>
        <w:t>un vaccino poco efficace sulla malattia grave, con l’improvvisa</w:t>
      </w:r>
      <w:r w:rsidR="00021D57">
        <w:t xml:space="preserve"> </w:t>
      </w:r>
      <w:r>
        <w:t xml:space="preserve">sospensione ai primi di dicembre della strategia “zero COVID” sperimenti una netta ripresa della circolazione virale e un </w:t>
      </w:r>
      <w:r w:rsidR="008E6A8F">
        <w:t xml:space="preserve">rilevante </w:t>
      </w:r>
      <w:r>
        <w:t>impatto su ospedalizzazioni e decessi</w:t>
      </w:r>
      <w:r w:rsidRPr="00480196">
        <w:t>»</w:t>
      </w:r>
      <w:r>
        <w:t xml:space="preserve">. </w:t>
      </w:r>
      <w:r w:rsidR="00386356">
        <w:t xml:space="preserve">Peraltro, se la </w:t>
      </w:r>
      <w:r w:rsidR="00386356" w:rsidRPr="0068472A">
        <w:t xml:space="preserve">Commissione </w:t>
      </w:r>
      <w:r w:rsidR="00386356">
        <w:t>E</w:t>
      </w:r>
      <w:r w:rsidR="00386356" w:rsidRPr="0068472A">
        <w:t>uropea</w:t>
      </w:r>
      <w:r w:rsidR="00386356">
        <w:t xml:space="preserve"> ha ribadito </w:t>
      </w:r>
      <w:r w:rsidR="00021D57">
        <w:t xml:space="preserve">che </w:t>
      </w:r>
      <w:r w:rsidR="00386356" w:rsidRPr="0068472A">
        <w:t>mancano dati affidabili sulla situazione in rapida evoluzione del C</w:t>
      </w:r>
      <w:r w:rsidR="00021D57">
        <w:t>OVID-</w:t>
      </w:r>
      <w:r w:rsidR="00386356" w:rsidRPr="0068472A">
        <w:t>19 in Cina</w:t>
      </w:r>
      <w:r w:rsidR="00386356">
        <w:t xml:space="preserve">, l’OMS sottolinea che l’impatto della nuova ondata è ampiamente </w:t>
      </w:r>
      <w:r w:rsidR="00021D57">
        <w:t xml:space="preserve">sottostimato </w:t>
      </w:r>
      <w:r w:rsidR="00386356">
        <w:t xml:space="preserve">per una comunicazione dei dati parziale e poco trasparente. </w:t>
      </w:r>
      <w:r>
        <w:t xml:space="preserve">Riguardo la possibilità che l’elevata circolazione del virus </w:t>
      </w:r>
      <w:r w:rsidR="007078DA">
        <w:t xml:space="preserve">in Cina </w:t>
      </w:r>
      <w:r>
        <w:t xml:space="preserve">possa generare varianti di preoccupazione in grado di determinare una nuova ondata in altri Paesi, al momento non ci sono evidenze in merito. </w:t>
      </w:r>
    </w:p>
    <w:p w14:paraId="1DB726AE" w14:textId="77777777" w:rsidR="008C5CB5" w:rsidRDefault="008C5CB5" w:rsidP="00697D9E">
      <w:pPr>
        <w:jc w:val="both"/>
      </w:pPr>
      <w:r>
        <w:t>In particolare, l’</w:t>
      </w:r>
      <w:r w:rsidRPr="00B11541">
        <w:rPr>
          <w:i/>
          <w:iCs/>
        </w:rPr>
        <w:t xml:space="preserve">European Centre for Disease Prevention and Control </w:t>
      </w:r>
      <w:r w:rsidRPr="00093E88">
        <w:t xml:space="preserve">(ECDC) </w:t>
      </w:r>
      <w:r>
        <w:t xml:space="preserve">il 5 gennaio ha rilasciato un </w:t>
      </w:r>
      <w:hyperlink r:id="rId10" w:history="1">
        <w:r w:rsidRPr="00093E88">
          <w:rPr>
            <w:rStyle w:val="Collegamentoipertestuale"/>
          </w:rPr>
          <w:t>aggiornamento</w:t>
        </w:r>
      </w:hyperlink>
      <w:r>
        <w:t xml:space="preserve"> sulla variante </w:t>
      </w:r>
      <w:r w:rsidRPr="00093E88">
        <w:t>XBB.1.5</w:t>
      </w:r>
      <w:r>
        <w:t xml:space="preserve"> </w:t>
      </w:r>
      <w:r w:rsidR="003F3257">
        <w:t>“ribattezzata” Kraken</w:t>
      </w:r>
      <w:r w:rsidR="00627460">
        <w:t xml:space="preserve"> che </w:t>
      </w:r>
      <w:r w:rsidR="000E485E">
        <w:t xml:space="preserve">non </w:t>
      </w:r>
      <w:r w:rsidR="00627460">
        <w:t>proviene</w:t>
      </w:r>
      <w:r w:rsidR="000E485E">
        <w:t xml:space="preserve"> affatto dalla Cina, ma </w:t>
      </w:r>
      <w:r w:rsidR="00627460">
        <w:t xml:space="preserve">dagli Stati Uniti </w:t>
      </w:r>
      <w:r w:rsidR="000E485E">
        <w:t>ed è stata già definita dall’OMS come “</w:t>
      </w:r>
      <w:r w:rsidR="000E485E" w:rsidRPr="000E485E">
        <w:t>la sotto</w:t>
      </w:r>
      <w:r w:rsidR="000E485E">
        <w:t>-</w:t>
      </w:r>
      <w:r w:rsidR="000E485E" w:rsidRPr="000E485E">
        <w:t>variante di Omicron più trasmissibile finora individuata</w:t>
      </w:r>
      <w:r w:rsidR="000E485E">
        <w:t>”</w:t>
      </w:r>
      <w:r>
        <w:t xml:space="preserve">. </w:t>
      </w:r>
      <w:r w:rsidR="00627460">
        <w:t xml:space="preserve">L’ECDC </w:t>
      </w:r>
      <w:r w:rsidRPr="003B3178">
        <w:t xml:space="preserve">stima che abbia un grande vantaggio di crescita rispetto ai lignaggi circolanti in precedenza in Nord America (139%) ed Europa (137%), </w:t>
      </w:r>
      <w:r>
        <w:t xml:space="preserve">ma si tratta di </w:t>
      </w:r>
      <w:r w:rsidRPr="003B3178">
        <w:t>stime associat</w:t>
      </w:r>
      <w:r>
        <w:t>e</w:t>
      </w:r>
      <w:r w:rsidRPr="003B3178">
        <w:t xml:space="preserve"> a notevole incertezza</w:t>
      </w:r>
      <w:r w:rsidR="00627460">
        <w:t xml:space="preserve"> e n</w:t>
      </w:r>
      <w:r>
        <w:t xml:space="preserve">on esistono evidenze </w:t>
      </w:r>
      <w:r w:rsidR="003F3257">
        <w:t>che possa determinare una malattia più grave</w:t>
      </w:r>
      <w:r>
        <w:t xml:space="preserve">. Secondo l’ECDC potrebbe determinare un aumento dei casi </w:t>
      </w:r>
      <w:r w:rsidRPr="003B3178">
        <w:t xml:space="preserve">di COVID-19 </w:t>
      </w:r>
      <w:r>
        <w:t xml:space="preserve">anche in Europa, ma </w:t>
      </w:r>
      <w:r w:rsidRPr="003B3178">
        <w:t xml:space="preserve">non entro il prossimo mese </w:t>
      </w:r>
      <w:r>
        <w:t xml:space="preserve">perché </w:t>
      </w:r>
      <w:r w:rsidRPr="003B3178">
        <w:t xml:space="preserve">la </w:t>
      </w:r>
      <w:r w:rsidR="003A3751">
        <w:t xml:space="preserve">circolazione della </w:t>
      </w:r>
      <w:r w:rsidRPr="003B3178">
        <w:t xml:space="preserve">variante è </w:t>
      </w:r>
      <w:r w:rsidR="003A3751">
        <w:t>ancora limitata</w:t>
      </w:r>
      <w:r w:rsidRPr="003B3178">
        <w:t>.</w:t>
      </w:r>
      <w:r>
        <w:t xml:space="preserve"> Più in generale, l’ECDC classifica </w:t>
      </w:r>
      <w:r w:rsidR="003F3257">
        <w:t>Kraken (</w:t>
      </w:r>
      <w:r w:rsidR="003F3257" w:rsidRPr="003F3257">
        <w:t>XBB.1.5</w:t>
      </w:r>
      <w:r w:rsidR="003F3257">
        <w:t xml:space="preserve">), </w:t>
      </w:r>
      <w:r>
        <w:t>Gryphon</w:t>
      </w:r>
      <w:r w:rsidR="003F3257">
        <w:t xml:space="preserve"> (XBB)</w:t>
      </w:r>
      <w:r>
        <w:t xml:space="preserve">, Cerberus (BQ.1) e Centaurus (BA.2.75) come varianti di interesse e non </w:t>
      </w:r>
      <w:r w:rsidR="00627460">
        <w:t xml:space="preserve">come </w:t>
      </w:r>
      <w:r>
        <w:t xml:space="preserve">varianti di preoccupazione. Il </w:t>
      </w:r>
      <w:hyperlink r:id="rId11" w:history="1">
        <w:r w:rsidRPr="00D1257A">
          <w:rPr>
            <w:rStyle w:val="Collegamentoipertestuale"/>
          </w:rPr>
          <w:t>report dell’Istituto Superiore di Sanità del 30 dicembre 2022</w:t>
        </w:r>
      </w:hyperlink>
      <w:r>
        <w:t xml:space="preserve"> conferma la limitata circolazione di tali varianti in Italia. </w:t>
      </w:r>
    </w:p>
    <w:p w14:paraId="165393A4" w14:textId="27FD602E" w:rsidR="008660ED" w:rsidRPr="00F76E16" w:rsidRDefault="008C5CB5" w:rsidP="00DE4D5A">
      <w:pPr>
        <w:jc w:val="both"/>
      </w:pPr>
      <w:r w:rsidRPr="00E3276E">
        <w:t>«</w:t>
      </w:r>
      <w:r>
        <w:t>Se al momento la circolazione virale in Italia</w:t>
      </w:r>
      <w:r w:rsidR="007078DA">
        <w:t>, seppur ampiamente sottostimata, appare</w:t>
      </w:r>
      <w:r>
        <w:t xml:space="preserve"> sotto controllo</w:t>
      </w:r>
      <w:r w:rsidR="004E10EB">
        <w:t xml:space="preserve"> </w:t>
      </w:r>
      <w:r w:rsidRPr="00E3276E">
        <w:t>–</w:t>
      </w:r>
      <w:r w:rsidR="007078DA">
        <w:t xml:space="preserve"> </w:t>
      </w:r>
      <w:r>
        <w:t xml:space="preserve">conclude il Presidente </w:t>
      </w:r>
      <w:r w:rsidRPr="00E3276E">
        <w:t>–</w:t>
      </w:r>
      <w:r>
        <w:t xml:space="preserve"> gli scenari epidemiologici internazionali </w:t>
      </w:r>
      <w:r w:rsidR="00FE6A75">
        <w:t>e il rilevante impatto dell’epidemia influenzale sui servizi sanitari</w:t>
      </w:r>
      <w:r w:rsidR="007078DA">
        <w:t>, unitamente al</w:t>
      </w:r>
      <w:hyperlink r:id="rId12" w:history="1">
        <w:r w:rsidR="001A5F48" w:rsidRPr="001A5F48">
          <w:rPr>
            <w:rStyle w:val="Collegamentoipertestuale"/>
          </w:rPr>
          <w:t>l’aggiornamento</w:t>
        </w:r>
      </w:hyperlink>
      <w:r w:rsidR="001A5F48" w:rsidRPr="001A5F48">
        <w:t xml:space="preserve"> delle modalità di gestione dei casi e dei contatti stretti di </w:t>
      </w:r>
      <w:r w:rsidR="007078DA" w:rsidRPr="001A5F48">
        <w:t>cas</w:t>
      </w:r>
      <w:r w:rsidR="007078DA">
        <w:t>i</w:t>
      </w:r>
      <w:r w:rsidR="007078DA" w:rsidRPr="001A5F48">
        <w:t xml:space="preserve"> </w:t>
      </w:r>
      <w:r w:rsidR="001A5F48" w:rsidRPr="001A5F48">
        <w:t>COVID-</w:t>
      </w:r>
      <w:r w:rsidR="001A5F48">
        <w:t>19</w:t>
      </w:r>
      <w:r w:rsidR="00FE6A75">
        <w:t xml:space="preserve">, </w:t>
      </w:r>
      <w:r w:rsidR="001A5F48">
        <w:t xml:space="preserve">richiedono il potenziamento di </w:t>
      </w:r>
      <w:r>
        <w:t>alcune strategie di sanità pubblica per contrast</w:t>
      </w:r>
      <w:r w:rsidR="00FE6A75">
        <w:t>are</w:t>
      </w:r>
      <w:r>
        <w:t xml:space="preserve"> </w:t>
      </w:r>
      <w:r w:rsidR="00FE6A75">
        <w:t>il SARS-CoV-2</w:t>
      </w:r>
      <w:r>
        <w:t>. Innanzitutto, è</w:t>
      </w:r>
      <w:r w:rsidR="00431179">
        <w:t xml:space="preserve"> cruciale</w:t>
      </w:r>
      <w:r>
        <w:t xml:space="preserve"> </w:t>
      </w:r>
      <w:r w:rsidR="001A5F48">
        <w:t>rafforzare</w:t>
      </w:r>
      <w:r>
        <w:t xml:space="preserve"> le attività di sequenziamento, sia in termini quantitativi, sia con indagini più ravvicinate nel tempo. </w:t>
      </w:r>
      <w:r w:rsidRPr="004E10EB">
        <w:rPr>
          <w:color w:val="auto"/>
        </w:rPr>
        <w:t xml:space="preserve">In secondo luogo, </w:t>
      </w:r>
      <w:r w:rsidR="00431179" w:rsidRPr="004E10EB">
        <w:rPr>
          <w:color w:val="auto"/>
        </w:rPr>
        <w:t xml:space="preserve">bisogna </w:t>
      </w:r>
      <w:r w:rsidRPr="004E10EB">
        <w:rPr>
          <w:color w:val="auto"/>
        </w:rPr>
        <w:t>aumentare le coperture vaccinali: sia del ciclo primario con tre dosi che vede oggi quasi 12 milioni di persone scoperte (6,15 milioni mai vaccinati e 5,74 milioni senza terza dose), sia soprattutto</w:t>
      </w:r>
      <w:r w:rsidR="007078DA" w:rsidRPr="004E10EB">
        <w:rPr>
          <w:color w:val="auto"/>
        </w:rPr>
        <w:t xml:space="preserve"> </w:t>
      </w:r>
      <w:r w:rsidRPr="004E10EB">
        <w:rPr>
          <w:color w:val="auto"/>
        </w:rPr>
        <w:t xml:space="preserve"> di 11,7 milioni di anziani e fragili a rischio di malattia grave </w:t>
      </w:r>
      <w:r w:rsidR="007078DA" w:rsidRPr="004E10EB">
        <w:rPr>
          <w:color w:val="auto"/>
        </w:rPr>
        <w:t>che non hanno ricevuto la</w:t>
      </w:r>
      <w:r w:rsidRPr="004E10EB">
        <w:rPr>
          <w:color w:val="auto"/>
        </w:rPr>
        <w:t xml:space="preserve"> quarta dose</w:t>
      </w:r>
      <w:r w:rsidR="007078DA">
        <w:rPr>
          <w:color w:val="auto"/>
        </w:rPr>
        <w:t>; inoltre occorre</w:t>
      </w:r>
      <w:r w:rsidR="00431179">
        <w:t xml:space="preserve"> </w:t>
      </w:r>
      <w:r>
        <w:t xml:space="preserve">somministrare un’ulteriore dose di richiamo ad over 80, ospiti  RSA e over 60 con </w:t>
      </w:r>
      <w:r w:rsidRPr="001F4DB4">
        <w:t xml:space="preserve">fragilità </w:t>
      </w:r>
      <w:r w:rsidR="00431179">
        <w:t xml:space="preserve">per </w:t>
      </w:r>
      <w:r w:rsidRPr="001F4DB4">
        <w:t>patologie concomitanti/preesistenti</w:t>
      </w:r>
      <w:r>
        <w:t>, su cui purtroppo non disponiamo di alcun dato</w:t>
      </w:r>
      <w:r w:rsidR="00697D9E">
        <w:t xml:space="preserve"> per valutare la copertura</w:t>
      </w:r>
      <w:r w:rsidRPr="001F4DB4">
        <w:t>.</w:t>
      </w:r>
      <w:r>
        <w:t xml:space="preserve"> </w:t>
      </w:r>
      <w:r w:rsidR="008660ED">
        <w:t>Inoltre,</w:t>
      </w:r>
      <w:r>
        <w:t xml:space="preserve"> rimane sempre valida la raccomandazione di utilizzare le mascherine nei luoghi chiusi e affollati e </w:t>
      </w:r>
      <w:r w:rsidR="007078DA">
        <w:t>–</w:t>
      </w:r>
      <w:r>
        <w:t xml:space="preserve"> come previsto dall’aggiornamento della </w:t>
      </w:r>
      <w:hyperlink r:id="rId13" w:history="1">
        <w:r w:rsidRPr="004B6990">
          <w:rPr>
            <w:rStyle w:val="Collegamentoipertestuale"/>
          </w:rPr>
          <w:t>Circolare del Ministero della Salute del 1</w:t>
        </w:r>
        <w:r w:rsidR="007078DA">
          <w:rPr>
            <w:rStyle w:val="Collegamentoipertestuale"/>
          </w:rPr>
          <w:t>°</w:t>
        </w:r>
        <w:r w:rsidRPr="004B6990">
          <w:rPr>
            <w:rStyle w:val="Collegamentoipertestuale"/>
          </w:rPr>
          <w:t xml:space="preserve"> gennaio 2023</w:t>
        </w:r>
      </w:hyperlink>
      <w:r>
        <w:t xml:space="preserve"> – in caso di rilevante incremento della circolazione virale valutare l’adozione temporanea di altre misure, come il lavoro da casa o la limitazione delle dimensioni di eventi che prevedono </w:t>
      </w:r>
      <w:r w:rsidRPr="00F76E16">
        <w:t>assembramenti</w:t>
      </w:r>
      <w:r w:rsidR="008660ED" w:rsidRPr="00F76E16">
        <w:t xml:space="preserve">. </w:t>
      </w:r>
      <w:r w:rsidR="008E6A8F" w:rsidRPr="00F76E16">
        <w:t xml:space="preserve">Di dubbia efficacia </w:t>
      </w:r>
      <w:r w:rsidR="00DE4D5A" w:rsidRPr="00F76E16">
        <w:t xml:space="preserve">per arginare la circolazione virale </w:t>
      </w:r>
      <w:r w:rsidR="008E6A8F" w:rsidRPr="00F76E16">
        <w:t>l</w:t>
      </w:r>
      <w:r w:rsidR="00DE4D5A" w:rsidRPr="00F76E16">
        <w:t xml:space="preserve">o </w:t>
      </w:r>
      <w:r w:rsidR="008660ED" w:rsidRPr="00F76E16">
        <w:t xml:space="preserve">screening </w:t>
      </w:r>
      <w:r w:rsidR="00DE4D5A" w:rsidRPr="00F76E16">
        <w:t>de</w:t>
      </w:r>
      <w:r w:rsidR="008E6A8F" w:rsidRPr="00F76E16">
        <w:t xml:space="preserve">i </w:t>
      </w:r>
      <w:r w:rsidR="008660ED" w:rsidRPr="00F76E16">
        <w:t>viaggiatori in arrivo dalla Cina</w:t>
      </w:r>
      <w:r w:rsidR="00CE70ED">
        <w:t xml:space="preserve"> per almeno t</w:t>
      </w:r>
      <w:r w:rsidR="005A42AD" w:rsidRPr="00F76E16">
        <w:t xml:space="preserve">re </w:t>
      </w:r>
      <w:r w:rsidR="008660ED" w:rsidRPr="00F76E16">
        <w:t>ragioni</w:t>
      </w:r>
      <w:r w:rsidR="005A42AD" w:rsidRPr="00F76E16">
        <w:t>: i</w:t>
      </w:r>
      <w:r w:rsidR="008660ED" w:rsidRPr="00F76E16">
        <w:t xml:space="preserve">nnanzitutto, </w:t>
      </w:r>
      <w:r w:rsidR="00CE70ED" w:rsidRPr="00F76E16">
        <w:t>meno del 10%)</w:t>
      </w:r>
      <w:r w:rsidR="00CE70ED">
        <w:t xml:space="preserve"> </w:t>
      </w:r>
      <w:r w:rsidR="008660ED" w:rsidRPr="00F76E16">
        <w:t>di passeggeri arriva con voli diretti</w:t>
      </w:r>
      <w:r w:rsidR="00CE70ED">
        <w:t>;</w:t>
      </w:r>
      <w:r w:rsidR="008660ED" w:rsidRPr="00F76E16">
        <w:t xml:space="preserve"> in secondo luogo perché l’estrema contagiosità di Omicron riduce l’efficacia già modesta degli screening</w:t>
      </w:r>
      <w:r w:rsidR="00CE70ED">
        <w:t xml:space="preserve"> </w:t>
      </w:r>
      <w:hyperlink r:id="rId14" w:history="1">
        <w:r w:rsidR="00CE70ED" w:rsidRPr="00A34912">
          <w:rPr>
            <w:rStyle w:val="Collegamentoipertestuale"/>
          </w:rPr>
          <w:t>documentata in letteratura</w:t>
        </w:r>
      </w:hyperlink>
      <w:r w:rsidR="008660ED" w:rsidRPr="00F76E16">
        <w:t>; infine, perché la gestione dei positivi sarebbe comunque affidata all’isolamento fiduciario</w:t>
      </w:r>
      <w:r w:rsidR="00DE4D5A" w:rsidRPr="00F76E16">
        <w:t xml:space="preserve">. </w:t>
      </w:r>
      <w:r w:rsidR="00F76E16" w:rsidRPr="00F76E16">
        <w:t xml:space="preserve">L’unica reale utilità di questi screening è </w:t>
      </w:r>
      <w:r w:rsidR="00A34912">
        <w:t xml:space="preserve">quella di </w:t>
      </w:r>
      <w:r w:rsidR="00F76E16" w:rsidRPr="00F76E16">
        <w:t>identificare precocemente nuove varianti</w:t>
      </w:r>
      <w:r w:rsidR="008660ED" w:rsidRPr="00F76E16">
        <w:t>».</w:t>
      </w:r>
    </w:p>
    <w:p w14:paraId="1F53B76C" w14:textId="77777777" w:rsidR="008030A9" w:rsidRDefault="008030A9" w:rsidP="008030A9">
      <w:pPr>
        <w:spacing w:after="120" w:line="276" w:lineRule="auto"/>
        <w:rPr>
          <w:i/>
          <w:iCs/>
          <w:color w:val="auto"/>
        </w:rPr>
      </w:pPr>
      <w:r w:rsidRPr="006B328D">
        <w:rPr>
          <w:i/>
          <w:iCs/>
          <w:color w:val="auto"/>
        </w:rPr>
        <w:t>Il monitoraggio GIMBE dell</w:t>
      </w:r>
      <w:r w:rsidR="00DD6B88" w:rsidRPr="006B328D">
        <w:rPr>
          <w:i/>
          <w:iCs/>
          <w:color w:val="auto"/>
        </w:rPr>
        <w:t xml:space="preserve">a pandemia </w:t>
      </w:r>
      <w:r w:rsidRPr="006B328D">
        <w:rPr>
          <w:i/>
          <w:iCs/>
          <w:color w:val="auto"/>
        </w:rPr>
        <w:t>COVID-19 è disponibile a:</w:t>
      </w:r>
      <w:r w:rsidRPr="006B328D">
        <w:rPr>
          <w:color w:val="auto"/>
        </w:rPr>
        <w:t xml:space="preserve"> </w:t>
      </w:r>
      <w:hyperlink r:id="rId15" w:history="1">
        <w:r w:rsidRPr="006B328D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B328D">
        <w:rPr>
          <w:i/>
          <w:iCs/>
          <w:color w:val="auto"/>
        </w:rPr>
        <w:t xml:space="preserve"> </w:t>
      </w:r>
    </w:p>
    <w:p w14:paraId="69B07097" w14:textId="77777777" w:rsidR="00DE4D5A" w:rsidRDefault="00DE4D5A" w:rsidP="00C46A82">
      <w:pPr>
        <w:spacing w:after="120"/>
        <w:rPr>
          <w:b/>
          <w:bCs/>
          <w:color w:val="auto"/>
        </w:rPr>
      </w:pPr>
    </w:p>
    <w:p w14:paraId="30DC4033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lastRenderedPageBreak/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6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0C97BB39" w14:textId="77777777" w:rsidR="00923333" w:rsidRPr="00CF5B4E" w:rsidRDefault="00923333" w:rsidP="00C46A82">
      <w:pPr>
        <w:spacing w:after="120"/>
        <w:rPr>
          <w:rFonts w:eastAsia="Calibri" w:cs="Calibri"/>
          <w:color w:val="FF0000"/>
          <w:sz w:val="20"/>
          <w:szCs w:val="20"/>
          <w:u w:val="single" w:color="0563C1"/>
        </w:rPr>
      </w:pPr>
    </w:p>
    <w:p w14:paraId="33F63341" w14:textId="77777777" w:rsidR="00AD5E21" w:rsidRPr="00CF5B4E" w:rsidRDefault="001203E4" w:rsidP="00235468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07190B46" w14:textId="77777777" w:rsidR="00053240" w:rsidRPr="00EB76DA" w:rsidRDefault="00053240" w:rsidP="0005324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14:paraId="66D23AEB" w14:textId="18BE714C" w:rsidR="00EB76DA" w:rsidRPr="00CF5B4E" w:rsidRDefault="00451229" w:rsidP="00053240">
      <w:pPr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D0D3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251.15pt">
            <v:imagedata r:id="rId17" o:title="Figura01_20230109"/>
          </v:shape>
        </w:pict>
      </w:r>
    </w:p>
    <w:p w14:paraId="2A2B35F2" w14:textId="77777777" w:rsidR="00053240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2</w:t>
      </w:r>
    </w:p>
    <w:p w14:paraId="56C13FF5" w14:textId="4860D4BD" w:rsidR="00351F33" w:rsidRPr="00EB76DA" w:rsidRDefault="00451229" w:rsidP="00053240">
      <w:pPr>
        <w:spacing w:after="0"/>
        <w:jc w:val="center"/>
        <w:rPr>
          <w:b/>
          <w:bCs/>
          <w:noProof/>
          <w:color w:val="05457D"/>
          <w:sz w:val="24"/>
          <w:szCs w:val="24"/>
          <w:u w:color="00457D"/>
        </w:rPr>
      </w:pPr>
      <w:r>
        <w:rPr>
          <w:b/>
          <w:bCs/>
          <w:noProof/>
          <w:color w:val="05457D"/>
          <w:sz w:val="24"/>
          <w:szCs w:val="24"/>
          <w:u w:color="00457D"/>
        </w:rPr>
        <w:pict w14:anchorId="45CE276F">
          <v:shape id="_x0000_i1026" type="#_x0000_t75" style="width:452.95pt;height:251.15pt">
            <v:imagedata r:id="rId18" o:title="Figura02_20230109"/>
          </v:shape>
        </w:pict>
      </w:r>
    </w:p>
    <w:p w14:paraId="4EBF78F0" w14:textId="77777777" w:rsidR="00EB76DA" w:rsidRPr="00CF5B4E" w:rsidRDefault="00EB76DA" w:rsidP="009377F9">
      <w:pPr>
        <w:spacing w:after="0" w:line="360" w:lineRule="auto"/>
        <w:jc w:val="center"/>
        <w:rPr>
          <w:color w:val="FF0000"/>
        </w:rPr>
        <w:sectPr w:rsidR="00EB76DA" w:rsidRPr="00CF5B4E" w:rsidSect="0030477C">
          <w:headerReference w:type="default" r:id="rId19"/>
          <w:pgSz w:w="11900" w:h="16840"/>
          <w:pgMar w:top="1134" w:right="1134" w:bottom="1134" w:left="1134" w:header="709" w:footer="709" w:gutter="0"/>
          <w:cols w:space="720"/>
          <w:docGrid w:linePitch="299"/>
        </w:sectPr>
      </w:pPr>
    </w:p>
    <w:p w14:paraId="228F6E59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3</w:t>
      </w:r>
    </w:p>
    <w:p w14:paraId="73891A08" w14:textId="46DE2C4B" w:rsidR="008525BF" w:rsidRPr="00CF5B4E" w:rsidRDefault="00451229" w:rsidP="00053240">
      <w:pPr>
        <w:spacing w:after="0"/>
        <w:jc w:val="center"/>
        <w:rPr>
          <w:color w:val="FF0000"/>
        </w:rPr>
      </w:pPr>
      <w:r>
        <w:rPr>
          <w:color w:val="FF0000"/>
        </w:rPr>
        <w:pict w14:anchorId="38521CA5">
          <v:shape id="_x0000_i1027" type="#_x0000_t75" style="width:481.4pt;height:235.25pt">
            <v:imagedata r:id="rId20" o:title="Figura03_20230109"/>
          </v:shape>
        </w:pict>
      </w:r>
    </w:p>
    <w:p w14:paraId="6DB88C9B" w14:textId="77777777" w:rsidR="00053240" w:rsidRPr="00CF5B4E" w:rsidRDefault="00053240" w:rsidP="00053240">
      <w:pPr>
        <w:spacing w:after="0"/>
        <w:jc w:val="center"/>
        <w:rPr>
          <w:color w:val="FF0000"/>
        </w:rPr>
      </w:pPr>
    </w:p>
    <w:p w14:paraId="5BF6FF22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DA699B0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4</w:t>
      </w:r>
    </w:p>
    <w:p w14:paraId="6B62C2B6" w14:textId="05844F98" w:rsidR="00EB76DA" w:rsidRPr="00CF5B4E" w:rsidRDefault="00451229" w:rsidP="00053240">
      <w:pPr>
        <w:spacing w:after="0" w:line="276" w:lineRule="auto"/>
        <w:jc w:val="center"/>
        <w:rPr>
          <w:noProof/>
          <w:color w:val="FF0000"/>
        </w:rPr>
      </w:pPr>
      <w:r>
        <w:rPr>
          <w:noProof/>
          <w:color w:val="FF0000"/>
        </w:rPr>
        <w:pict w14:anchorId="4F7F4403">
          <v:shape id="_x0000_i1028" type="#_x0000_t75" style="width:481.4pt;height:267.9pt">
            <v:imagedata r:id="rId21" o:title="Figura04_20230109"/>
          </v:shape>
        </w:pict>
      </w:r>
    </w:p>
    <w:p w14:paraId="46D4AEC9" w14:textId="77777777" w:rsidR="00053240" w:rsidRPr="00CF5B4E" w:rsidRDefault="00053240" w:rsidP="00053240">
      <w:pPr>
        <w:spacing w:after="0" w:line="276" w:lineRule="auto"/>
        <w:jc w:val="center"/>
        <w:rPr>
          <w:color w:val="FF0000"/>
        </w:rPr>
      </w:pPr>
    </w:p>
    <w:p w14:paraId="684239CC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FB02CB6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34B027A5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5</w:t>
      </w:r>
    </w:p>
    <w:p w14:paraId="64EDC380" w14:textId="43C63C7E" w:rsidR="008525BF" w:rsidRPr="00CF5B4E" w:rsidRDefault="0045122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2C904E79">
          <v:shape id="_x0000_i1029" type="#_x0000_t75" style="width:480.55pt;height:253.65pt">
            <v:imagedata r:id="rId22" o:title="Figura05_20230109"/>
          </v:shape>
        </w:pict>
      </w:r>
    </w:p>
    <w:p w14:paraId="1071E82F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8"/>
          <w:szCs w:val="14"/>
          <w:u w:color="00457D"/>
        </w:rPr>
      </w:pPr>
    </w:p>
    <w:p w14:paraId="7CE50F03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7A7DF247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CC4884D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6</w:t>
      </w:r>
    </w:p>
    <w:p w14:paraId="2AADCB37" w14:textId="3D76EA7D" w:rsidR="008525BF" w:rsidRPr="00CF5B4E" w:rsidRDefault="00A5249E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0DEE27F8">
          <v:shape id="_x0000_i1030" type="#_x0000_t75" style="width:480.55pt;height:240.3pt">
            <v:imagedata r:id="rId23" o:title="Figura06_20230109"/>
          </v:shape>
        </w:pict>
      </w:r>
    </w:p>
    <w:p w14:paraId="6859BD44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55BED40F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14DA350B" w14:textId="77777777" w:rsidR="007526C9" w:rsidRPr="003352D2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52D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3352D2">
        <w:rPr>
          <w:b/>
          <w:bCs/>
          <w:color w:val="00457D"/>
          <w:sz w:val="24"/>
          <w:szCs w:val="24"/>
          <w:u w:color="00457D"/>
        </w:rPr>
        <w:t>7</w:t>
      </w:r>
    </w:p>
    <w:p w14:paraId="1231A890" w14:textId="06CD4A2D" w:rsidR="003352D2" w:rsidRPr="00CF5B4E" w:rsidRDefault="00A5249E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4740EBA9">
          <v:shape id="_x0000_i1031" type="#_x0000_t75" style="width:457.95pt;height:426.15pt">
            <v:imagedata r:id="rId24" o:title="Figura07_20230109"/>
          </v:shape>
        </w:pict>
      </w:r>
    </w:p>
    <w:p w14:paraId="161C4D52" w14:textId="77777777" w:rsidR="007526C9" w:rsidRPr="00CF5B4E" w:rsidRDefault="007526C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56CEEE52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8</w:t>
      </w:r>
    </w:p>
    <w:p w14:paraId="5B99AE15" w14:textId="6DDA0B34" w:rsidR="008525BF" w:rsidRPr="00CF5B4E" w:rsidRDefault="00A5249E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0A30D497">
          <v:shape id="_x0000_i1032" type="#_x0000_t75" style="width:481.4pt;height:233.6pt">
            <v:imagedata r:id="rId25" o:title="Figura08_20230109"/>
          </v:shape>
        </w:pict>
      </w:r>
    </w:p>
    <w:p w14:paraId="31B843DB" w14:textId="77777777" w:rsidR="009B084D" w:rsidRDefault="009B084D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050FF570" w14:textId="77777777" w:rsidR="00053240" w:rsidRPr="00EF2F16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EF2F16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86698F" w:rsidRPr="00EF2F16">
        <w:rPr>
          <w:b/>
          <w:bCs/>
          <w:color w:val="00457D"/>
          <w:sz w:val="24"/>
          <w:szCs w:val="24"/>
          <w:u w:color="00457D"/>
        </w:rPr>
        <w:t>9</w:t>
      </w:r>
    </w:p>
    <w:p w14:paraId="50478B19" w14:textId="7F001A15" w:rsidR="00415695" w:rsidRPr="00CF5B4E" w:rsidRDefault="00A5249E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2EC30331">
          <v:shape id="_x0000_i1033" type="#_x0000_t75" style="width:452.1pt;height:287.15pt">
            <v:imagedata r:id="rId26" o:title="Figura09_20230109"/>
          </v:shape>
        </w:pict>
      </w:r>
    </w:p>
    <w:p w14:paraId="63B02DE0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78DCC483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12"/>
          <w:szCs w:val="12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0</w:t>
      </w:r>
    </w:p>
    <w:p w14:paraId="486BC323" w14:textId="0B06E5E2" w:rsidR="00415695" w:rsidRPr="00CF5B4E" w:rsidRDefault="00A5249E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12"/>
          <w:szCs w:val="12"/>
          <w:u w:color="00457D"/>
        </w:rPr>
        <w:pict w14:anchorId="2BE9A859">
          <v:shape id="_x0000_i1034" type="#_x0000_t75" style="width:454.6pt;height:340.75pt">
            <v:imagedata r:id="rId27" o:title="Figura10_20230109"/>
          </v:shape>
        </w:pict>
      </w:r>
    </w:p>
    <w:p w14:paraId="6929DEC5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0654093B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1</w:t>
      </w:r>
    </w:p>
    <w:p w14:paraId="60F2D1DB" w14:textId="2F9662D2" w:rsidR="00B73A28" w:rsidRPr="00CF5B4E" w:rsidRDefault="00A5249E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C5F9EEE">
          <v:shape id="_x0000_i1035" type="#_x0000_t75" style="width:481.4pt;height:362.5pt">
            <v:imagedata r:id="rId28" o:title="Figura11_20230109"/>
          </v:shape>
        </w:pict>
      </w:r>
    </w:p>
    <w:p w14:paraId="5E69ABF4" w14:textId="77777777" w:rsidR="00255CC7" w:rsidRPr="00CF5B4E" w:rsidRDefault="00255CC7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6F690FA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2</w:t>
      </w:r>
    </w:p>
    <w:p w14:paraId="0C24786D" w14:textId="5E7CAA2D" w:rsidR="00B73A28" w:rsidRPr="00CF5B4E" w:rsidRDefault="00A5249E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16B7397">
          <v:shape id="_x0000_i1036" type="#_x0000_t75" style="width:446.25pt;height:260.35pt">
            <v:imagedata r:id="rId29" o:title="Figura12_20230109"/>
          </v:shape>
        </w:pict>
      </w:r>
    </w:p>
    <w:p w14:paraId="6E2CAA83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2965747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C9F2A05" w14:textId="77777777" w:rsidR="00255CC7" w:rsidRPr="00CF5B4E" w:rsidRDefault="00255C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211BB286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3</w:t>
      </w:r>
    </w:p>
    <w:p w14:paraId="3E9C74B4" w14:textId="183E8787" w:rsidR="00B73A28" w:rsidRDefault="00451229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9E72C17">
          <v:shape id="_x0000_i1037" type="#_x0000_t75" style="width:481.4pt;height:362.5pt">
            <v:imagedata r:id="rId30" o:title="Figura13_20230109"/>
          </v:shape>
        </w:pict>
      </w:r>
    </w:p>
    <w:p w14:paraId="1335F5CF" w14:textId="77777777" w:rsidR="004B677F" w:rsidRPr="00CF5B4E" w:rsidRDefault="00053240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1823C691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5B4E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2F855D47" w14:textId="77777777" w:rsidR="00552FE0" w:rsidRDefault="00EF2F16" w:rsidP="00730DC9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Indicatori regionali: settimana </w:t>
      </w:r>
      <w:r w:rsidR="00730DC9">
        <w:rPr>
          <w:b/>
          <w:bCs/>
          <w:color w:val="05457D"/>
          <w:sz w:val="24"/>
          <w:szCs w:val="24"/>
          <w:u w:color="00457D"/>
        </w:rPr>
        <w:t>30</w:t>
      </w:r>
      <w:r w:rsidR="008525BF" w:rsidRPr="008525BF">
        <w:rPr>
          <w:b/>
          <w:bCs/>
          <w:color w:val="05457D"/>
          <w:sz w:val="24"/>
          <w:szCs w:val="24"/>
          <w:u w:color="00457D"/>
        </w:rPr>
        <w:t xml:space="preserve"> dicembre</w:t>
      </w:r>
      <w:r w:rsidR="00730DC9">
        <w:rPr>
          <w:b/>
          <w:bCs/>
          <w:color w:val="05457D"/>
          <w:sz w:val="24"/>
          <w:szCs w:val="24"/>
          <w:u w:color="00457D"/>
        </w:rPr>
        <w:t xml:space="preserve"> 2022 – 5 gennaio 2023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2268"/>
        <w:gridCol w:w="2268"/>
      </w:tblGrid>
      <w:tr w:rsidR="00730DC9" w:rsidRPr="00730DC9" w14:paraId="5538BA1D" w14:textId="77777777" w:rsidTr="00730DC9">
        <w:trPr>
          <w:trHeight w:val="907"/>
        </w:trPr>
        <w:tc>
          <w:tcPr>
            <w:tcW w:w="19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2A5833E7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14CBE6D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Incidenza per 100.000 abitanti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6D643367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730DC9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26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3814DA13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6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12FED4D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730DC9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730DC9" w:rsidRPr="00730DC9" w14:paraId="357A1F09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C48BB3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D43B85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374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A032596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8,9%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5C5D8B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16,9%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2189E3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6,6%</w:t>
            </w:r>
          </w:p>
        </w:tc>
      </w:tr>
      <w:tr w:rsidR="00730DC9" w:rsidRPr="00730DC9" w14:paraId="0060F42F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90576B6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1A7E0CF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06843F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35,4%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B04EBC5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15,2%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6D5BA82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1,6%</w:t>
            </w:r>
          </w:p>
        </w:tc>
      </w:tr>
      <w:tr w:rsidR="00730DC9" w:rsidRPr="00730DC9" w14:paraId="361470C1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284525E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958A8D5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273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951BC95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27,8%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FBC8BB9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19,8%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F49321D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6,9%</w:t>
            </w:r>
          </w:p>
        </w:tc>
      </w:tr>
      <w:tr w:rsidR="00730DC9" w:rsidRPr="00730DC9" w14:paraId="0B307A8B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9367D72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A77566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F39AA8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22,6%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24F7DA5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9,3%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E93E7C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</w:tr>
      <w:tr w:rsidR="00730DC9" w:rsidRPr="00730DC9" w14:paraId="4ABD0528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DD9DCA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9F3727A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212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B7B6A7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-2,9%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8AF4CC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16,5%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820BB4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6,0%</w:t>
            </w:r>
          </w:p>
        </w:tc>
      </w:tr>
      <w:tr w:rsidR="00730DC9" w:rsidRPr="00730DC9" w14:paraId="71CFAEC2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07BA71F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2C7371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261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F9842BF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4,4%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F455C60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18,9%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2F5913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2,9%</w:t>
            </w:r>
          </w:p>
        </w:tc>
      </w:tr>
      <w:tr w:rsidR="00730DC9" w:rsidRPr="00730DC9" w14:paraId="57111ACD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7703DE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8031F95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ADF631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18,6%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6E9E3B2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10,9%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5D0D1E6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2,3%</w:t>
            </w:r>
          </w:p>
        </w:tc>
      </w:tr>
      <w:tr w:rsidR="00730DC9" w:rsidRPr="00730DC9" w14:paraId="362CA6BE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63E17C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723A11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CE88B43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-17,0%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03345E2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19,6%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A0CBFF3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4,4%</w:t>
            </w:r>
          </w:p>
        </w:tc>
      </w:tr>
      <w:tr w:rsidR="00730DC9" w:rsidRPr="00730DC9" w14:paraId="7F6C6371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A059C37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446D7F9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CD85E2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-1,3%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3A19B6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9,6%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9D4451F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1,6%</w:t>
            </w:r>
          </w:p>
        </w:tc>
      </w:tr>
      <w:tr w:rsidR="00730DC9" w:rsidRPr="00730DC9" w14:paraId="6C489D68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C2FD43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1EC5C9A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276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3A96313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-1,9%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44AB5A8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16,3%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127BB49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</w:tr>
      <w:tr w:rsidR="00730DC9" w:rsidRPr="00730DC9" w14:paraId="7D072297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8CBA056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6D2C480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259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EC96AB9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24,3%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00FF75F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6,8%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F91F23E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730DC9" w:rsidRPr="00730DC9" w14:paraId="7F6588E6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5C6F48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EB9C"/>
            <w:noWrap/>
            <w:vAlign w:val="center"/>
            <w:hideMark/>
          </w:tcPr>
          <w:p w14:paraId="0CA02B60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65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6500"/>
                <w:bdr w:val="none" w:sz="0" w:space="0" w:color="auto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7ACC229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-0,4%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9A1994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7,7%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7811DE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1,6%</w:t>
            </w:r>
          </w:p>
        </w:tc>
      </w:tr>
      <w:tr w:rsidR="00730DC9" w:rsidRPr="00730DC9" w14:paraId="3893254D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541D929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A34F29A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C4BEFC3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23,8%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839E26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8,6%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FAE9B9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1,0%</w:t>
            </w:r>
          </w:p>
        </w:tc>
      </w:tr>
      <w:tr w:rsidR="00730DC9" w:rsidRPr="00730DC9" w14:paraId="75D4CFD9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00ADF15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C1CCF8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179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851DF36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16,2%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7ECDD1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10,3%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4EA2687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1,1%</w:t>
            </w:r>
          </w:p>
        </w:tc>
      </w:tr>
      <w:tr w:rsidR="00730DC9" w:rsidRPr="00730DC9" w14:paraId="33979418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036AAA0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C3C7A17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285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724A683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44,4%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414D5DD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9,7%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E5D7D2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3,4%</w:t>
            </w:r>
          </w:p>
        </w:tc>
      </w:tr>
      <w:tr w:rsidR="00730DC9" w:rsidRPr="00730DC9" w14:paraId="0E8D4532" w14:textId="77777777" w:rsidTr="00594AEA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9191C68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363AAC2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19A9A50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17,7%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31EADA0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7,6%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14:paraId="7AF7C6A9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2,9%</w:t>
            </w:r>
          </w:p>
        </w:tc>
      </w:tr>
      <w:tr w:rsidR="00730DC9" w:rsidRPr="00730DC9" w14:paraId="39B20A95" w14:textId="77777777" w:rsidTr="00594AEA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CA4561F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788BDA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3DF7F36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43,2%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0201D85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16,1%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14:paraId="1B196E88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4,9%</w:t>
            </w:r>
          </w:p>
        </w:tc>
      </w:tr>
      <w:tr w:rsidR="00730DC9" w:rsidRPr="00730DC9" w14:paraId="4D7107E6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E4CD24A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42C4AC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23CC148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-5,6%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FCFA19A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8,8%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B775E80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3,3%</w:t>
            </w:r>
          </w:p>
        </w:tc>
      </w:tr>
      <w:tr w:rsidR="00730DC9" w:rsidRPr="00730DC9" w14:paraId="626E7944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448F3A0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DB6F845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371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F5F6347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18,8%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9709082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28,5%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E648C7E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6,3%</w:t>
            </w:r>
          </w:p>
        </w:tc>
      </w:tr>
      <w:tr w:rsidR="00730DC9" w:rsidRPr="00730DC9" w14:paraId="3AD2D210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32F0816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E55FA6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374F78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-45,0%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949888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4,5%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506A41E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730DC9" w:rsidRPr="00730DC9" w14:paraId="3C1B7FDE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4D18E5F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730DC9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64FB531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334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AE6FB1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A3C20A2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13,1%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FBCE148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4,2%</w:t>
            </w:r>
          </w:p>
        </w:tc>
      </w:tr>
      <w:tr w:rsidR="00730DC9" w:rsidRPr="00730DC9" w14:paraId="3F9533C4" w14:textId="77777777" w:rsidTr="00730DC9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0605331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08642EA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9C0006"/>
                <w:bdr w:val="none" w:sz="0" w:space="0" w:color="auto"/>
              </w:rPr>
              <w:t>231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9C1D604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0006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9C0006"/>
                <w:bdr w:val="none" w:sz="0" w:space="0" w:color="auto"/>
              </w:rPr>
              <w:t>11,4%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C3C041C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12,1%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57689E7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730DC9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3,2%</w:t>
            </w:r>
          </w:p>
        </w:tc>
      </w:tr>
      <w:tr w:rsidR="00730DC9" w:rsidRPr="00730DC9" w14:paraId="5D98D850" w14:textId="77777777" w:rsidTr="00730DC9">
        <w:trPr>
          <w:trHeight w:val="1587"/>
        </w:trPr>
        <w:tc>
          <w:tcPr>
            <w:tcW w:w="9634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59EFBFAB" w14:textId="77777777" w:rsidR="00730DC9" w:rsidRPr="00730DC9" w:rsidRDefault="00730DC9" w:rsidP="00730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730DC9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730DC9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730DC9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 xml:space="preserve">Nelle ultime 2 colonne i colori rosso e verde indicano rispettivamente un valore superiore o inferiore rispetto alla media nazionale (dati Cabina di Regia ai sensi del DM Salute 30 aprile 2020. Ministero della Salute, ISS). </w:t>
            </w:r>
          </w:p>
        </w:tc>
      </w:tr>
    </w:tbl>
    <w:p w14:paraId="4BAF630F" w14:textId="77777777" w:rsidR="00730DC9" w:rsidRDefault="00730DC9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227802CE" w14:textId="77777777" w:rsidR="0062593A" w:rsidRPr="008525BF" w:rsidRDefault="0062593A" w:rsidP="0062593A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>Tabella 2. Nuovi casi nell’ultima settimana suddivisi per provincia</w:t>
      </w:r>
    </w:p>
    <w:tbl>
      <w:tblPr>
        <w:tblStyle w:val="TableNormal1"/>
        <w:tblW w:w="8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271"/>
        <w:gridCol w:w="1708"/>
      </w:tblGrid>
      <w:tr w:rsidR="00CF5B4E" w:rsidRPr="00CF5B4E" w14:paraId="7DEFF3DF" w14:textId="77777777" w:rsidTr="001C4316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04FD5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384A9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Provincia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4F89F" w14:textId="77777777" w:rsidR="00730DC9" w:rsidRDefault="0062593A" w:rsidP="00F8104B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Nuovi casi per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  <w:t xml:space="preserve">100.000 abitanti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</w:r>
            <w:r w:rsidR="00730DC9">
              <w:rPr>
                <w:rFonts w:cs="Calibri"/>
                <w:b/>
                <w:bCs/>
                <w:color w:val="auto"/>
                <w:szCs w:val="21"/>
                <w:u w:color="FFFFFF"/>
              </w:rPr>
              <w:t>30 d</w:t>
            </w:r>
            <w:r w:rsidR="008525BF">
              <w:rPr>
                <w:rFonts w:cs="Calibri"/>
                <w:b/>
                <w:bCs/>
                <w:color w:val="auto"/>
                <w:szCs w:val="21"/>
                <w:u w:color="FFFFFF"/>
              </w:rPr>
              <w:t>icembre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2022</w:t>
            </w:r>
            <w:r w:rsidR="00730DC9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– </w:t>
            </w:r>
          </w:p>
          <w:p w14:paraId="0812D291" w14:textId="77777777" w:rsidR="0062593A" w:rsidRPr="00EF2F16" w:rsidRDefault="00730DC9" w:rsidP="00F8104B">
            <w:pPr>
              <w:spacing w:after="0" w:line="240" w:lineRule="auto"/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cs="Calibri"/>
                <w:b/>
                <w:bCs/>
                <w:color w:val="auto"/>
                <w:szCs w:val="21"/>
                <w:u w:color="FFFFFF"/>
              </w:rPr>
              <w:t>5 gennaio 2023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5524C03E" w14:textId="77777777" w:rsidR="0062593A" w:rsidRPr="00EF2F16" w:rsidRDefault="0062593A" w:rsidP="00E12AE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Variazione % nuovi casi</w:t>
            </w:r>
          </w:p>
        </w:tc>
      </w:tr>
      <w:tr w:rsidR="00594AEA" w:rsidRPr="00CF5B4E" w14:paraId="709F7ED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6B9AA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1A225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Pescara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A4135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408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28698C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6,1%</w:t>
            </w:r>
          </w:p>
        </w:tc>
      </w:tr>
      <w:tr w:rsidR="00594AEA" w:rsidRPr="00CF5B4E" w14:paraId="688E6760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D16CE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4A898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Chieti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8B6DD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397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802A55C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-3,3%</w:t>
            </w:r>
          </w:p>
        </w:tc>
      </w:tr>
      <w:tr w:rsidR="00594AEA" w:rsidRPr="00CF5B4E" w14:paraId="3F7FDE1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20CD7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77A7F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Teramo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73CF7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352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9EA605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14,0%</w:t>
            </w:r>
          </w:p>
        </w:tc>
      </w:tr>
      <w:tr w:rsidR="00594AEA" w:rsidRPr="00CF5B4E" w14:paraId="497C70A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77564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3566F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L'Aquila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BBD9A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284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89A109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35,7%</w:t>
            </w:r>
          </w:p>
        </w:tc>
      </w:tr>
      <w:tr w:rsidR="00594AEA" w:rsidRPr="00CF5B4E" w14:paraId="6AABCC7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FA052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A40D7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Potenza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A4A04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211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1A6E4F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28,8%</w:t>
            </w:r>
          </w:p>
        </w:tc>
      </w:tr>
      <w:tr w:rsidR="00594AEA" w:rsidRPr="00CF5B4E" w14:paraId="1F606FE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D1176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7AA5A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Matera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31C11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193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2C9B63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50,6%</w:t>
            </w:r>
          </w:p>
        </w:tc>
      </w:tr>
      <w:tr w:rsidR="00594AEA" w:rsidRPr="00CF5B4E" w14:paraId="25448CEA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B146B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F36A0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Catanzaro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3725D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339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7B3BC1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11,9%</w:t>
            </w:r>
          </w:p>
        </w:tc>
      </w:tr>
      <w:tr w:rsidR="00594AEA" w:rsidRPr="00CF5B4E" w14:paraId="4D5227B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DEA17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E4E50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Cosenza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337AD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298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DFB50A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40,3%</w:t>
            </w:r>
          </w:p>
        </w:tc>
      </w:tr>
      <w:tr w:rsidR="00594AEA" w:rsidRPr="00CF5B4E" w14:paraId="079C9347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CAFD9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F365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Reggio di Calabria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85639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224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E49FDD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23,2%</w:t>
            </w:r>
          </w:p>
        </w:tc>
      </w:tr>
      <w:tr w:rsidR="00594AEA" w:rsidRPr="00CF5B4E" w14:paraId="6BA253D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CAC0A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4E2A9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Crotone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C51E8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205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331E17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41,8%</w:t>
            </w:r>
          </w:p>
        </w:tc>
      </w:tr>
      <w:tr w:rsidR="00594AEA" w:rsidRPr="00CF5B4E" w14:paraId="5DE523BA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7723E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A8B21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Vibo Valentia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C4715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33D334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10,9%</w:t>
            </w:r>
          </w:p>
        </w:tc>
      </w:tr>
      <w:tr w:rsidR="00594AEA" w:rsidRPr="00CF5B4E" w14:paraId="142EDB6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9876D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1489B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Salerno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F35F3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308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F98638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23,7%</w:t>
            </w:r>
          </w:p>
        </w:tc>
      </w:tr>
      <w:tr w:rsidR="00594AEA" w:rsidRPr="00CF5B4E" w14:paraId="14CFB4A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A3E27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331C0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Avellino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C853D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306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544A08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35,6%</w:t>
            </w:r>
          </w:p>
        </w:tc>
      </w:tr>
      <w:tr w:rsidR="00594AEA" w:rsidRPr="00CF5B4E" w14:paraId="2D45315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51974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252BE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Benevento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11FDE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267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E458D2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44,6%</w:t>
            </w:r>
          </w:p>
        </w:tc>
      </w:tr>
      <w:tr w:rsidR="00594AEA" w:rsidRPr="00CF5B4E" w14:paraId="2F32672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83A3F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35F2C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Caserta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AF910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214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15BF0D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11,7%</w:t>
            </w:r>
          </w:p>
        </w:tc>
      </w:tr>
      <w:tr w:rsidR="00594AEA" w:rsidRPr="00CF5B4E" w14:paraId="2A4E933D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AC2C38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292D2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Napoli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B5C53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186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55CF5C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20,5%</w:t>
            </w:r>
          </w:p>
        </w:tc>
      </w:tr>
      <w:tr w:rsidR="00594AEA" w:rsidRPr="00CF5B4E" w14:paraId="6442D32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7355D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B1DCC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Ravenna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704BF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31EEBA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7,8%</w:t>
            </w:r>
          </w:p>
        </w:tc>
      </w:tr>
      <w:tr w:rsidR="00594AEA" w:rsidRPr="00CF5B4E" w14:paraId="3B45B78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ABAAE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C8460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Forlì-Cesena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34040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275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A8AD62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16,8%</w:t>
            </w:r>
          </w:p>
        </w:tc>
      </w:tr>
      <w:tr w:rsidR="00594AEA" w:rsidRPr="00CF5B4E" w14:paraId="5A5B6270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9ECCD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26798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Ferrara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10125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238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19BA02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-13,9%</w:t>
            </w:r>
          </w:p>
        </w:tc>
      </w:tr>
      <w:tr w:rsidR="00594AEA" w:rsidRPr="00CF5B4E" w14:paraId="1727B12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DC48F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E8033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Reggio nell'Emilia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D167B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219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A84E3E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-0,1%</w:t>
            </w:r>
          </w:p>
        </w:tc>
      </w:tr>
      <w:tr w:rsidR="00594AEA" w:rsidRPr="00CF5B4E" w14:paraId="322BA18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C4847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1A3B1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Rimini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58EEB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217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9CABFC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5,8%</w:t>
            </w:r>
          </w:p>
        </w:tc>
      </w:tr>
      <w:tr w:rsidR="00594AEA" w:rsidRPr="00CF5B4E" w14:paraId="55F69EE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DFFA3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8F6288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Parma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C3BE9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195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4748A9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-1,8%</w:t>
            </w:r>
          </w:p>
        </w:tc>
      </w:tr>
      <w:tr w:rsidR="00594AEA" w:rsidRPr="00CF5B4E" w14:paraId="029EA727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3AACA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FF61D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Bologna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59F5E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83ACB8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-11,9%</w:t>
            </w:r>
          </w:p>
        </w:tc>
      </w:tr>
      <w:tr w:rsidR="00594AEA" w:rsidRPr="00CF5B4E" w14:paraId="48D4B94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7F442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65925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Modena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ABD0B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D74119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-10,5%</w:t>
            </w:r>
          </w:p>
        </w:tc>
      </w:tr>
      <w:tr w:rsidR="00594AEA" w:rsidRPr="00CF5B4E" w14:paraId="6FDD203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D3F12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D7D07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Piacenza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64666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4B85D3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-5,0%</w:t>
            </w:r>
          </w:p>
        </w:tc>
      </w:tr>
      <w:tr w:rsidR="00594AEA" w:rsidRPr="00CF5B4E" w14:paraId="04A52A0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297C8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9C0B4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Udine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68BB3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E4127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6,9%</w:t>
            </w:r>
          </w:p>
        </w:tc>
      </w:tr>
      <w:tr w:rsidR="00594AEA" w:rsidRPr="00CF5B4E" w14:paraId="116E2937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49735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DB41B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Pordenone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7543F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258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2BDABA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11,4%</w:t>
            </w:r>
          </w:p>
        </w:tc>
      </w:tr>
      <w:tr w:rsidR="00594AEA" w:rsidRPr="00CF5B4E" w14:paraId="5AAA7FE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2FE1C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F524A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Gorizia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8BC53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222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91A228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4,0%</w:t>
            </w:r>
          </w:p>
        </w:tc>
      </w:tr>
      <w:tr w:rsidR="00594AEA" w:rsidRPr="00CF5B4E" w14:paraId="113C1FB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FAE23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C4610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Trieste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C9DF6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220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B8BE77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-12,3%</w:t>
            </w:r>
          </w:p>
        </w:tc>
      </w:tr>
      <w:tr w:rsidR="00594AEA" w:rsidRPr="00CF5B4E" w14:paraId="698D10C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9A8F7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7FBBF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Latina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5A37B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331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9172FA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29,2%</w:t>
            </w:r>
          </w:p>
        </w:tc>
      </w:tr>
      <w:tr w:rsidR="00594AEA" w:rsidRPr="00CF5B4E" w14:paraId="07D8D52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C8C78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9C6DB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Roma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29411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272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DB22F9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22,3%</w:t>
            </w:r>
          </w:p>
        </w:tc>
      </w:tr>
      <w:tr w:rsidR="00594AEA" w:rsidRPr="00CF5B4E" w14:paraId="76F72F8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76FBF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ACD35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Rieti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33F18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258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BC5310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-9,9%</w:t>
            </w:r>
          </w:p>
        </w:tc>
      </w:tr>
      <w:tr w:rsidR="00594AEA" w:rsidRPr="00CF5B4E" w14:paraId="1B4B5EE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E791F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D823B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Frosinone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DF4C5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236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819C0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-4,0%</w:t>
            </w:r>
          </w:p>
        </w:tc>
      </w:tr>
      <w:tr w:rsidR="00594AEA" w:rsidRPr="00CF5B4E" w14:paraId="3800E50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84C41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64AAE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Viterbo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FE6C3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185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8A483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-1,6%</w:t>
            </w:r>
          </w:p>
        </w:tc>
      </w:tr>
      <w:tr w:rsidR="00594AEA" w:rsidRPr="00CF5B4E" w14:paraId="0FF97FD1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5E49B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3E5F4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La Spezia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D9D4F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293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BCB43E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-8,3%</w:t>
            </w:r>
          </w:p>
        </w:tc>
      </w:tr>
      <w:tr w:rsidR="00594AEA" w:rsidRPr="00CF5B4E" w14:paraId="70517610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A9288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8588D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Savona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DF248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D891E0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-11,4%</w:t>
            </w:r>
          </w:p>
        </w:tc>
      </w:tr>
      <w:tr w:rsidR="00594AEA" w:rsidRPr="00CF5B4E" w14:paraId="745CDF2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2B324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33DDE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Imperia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D59FAC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25B51C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-10,6%</w:t>
            </w:r>
          </w:p>
        </w:tc>
      </w:tr>
      <w:tr w:rsidR="00594AEA" w:rsidRPr="00CF5B4E" w14:paraId="47F4A7A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E9232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F53B3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Genova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ECCC5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0675A0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-25,0%</w:t>
            </w:r>
          </w:p>
        </w:tc>
      </w:tr>
      <w:tr w:rsidR="00594AEA" w:rsidRPr="00CF5B4E" w14:paraId="2E09F41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CFF8F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8E48D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Mantova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8DFDC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231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34EB88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-12,9%</w:t>
            </w:r>
          </w:p>
        </w:tc>
      </w:tr>
      <w:tr w:rsidR="00594AEA" w:rsidRPr="00CF5B4E" w14:paraId="5718289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E55F6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8AF9B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Lodi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99E95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9AB4D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-7,4%</w:t>
            </w:r>
          </w:p>
        </w:tc>
      </w:tr>
      <w:tr w:rsidR="00594AEA" w:rsidRPr="00CF5B4E" w14:paraId="3C80DDD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DB1C2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D2D29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Lecco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E5B1F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183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E912B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23,0%</w:t>
            </w:r>
          </w:p>
        </w:tc>
      </w:tr>
      <w:tr w:rsidR="00594AEA" w:rsidRPr="00CF5B4E" w14:paraId="6B421F6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CB3A4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877FF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Pavia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45468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6B079E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-13,4%</w:t>
            </w:r>
          </w:p>
        </w:tc>
      </w:tr>
      <w:tr w:rsidR="00594AEA" w:rsidRPr="00CF5B4E" w14:paraId="24E4553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BAEBE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F9267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Cremona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46188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176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82880DC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-15,2%</w:t>
            </w:r>
          </w:p>
        </w:tc>
      </w:tr>
      <w:tr w:rsidR="00594AEA" w:rsidRPr="00CF5B4E" w14:paraId="48B69FF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A5B19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99BCF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Brescia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F295B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172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E67370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0,8%</w:t>
            </w:r>
          </w:p>
        </w:tc>
      </w:tr>
      <w:tr w:rsidR="00594AEA" w:rsidRPr="00CF5B4E" w14:paraId="2A134B4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23CF2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CFC24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Monza e della Brianza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5CB18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5124CA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1,2%</w:t>
            </w:r>
          </w:p>
        </w:tc>
      </w:tr>
      <w:tr w:rsidR="00594AEA" w:rsidRPr="00CF5B4E" w14:paraId="74BFFBD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3BCDD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5586C8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Como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2064EC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FCC896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11,8%</w:t>
            </w:r>
          </w:p>
        </w:tc>
      </w:tr>
      <w:tr w:rsidR="00594AEA" w:rsidRPr="00CF5B4E" w14:paraId="5E39551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2CAB7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BAB79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Varese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22010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18D8BC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15,1%</w:t>
            </w:r>
          </w:p>
        </w:tc>
      </w:tr>
      <w:tr w:rsidR="00594AEA" w:rsidRPr="00CF5B4E" w14:paraId="06CA426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8366B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078BB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Milano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8899A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145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37BFDF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-6,8%</w:t>
            </w:r>
          </w:p>
        </w:tc>
      </w:tr>
      <w:tr w:rsidR="00594AEA" w:rsidRPr="00CF5B4E" w14:paraId="397FFB3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6204D8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60986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Sondrio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C286C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121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0B922FC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57,2%</w:t>
            </w:r>
          </w:p>
        </w:tc>
      </w:tr>
      <w:tr w:rsidR="00594AEA" w:rsidRPr="00CF5B4E" w14:paraId="472CE3C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D4FC0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D5F90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Bergamo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BF62E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641036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1,4%</w:t>
            </w:r>
          </w:p>
        </w:tc>
      </w:tr>
      <w:tr w:rsidR="00594AEA" w:rsidRPr="00CF5B4E" w14:paraId="5C0A370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2A52A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B2C8D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Ascoli Piceno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CE80B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364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02DE72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0,5%</w:t>
            </w:r>
          </w:p>
        </w:tc>
      </w:tr>
      <w:tr w:rsidR="00594AEA" w:rsidRPr="00CF5B4E" w14:paraId="50351F7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EF1D8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4BBCA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Macerata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90FD8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331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F5AF9F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4,1%</w:t>
            </w:r>
          </w:p>
        </w:tc>
      </w:tr>
      <w:tr w:rsidR="00594AEA" w:rsidRPr="00CF5B4E" w14:paraId="38306B4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063B0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12767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57C30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291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3E1601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-14,5%</w:t>
            </w:r>
          </w:p>
        </w:tc>
      </w:tr>
      <w:tr w:rsidR="00594AEA" w:rsidRPr="00CF5B4E" w14:paraId="1EBDA68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909EF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2E721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Ancona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DAF34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224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DB4DE3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1,7%</w:t>
            </w:r>
          </w:p>
        </w:tc>
      </w:tr>
      <w:tr w:rsidR="00594AEA" w:rsidRPr="00CF5B4E" w14:paraId="6978747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A9FB2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15FCC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Pesaro e Urbino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8E91C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174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7BE12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-11,8%</w:t>
            </w:r>
          </w:p>
        </w:tc>
      </w:tr>
      <w:tr w:rsidR="00594AEA" w:rsidRPr="00CF5B4E" w14:paraId="6DDF3AB7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1821D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D7FD1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Campobasso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14509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293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4647B6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23,3%</w:t>
            </w:r>
          </w:p>
        </w:tc>
      </w:tr>
      <w:tr w:rsidR="00594AEA" w:rsidRPr="00CF5B4E" w14:paraId="2F926453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DC7AF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6517C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Isernia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4E689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156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8102CC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28,3%</w:t>
            </w:r>
          </w:p>
        </w:tc>
      </w:tr>
      <w:tr w:rsidR="00594AEA" w:rsidRPr="00CF5B4E" w14:paraId="13340E2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1F871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8D528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Bolzano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A38CC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F5BE38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21,9%</w:t>
            </w:r>
          </w:p>
        </w:tc>
      </w:tr>
      <w:tr w:rsidR="00594AEA" w:rsidRPr="00CF5B4E" w14:paraId="230CE03A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0FC7C8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7026C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Trento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8CD2C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D7EC30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16,2%</w:t>
            </w:r>
          </w:p>
        </w:tc>
      </w:tr>
      <w:tr w:rsidR="00594AEA" w:rsidRPr="00CF5B4E" w14:paraId="4796C83A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02CE2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AAEFF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Novara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C52CC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5548C4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31,7%</w:t>
            </w:r>
          </w:p>
        </w:tc>
      </w:tr>
      <w:tr w:rsidR="00594AEA" w:rsidRPr="00CF5B4E" w14:paraId="6C43550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8C2EB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E8ED8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Asti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EE611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00F768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10,2%</w:t>
            </w:r>
          </w:p>
        </w:tc>
      </w:tr>
      <w:tr w:rsidR="00594AEA" w:rsidRPr="00CF5B4E" w14:paraId="01BB370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22305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A604E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Alessandria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15DBE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DA2985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-14,3%</w:t>
            </w:r>
          </w:p>
        </w:tc>
      </w:tr>
      <w:tr w:rsidR="00594AEA" w:rsidRPr="00CF5B4E" w14:paraId="3CE0CE5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3A867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467B2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Verbano-Cusio-Ossola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EF367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146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0848E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-20,1%</w:t>
            </w:r>
          </w:p>
        </w:tc>
      </w:tr>
      <w:tr w:rsidR="00594AEA" w:rsidRPr="00CF5B4E" w14:paraId="4EEED81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58709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E519C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Biella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1B43A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133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FF65B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-8,1%</w:t>
            </w:r>
          </w:p>
        </w:tc>
      </w:tr>
      <w:tr w:rsidR="00594AEA" w:rsidRPr="00CF5B4E" w14:paraId="0B66333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E5527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9A2E3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Vercelli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ED008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127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F3911A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3,4%</w:t>
            </w:r>
          </w:p>
        </w:tc>
      </w:tr>
      <w:tr w:rsidR="00594AEA" w:rsidRPr="00CF5B4E" w14:paraId="766B9BE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C89E9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7A367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Torino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87707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AF2F9F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-2,5%</w:t>
            </w:r>
          </w:p>
        </w:tc>
      </w:tr>
      <w:tr w:rsidR="00594AEA" w:rsidRPr="00CF5B4E" w14:paraId="3FA2704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48780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30BA1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Cuneo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5F1A1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109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F79684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0,8%</w:t>
            </w:r>
          </w:p>
        </w:tc>
      </w:tr>
      <w:tr w:rsidR="00594AEA" w:rsidRPr="00CF5B4E" w14:paraId="532019B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B9BFF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052ED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Lecce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E36B2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339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E9206E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32,7%</w:t>
            </w:r>
          </w:p>
        </w:tc>
      </w:tr>
      <w:tr w:rsidR="00594AEA" w:rsidRPr="00CF5B4E" w14:paraId="459B74C7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888CF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943AF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Brindisi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A6024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294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6B1FF4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44,8%</w:t>
            </w:r>
          </w:p>
        </w:tc>
      </w:tr>
      <w:tr w:rsidR="00594AEA" w:rsidRPr="00CF5B4E" w14:paraId="22A3A2E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DBC74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79494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FD427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6EBE45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62,6%</w:t>
            </w:r>
          </w:p>
        </w:tc>
      </w:tr>
      <w:tr w:rsidR="00594AEA" w:rsidRPr="00CF5B4E" w14:paraId="3BF62F0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ADC58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7F695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Taranto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F9095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269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5E84D9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49,8%</w:t>
            </w:r>
          </w:p>
        </w:tc>
      </w:tr>
      <w:tr w:rsidR="00594AEA" w:rsidRPr="00CF5B4E" w14:paraId="6A7694C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76820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66E44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Foggia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50C91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238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F3E776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29,7%</w:t>
            </w:r>
          </w:p>
        </w:tc>
      </w:tr>
      <w:tr w:rsidR="00594AEA" w:rsidRPr="00CF5B4E" w14:paraId="7D52951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36C6F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7C242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Barletta-Andria-Trani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8318D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190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B5D174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35,1%</w:t>
            </w:r>
          </w:p>
        </w:tc>
      </w:tr>
      <w:tr w:rsidR="00594AEA" w:rsidRPr="00CF5B4E" w14:paraId="4DA4507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2FA50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DB8EA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Cagliari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FC9FF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271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590C36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19,9%</w:t>
            </w:r>
          </w:p>
        </w:tc>
      </w:tr>
      <w:tr w:rsidR="00594AEA" w:rsidRPr="00CF5B4E" w14:paraId="03563D4A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B05C6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D657A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Oristano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EC7E6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234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7B9F0C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17,5%</w:t>
            </w:r>
          </w:p>
        </w:tc>
      </w:tr>
      <w:tr w:rsidR="00594AEA" w:rsidRPr="00CF5B4E" w14:paraId="70B0A6E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79E83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CD955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Nuoro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E7EA6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196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E182E3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10,1%</w:t>
            </w:r>
          </w:p>
        </w:tc>
      </w:tr>
      <w:tr w:rsidR="00594AEA" w:rsidRPr="00CF5B4E" w14:paraId="5E2DA91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FFBFF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751F4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Sassari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3CF25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188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22A5C8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19,8%</w:t>
            </w:r>
          </w:p>
        </w:tc>
      </w:tr>
      <w:tr w:rsidR="00594AEA" w:rsidRPr="00CF5B4E" w14:paraId="29E0766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BC108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D3B21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Sud Sardegna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64C18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146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1620ED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15,9%</w:t>
            </w:r>
          </w:p>
        </w:tc>
      </w:tr>
      <w:tr w:rsidR="00594AEA" w:rsidRPr="00CF5B4E" w14:paraId="2C31D22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2AD92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DAB2E8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Ragusa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0E53C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319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2B09ADC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36,5%</w:t>
            </w:r>
          </w:p>
        </w:tc>
      </w:tr>
      <w:tr w:rsidR="00594AEA" w:rsidRPr="00CF5B4E" w14:paraId="316D9292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57C8A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BAA2FC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Palermo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0B8D5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291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53A1CB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46,1%</w:t>
            </w:r>
          </w:p>
        </w:tc>
      </w:tr>
      <w:tr w:rsidR="00594AEA" w:rsidRPr="00CF5B4E" w14:paraId="41296FF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9CB3F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B01AA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Messina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FAC33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289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A210E2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57,5%</w:t>
            </w:r>
          </w:p>
        </w:tc>
      </w:tr>
      <w:tr w:rsidR="00594AEA" w:rsidRPr="00CF5B4E" w14:paraId="1436F4FD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BA647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AC6F5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Siracusa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371A5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261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8F96F7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51,7%</w:t>
            </w:r>
          </w:p>
        </w:tc>
      </w:tr>
      <w:tr w:rsidR="00594AEA" w:rsidRPr="00CF5B4E" w14:paraId="1CC9493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615B0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ED586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Agrigento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65713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AB4FFE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45,7%</w:t>
            </w:r>
          </w:p>
        </w:tc>
      </w:tr>
      <w:tr w:rsidR="00594AEA" w:rsidRPr="00CF5B4E" w14:paraId="727A2851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0ACFD8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lastRenderedPageBreak/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D47DE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Trapani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EE675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235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50095A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34,4%</w:t>
            </w:r>
          </w:p>
        </w:tc>
      </w:tr>
      <w:tr w:rsidR="00594AEA" w:rsidRPr="00CF5B4E" w14:paraId="78B233E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69A6E8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34F94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Catania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4D1C2C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219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73EA0F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36,7%</w:t>
            </w:r>
          </w:p>
        </w:tc>
      </w:tr>
      <w:tr w:rsidR="00594AEA" w:rsidRPr="00CF5B4E" w14:paraId="487EB89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7D9DF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21515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Caltanissetta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39425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216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5B2694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31,0%</w:t>
            </w:r>
          </w:p>
        </w:tc>
      </w:tr>
      <w:tr w:rsidR="00594AEA" w:rsidRPr="00CF5B4E" w14:paraId="23341BE1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7D52B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DB6E6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28490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167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F866DE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30,8%</w:t>
            </w:r>
          </w:p>
        </w:tc>
      </w:tr>
      <w:tr w:rsidR="00594AEA" w:rsidRPr="00CF5B4E" w14:paraId="51DEAA11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1E471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9A8B6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Massa Carrara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E3024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277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FDA398C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-21,2%</w:t>
            </w:r>
          </w:p>
        </w:tc>
      </w:tr>
      <w:tr w:rsidR="00594AEA" w:rsidRPr="00CF5B4E" w14:paraId="4CBBCB4D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2F31D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97822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Livorno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6A1BB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235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7B52E3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-12,0%</w:t>
            </w:r>
          </w:p>
        </w:tc>
      </w:tr>
      <w:tr w:rsidR="00594AEA" w:rsidRPr="00CF5B4E" w14:paraId="0B8FC0C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732D7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A384D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2D2EA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212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863E68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-9,9%</w:t>
            </w:r>
          </w:p>
        </w:tc>
      </w:tr>
      <w:tr w:rsidR="00594AEA" w:rsidRPr="00CF5B4E" w14:paraId="7BF1FFE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E3762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3954B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Arezzo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72FAE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202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D10E37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22,5%</w:t>
            </w:r>
          </w:p>
        </w:tc>
      </w:tr>
      <w:tr w:rsidR="00594AEA" w:rsidRPr="00CF5B4E" w14:paraId="4F6158F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F30DF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6ACC4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Lucca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2B0DE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196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AC0BEB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-10,9%</w:t>
            </w:r>
          </w:p>
        </w:tc>
      </w:tr>
      <w:tr w:rsidR="00594AEA" w:rsidRPr="00CF5B4E" w14:paraId="4BBA001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9F819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BEAC7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Siena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AABB7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189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7E6C90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10,4%</w:t>
            </w:r>
          </w:p>
        </w:tc>
      </w:tr>
      <w:tr w:rsidR="00594AEA" w:rsidRPr="00CF5B4E" w14:paraId="1693309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A2F65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D1E62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Grosseto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76A7D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186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114510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-2,6%</w:t>
            </w:r>
          </w:p>
        </w:tc>
      </w:tr>
      <w:tr w:rsidR="00594AEA" w:rsidRPr="00CF5B4E" w14:paraId="208267A8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BB9FB1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EA21CA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Firenze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1F301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133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84461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-0,9%</w:t>
            </w:r>
          </w:p>
        </w:tc>
      </w:tr>
      <w:tr w:rsidR="00594AEA" w:rsidRPr="00CF5B4E" w14:paraId="2EED15D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CF567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34390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Pistoia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7C33F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117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E302BE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-18,2%</w:t>
            </w:r>
          </w:p>
        </w:tc>
      </w:tr>
      <w:tr w:rsidR="00594AEA" w:rsidRPr="00CF5B4E" w14:paraId="2F688674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6C3C7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57724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Prato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C7BC3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106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D8DAE6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-4,4%</w:t>
            </w:r>
          </w:p>
        </w:tc>
      </w:tr>
      <w:tr w:rsidR="00594AEA" w:rsidRPr="00CF5B4E" w14:paraId="65C3541F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FACC3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79E733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Terni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A75B5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367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568850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28,7%</w:t>
            </w:r>
          </w:p>
        </w:tc>
      </w:tr>
      <w:tr w:rsidR="00594AEA" w:rsidRPr="00CF5B4E" w14:paraId="6FBC837E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7F248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A8D47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Perugia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EAA98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D76558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17,6%</w:t>
            </w:r>
          </w:p>
        </w:tc>
      </w:tr>
      <w:tr w:rsidR="00594AEA" w:rsidRPr="00CF5B4E" w14:paraId="6573ABF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0D7C6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6B1A9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Aosta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E90201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6FEBBB4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</w:t>
            </w:r>
            <w:r>
              <w:rPr>
                <w:rFonts w:cs="Calibri"/>
                <w:color w:val="006100"/>
                <w:sz w:val="20"/>
                <w:szCs w:val="20"/>
              </w:rPr>
              <w:t>45</w:t>
            </w:r>
            <w:r w:rsidRPr="00594AEA">
              <w:rPr>
                <w:rFonts w:cs="Calibri"/>
                <w:color w:val="006100"/>
                <w:sz w:val="20"/>
                <w:szCs w:val="20"/>
              </w:rPr>
              <w:t>,0%</w:t>
            </w:r>
          </w:p>
        </w:tc>
      </w:tr>
      <w:tr w:rsidR="00594AEA" w:rsidRPr="00CF5B4E" w14:paraId="4CA07A6A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996984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71C2A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Padova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461288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399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341C14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-1,6%</w:t>
            </w:r>
          </w:p>
        </w:tc>
      </w:tr>
      <w:tr w:rsidR="00594AEA" w:rsidRPr="00CF5B4E" w14:paraId="5FF1B336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85022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AFB315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Venezia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76199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0BFFA4B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-0,4%</w:t>
            </w:r>
          </w:p>
        </w:tc>
      </w:tr>
      <w:tr w:rsidR="00594AEA" w:rsidRPr="00CF5B4E" w14:paraId="7BD6EBA9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74FFA6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807139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Vicenza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848375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343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1B3DA9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-0,9%</w:t>
            </w:r>
          </w:p>
        </w:tc>
      </w:tr>
      <w:tr w:rsidR="00594AEA" w:rsidRPr="00CF5B4E" w14:paraId="5E0CDC9B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1BB3CB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CD674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Treviso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FF3A33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320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8688D97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15,4%</w:t>
            </w:r>
          </w:p>
        </w:tc>
      </w:tr>
      <w:tr w:rsidR="00594AEA" w:rsidRPr="00CF5B4E" w14:paraId="08CC9315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77FEC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76C5CE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Rovigo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8F46AF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298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9748B2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-11,7%</w:t>
            </w:r>
          </w:p>
        </w:tc>
      </w:tr>
      <w:tr w:rsidR="00594AEA" w:rsidRPr="00CF5B4E" w14:paraId="2D7A96AD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334BDF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F2692D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Belluno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B9C1E9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277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850C3F6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594AEA">
              <w:rPr>
                <w:rFonts w:cs="Calibri"/>
                <w:color w:val="9C0006"/>
                <w:sz w:val="20"/>
                <w:szCs w:val="20"/>
              </w:rPr>
              <w:t>9,1%</w:t>
            </w:r>
          </w:p>
        </w:tc>
      </w:tr>
      <w:tr w:rsidR="00594AEA" w:rsidRPr="00CF5B4E" w14:paraId="0A6A1081" w14:textId="77777777" w:rsidTr="00594AE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F32A50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AB1322" w14:textId="77777777" w:rsidR="00594AEA" w:rsidRPr="00594AEA" w:rsidRDefault="00594AEA" w:rsidP="00594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Verona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09D18D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4AEA">
              <w:rPr>
                <w:rFonts w:cs="Calibri"/>
                <w:sz w:val="20"/>
                <w:szCs w:val="20"/>
              </w:rPr>
              <w:t>239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B8CBAA" w14:textId="77777777" w:rsidR="00594AEA" w:rsidRPr="00594AEA" w:rsidRDefault="00594AEA" w:rsidP="00594AEA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594AEA">
              <w:rPr>
                <w:rFonts w:cs="Calibri"/>
                <w:color w:val="006100"/>
                <w:sz w:val="20"/>
                <w:szCs w:val="20"/>
              </w:rPr>
              <w:t>-1,7%</w:t>
            </w:r>
          </w:p>
        </w:tc>
      </w:tr>
      <w:tr w:rsidR="0062593A" w:rsidRPr="00CF5B4E" w14:paraId="204B8711" w14:textId="77777777" w:rsidTr="0062593A">
        <w:tblPrEx>
          <w:shd w:val="clear" w:color="auto" w:fill="CDD4E9"/>
        </w:tblPrEx>
        <w:trPr>
          <w:trHeight w:val="567"/>
          <w:jc w:val="center"/>
        </w:trPr>
        <w:tc>
          <w:tcPr>
            <w:tcW w:w="8224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207CCE1" w14:textId="77777777" w:rsidR="0062593A" w:rsidRPr="00EF2F16" w:rsidRDefault="0062593A" w:rsidP="00E12AE0">
            <w:pPr>
              <w:spacing w:after="0" w:line="240" w:lineRule="auto"/>
              <w:contextualSpacing/>
              <w:rPr>
                <w:rFonts w:cs="Calibri"/>
                <w:color w:val="auto"/>
                <w:sz w:val="20"/>
                <w:szCs w:val="21"/>
              </w:rPr>
            </w:pPr>
            <w:r w:rsidRPr="00EF2F16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0C895AEA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sectPr w:rsidR="00053240" w:rsidRPr="00CF5B4E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755D" w14:textId="77777777" w:rsidR="00A5249E" w:rsidRDefault="00A5249E">
      <w:pPr>
        <w:spacing w:after="0" w:line="240" w:lineRule="auto"/>
      </w:pPr>
      <w:r>
        <w:separator/>
      </w:r>
    </w:p>
  </w:endnote>
  <w:endnote w:type="continuationSeparator" w:id="0">
    <w:p w14:paraId="695D3053" w14:textId="77777777" w:rsidR="00A5249E" w:rsidRDefault="00A5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A888" w14:textId="77777777" w:rsidR="00A5249E" w:rsidRDefault="00A5249E">
      <w:pPr>
        <w:spacing w:after="0" w:line="240" w:lineRule="auto"/>
      </w:pPr>
      <w:r>
        <w:separator/>
      </w:r>
    </w:p>
  </w:footnote>
  <w:footnote w:type="continuationSeparator" w:id="0">
    <w:p w14:paraId="58023B5A" w14:textId="77777777" w:rsidR="00A5249E" w:rsidRDefault="00A5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2BEC" w14:textId="1622EC3E" w:rsidR="00EF7B51" w:rsidRPr="00A703AA" w:rsidRDefault="00EF7B51" w:rsidP="00A703AA">
    <w:pPr>
      <w:pStyle w:val="Intestazione"/>
      <w:jc w:val="center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77AAD"/>
    <w:multiLevelType w:val="hybridMultilevel"/>
    <w:tmpl w:val="398CF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6C7C17"/>
    <w:multiLevelType w:val="hybridMultilevel"/>
    <w:tmpl w:val="B5423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387395"/>
    <w:multiLevelType w:val="hybridMultilevel"/>
    <w:tmpl w:val="B7467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234F62"/>
    <w:multiLevelType w:val="hybridMultilevel"/>
    <w:tmpl w:val="6BFAB7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374556"/>
    <w:multiLevelType w:val="multilevel"/>
    <w:tmpl w:val="874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5"/>
  </w:num>
  <w:num w:numId="5">
    <w:abstractNumId w:val="13"/>
  </w:num>
  <w:num w:numId="6">
    <w:abstractNumId w:val="20"/>
  </w:num>
  <w:num w:numId="7">
    <w:abstractNumId w:val="11"/>
  </w:num>
  <w:num w:numId="8">
    <w:abstractNumId w:val="30"/>
  </w:num>
  <w:num w:numId="9">
    <w:abstractNumId w:val="32"/>
  </w:num>
  <w:num w:numId="10">
    <w:abstractNumId w:val="24"/>
  </w:num>
  <w:num w:numId="11">
    <w:abstractNumId w:val="17"/>
  </w:num>
  <w:num w:numId="12">
    <w:abstractNumId w:val="41"/>
  </w:num>
  <w:num w:numId="13">
    <w:abstractNumId w:val="45"/>
  </w:num>
  <w:num w:numId="14">
    <w:abstractNumId w:val="9"/>
  </w:num>
  <w:num w:numId="15">
    <w:abstractNumId w:val="39"/>
  </w:num>
  <w:num w:numId="16">
    <w:abstractNumId w:val="33"/>
  </w:num>
  <w:num w:numId="17">
    <w:abstractNumId w:val="40"/>
  </w:num>
  <w:num w:numId="18">
    <w:abstractNumId w:val="21"/>
  </w:num>
  <w:num w:numId="19">
    <w:abstractNumId w:val="25"/>
  </w:num>
  <w:num w:numId="20">
    <w:abstractNumId w:val="4"/>
  </w:num>
  <w:num w:numId="21">
    <w:abstractNumId w:val="8"/>
  </w:num>
  <w:num w:numId="22">
    <w:abstractNumId w:val="43"/>
  </w:num>
  <w:num w:numId="23">
    <w:abstractNumId w:val="18"/>
  </w:num>
  <w:num w:numId="24">
    <w:abstractNumId w:val="23"/>
  </w:num>
  <w:num w:numId="25">
    <w:abstractNumId w:val="0"/>
  </w:num>
  <w:num w:numId="26">
    <w:abstractNumId w:val="27"/>
  </w:num>
  <w:num w:numId="27">
    <w:abstractNumId w:val="5"/>
  </w:num>
  <w:num w:numId="28">
    <w:abstractNumId w:val="29"/>
  </w:num>
  <w:num w:numId="29">
    <w:abstractNumId w:val="36"/>
  </w:num>
  <w:num w:numId="30">
    <w:abstractNumId w:val="44"/>
  </w:num>
  <w:num w:numId="31">
    <w:abstractNumId w:val="2"/>
  </w:num>
  <w:num w:numId="32">
    <w:abstractNumId w:val="3"/>
  </w:num>
  <w:num w:numId="33">
    <w:abstractNumId w:val="34"/>
  </w:num>
  <w:num w:numId="34">
    <w:abstractNumId w:val="12"/>
  </w:num>
  <w:num w:numId="35">
    <w:abstractNumId w:val="15"/>
  </w:num>
  <w:num w:numId="36">
    <w:abstractNumId w:val="38"/>
  </w:num>
  <w:num w:numId="37">
    <w:abstractNumId w:val="10"/>
  </w:num>
  <w:num w:numId="38">
    <w:abstractNumId w:val="22"/>
  </w:num>
  <w:num w:numId="39">
    <w:abstractNumId w:val="19"/>
  </w:num>
  <w:num w:numId="40">
    <w:abstractNumId w:val="42"/>
  </w:num>
  <w:num w:numId="41">
    <w:abstractNumId w:val="28"/>
  </w:num>
  <w:num w:numId="42">
    <w:abstractNumId w:val="31"/>
  </w:num>
  <w:num w:numId="43">
    <w:abstractNumId w:val="14"/>
  </w:num>
  <w:num w:numId="44">
    <w:abstractNumId w:val="46"/>
  </w:num>
  <w:num w:numId="45">
    <w:abstractNumId w:val="48"/>
  </w:num>
  <w:num w:numId="46">
    <w:abstractNumId w:val="6"/>
  </w:num>
  <w:num w:numId="47">
    <w:abstractNumId w:val="26"/>
  </w:num>
  <w:num w:numId="48">
    <w:abstractNumId w:val="37"/>
  </w:num>
  <w:num w:numId="49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2C6F"/>
    <w:rsid w:val="00002EAC"/>
    <w:rsid w:val="000035D6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1D57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7033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B0B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7105"/>
    <w:rsid w:val="000C789B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669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BEE"/>
    <w:rsid w:val="002B03E1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239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77C"/>
    <w:rsid w:val="00304954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1B6"/>
    <w:rsid w:val="00354B9D"/>
    <w:rsid w:val="0035543D"/>
    <w:rsid w:val="00355C24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A44"/>
    <w:rsid w:val="00400FA8"/>
    <w:rsid w:val="0040190A"/>
    <w:rsid w:val="00401A10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4CCD"/>
    <w:rsid w:val="0042539D"/>
    <w:rsid w:val="004254C7"/>
    <w:rsid w:val="0042568F"/>
    <w:rsid w:val="00426290"/>
    <w:rsid w:val="004262FC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F5"/>
    <w:rsid w:val="00434788"/>
    <w:rsid w:val="00434FB1"/>
    <w:rsid w:val="00435333"/>
    <w:rsid w:val="004358B8"/>
    <w:rsid w:val="00435DD8"/>
    <w:rsid w:val="00436475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229"/>
    <w:rsid w:val="00451468"/>
    <w:rsid w:val="004516C9"/>
    <w:rsid w:val="00451CF0"/>
    <w:rsid w:val="00451EEA"/>
    <w:rsid w:val="004525A4"/>
    <w:rsid w:val="00453366"/>
    <w:rsid w:val="004535DC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8F4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49F5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520"/>
    <w:rsid w:val="0053578B"/>
    <w:rsid w:val="00535B9E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287"/>
    <w:rsid w:val="005A42AD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273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F8"/>
    <w:rsid w:val="00623C8E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CC5"/>
    <w:rsid w:val="00751D3E"/>
    <w:rsid w:val="007526C9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7D95"/>
    <w:rsid w:val="007901B2"/>
    <w:rsid w:val="00790569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4E68"/>
    <w:rsid w:val="007A5044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4A05"/>
    <w:rsid w:val="00865743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8C6"/>
    <w:rsid w:val="008828FB"/>
    <w:rsid w:val="00883080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10DD"/>
    <w:rsid w:val="00891337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92E"/>
    <w:rsid w:val="008B1D8F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6A8F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1232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92F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98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CB8"/>
    <w:rsid w:val="00A22D49"/>
    <w:rsid w:val="00A230BC"/>
    <w:rsid w:val="00A23A35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4912"/>
    <w:rsid w:val="00A3560E"/>
    <w:rsid w:val="00A3576D"/>
    <w:rsid w:val="00A359A1"/>
    <w:rsid w:val="00A36909"/>
    <w:rsid w:val="00A36B95"/>
    <w:rsid w:val="00A3777A"/>
    <w:rsid w:val="00A37905"/>
    <w:rsid w:val="00A37F61"/>
    <w:rsid w:val="00A408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49E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D04AB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23B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AF9"/>
    <w:rsid w:val="00B52FDE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A28"/>
    <w:rsid w:val="00B73D27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441"/>
    <w:rsid w:val="00C904CF"/>
    <w:rsid w:val="00C90548"/>
    <w:rsid w:val="00C90A20"/>
    <w:rsid w:val="00C90B3B"/>
    <w:rsid w:val="00C90B7F"/>
    <w:rsid w:val="00C90F39"/>
    <w:rsid w:val="00C91686"/>
    <w:rsid w:val="00C91DE7"/>
    <w:rsid w:val="00C91F33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673"/>
    <w:rsid w:val="00CB2C68"/>
    <w:rsid w:val="00CB369B"/>
    <w:rsid w:val="00CB3727"/>
    <w:rsid w:val="00CB3BD4"/>
    <w:rsid w:val="00CB49DD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84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7040"/>
    <w:rsid w:val="00D8741C"/>
    <w:rsid w:val="00D874A4"/>
    <w:rsid w:val="00D8764F"/>
    <w:rsid w:val="00D87BFE"/>
    <w:rsid w:val="00D90AA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418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57FCB"/>
    <w:rsid w:val="00F604BA"/>
    <w:rsid w:val="00F606BE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04B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1454E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A0E7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dose-addizionale-booster.csv" TargetMode="External"/><Relationship Id="rId13" Type="http://schemas.openxmlformats.org/officeDocument/2006/relationships/hyperlink" Target="https://www.trovanorme.salute.gov.it/norme/renderNormsanPdf?anno=2023&amp;codLeg=91260&amp;parte=1%20&amp;serie=null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trovanorme.salute.gov.it/norme/renderNormsanPdf?anno=2022&amp;codLeg=91258&amp;parte=1%20&amp;serie=null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ufficio.stampa@gimbe.org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icentro.iss.it/coronavirus/pdf/sars-cov-2-monitoraggio-varianti-rapporti-periodici-30-dicembre-2022.pdf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ronavirus.gimbe.org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s://www.ecdc.europa.eu/en/news-events/update-sars-cov-2-variants-ecdc-assessment-xbb15-sub-lineage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second-booster.csv" TargetMode="External"/><Relationship Id="rId14" Type="http://schemas.openxmlformats.org/officeDocument/2006/relationships/hyperlink" Target="https://www.cochranelibrary.com/cdsr/doi/10.1002/14651858.CD013717.pub2/full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EC97-DD78-4A91-B2DC-E9A5EBD3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12</cp:revision>
  <cp:lastPrinted>2022-08-24T13:12:00Z</cp:lastPrinted>
  <dcterms:created xsi:type="dcterms:W3CDTF">2023-01-07T16:12:00Z</dcterms:created>
  <dcterms:modified xsi:type="dcterms:W3CDTF">2023-01-08T21:16:00Z</dcterms:modified>
</cp:coreProperties>
</file>