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29AD" w:rsidRPr="005F4A80" w:rsidRDefault="002C29AD" w:rsidP="00AF40DE">
      <w:pPr>
        <w:spacing w:line="276" w:lineRule="auto"/>
        <w:jc w:val="center"/>
        <w:rPr>
          <w:b/>
          <w:bCs/>
          <w:color w:val="auto"/>
          <w:sz w:val="32"/>
          <w:szCs w:val="31"/>
        </w:rPr>
      </w:pPr>
      <w:r w:rsidRPr="005F4A80">
        <w:rPr>
          <w:b/>
          <w:bCs/>
          <w:color w:val="auto"/>
          <w:sz w:val="32"/>
          <w:szCs w:val="31"/>
        </w:rPr>
        <w:t>CORONAVIRUS:</w:t>
      </w:r>
      <w:r w:rsidR="002344C4">
        <w:rPr>
          <w:b/>
          <w:bCs/>
          <w:color w:val="auto"/>
          <w:sz w:val="32"/>
          <w:szCs w:val="31"/>
        </w:rPr>
        <w:t xml:space="preserve"> </w:t>
      </w:r>
      <w:r w:rsidR="002344C4" w:rsidRPr="005F4A80">
        <w:rPr>
          <w:b/>
          <w:bCs/>
          <w:color w:val="auto"/>
          <w:sz w:val="32"/>
          <w:szCs w:val="31"/>
        </w:rPr>
        <w:t>NELL’ULTIMA SETTIMANA</w:t>
      </w:r>
      <w:r w:rsidR="002344C4">
        <w:rPr>
          <w:b/>
          <w:bCs/>
          <w:color w:val="auto"/>
          <w:sz w:val="32"/>
          <w:szCs w:val="31"/>
        </w:rPr>
        <w:t xml:space="preserve"> LIEVE CALO DI CONTAGI </w:t>
      </w:r>
      <w:r w:rsidR="002344C4">
        <w:rPr>
          <w:b/>
          <w:bCs/>
          <w:color w:val="auto"/>
          <w:sz w:val="32"/>
          <w:szCs w:val="31"/>
        </w:rPr>
        <w:br/>
        <w:t>(-6,9%) E TERAPIE INTENSIVE (-3,3%)</w:t>
      </w:r>
      <w:r w:rsidR="00DA7CCE">
        <w:rPr>
          <w:b/>
          <w:bCs/>
          <w:color w:val="auto"/>
          <w:sz w:val="32"/>
          <w:szCs w:val="31"/>
        </w:rPr>
        <w:t xml:space="preserve">, MA </w:t>
      </w:r>
      <w:r w:rsidRPr="005F4A80">
        <w:rPr>
          <w:b/>
          <w:bCs/>
          <w:color w:val="auto"/>
          <w:sz w:val="32"/>
          <w:szCs w:val="31"/>
        </w:rPr>
        <w:t xml:space="preserve">CRESCONO </w:t>
      </w:r>
      <w:r w:rsidR="002344C4">
        <w:rPr>
          <w:b/>
          <w:bCs/>
          <w:color w:val="auto"/>
          <w:sz w:val="32"/>
          <w:szCs w:val="31"/>
        </w:rPr>
        <w:t xml:space="preserve">ANCORA </w:t>
      </w:r>
      <w:r w:rsidRPr="005F4A80">
        <w:rPr>
          <w:b/>
          <w:bCs/>
          <w:color w:val="auto"/>
          <w:sz w:val="32"/>
          <w:szCs w:val="31"/>
        </w:rPr>
        <w:t>I RICOVERI ORDINARI (+5,2%)</w:t>
      </w:r>
      <w:r w:rsidR="00DA7CCE">
        <w:rPr>
          <w:b/>
          <w:bCs/>
          <w:color w:val="auto"/>
          <w:sz w:val="32"/>
          <w:szCs w:val="31"/>
        </w:rPr>
        <w:t xml:space="preserve">. </w:t>
      </w:r>
      <w:r w:rsidR="00DA7CCE">
        <w:rPr>
          <w:b/>
          <w:bCs/>
          <w:color w:val="auto"/>
          <w:sz w:val="32"/>
          <w:szCs w:val="31"/>
        </w:rPr>
        <w:br/>
        <w:t xml:space="preserve">DOPO UN MESE </w:t>
      </w:r>
      <w:r>
        <w:rPr>
          <w:b/>
          <w:bCs/>
          <w:color w:val="auto"/>
          <w:sz w:val="32"/>
          <w:szCs w:val="31"/>
        </w:rPr>
        <w:t>I</w:t>
      </w:r>
      <w:r w:rsidRPr="005F4A80">
        <w:rPr>
          <w:b/>
          <w:bCs/>
          <w:color w:val="auto"/>
          <w:sz w:val="32"/>
          <w:szCs w:val="31"/>
        </w:rPr>
        <w:t xml:space="preserve"> DECESSI</w:t>
      </w:r>
      <w:r>
        <w:rPr>
          <w:b/>
          <w:bCs/>
          <w:color w:val="auto"/>
          <w:sz w:val="32"/>
          <w:szCs w:val="31"/>
        </w:rPr>
        <w:t xml:space="preserve"> </w:t>
      </w:r>
      <w:r w:rsidR="002344C4">
        <w:rPr>
          <w:b/>
          <w:bCs/>
          <w:color w:val="auto"/>
          <w:sz w:val="32"/>
          <w:szCs w:val="31"/>
        </w:rPr>
        <w:t xml:space="preserve">TORNANO SOPRA </w:t>
      </w:r>
      <w:r>
        <w:rPr>
          <w:b/>
          <w:bCs/>
          <w:color w:val="auto"/>
          <w:sz w:val="32"/>
          <w:szCs w:val="31"/>
        </w:rPr>
        <w:t xml:space="preserve">QUOTA </w:t>
      </w:r>
      <w:r w:rsidR="00DA7CCE">
        <w:rPr>
          <w:b/>
          <w:bCs/>
          <w:color w:val="auto"/>
          <w:sz w:val="32"/>
          <w:szCs w:val="31"/>
        </w:rPr>
        <w:t>MILLE</w:t>
      </w:r>
      <w:r w:rsidRPr="005F4A80">
        <w:rPr>
          <w:b/>
          <w:bCs/>
          <w:color w:val="auto"/>
          <w:sz w:val="32"/>
          <w:szCs w:val="31"/>
        </w:rPr>
        <w:t xml:space="preserve">. </w:t>
      </w:r>
      <w:r w:rsidR="002344C4">
        <w:rPr>
          <w:b/>
          <w:bCs/>
          <w:color w:val="auto"/>
          <w:sz w:val="32"/>
          <w:szCs w:val="31"/>
        </w:rPr>
        <w:br/>
      </w:r>
      <w:r w:rsidR="002344C4" w:rsidRPr="00DA7CCE">
        <w:rPr>
          <w:b/>
          <w:bCs/>
          <w:color w:val="auto"/>
          <w:sz w:val="32"/>
          <w:szCs w:val="31"/>
        </w:rPr>
        <w:t>CAMPAGNA VACCINALE</w:t>
      </w:r>
      <w:r w:rsidR="00DA7CCE">
        <w:rPr>
          <w:b/>
          <w:bCs/>
          <w:color w:val="auto"/>
          <w:sz w:val="32"/>
          <w:szCs w:val="31"/>
        </w:rPr>
        <w:t xml:space="preserve">: </w:t>
      </w:r>
      <w:r w:rsidR="00F11D93">
        <w:rPr>
          <w:b/>
          <w:bCs/>
          <w:color w:val="auto"/>
          <w:sz w:val="32"/>
          <w:szCs w:val="31"/>
        </w:rPr>
        <w:t xml:space="preserve">IN 7 GIORNI </w:t>
      </w:r>
      <w:r w:rsidR="00DA7CCE">
        <w:rPr>
          <w:b/>
          <w:bCs/>
          <w:color w:val="auto"/>
          <w:sz w:val="32"/>
          <w:szCs w:val="31"/>
        </w:rPr>
        <w:t xml:space="preserve">MENO DI 10 MILA NUOVI VACCINATI </w:t>
      </w:r>
      <w:r w:rsidR="002344C4" w:rsidRPr="00DA7CCE">
        <w:rPr>
          <w:b/>
          <w:bCs/>
          <w:color w:val="auto"/>
          <w:sz w:val="32"/>
          <w:szCs w:val="31"/>
        </w:rPr>
        <w:br/>
      </w:r>
      <w:r w:rsidR="002344C4">
        <w:rPr>
          <w:b/>
          <w:bCs/>
          <w:color w:val="auto"/>
          <w:sz w:val="32"/>
          <w:szCs w:val="31"/>
        </w:rPr>
        <w:t xml:space="preserve">NEGLI OVER 70 </w:t>
      </w:r>
      <w:r w:rsidRPr="005F4A80">
        <w:rPr>
          <w:b/>
          <w:bCs/>
          <w:color w:val="auto"/>
          <w:sz w:val="32"/>
          <w:szCs w:val="31"/>
        </w:rPr>
        <w:t xml:space="preserve">SOTTOUTILIZZO ANTIVIRALI </w:t>
      </w:r>
      <w:r w:rsidR="002344C4">
        <w:rPr>
          <w:b/>
          <w:bCs/>
          <w:color w:val="auto"/>
          <w:sz w:val="32"/>
          <w:szCs w:val="31"/>
        </w:rPr>
        <w:t xml:space="preserve">E DECLINO COPERTURA VACCINALE CONTRIBUISCONO </w:t>
      </w:r>
      <w:r w:rsidRPr="005F4A80">
        <w:rPr>
          <w:b/>
          <w:bCs/>
          <w:color w:val="auto"/>
          <w:sz w:val="32"/>
          <w:szCs w:val="31"/>
        </w:rPr>
        <w:t>A</w:t>
      </w:r>
      <w:r w:rsidR="002344C4">
        <w:rPr>
          <w:b/>
          <w:bCs/>
          <w:color w:val="auto"/>
          <w:sz w:val="32"/>
          <w:szCs w:val="31"/>
        </w:rPr>
        <w:t>D AUMENTARE LA MORTALITÀ</w:t>
      </w:r>
      <w:r w:rsidRPr="005F4A80">
        <w:rPr>
          <w:b/>
          <w:bCs/>
          <w:color w:val="auto"/>
          <w:sz w:val="32"/>
          <w:szCs w:val="31"/>
        </w:rPr>
        <w:t>.</w:t>
      </w:r>
    </w:p>
    <w:p w:rsidR="002C29AD" w:rsidRPr="00296AF1" w:rsidRDefault="002C29AD" w:rsidP="002C29AD">
      <w:pPr>
        <w:spacing w:after="200" w:line="276" w:lineRule="auto"/>
        <w:jc w:val="both"/>
        <w:rPr>
          <w:b/>
          <w:bCs/>
          <w:color w:val="FF0000"/>
          <w:sz w:val="24"/>
          <w:szCs w:val="24"/>
        </w:rPr>
      </w:pPr>
      <w:r w:rsidRPr="005F4A80">
        <w:rPr>
          <w:b/>
          <w:bCs/>
          <w:color w:val="auto"/>
          <w:sz w:val="24"/>
          <w:szCs w:val="24"/>
        </w:rPr>
        <w:t>IL MONITORAGGIO DELLA FONDAZIONE GIMBE RILEVA, NELLA SETTIMANA 30 MARZO-5 APRILE, UNA</w:t>
      </w:r>
      <w:r w:rsidR="002344C4">
        <w:rPr>
          <w:b/>
          <w:bCs/>
          <w:color w:val="auto"/>
          <w:sz w:val="24"/>
          <w:szCs w:val="24"/>
        </w:rPr>
        <w:t xml:space="preserve"> LIEVE</w:t>
      </w:r>
      <w:r w:rsidRPr="005F4A80">
        <w:rPr>
          <w:b/>
          <w:bCs/>
          <w:color w:val="auto"/>
          <w:sz w:val="24"/>
          <w:szCs w:val="24"/>
        </w:rPr>
        <w:t xml:space="preserve"> DIMINUZIONE DEI NUOVI CASI (469.479). </w:t>
      </w:r>
      <w:r w:rsidRPr="00A2339E">
        <w:rPr>
          <w:b/>
          <w:bCs/>
          <w:color w:val="auto"/>
          <w:sz w:val="24"/>
          <w:szCs w:val="24"/>
        </w:rPr>
        <w:t xml:space="preserve">SCENDONO A 21 LE PROVINCE CON INCIDENZA SUPERIORE A 1.000 CASI PER 100.000 ABITANTI. </w:t>
      </w:r>
      <w:r>
        <w:rPr>
          <w:b/>
          <w:bCs/>
          <w:color w:val="auto"/>
          <w:sz w:val="24"/>
          <w:szCs w:val="24"/>
        </w:rPr>
        <w:t>CO</w:t>
      </w:r>
      <w:r w:rsidR="00A57606">
        <w:rPr>
          <w:b/>
          <w:bCs/>
          <w:color w:val="auto"/>
          <w:sz w:val="24"/>
          <w:szCs w:val="24"/>
        </w:rPr>
        <w:t>NT</w:t>
      </w:r>
      <w:r>
        <w:rPr>
          <w:b/>
          <w:bCs/>
          <w:color w:val="auto"/>
          <w:sz w:val="24"/>
          <w:szCs w:val="24"/>
        </w:rPr>
        <w:t>INUA AD AUMENTARE, SEPPUR PIÙ LENTAMENTE,</w:t>
      </w:r>
      <w:r w:rsidRPr="00A2339E">
        <w:rPr>
          <w:b/>
          <w:bCs/>
          <w:color w:val="auto"/>
          <w:sz w:val="24"/>
          <w:szCs w:val="24"/>
        </w:rPr>
        <w:t xml:space="preserve"> L’OCCUPAZIONE DEI POSTI LETTO IN AREA MEDICA (+506)</w:t>
      </w:r>
      <w:r w:rsidR="002344C4">
        <w:rPr>
          <w:b/>
          <w:bCs/>
          <w:color w:val="auto"/>
          <w:sz w:val="24"/>
          <w:szCs w:val="24"/>
        </w:rPr>
        <w:t>,</w:t>
      </w:r>
      <w:r w:rsidRPr="00A2339E">
        <w:rPr>
          <w:b/>
          <w:bCs/>
          <w:color w:val="auto"/>
          <w:sz w:val="24"/>
          <w:szCs w:val="24"/>
        </w:rPr>
        <w:t xml:space="preserve"> </w:t>
      </w:r>
      <w:r>
        <w:rPr>
          <w:b/>
          <w:bCs/>
          <w:color w:val="auto"/>
          <w:sz w:val="24"/>
          <w:szCs w:val="24"/>
        </w:rPr>
        <w:t>MA TORNANO A SCENDERE LE</w:t>
      </w:r>
      <w:r w:rsidRPr="00A2339E">
        <w:rPr>
          <w:b/>
          <w:bCs/>
          <w:color w:val="auto"/>
          <w:sz w:val="24"/>
          <w:szCs w:val="24"/>
        </w:rPr>
        <w:t xml:space="preserve"> TERAPI</w:t>
      </w:r>
      <w:r>
        <w:rPr>
          <w:b/>
          <w:bCs/>
          <w:color w:val="auto"/>
          <w:sz w:val="24"/>
          <w:szCs w:val="24"/>
        </w:rPr>
        <w:t>E</w:t>
      </w:r>
      <w:r w:rsidRPr="00A2339E">
        <w:rPr>
          <w:b/>
          <w:bCs/>
          <w:color w:val="auto"/>
          <w:sz w:val="24"/>
          <w:szCs w:val="24"/>
        </w:rPr>
        <w:t xml:space="preserve"> INTENSIV</w:t>
      </w:r>
      <w:r>
        <w:rPr>
          <w:b/>
          <w:bCs/>
          <w:color w:val="auto"/>
          <w:sz w:val="24"/>
          <w:szCs w:val="24"/>
        </w:rPr>
        <w:t>E</w:t>
      </w:r>
      <w:r w:rsidR="00DA7CCE">
        <w:rPr>
          <w:b/>
          <w:bCs/>
          <w:color w:val="auto"/>
          <w:sz w:val="24"/>
          <w:szCs w:val="24"/>
        </w:rPr>
        <w:t xml:space="preserve"> (-16</w:t>
      </w:r>
      <w:r w:rsidRPr="00A2339E">
        <w:rPr>
          <w:b/>
          <w:bCs/>
          <w:color w:val="auto"/>
          <w:sz w:val="24"/>
          <w:szCs w:val="24"/>
        </w:rPr>
        <w:t>)</w:t>
      </w:r>
      <w:r>
        <w:rPr>
          <w:b/>
          <w:bCs/>
          <w:color w:val="auto"/>
          <w:sz w:val="24"/>
          <w:szCs w:val="24"/>
        </w:rPr>
        <w:t xml:space="preserve">. </w:t>
      </w:r>
      <w:r w:rsidRPr="00A2339E">
        <w:rPr>
          <w:b/>
          <w:bCs/>
          <w:color w:val="auto"/>
          <w:sz w:val="24"/>
          <w:szCs w:val="24"/>
        </w:rPr>
        <w:t>FISSE LE PERCENTUALI DI POPOLAZIONE VACCINATA CON ALMENO UNA DOSE (85,6%) E CON CICLO COMPLETO (84%)</w:t>
      </w:r>
      <w:r w:rsidRPr="000E74BD">
        <w:rPr>
          <w:b/>
          <w:bCs/>
          <w:color w:val="auto"/>
          <w:sz w:val="24"/>
          <w:szCs w:val="24"/>
        </w:rPr>
        <w:t xml:space="preserve">. 6,93 MILIONI DI NON VACCINATI, DI CUI 2,58 MILIONI DI GUARITI PROTETTI SOLO TEMPORANEAMENTE E 4,35 MILIONI ATTUALMENTE VACCINABILI. TASSO DI COPERTURA TERZE DOSI ALL’83,5% E </w:t>
      </w:r>
      <w:r>
        <w:rPr>
          <w:b/>
          <w:bCs/>
          <w:color w:val="auto"/>
          <w:sz w:val="24"/>
          <w:szCs w:val="24"/>
        </w:rPr>
        <w:t xml:space="preserve">SOLO </w:t>
      </w:r>
      <w:r w:rsidRPr="000E74BD">
        <w:rPr>
          <w:b/>
          <w:bCs/>
          <w:color w:val="auto"/>
          <w:sz w:val="24"/>
          <w:szCs w:val="24"/>
        </w:rPr>
        <w:t xml:space="preserve">64.792 QUARTE DOSI SOMMINISTRATE AGLI IMMUNOCOMPROMESSI (8,2%). </w:t>
      </w:r>
      <w:r w:rsidRPr="009C5F2D">
        <w:rPr>
          <w:b/>
          <w:bCs/>
          <w:color w:val="auto"/>
          <w:sz w:val="24"/>
          <w:szCs w:val="24"/>
        </w:rPr>
        <w:t>DECLINO DELLA COPERTURA D</w:t>
      </w:r>
      <w:r>
        <w:rPr>
          <w:b/>
          <w:bCs/>
          <w:color w:val="auto"/>
          <w:sz w:val="24"/>
          <w:szCs w:val="24"/>
        </w:rPr>
        <w:t>E</w:t>
      </w:r>
      <w:r w:rsidRPr="009C5F2D">
        <w:rPr>
          <w:b/>
          <w:bCs/>
          <w:color w:val="auto"/>
          <w:sz w:val="24"/>
          <w:szCs w:val="24"/>
        </w:rPr>
        <w:t xml:space="preserve">L </w:t>
      </w:r>
      <w:r w:rsidRPr="002C29AD">
        <w:rPr>
          <w:b/>
          <w:bCs/>
          <w:i/>
          <w:color w:val="auto"/>
          <w:sz w:val="24"/>
          <w:szCs w:val="24"/>
        </w:rPr>
        <w:t>BOOSTER</w:t>
      </w:r>
      <w:r w:rsidRPr="009C5F2D">
        <w:rPr>
          <w:b/>
          <w:bCs/>
          <w:color w:val="auto"/>
          <w:sz w:val="24"/>
          <w:szCs w:val="24"/>
        </w:rPr>
        <w:t xml:space="preserve"> E SOTTOUTILIZZO DEI FARMACI ANTIVIRALI </w:t>
      </w:r>
      <w:r w:rsidR="00357363">
        <w:rPr>
          <w:b/>
          <w:bCs/>
          <w:color w:val="auto"/>
          <w:sz w:val="24"/>
          <w:szCs w:val="24"/>
        </w:rPr>
        <w:t>POSSIBILI DETERMINANTI</w:t>
      </w:r>
      <w:r w:rsidRPr="009C5F2D">
        <w:rPr>
          <w:b/>
          <w:bCs/>
          <w:color w:val="auto"/>
          <w:sz w:val="24"/>
          <w:szCs w:val="24"/>
        </w:rPr>
        <w:t xml:space="preserve"> </w:t>
      </w:r>
      <w:r w:rsidR="00357363">
        <w:rPr>
          <w:b/>
          <w:bCs/>
          <w:color w:val="auto"/>
          <w:sz w:val="24"/>
          <w:szCs w:val="24"/>
        </w:rPr>
        <w:t>DE</w:t>
      </w:r>
      <w:r w:rsidRPr="009C5F2D">
        <w:rPr>
          <w:b/>
          <w:bCs/>
          <w:color w:val="auto"/>
          <w:sz w:val="24"/>
          <w:szCs w:val="24"/>
        </w:rPr>
        <w:t>LL’ELEVATO NUMERO DI DECESSI</w:t>
      </w:r>
      <w:r w:rsidR="00357363">
        <w:rPr>
          <w:b/>
          <w:bCs/>
          <w:color w:val="auto"/>
          <w:sz w:val="24"/>
          <w:szCs w:val="24"/>
        </w:rPr>
        <w:t xml:space="preserve"> NEGLI ANZIANI.</w:t>
      </w:r>
    </w:p>
    <w:p w:rsidR="002D4262" w:rsidRPr="000C2BD2" w:rsidRDefault="00296AF1" w:rsidP="002D4262">
      <w:pPr>
        <w:spacing w:after="200" w:line="276" w:lineRule="auto"/>
        <w:jc w:val="center"/>
        <w:rPr>
          <w:b/>
          <w:bCs/>
          <w:color w:val="auto"/>
          <w:spacing w:val="-2"/>
          <w:sz w:val="32"/>
          <w:szCs w:val="32"/>
        </w:rPr>
      </w:pPr>
      <w:r>
        <w:rPr>
          <w:rFonts w:cs="Calibri"/>
          <w:b/>
          <w:bCs/>
          <w:color w:val="auto"/>
        </w:rPr>
        <w:t>7 aprile</w:t>
      </w:r>
      <w:r w:rsidR="002D4262" w:rsidRPr="000C2BD2">
        <w:rPr>
          <w:rFonts w:cs="Calibri"/>
          <w:b/>
          <w:bCs/>
          <w:color w:val="auto"/>
        </w:rPr>
        <w:t xml:space="preserve"> 2022 - Fondazione GIMBE, Bologna</w:t>
      </w:r>
    </w:p>
    <w:p w:rsidR="00C6227B" w:rsidRPr="00C6227B" w:rsidRDefault="00C6227B" w:rsidP="00061647">
      <w:pPr>
        <w:spacing w:line="276" w:lineRule="auto"/>
        <w:jc w:val="both"/>
        <w:rPr>
          <w:color w:val="auto"/>
        </w:rPr>
      </w:pPr>
      <w:r w:rsidRPr="00C6227B">
        <w:rPr>
          <w:color w:val="auto"/>
        </w:rPr>
        <w:t xml:space="preserve">Il monitoraggio indipendente della Fondazione GIMBE rileva nella settimana 30 marzo-5 aprile 2022, rispetto alla precedente, una </w:t>
      </w:r>
      <w:r w:rsidR="002344C4">
        <w:rPr>
          <w:color w:val="auto"/>
        </w:rPr>
        <w:t>lieve</w:t>
      </w:r>
      <w:r w:rsidR="004222A8">
        <w:rPr>
          <w:color w:val="auto"/>
        </w:rPr>
        <w:t xml:space="preserve"> </w:t>
      </w:r>
      <w:r w:rsidRPr="00C6227B">
        <w:rPr>
          <w:color w:val="auto"/>
        </w:rPr>
        <w:t>diminuzione di nuovi casi (469.479 vs 504.487) (</w:t>
      </w:r>
      <w:r w:rsidRPr="00C6227B">
        <w:rPr>
          <w:color w:val="auto"/>
          <w:highlight w:val="yellow"/>
        </w:rPr>
        <w:t>figura 1</w:t>
      </w:r>
      <w:r w:rsidRPr="00C6227B">
        <w:rPr>
          <w:color w:val="auto"/>
        </w:rPr>
        <w:t>) e un aumento dei decessi (1.049 vs 953) (</w:t>
      </w:r>
      <w:r w:rsidRPr="00C6227B">
        <w:rPr>
          <w:color w:val="auto"/>
          <w:highlight w:val="yellow"/>
        </w:rPr>
        <w:t>figura 2</w:t>
      </w:r>
      <w:r w:rsidRPr="00C6227B">
        <w:rPr>
          <w:color w:val="auto"/>
        </w:rPr>
        <w:t xml:space="preserve">). </w:t>
      </w:r>
      <w:r w:rsidR="004222A8">
        <w:rPr>
          <w:color w:val="auto"/>
        </w:rPr>
        <w:t xml:space="preserve">Crescono </w:t>
      </w:r>
      <w:r w:rsidRPr="00C6227B">
        <w:rPr>
          <w:color w:val="auto"/>
        </w:rPr>
        <w:t>anche i casi attualmente positivi (1.274.388 vs 1.266.878), le persone in isolamento domiciliare (1.263.671 vs 1.256.651</w:t>
      </w:r>
      <w:r w:rsidR="0020223B" w:rsidRPr="00C6227B">
        <w:rPr>
          <w:color w:val="auto"/>
        </w:rPr>
        <w:t>)</w:t>
      </w:r>
      <w:r w:rsidR="0020223B">
        <w:rPr>
          <w:color w:val="auto"/>
        </w:rPr>
        <w:t xml:space="preserve"> e </w:t>
      </w:r>
      <w:r w:rsidRPr="00C6227B">
        <w:rPr>
          <w:color w:val="auto"/>
        </w:rPr>
        <w:t>i ricoveri con sintomi (10.246 vs 9.740)</w:t>
      </w:r>
      <w:r w:rsidR="00665951">
        <w:rPr>
          <w:color w:val="auto"/>
        </w:rPr>
        <w:t xml:space="preserve">, mentre diminuiscono i pazienti in </w:t>
      </w:r>
      <w:r w:rsidR="00665951" w:rsidRPr="00C6227B">
        <w:rPr>
          <w:color w:val="auto"/>
        </w:rPr>
        <w:t>terapi</w:t>
      </w:r>
      <w:r w:rsidR="00665951">
        <w:rPr>
          <w:color w:val="auto"/>
        </w:rPr>
        <w:t>a</w:t>
      </w:r>
      <w:r w:rsidR="00665951" w:rsidRPr="00C6227B">
        <w:rPr>
          <w:color w:val="auto"/>
        </w:rPr>
        <w:t xml:space="preserve"> intensiv</w:t>
      </w:r>
      <w:r w:rsidR="00665951">
        <w:rPr>
          <w:color w:val="auto"/>
        </w:rPr>
        <w:t>a</w:t>
      </w:r>
      <w:r w:rsidR="00665951" w:rsidRPr="00C6227B">
        <w:rPr>
          <w:color w:val="auto"/>
        </w:rPr>
        <w:t xml:space="preserve"> </w:t>
      </w:r>
      <w:r w:rsidRPr="00C6227B">
        <w:rPr>
          <w:color w:val="auto"/>
        </w:rPr>
        <w:t>(471 vs 487) (</w:t>
      </w:r>
      <w:r w:rsidRPr="00C6227B">
        <w:rPr>
          <w:color w:val="auto"/>
          <w:highlight w:val="yellow"/>
        </w:rPr>
        <w:t>figura 3</w:t>
      </w:r>
      <w:r w:rsidRPr="00C6227B">
        <w:rPr>
          <w:color w:val="auto"/>
        </w:rPr>
        <w:t>). In dettaglio, rispetto alla settimana precedente, si registrano le seguenti variazioni:</w:t>
      </w:r>
    </w:p>
    <w:p w:rsidR="00C6227B" w:rsidRPr="00C6227B" w:rsidRDefault="00C6227B" w:rsidP="00CB1ED3">
      <w:pPr>
        <w:pStyle w:val="Paragrafoelenco"/>
        <w:numPr>
          <w:ilvl w:val="0"/>
          <w:numId w:val="3"/>
        </w:numPr>
        <w:spacing w:after="0" w:line="276" w:lineRule="auto"/>
        <w:ind w:left="357" w:hanging="357"/>
        <w:jc w:val="both"/>
        <w:rPr>
          <w:color w:val="auto"/>
        </w:rPr>
      </w:pPr>
      <w:r w:rsidRPr="00C6227B">
        <w:rPr>
          <w:color w:val="auto"/>
        </w:rPr>
        <w:t>Decessi: 1.049 (+10,1%), di cui 104 riferiti a periodi precedenti</w:t>
      </w:r>
    </w:p>
    <w:p w:rsidR="00C6227B" w:rsidRPr="00C6227B" w:rsidRDefault="00C6227B" w:rsidP="00CB1ED3">
      <w:pPr>
        <w:pStyle w:val="Paragrafoelenco"/>
        <w:numPr>
          <w:ilvl w:val="0"/>
          <w:numId w:val="3"/>
        </w:numPr>
        <w:spacing w:after="0" w:line="276" w:lineRule="auto"/>
        <w:ind w:left="357" w:hanging="357"/>
        <w:jc w:val="both"/>
        <w:rPr>
          <w:color w:val="auto"/>
        </w:rPr>
      </w:pPr>
      <w:r w:rsidRPr="00C6227B">
        <w:rPr>
          <w:color w:val="auto"/>
        </w:rPr>
        <w:t>Terapia intensiva: -16 (-3,3%)</w:t>
      </w:r>
    </w:p>
    <w:p w:rsidR="00C6227B" w:rsidRPr="00C6227B" w:rsidRDefault="00C6227B" w:rsidP="00CB1ED3">
      <w:pPr>
        <w:pStyle w:val="Paragrafoelenco"/>
        <w:numPr>
          <w:ilvl w:val="0"/>
          <w:numId w:val="3"/>
        </w:numPr>
        <w:spacing w:after="0" w:line="276" w:lineRule="auto"/>
        <w:ind w:left="357" w:hanging="357"/>
        <w:jc w:val="both"/>
        <w:rPr>
          <w:color w:val="auto"/>
        </w:rPr>
      </w:pPr>
      <w:r w:rsidRPr="00C6227B">
        <w:rPr>
          <w:color w:val="auto"/>
        </w:rPr>
        <w:t>Ricoverati con sintomi: +506 (+5,2%)</w:t>
      </w:r>
    </w:p>
    <w:p w:rsidR="00C6227B" w:rsidRPr="00C6227B" w:rsidRDefault="00C6227B" w:rsidP="00CB1ED3">
      <w:pPr>
        <w:pStyle w:val="Paragrafoelenco"/>
        <w:numPr>
          <w:ilvl w:val="0"/>
          <w:numId w:val="3"/>
        </w:numPr>
        <w:spacing w:after="0" w:line="276" w:lineRule="auto"/>
        <w:ind w:left="357" w:hanging="357"/>
        <w:jc w:val="both"/>
        <w:rPr>
          <w:color w:val="auto"/>
        </w:rPr>
      </w:pPr>
      <w:r w:rsidRPr="00C6227B">
        <w:rPr>
          <w:color w:val="auto"/>
        </w:rPr>
        <w:t>Isolamento domiciliare: +7.020 (+</w:t>
      </w:r>
      <w:r>
        <w:rPr>
          <w:color w:val="auto"/>
        </w:rPr>
        <w:t>0</w:t>
      </w:r>
      <w:r w:rsidRPr="00C6227B">
        <w:rPr>
          <w:color w:val="auto"/>
        </w:rPr>
        <w:t>,6%)</w:t>
      </w:r>
    </w:p>
    <w:p w:rsidR="00C6227B" w:rsidRPr="00C6227B" w:rsidRDefault="00C6227B" w:rsidP="00CB1ED3">
      <w:pPr>
        <w:pStyle w:val="Paragrafoelenco"/>
        <w:numPr>
          <w:ilvl w:val="0"/>
          <w:numId w:val="3"/>
        </w:numPr>
        <w:spacing w:after="0" w:line="276" w:lineRule="auto"/>
        <w:ind w:left="357" w:hanging="357"/>
        <w:jc w:val="both"/>
        <w:rPr>
          <w:color w:val="auto"/>
        </w:rPr>
      </w:pPr>
      <w:r w:rsidRPr="00C6227B">
        <w:rPr>
          <w:color w:val="auto"/>
        </w:rPr>
        <w:t>Nuovi casi: 469.479 (-6,9%)</w:t>
      </w:r>
    </w:p>
    <w:p w:rsidR="00C6227B" w:rsidRPr="00C6227B" w:rsidRDefault="00C6227B" w:rsidP="00CB1ED3">
      <w:pPr>
        <w:pStyle w:val="Paragrafoelenco"/>
        <w:numPr>
          <w:ilvl w:val="0"/>
          <w:numId w:val="3"/>
        </w:numPr>
        <w:spacing w:line="276" w:lineRule="auto"/>
        <w:jc w:val="both"/>
        <w:rPr>
          <w:color w:val="auto"/>
        </w:rPr>
      </w:pPr>
      <w:r w:rsidRPr="00C6227B">
        <w:rPr>
          <w:color w:val="auto"/>
        </w:rPr>
        <w:t>Casi attualmente positivi: +7.510 (+</w:t>
      </w:r>
      <w:r>
        <w:rPr>
          <w:color w:val="auto"/>
        </w:rPr>
        <w:t>0</w:t>
      </w:r>
      <w:r w:rsidRPr="00C6227B">
        <w:rPr>
          <w:color w:val="auto"/>
        </w:rPr>
        <w:t>,6%)</w:t>
      </w:r>
    </w:p>
    <w:p w:rsidR="00C13A5D" w:rsidRPr="00296AF1" w:rsidRDefault="00FA4320" w:rsidP="00C6227B">
      <w:pPr>
        <w:spacing w:line="276" w:lineRule="auto"/>
        <w:jc w:val="both"/>
        <w:rPr>
          <w:color w:val="FF0000"/>
        </w:rPr>
      </w:pPr>
      <w:r w:rsidRPr="00C6227B">
        <w:rPr>
          <w:b/>
          <w:color w:val="auto"/>
        </w:rPr>
        <w:t xml:space="preserve">Nuovi casi. </w:t>
      </w:r>
      <w:r w:rsidRPr="00C6227B">
        <w:rPr>
          <w:color w:val="auto"/>
        </w:rPr>
        <w:t>«</w:t>
      </w:r>
      <w:r w:rsidR="00A16713" w:rsidRPr="00C6227B">
        <w:rPr>
          <w:color w:val="auto"/>
        </w:rPr>
        <w:t xml:space="preserve">Dopo </w:t>
      </w:r>
      <w:r w:rsidR="00C6227B" w:rsidRPr="00C6227B">
        <w:rPr>
          <w:color w:val="auto"/>
        </w:rPr>
        <w:t xml:space="preserve">la stabilizzazione della scorsa settimana </w:t>
      </w:r>
      <w:r w:rsidRPr="00C6227B">
        <w:rPr>
          <w:color w:val="auto"/>
        </w:rPr>
        <w:t>– dichiara Nino Cartabellotta, Presidente della Fondazione GIMBE –</w:t>
      </w:r>
      <w:r w:rsidR="00A16713" w:rsidRPr="00C6227B">
        <w:rPr>
          <w:color w:val="auto"/>
        </w:rPr>
        <w:t xml:space="preserve"> </w:t>
      </w:r>
      <w:r w:rsidR="003D7565" w:rsidRPr="00C6227B">
        <w:rPr>
          <w:color w:val="auto"/>
        </w:rPr>
        <w:t>i</w:t>
      </w:r>
      <w:r w:rsidR="00B92911" w:rsidRPr="00C6227B">
        <w:rPr>
          <w:color w:val="auto"/>
        </w:rPr>
        <w:t xml:space="preserve"> </w:t>
      </w:r>
      <w:r w:rsidR="005200F6" w:rsidRPr="00C6227B">
        <w:rPr>
          <w:color w:val="auto"/>
        </w:rPr>
        <w:t>nuovi casi settimanali</w:t>
      </w:r>
      <w:r w:rsidR="00A16713" w:rsidRPr="00C6227B">
        <w:rPr>
          <w:color w:val="auto"/>
        </w:rPr>
        <w:t xml:space="preserve"> </w:t>
      </w:r>
      <w:r w:rsidR="00C6227B" w:rsidRPr="00C6227B">
        <w:rPr>
          <w:color w:val="auto"/>
        </w:rPr>
        <w:t xml:space="preserve">si attestano </w:t>
      </w:r>
      <w:r w:rsidRPr="00C6227B">
        <w:rPr>
          <w:color w:val="auto"/>
        </w:rPr>
        <w:t xml:space="preserve">a </w:t>
      </w:r>
      <w:r w:rsidR="00DB70BE" w:rsidRPr="00C6227B">
        <w:rPr>
          <w:color w:val="auto"/>
        </w:rPr>
        <w:t xml:space="preserve">quota </w:t>
      </w:r>
      <w:r w:rsidR="00C6227B" w:rsidRPr="00C6227B">
        <w:rPr>
          <w:color w:val="auto"/>
        </w:rPr>
        <w:t>469</w:t>
      </w:r>
      <w:r w:rsidR="00B92911" w:rsidRPr="00C6227B">
        <w:rPr>
          <w:color w:val="auto"/>
        </w:rPr>
        <w:t xml:space="preserve"> mila, con </w:t>
      </w:r>
      <w:r w:rsidR="0020223B">
        <w:rPr>
          <w:color w:val="auto"/>
        </w:rPr>
        <w:t>una riduzione</w:t>
      </w:r>
      <w:r w:rsidR="00B92911" w:rsidRPr="00C6227B">
        <w:rPr>
          <w:color w:val="auto"/>
        </w:rPr>
        <w:t xml:space="preserve"> del</w:t>
      </w:r>
      <w:r w:rsidR="00C6227B" w:rsidRPr="00C6227B">
        <w:rPr>
          <w:color w:val="auto"/>
        </w:rPr>
        <w:t xml:space="preserve"> 6</w:t>
      </w:r>
      <w:r w:rsidRPr="00C6227B">
        <w:rPr>
          <w:color w:val="auto"/>
        </w:rPr>
        <w:t>,</w:t>
      </w:r>
      <w:r w:rsidR="00C6227B" w:rsidRPr="00C6227B">
        <w:rPr>
          <w:color w:val="auto"/>
        </w:rPr>
        <w:t>9</w:t>
      </w:r>
      <w:r w:rsidRPr="00C6227B">
        <w:rPr>
          <w:color w:val="auto"/>
        </w:rPr>
        <w:t xml:space="preserve">% e una media mobile a 7 giorni che </w:t>
      </w:r>
      <w:r w:rsidR="00C6227B" w:rsidRPr="00C6227B">
        <w:rPr>
          <w:color w:val="auto"/>
        </w:rPr>
        <w:t xml:space="preserve">scende intorno </w:t>
      </w:r>
      <w:r w:rsidR="00C13A5D" w:rsidRPr="00C6227B">
        <w:rPr>
          <w:color w:val="auto"/>
        </w:rPr>
        <w:t xml:space="preserve">ai </w:t>
      </w:r>
      <w:r w:rsidR="00C6227B" w:rsidRPr="00C6227B">
        <w:rPr>
          <w:color w:val="auto"/>
        </w:rPr>
        <w:t>68</w:t>
      </w:r>
      <w:r w:rsidR="00C13A5D" w:rsidRPr="00C6227B">
        <w:rPr>
          <w:color w:val="auto"/>
        </w:rPr>
        <w:t xml:space="preserve"> </w:t>
      </w:r>
      <w:r w:rsidR="008E50A0" w:rsidRPr="00C6227B">
        <w:rPr>
          <w:color w:val="auto"/>
        </w:rPr>
        <w:t>mila</w:t>
      </w:r>
      <w:r w:rsidR="00C13A5D" w:rsidRPr="00C6227B">
        <w:rPr>
          <w:color w:val="auto"/>
        </w:rPr>
        <w:t xml:space="preserve"> casi</w:t>
      </w:r>
      <w:r w:rsidR="00A16713" w:rsidRPr="00C6227B">
        <w:rPr>
          <w:color w:val="auto"/>
        </w:rPr>
        <w:t xml:space="preserve">. </w:t>
      </w:r>
      <w:r w:rsidR="004222A8" w:rsidRPr="004222A8">
        <w:rPr>
          <w:color w:val="auto"/>
        </w:rPr>
        <w:t>Rimane</w:t>
      </w:r>
      <w:r w:rsidR="0020223B">
        <w:rPr>
          <w:color w:val="auto"/>
        </w:rPr>
        <w:t xml:space="preserve"> tuttavia</w:t>
      </w:r>
      <w:r w:rsidR="004222A8" w:rsidRPr="004222A8">
        <w:rPr>
          <w:color w:val="auto"/>
        </w:rPr>
        <w:t xml:space="preserve"> molto </w:t>
      </w:r>
      <w:r w:rsidR="00A16713" w:rsidRPr="004222A8">
        <w:rPr>
          <w:color w:val="auto"/>
        </w:rPr>
        <w:t xml:space="preserve">difficile fare previsioni, sia per </w:t>
      </w:r>
      <w:r w:rsidR="00665951" w:rsidRPr="004222A8">
        <w:rPr>
          <w:color w:val="auto"/>
        </w:rPr>
        <w:t>l</w:t>
      </w:r>
      <w:r w:rsidR="00665951">
        <w:rPr>
          <w:color w:val="auto"/>
        </w:rPr>
        <w:t>’eterogeneità delle</w:t>
      </w:r>
      <w:r w:rsidR="00665951" w:rsidRPr="004222A8">
        <w:rPr>
          <w:color w:val="auto"/>
        </w:rPr>
        <w:t xml:space="preserve"> </w:t>
      </w:r>
      <w:r w:rsidR="004222A8" w:rsidRPr="004222A8">
        <w:rPr>
          <w:color w:val="auto"/>
        </w:rPr>
        <w:t>situazioni</w:t>
      </w:r>
      <w:r w:rsidR="00A16713" w:rsidRPr="004222A8">
        <w:rPr>
          <w:color w:val="auto"/>
        </w:rPr>
        <w:t xml:space="preserve"> </w:t>
      </w:r>
      <w:r w:rsidR="004222A8" w:rsidRPr="004222A8">
        <w:rPr>
          <w:color w:val="auto"/>
        </w:rPr>
        <w:t>regionali</w:t>
      </w:r>
      <w:r w:rsidR="00A16713" w:rsidRPr="004222A8">
        <w:rPr>
          <w:color w:val="auto"/>
        </w:rPr>
        <w:t xml:space="preserve">, sia perché </w:t>
      </w:r>
      <w:r w:rsidR="004222A8">
        <w:rPr>
          <w:color w:val="auto"/>
        </w:rPr>
        <w:t xml:space="preserve">in alcune </w:t>
      </w:r>
      <w:r w:rsidR="00A16713" w:rsidRPr="004222A8">
        <w:rPr>
          <w:color w:val="auto"/>
        </w:rPr>
        <w:t xml:space="preserve">grandi Regioni del Nord </w:t>
      </w:r>
      <w:r w:rsidR="004222A8" w:rsidRPr="004222A8">
        <w:rPr>
          <w:color w:val="auto"/>
        </w:rPr>
        <w:t>iniziano a</w:t>
      </w:r>
      <w:r w:rsidR="00665951">
        <w:rPr>
          <w:color w:val="auto"/>
        </w:rPr>
        <w:t>d</w:t>
      </w:r>
      <w:r w:rsidR="004222A8" w:rsidRPr="004222A8">
        <w:rPr>
          <w:color w:val="auto"/>
        </w:rPr>
        <w:t xml:space="preserve"> intravedersi segnali di risalita</w:t>
      </w:r>
      <w:r w:rsidRPr="004222A8">
        <w:rPr>
          <w:color w:val="auto"/>
        </w:rPr>
        <w:t>»</w:t>
      </w:r>
      <w:r w:rsidR="003D7565" w:rsidRPr="004222A8">
        <w:rPr>
          <w:color w:val="auto"/>
        </w:rPr>
        <w:t xml:space="preserve"> </w:t>
      </w:r>
      <w:r w:rsidRPr="004222A8">
        <w:rPr>
          <w:color w:val="auto"/>
        </w:rPr>
        <w:t>(</w:t>
      </w:r>
      <w:r w:rsidRPr="00C6227B">
        <w:rPr>
          <w:color w:val="auto"/>
          <w:highlight w:val="yellow"/>
        </w:rPr>
        <w:t>figura 4</w:t>
      </w:r>
      <w:r w:rsidRPr="00C6227B">
        <w:rPr>
          <w:color w:val="auto"/>
        </w:rPr>
        <w:t>).</w:t>
      </w:r>
      <w:r w:rsidR="00A16713" w:rsidRPr="00C6227B">
        <w:rPr>
          <w:color w:val="auto"/>
        </w:rPr>
        <w:t xml:space="preserve"> </w:t>
      </w:r>
      <w:r w:rsidR="004222A8">
        <w:rPr>
          <w:color w:val="auto"/>
        </w:rPr>
        <w:t>Infatti, n</w:t>
      </w:r>
      <w:r w:rsidR="00AC37CB" w:rsidRPr="00C6227B">
        <w:rPr>
          <w:color w:val="auto"/>
        </w:rPr>
        <w:t xml:space="preserve">ella </w:t>
      </w:r>
      <w:r w:rsidR="008568BE" w:rsidRPr="00C6227B">
        <w:rPr>
          <w:color w:val="auto"/>
        </w:rPr>
        <w:t xml:space="preserve">settimana </w:t>
      </w:r>
      <w:r w:rsidR="00C6227B" w:rsidRPr="00C6227B">
        <w:rPr>
          <w:color w:val="auto"/>
        </w:rPr>
        <w:t xml:space="preserve">30 marzo-5 aprile </w:t>
      </w:r>
      <w:r w:rsidR="00036D6B" w:rsidRPr="00C6227B">
        <w:rPr>
          <w:color w:val="auto"/>
        </w:rPr>
        <w:t xml:space="preserve">si </w:t>
      </w:r>
      <w:r w:rsidR="00EA4C24" w:rsidRPr="00C6227B">
        <w:rPr>
          <w:color w:val="auto"/>
        </w:rPr>
        <w:t xml:space="preserve">rileva </w:t>
      </w:r>
      <w:r w:rsidR="004B6A39" w:rsidRPr="00C6227B">
        <w:rPr>
          <w:color w:val="auto"/>
        </w:rPr>
        <w:t>un</w:t>
      </w:r>
      <w:r w:rsidR="00D07DCA" w:rsidRPr="00C6227B">
        <w:rPr>
          <w:color w:val="auto"/>
        </w:rPr>
        <w:t xml:space="preserve"> incremento </w:t>
      </w:r>
      <w:r w:rsidR="008568BE" w:rsidRPr="00C6227B">
        <w:rPr>
          <w:color w:val="auto"/>
        </w:rPr>
        <w:t>p</w:t>
      </w:r>
      <w:r w:rsidR="00ED6992" w:rsidRPr="00C6227B">
        <w:rPr>
          <w:color w:val="auto"/>
        </w:rPr>
        <w:t>ercentuale dei nuovi casi</w:t>
      </w:r>
      <w:r w:rsidR="00D07DCA" w:rsidRPr="00C6227B">
        <w:rPr>
          <w:color w:val="auto"/>
        </w:rPr>
        <w:t xml:space="preserve"> in </w:t>
      </w:r>
      <w:r w:rsidR="00C6227B" w:rsidRPr="00C6227B">
        <w:rPr>
          <w:color w:val="auto"/>
        </w:rPr>
        <w:t>4</w:t>
      </w:r>
      <w:r w:rsidR="00C13A5D" w:rsidRPr="00C6227B">
        <w:rPr>
          <w:color w:val="auto"/>
        </w:rPr>
        <w:t xml:space="preserve"> </w:t>
      </w:r>
      <w:r w:rsidR="00D07DCA" w:rsidRPr="00C6227B">
        <w:rPr>
          <w:color w:val="auto"/>
        </w:rPr>
        <w:t>Regioni</w:t>
      </w:r>
      <w:r w:rsidR="00C13A5D" w:rsidRPr="00C6227B">
        <w:rPr>
          <w:color w:val="auto"/>
        </w:rPr>
        <w:t xml:space="preserve"> </w:t>
      </w:r>
      <w:r w:rsidR="00C6227B" w:rsidRPr="00C6227B">
        <w:rPr>
          <w:color w:val="auto"/>
        </w:rPr>
        <w:t xml:space="preserve">(dal +1,3% del Veneto al +10,4% </w:t>
      </w:r>
      <w:r w:rsidR="0020223B" w:rsidRPr="00C6227B">
        <w:rPr>
          <w:color w:val="auto"/>
        </w:rPr>
        <w:t>dell’Emilia</w:t>
      </w:r>
      <w:r w:rsidR="0020223B">
        <w:rPr>
          <w:color w:val="auto"/>
        </w:rPr>
        <w:t>-</w:t>
      </w:r>
      <w:r w:rsidR="00C6227B" w:rsidRPr="00C6227B">
        <w:rPr>
          <w:color w:val="auto"/>
        </w:rPr>
        <w:t xml:space="preserve">Romagna) </w:t>
      </w:r>
      <w:r w:rsidR="00C13A5D" w:rsidRPr="00C6227B">
        <w:rPr>
          <w:color w:val="auto"/>
        </w:rPr>
        <w:t xml:space="preserve">e un decremento in </w:t>
      </w:r>
      <w:r w:rsidR="00C6227B" w:rsidRPr="00C6227B">
        <w:rPr>
          <w:color w:val="auto"/>
        </w:rPr>
        <w:t>17 (</w:t>
      </w:r>
      <w:r w:rsidR="00B32A3E" w:rsidRPr="00C6227B">
        <w:rPr>
          <w:color w:val="auto"/>
        </w:rPr>
        <w:t>da</w:t>
      </w:r>
      <w:r w:rsidR="00911864" w:rsidRPr="00C6227B">
        <w:rPr>
          <w:color w:val="auto"/>
        </w:rPr>
        <w:t>l</w:t>
      </w:r>
      <w:r w:rsidR="00B03FFD" w:rsidRPr="00C6227B">
        <w:rPr>
          <w:color w:val="auto"/>
        </w:rPr>
        <w:t xml:space="preserve"> </w:t>
      </w:r>
      <w:r w:rsidR="00C6227B" w:rsidRPr="00C6227B">
        <w:rPr>
          <w:color w:val="auto"/>
        </w:rPr>
        <w:t xml:space="preserve">-1,3% della Lombardia al -18,2% dell’Umbria) </w:t>
      </w:r>
      <w:r w:rsidR="008568BE" w:rsidRPr="00C6227B">
        <w:rPr>
          <w:color w:val="auto"/>
        </w:rPr>
        <w:t>(</w:t>
      </w:r>
      <w:r w:rsidR="008568BE" w:rsidRPr="00C6227B">
        <w:rPr>
          <w:color w:val="auto"/>
          <w:highlight w:val="yellow"/>
        </w:rPr>
        <w:t>tabella 1</w:t>
      </w:r>
      <w:r w:rsidR="008568BE" w:rsidRPr="00C6227B">
        <w:rPr>
          <w:color w:val="auto"/>
        </w:rPr>
        <w:t>).</w:t>
      </w:r>
      <w:r w:rsidR="00D74F90" w:rsidRPr="00C6227B">
        <w:rPr>
          <w:color w:val="auto"/>
        </w:rPr>
        <w:t xml:space="preserve"> </w:t>
      </w:r>
      <w:r w:rsidR="001647A3">
        <w:rPr>
          <w:color w:val="auto"/>
        </w:rPr>
        <w:t>R</w:t>
      </w:r>
      <w:r w:rsidR="001647A3" w:rsidRPr="00C6227B">
        <w:rPr>
          <w:color w:val="auto"/>
        </w:rPr>
        <w:t>ispetto alla settimana precedente</w:t>
      </w:r>
      <w:r w:rsidR="001647A3">
        <w:rPr>
          <w:color w:val="auto"/>
        </w:rPr>
        <w:t>,</w:t>
      </w:r>
      <w:r w:rsidR="001647A3" w:rsidRPr="00C6227B">
        <w:rPr>
          <w:color w:val="auto"/>
        </w:rPr>
        <w:t xml:space="preserve"> </w:t>
      </w:r>
      <w:r w:rsidR="001647A3">
        <w:rPr>
          <w:color w:val="auto"/>
        </w:rPr>
        <w:t>i</w:t>
      </w:r>
      <w:r w:rsidR="001647A3" w:rsidRPr="00C6227B">
        <w:rPr>
          <w:color w:val="auto"/>
        </w:rPr>
        <w:t xml:space="preserve">n 38 Province </w:t>
      </w:r>
      <w:r w:rsidR="001647A3">
        <w:rPr>
          <w:color w:val="auto"/>
        </w:rPr>
        <w:t xml:space="preserve">i </w:t>
      </w:r>
      <w:r w:rsidR="001647A3" w:rsidRPr="00C6227B">
        <w:rPr>
          <w:color w:val="auto"/>
        </w:rPr>
        <w:t>nuovi casi</w:t>
      </w:r>
      <w:r w:rsidR="001647A3" w:rsidRPr="001647A3">
        <w:rPr>
          <w:color w:val="auto"/>
        </w:rPr>
        <w:t xml:space="preserve"> </w:t>
      </w:r>
      <w:r w:rsidR="001647A3" w:rsidRPr="00C6227B">
        <w:rPr>
          <w:color w:val="auto"/>
        </w:rPr>
        <w:t>registra</w:t>
      </w:r>
      <w:r w:rsidR="001647A3">
        <w:rPr>
          <w:color w:val="auto"/>
        </w:rPr>
        <w:t>no</w:t>
      </w:r>
      <w:r w:rsidR="001647A3" w:rsidRPr="00C6227B">
        <w:rPr>
          <w:color w:val="auto"/>
        </w:rPr>
        <w:t xml:space="preserve"> un incremento percentuale, in </w:t>
      </w:r>
      <w:r w:rsidR="001647A3">
        <w:rPr>
          <w:color w:val="auto"/>
        </w:rPr>
        <w:t>69</w:t>
      </w:r>
      <w:r w:rsidR="001647A3" w:rsidRPr="00C6227B">
        <w:rPr>
          <w:color w:val="auto"/>
        </w:rPr>
        <w:t xml:space="preserve"> un</w:t>
      </w:r>
      <w:r w:rsidR="001647A3">
        <w:rPr>
          <w:color w:val="auto"/>
        </w:rPr>
        <w:t>a diminuzione</w:t>
      </w:r>
      <w:r w:rsidR="009A6947" w:rsidRPr="00C6227B">
        <w:rPr>
          <w:color w:val="auto"/>
        </w:rPr>
        <w:t xml:space="preserve">. </w:t>
      </w:r>
      <w:r w:rsidR="00C13A5D" w:rsidRPr="00C6227B">
        <w:rPr>
          <w:color w:val="auto"/>
        </w:rPr>
        <w:t xml:space="preserve">Scendono da </w:t>
      </w:r>
      <w:r w:rsidR="00C6227B" w:rsidRPr="00C6227B">
        <w:rPr>
          <w:color w:val="auto"/>
        </w:rPr>
        <w:t>34</w:t>
      </w:r>
      <w:r w:rsidR="005200F6" w:rsidRPr="00C6227B">
        <w:rPr>
          <w:color w:val="auto"/>
        </w:rPr>
        <w:t xml:space="preserve"> </w:t>
      </w:r>
      <w:r w:rsidR="00D07DCA" w:rsidRPr="00C6227B">
        <w:rPr>
          <w:color w:val="auto"/>
        </w:rPr>
        <w:t xml:space="preserve">a </w:t>
      </w:r>
      <w:r w:rsidR="00C6227B" w:rsidRPr="00C6227B">
        <w:rPr>
          <w:color w:val="auto"/>
        </w:rPr>
        <w:t>21</w:t>
      </w:r>
      <w:r w:rsidR="00A5060E" w:rsidRPr="00C6227B">
        <w:rPr>
          <w:color w:val="auto"/>
        </w:rPr>
        <w:t xml:space="preserve"> le Province </w:t>
      </w:r>
      <w:r w:rsidR="008C7A58" w:rsidRPr="00C6227B">
        <w:rPr>
          <w:color w:val="auto"/>
        </w:rPr>
        <w:t>con incidenza superiore a</w:t>
      </w:r>
      <w:r w:rsidR="00A5060E" w:rsidRPr="00C6227B">
        <w:rPr>
          <w:color w:val="auto"/>
        </w:rPr>
        <w:t xml:space="preserve"> </w:t>
      </w:r>
      <w:r w:rsidR="0091168C" w:rsidRPr="00C6227B">
        <w:rPr>
          <w:color w:val="auto"/>
        </w:rPr>
        <w:t>1.000</w:t>
      </w:r>
      <w:r w:rsidR="00A5060E" w:rsidRPr="00C6227B">
        <w:rPr>
          <w:color w:val="auto"/>
        </w:rPr>
        <w:t xml:space="preserve"> casi per 100.000 abitanti</w:t>
      </w:r>
      <w:r w:rsidR="00D07DCA" w:rsidRPr="00C6227B">
        <w:rPr>
          <w:color w:val="auto"/>
        </w:rPr>
        <w:t>:</w:t>
      </w:r>
      <w:r w:rsidR="0093429F" w:rsidRPr="00C6227B">
        <w:rPr>
          <w:color w:val="auto"/>
        </w:rPr>
        <w:t xml:space="preserve"> </w:t>
      </w:r>
      <w:r w:rsidR="00C6227B" w:rsidRPr="00C6227B">
        <w:rPr>
          <w:color w:val="auto"/>
        </w:rPr>
        <w:t xml:space="preserve">Avellino (1.374), </w:t>
      </w:r>
      <w:r w:rsidR="00C6227B" w:rsidRPr="00C6227B">
        <w:rPr>
          <w:color w:val="auto"/>
        </w:rPr>
        <w:lastRenderedPageBreak/>
        <w:t xml:space="preserve">Lecce (1.342), Messina (1.256), Teramo (1.250), Bari (1.200), Ascoli Piceno (1.174), Potenza (1.166), Brindisi (1.145), Benevento (1.130), Perugia (1.115), Reggio di Calabria (1.104), Chieti (1.084), Vibo Valentia (1.083), Fermo (1.080), Padova (1.069), Frosinone (1.057), Ancona (1.048), Crotone (1.040), Latina (1.031), Rieti (1.031) e Taranto (1.018) </w:t>
      </w:r>
      <w:r w:rsidR="00C13A5D" w:rsidRPr="00C6227B">
        <w:rPr>
          <w:color w:val="auto"/>
        </w:rPr>
        <w:t>(</w:t>
      </w:r>
      <w:r w:rsidR="00C13A5D" w:rsidRPr="00C6227B">
        <w:rPr>
          <w:color w:val="auto"/>
          <w:highlight w:val="yellow"/>
        </w:rPr>
        <w:t>tabella 2</w:t>
      </w:r>
      <w:r w:rsidR="00C13A5D" w:rsidRPr="00C6227B">
        <w:rPr>
          <w:color w:val="auto"/>
        </w:rPr>
        <w:t>).</w:t>
      </w:r>
    </w:p>
    <w:p w:rsidR="00C6227B" w:rsidRPr="00C6227B" w:rsidRDefault="00C6227B" w:rsidP="008D2843">
      <w:pPr>
        <w:spacing w:line="276" w:lineRule="auto"/>
        <w:jc w:val="both"/>
        <w:rPr>
          <w:color w:val="auto"/>
        </w:rPr>
      </w:pPr>
      <w:r w:rsidRPr="00C6227B">
        <w:rPr>
          <w:b/>
          <w:color w:val="auto"/>
        </w:rPr>
        <w:t>Testing.</w:t>
      </w:r>
      <w:r w:rsidRPr="00C6227B">
        <w:rPr>
          <w:color w:val="auto"/>
        </w:rPr>
        <w:t xml:space="preserve"> Si registra un calo del numero dei tamponi totali (-4,7%): da 3.323.770 della settimana 23-29 marzo a 3.167.7</w:t>
      </w:r>
      <w:r>
        <w:rPr>
          <w:color w:val="auto"/>
        </w:rPr>
        <w:t xml:space="preserve">82 della settimana 30 marzo-5 aprile. In particolare </w:t>
      </w:r>
      <w:r w:rsidRPr="00C6227B">
        <w:rPr>
          <w:color w:val="auto"/>
        </w:rPr>
        <w:t>i tamponi rapidi</w:t>
      </w:r>
      <w:r>
        <w:rPr>
          <w:color w:val="auto"/>
        </w:rPr>
        <w:t xml:space="preserve"> sono diminuiti del 4,3%</w:t>
      </w:r>
      <w:r w:rsidRPr="00C6227B">
        <w:rPr>
          <w:color w:val="auto"/>
        </w:rPr>
        <w:t xml:space="preserve"> (-113.175) </w:t>
      </w:r>
      <w:r>
        <w:rPr>
          <w:color w:val="auto"/>
        </w:rPr>
        <w:t xml:space="preserve">mentre quelli molecolari del 6,1% </w:t>
      </w:r>
      <w:r w:rsidRPr="00C6227B">
        <w:rPr>
          <w:color w:val="auto"/>
        </w:rPr>
        <w:t>(-42.813) (</w:t>
      </w:r>
      <w:r w:rsidRPr="00C6227B">
        <w:rPr>
          <w:color w:val="auto"/>
          <w:highlight w:val="yellow"/>
        </w:rPr>
        <w:t>figura 5</w:t>
      </w:r>
      <w:r w:rsidRPr="00C6227B">
        <w:rPr>
          <w:color w:val="auto"/>
        </w:rPr>
        <w:t>). La media mobile a 7 giorni del tasso di pos</w:t>
      </w:r>
      <w:r>
        <w:rPr>
          <w:color w:val="auto"/>
        </w:rPr>
        <w:t xml:space="preserve">itività dei tamponi </w:t>
      </w:r>
      <w:r w:rsidR="004222A8">
        <w:rPr>
          <w:color w:val="auto"/>
        </w:rPr>
        <w:t xml:space="preserve">rimane </w:t>
      </w:r>
      <w:r w:rsidR="00E05B8E">
        <w:rPr>
          <w:color w:val="auto"/>
        </w:rPr>
        <w:t>sostanzialmente</w:t>
      </w:r>
      <w:r w:rsidR="004222A8">
        <w:rPr>
          <w:color w:val="auto"/>
        </w:rPr>
        <w:t xml:space="preserve"> </w:t>
      </w:r>
      <w:r w:rsidR="00B43A83">
        <w:rPr>
          <w:color w:val="auto"/>
        </w:rPr>
        <w:t>stabile</w:t>
      </w:r>
      <w:r w:rsidR="004222A8">
        <w:rPr>
          <w:color w:val="auto"/>
        </w:rPr>
        <w:t>:</w:t>
      </w:r>
      <w:r w:rsidR="00B43A83">
        <w:rPr>
          <w:color w:val="auto"/>
        </w:rPr>
        <w:t xml:space="preserve"> dal 13,4% al 13,6% </w:t>
      </w:r>
      <w:r w:rsidR="004222A8">
        <w:rPr>
          <w:color w:val="auto"/>
        </w:rPr>
        <w:t xml:space="preserve">per i tamponi molecolari e </w:t>
      </w:r>
      <w:r w:rsidRPr="00C6227B">
        <w:rPr>
          <w:color w:val="auto"/>
        </w:rPr>
        <w:t>dal 15,</w:t>
      </w:r>
      <w:r w:rsidR="00B25129">
        <w:rPr>
          <w:color w:val="auto"/>
        </w:rPr>
        <w:t>7</w:t>
      </w:r>
      <w:r w:rsidRPr="00C6227B">
        <w:rPr>
          <w:color w:val="auto"/>
        </w:rPr>
        <w:t>% al 15,</w:t>
      </w:r>
      <w:r w:rsidR="00B25129">
        <w:rPr>
          <w:color w:val="auto"/>
        </w:rPr>
        <w:t>5</w:t>
      </w:r>
      <w:r w:rsidRPr="00C6227B">
        <w:rPr>
          <w:color w:val="auto"/>
        </w:rPr>
        <w:t>%</w:t>
      </w:r>
      <w:r w:rsidR="0020223B">
        <w:rPr>
          <w:color w:val="auto"/>
        </w:rPr>
        <w:t xml:space="preserve"> per</w:t>
      </w:r>
      <w:r w:rsidR="00B43A83">
        <w:rPr>
          <w:color w:val="auto"/>
        </w:rPr>
        <w:t xml:space="preserve"> </w:t>
      </w:r>
      <w:r w:rsidR="004222A8">
        <w:rPr>
          <w:color w:val="auto"/>
        </w:rPr>
        <w:t>gli antigenici rapidi</w:t>
      </w:r>
      <w:r w:rsidR="004222A8" w:rsidRPr="00C6227B">
        <w:rPr>
          <w:color w:val="auto"/>
        </w:rPr>
        <w:t xml:space="preserve"> </w:t>
      </w:r>
      <w:r w:rsidRPr="00C6227B">
        <w:rPr>
          <w:color w:val="auto"/>
        </w:rPr>
        <w:t>(</w:t>
      </w:r>
      <w:r w:rsidRPr="00B43A83">
        <w:rPr>
          <w:color w:val="auto"/>
          <w:highlight w:val="yellow"/>
        </w:rPr>
        <w:t>figura 6</w:t>
      </w:r>
      <w:r w:rsidRPr="00C6227B">
        <w:rPr>
          <w:color w:val="auto"/>
        </w:rPr>
        <w:t>).</w:t>
      </w:r>
    </w:p>
    <w:p w:rsidR="00696979" w:rsidRDefault="00C27708" w:rsidP="00314B03">
      <w:pPr>
        <w:spacing w:line="276" w:lineRule="auto"/>
        <w:jc w:val="both"/>
        <w:rPr>
          <w:color w:val="auto"/>
        </w:rPr>
      </w:pPr>
      <w:bookmarkStart w:id="0" w:name="_Hlk85025666"/>
      <w:r w:rsidRPr="00B43A83">
        <w:rPr>
          <w:b/>
          <w:color w:val="auto"/>
        </w:rPr>
        <w:t xml:space="preserve">Ospedalizzazioni. </w:t>
      </w:r>
      <w:r w:rsidR="002348FC" w:rsidRPr="00B43A83">
        <w:rPr>
          <w:color w:val="auto"/>
        </w:rPr>
        <w:t>«</w:t>
      </w:r>
      <w:r w:rsidR="003120AF" w:rsidRPr="00B43A83">
        <w:rPr>
          <w:color w:val="auto"/>
        </w:rPr>
        <w:t>Sul fronte degli</w:t>
      </w:r>
      <w:r w:rsidR="00932E57" w:rsidRPr="00B43A83">
        <w:rPr>
          <w:color w:val="auto"/>
        </w:rPr>
        <w:t xml:space="preserve"> </w:t>
      </w:r>
      <w:r w:rsidR="002723FF" w:rsidRPr="004222A8">
        <w:rPr>
          <w:color w:val="auto"/>
        </w:rPr>
        <w:t>ospedali</w:t>
      </w:r>
      <w:r w:rsidR="00974518" w:rsidRPr="004222A8">
        <w:rPr>
          <w:color w:val="auto"/>
        </w:rPr>
        <w:t xml:space="preserve"> </w:t>
      </w:r>
      <w:r w:rsidR="00582BAE" w:rsidRPr="004222A8">
        <w:rPr>
          <w:color w:val="auto"/>
        </w:rPr>
        <w:t xml:space="preserve">– </w:t>
      </w:r>
      <w:r w:rsidR="002348FC" w:rsidRPr="004222A8">
        <w:rPr>
          <w:color w:val="auto"/>
        </w:rPr>
        <w:t xml:space="preserve">afferma </w:t>
      </w:r>
      <w:r w:rsidR="004222A8" w:rsidRPr="004222A8">
        <w:rPr>
          <w:color w:val="auto"/>
        </w:rPr>
        <w:t xml:space="preserve">Marco Mosti, Direttore Operativo della Fondazione GIMBE </w:t>
      </w:r>
      <w:r w:rsidR="00B813D5" w:rsidRPr="004222A8">
        <w:rPr>
          <w:color w:val="auto"/>
        </w:rPr>
        <w:t>–</w:t>
      </w:r>
      <w:r w:rsidR="00A3302D" w:rsidRPr="004222A8">
        <w:rPr>
          <w:color w:val="auto"/>
        </w:rPr>
        <w:t xml:space="preserve"> </w:t>
      </w:r>
      <w:r w:rsidR="004222A8">
        <w:rPr>
          <w:color w:val="auto"/>
        </w:rPr>
        <w:t>torna a scendere il numero</w:t>
      </w:r>
      <w:r w:rsidR="00396D1B" w:rsidRPr="004222A8">
        <w:rPr>
          <w:color w:val="auto"/>
        </w:rPr>
        <w:t xml:space="preserve"> </w:t>
      </w:r>
      <w:r w:rsidR="004222A8">
        <w:rPr>
          <w:color w:val="auto"/>
        </w:rPr>
        <w:t xml:space="preserve">dei </w:t>
      </w:r>
      <w:r w:rsidR="00894BA6" w:rsidRPr="004222A8">
        <w:rPr>
          <w:color w:val="auto"/>
        </w:rPr>
        <w:t xml:space="preserve">posti letto </w:t>
      </w:r>
      <w:r w:rsidR="00894BA6" w:rsidRPr="00B43A83">
        <w:rPr>
          <w:color w:val="auto"/>
        </w:rPr>
        <w:t xml:space="preserve">occupati da pazienti COVID </w:t>
      </w:r>
      <w:r w:rsidR="00297DEB" w:rsidRPr="00B43A83">
        <w:rPr>
          <w:color w:val="auto"/>
        </w:rPr>
        <w:t xml:space="preserve">in </w:t>
      </w:r>
      <w:r w:rsidR="00A51B01" w:rsidRPr="00B43A83">
        <w:rPr>
          <w:color w:val="auto"/>
        </w:rPr>
        <w:t>terapia intensiva</w:t>
      </w:r>
      <w:r w:rsidR="00396D1B" w:rsidRPr="00B43A83">
        <w:rPr>
          <w:color w:val="auto"/>
        </w:rPr>
        <w:t xml:space="preserve"> (</w:t>
      </w:r>
      <w:r w:rsidR="00B43A83" w:rsidRPr="00B43A83">
        <w:rPr>
          <w:color w:val="auto"/>
        </w:rPr>
        <w:t>-3,3</w:t>
      </w:r>
      <w:r w:rsidR="00385142" w:rsidRPr="00B43A83">
        <w:rPr>
          <w:color w:val="auto"/>
        </w:rPr>
        <w:t>%)</w:t>
      </w:r>
      <w:r w:rsidR="004222A8">
        <w:rPr>
          <w:color w:val="auto"/>
        </w:rPr>
        <w:t xml:space="preserve">, mentre </w:t>
      </w:r>
      <w:r w:rsidR="0020223B">
        <w:rPr>
          <w:color w:val="auto"/>
        </w:rPr>
        <w:t>continuano ad aumentare, seppur in misura minore rispetto alla scorsa settimana,</w:t>
      </w:r>
      <w:r w:rsidR="004222A8">
        <w:rPr>
          <w:color w:val="auto"/>
        </w:rPr>
        <w:t xml:space="preserve"> quelli </w:t>
      </w:r>
      <w:r w:rsidR="003F28D2" w:rsidRPr="00B43A83">
        <w:rPr>
          <w:color w:val="auto"/>
        </w:rPr>
        <w:t>in area medica (+</w:t>
      </w:r>
      <w:r w:rsidR="00B43A83" w:rsidRPr="00B43A83">
        <w:rPr>
          <w:color w:val="auto"/>
        </w:rPr>
        <w:t>5,2</w:t>
      </w:r>
      <w:r w:rsidR="002B0A30" w:rsidRPr="00F420D4">
        <w:rPr>
          <w:color w:val="auto"/>
        </w:rPr>
        <w:t>%)</w:t>
      </w:r>
      <w:r w:rsidR="00A51B01" w:rsidRPr="00F420D4">
        <w:rPr>
          <w:color w:val="auto"/>
        </w:rPr>
        <w:t>»</w:t>
      </w:r>
      <w:r w:rsidR="000A422E" w:rsidRPr="00F420D4">
        <w:rPr>
          <w:color w:val="auto"/>
        </w:rPr>
        <w:t xml:space="preserve">. </w:t>
      </w:r>
      <w:r w:rsidR="004222A8" w:rsidRPr="00F420D4">
        <w:rPr>
          <w:color w:val="auto"/>
        </w:rPr>
        <w:t xml:space="preserve"> </w:t>
      </w:r>
      <w:r w:rsidR="00913182" w:rsidRPr="00F420D4">
        <w:rPr>
          <w:color w:val="auto"/>
        </w:rPr>
        <w:t xml:space="preserve">Al </w:t>
      </w:r>
      <w:r w:rsidR="00BD4F61" w:rsidRPr="00F420D4">
        <w:rPr>
          <w:color w:val="auto"/>
        </w:rPr>
        <w:t>5 aprile</w:t>
      </w:r>
      <w:r w:rsidR="00894BA6" w:rsidRPr="00F420D4">
        <w:rPr>
          <w:color w:val="auto"/>
        </w:rPr>
        <w:t xml:space="preserve"> </w:t>
      </w:r>
      <w:r w:rsidR="002348FC" w:rsidRPr="00F420D4">
        <w:rPr>
          <w:color w:val="auto"/>
        </w:rPr>
        <w:t xml:space="preserve">il tasso </w:t>
      </w:r>
      <w:r w:rsidR="00894BA6" w:rsidRPr="00F420D4">
        <w:rPr>
          <w:color w:val="auto"/>
        </w:rPr>
        <w:t xml:space="preserve">nazionale </w:t>
      </w:r>
      <w:r w:rsidR="002348FC" w:rsidRPr="00F420D4">
        <w:rPr>
          <w:color w:val="auto"/>
        </w:rPr>
        <w:t xml:space="preserve">di occupazione </w:t>
      </w:r>
      <w:r w:rsidR="004C18D7" w:rsidRPr="00F420D4">
        <w:rPr>
          <w:color w:val="auto"/>
        </w:rPr>
        <w:t xml:space="preserve">da parte di pazienti COVID </w:t>
      </w:r>
      <w:r w:rsidR="004222A8" w:rsidRPr="00F420D4">
        <w:rPr>
          <w:color w:val="auto"/>
        </w:rPr>
        <w:t xml:space="preserve">rimane sostanzialmente stabile rispetto alla settimana precedente: </w:t>
      </w:r>
      <w:r w:rsidR="00C26FE5" w:rsidRPr="00F420D4">
        <w:rPr>
          <w:color w:val="auto"/>
        </w:rPr>
        <w:t>15</w:t>
      </w:r>
      <w:r w:rsidR="00BD4F61" w:rsidRPr="00F420D4">
        <w:rPr>
          <w:color w:val="auto"/>
        </w:rPr>
        <w:t>,8</w:t>
      </w:r>
      <w:r w:rsidR="002E37EA" w:rsidRPr="00F420D4">
        <w:rPr>
          <w:color w:val="auto"/>
        </w:rPr>
        <w:t xml:space="preserve">% in area medica e </w:t>
      </w:r>
      <w:r w:rsidR="00C26FE5" w:rsidRPr="00F420D4">
        <w:rPr>
          <w:color w:val="auto"/>
        </w:rPr>
        <w:t>5</w:t>
      </w:r>
      <w:r w:rsidR="002348FC" w:rsidRPr="00F420D4">
        <w:rPr>
          <w:color w:val="auto"/>
        </w:rPr>
        <w:t>% in area critica</w:t>
      </w:r>
      <w:bookmarkEnd w:id="0"/>
      <w:r w:rsidR="00C97388" w:rsidRPr="00F420D4">
        <w:rPr>
          <w:color w:val="auto"/>
        </w:rPr>
        <w:t>.</w:t>
      </w:r>
      <w:r w:rsidR="00341691" w:rsidRPr="00F420D4">
        <w:rPr>
          <w:color w:val="auto"/>
        </w:rPr>
        <w:t xml:space="preserve"> </w:t>
      </w:r>
      <w:r w:rsidR="00C26FE5" w:rsidRPr="00F420D4">
        <w:rPr>
          <w:color w:val="auto"/>
        </w:rPr>
        <w:t>1</w:t>
      </w:r>
      <w:r w:rsidR="0040190A" w:rsidRPr="00F420D4">
        <w:rPr>
          <w:color w:val="auto"/>
        </w:rPr>
        <w:t>4</w:t>
      </w:r>
      <w:r w:rsidR="00C26FE5" w:rsidRPr="00F420D4">
        <w:rPr>
          <w:color w:val="auto"/>
        </w:rPr>
        <w:t xml:space="preserve"> Regioni </w:t>
      </w:r>
      <w:r w:rsidR="00341691" w:rsidRPr="00F420D4">
        <w:rPr>
          <w:color w:val="auto"/>
        </w:rPr>
        <w:t>superano la soglia del 15% in area</w:t>
      </w:r>
      <w:r w:rsidR="00341691" w:rsidRPr="00B43A83">
        <w:rPr>
          <w:color w:val="auto"/>
        </w:rPr>
        <w:t xml:space="preserve"> medica</w:t>
      </w:r>
      <w:r w:rsidR="00B80EAA" w:rsidRPr="00B43A83">
        <w:rPr>
          <w:color w:val="auto"/>
        </w:rPr>
        <w:t>,</w:t>
      </w:r>
      <w:r w:rsidR="00913182" w:rsidRPr="00B43A83">
        <w:rPr>
          <w:color w:val="auto"/>
        </w:rPr>
        <w:t xml:space="preserve"> con </w:t>
      </w:r>
      <w:r w:rsidR="00FB7CD8">
        <w:rPr>
          <w:color w:val="auto"/>
        </w:rPr>
        <w:t>l’</w:t>
      </w:r>
      <w:r w:rsidR="00B43A83" w:rsidRPr="00B43A83">
        <w:rPr>
          <w:color w:val="auto"/>
        </w:rPr>
        <w:t>Umbria</w:t>
      </w:r>
      <w:r w:rsidR="003874D0" w:rsidRPr="00B43A83">
        <w:rPr>
          <w:color w:val="auto"/>
        </w:rPr>
        <w:t xml:space="preserve"> che </w:t>
      </w:r>
      <w:r w:rsidR="00A16713" w:rsidRPr="00B43A83">
        <w:rPr>
          <w:color w:val="auto"/>
        </w:rPr>
        <w:t xml:space="preserve">arriva </w:t>
      </w:r>
      <w:r w:rsidR="004222A8">
        <w:rPr>
          <w:color w:val="auto"/>
        </w:rPr>
        <w:t xml:space="preserve">al </w:t>
      </w:r>
      <w:r w:rsidR="00B43A83" w:rsidRPr="00B43A83">
        <w:rPr>
          <w:color w:val="auto"/>
        </w:rPr>
        <w:t>42</w:t>
      </w:r>
      <w:r w:rsidR="00C26FE5" w:rsidRPr="00B43A83">
        <w:rPr>
          <w:color w:val="auto"/>
        </w:rPr>
        <w:t>,</w:t>
      </w:r>
      <w:r w:rsidR="00B43A83" w:rsidRPr="00B43A83">
        <w:rPr>
          <w:color w:val="auto"/>
        </w:rPr>
        <w:t>4</w:t>
      </w:r>
      <w:r w:rsidR="00913182" w:rsidRPr="00B43A83">
        <w:rPr>
          <w:color w:val="auto"/>
        </w:rPr>
        <w:t>%</w:t>
      </w:r>
      <w:r w:rsidR="005354A9" w:rsidRPr="00B43A83">
        <w:rPr>
          <w:color w:val="auto"/>
        </w:rPr>
        <w:t xml:space="preserve">; </w:t>
      </w:r>
      <w:r w:rsidR="00C26FE5" w:rsidRPr="00B43A83">
        <w:rPr>
          <w:color w:val="auto"/>
        </w:rPr>
        <w:t xml:space="preserve">Calabria e Sardegna superano </w:t>
      </w:r>
      <w:r w:rsidR="00341691" w:rsidRPr="00B43A83">
        <w:rPr>
          <w:color w:val="auto"/>
        </w:rPr>
        <w:t xml:space="preserve">la soglia del 10% in </w:t>
      </w:r>
      <w:r w:rsidR="007F1FA7" w:rsidRPr="00B43A83">
        <w:rPr>
          <w:color w:val="auto"/>
        </w:rPr>
        <w:t xml:space="preserve">terapia intensiva </w:t>
      </w:r>
      <w:r w:rsidR="004B6DC2" w:rsidRPr="00B43A83">
        <w:rPr>
          <w:color w:val="auto"/>
        </w:rPr>
        <w:t>(</w:t>
      </w:r>
      <w:r w:rsidR="004B6DC2" w:rsidRPr="00B43A83">
        <w:rPr>
          <w:color w:val="auto"/>
          <w:highlight w:val="yellow"/>
        </w:rPr>
        <w:t xml:space="preserve">figura </w:t>
      </w:r>
      <w:r w:rsidR="001E3B61" w:rsidRPr="00B43A83">
        <w:rPr>
          <w:color w:val="auto"/>
          <w:highlight w:val="yellow"/>
        </w:rPr>
        <w:t>7</w:t>
      </w:r>
      <w:r w:rsidR="004B6DC2" w:rsidRPr="00B43A83">
        <w:rPr>
          <w:color w:val="auto"/>
        </w:rPr>
        <w:t>)</w:t>
      </w:r>
      <w:r w:rsidR="00341691" w:rsidRPr="00B43A83">
        <w:rPr>
          <w:color w:val="auto"/>
        </w:rPr>
        <w:t>.</w:t>
      </w:r>
      <w:r w:rsidR="008D2843" w:rsidRPr="00B43A83">
        <w:rPr>
          <w:color w:val="auto"/>
        </w:rPr>
        <w:t xml:space="preserve"> </w:t>
      </w:r>
      <w:r w:rsidR="00BD67DE" w:rsidRPr="00B43A83">
        <w:rPr>
          <w:color w:val="auto"/>
        </w:rPr>
        <w:t>«</w:t>
      </w:r>
      <w:r w:rsidR="00B43A83" w:rsidRPr="00B43A83">
        <w:rPr>
          <w:color w:val="auto"/>
        </w:rPr>
        <w:t>In lieve aumento</w:t>
      </w:r>
      <w:r w:rsidR="00C26FE5" w:rsidRPr="00B43A83">
        <w:rPr>
          <w:color w:val="auto"/>
        </w:rPr>
        <w:t xml:space="preserve"> </w:t>
      </w:r>
      <w:r w:rsidR="00451468" w:rsidRPr="00B43A83">
        <w:rPr>
          <w:color w:val="auto"/>
        </w:rPr>
        <w:t>– puntualizza Mosti</w:t>
      </w:r>
      <w:r w:rsidR="00931C11">
        <w:rPr>
          <w:color w:val="auto"/>
        </w:rPr>
        <w:t xml:space="preserve"> </w:t>
      </w:r>
      <w:r w:rsidR="00451468" w:rsidRPr="00B43A83">
        <w:rPr>
          <w:color w:val="auto"/>
        </w:rPr>
        <w:t>–</w:t>
      </w:r>
      <w:r w:rsidR="00D74F90" w:rsidRPr="00B43A83">
        <w:rPr>
          <w:color w:val="auto"/>
        </w:rPr>
        <w:t xml:space="preserve"> </w:t>
      </w:r>
      <w:r w:rsidR="00A90702" w:rsidRPr="00B43A83">
        <w:rPr>
          <w:color w:val="auto"/>
        </w:rPr>
        <w:t>il numero degli ingressi giornalieri in terapia intensiva</w:t>
      </w:r>
      <w:r w:rsidR="007F1FA7" w:rsidRPr="00B43A83">
        <w:rPr>
          <w:color w:val="auto"/>
        </w:rPr>
        <w:t>:</w:t>
      </w:r>
      <w:r w:rsidR="00A90702" w:rsidRPr="00B43A83">
        <w:rPr>
          <w:color w:val="auto"/>
        </w:rPr>
        <w:t xml:space="preserve"> </w:t>
      </w:r>
      <w:r w:rsidR="00443A0B" w:rsidRPr="00B43A83">
        <w:rPr>
          <w:color w:val="auto"/>
        </w:rPr>
        <w:t xml:space="preserve">la </w:t>
      </w:r>
      <w:r w:rsidR="00BD67DE" w:rsidRPr="00B43A83">
        <w:rPr>
          <w:color w:val="auto"/>
        </w:rPr>
        <w:t xml:space="preserve">media mobile a 7 giorni </w:t>
      </w:r>
      <w:r w:rsidR="00913182" w:rsidRPr="00B43A83">
        <w:rPr>
          <w:color w:val="auto"/>
        </w:rPr>
        <w:t>si attesta</w:t>
      </w:r>
      <w:r w:rsidR="00615C81" w:rsidRPr="00B43A83">
        <w:rPr>
          <w:color w:val="auto"/>
        </w:rPr>
        <w:t xml:space="preserve"> </w:t>
      </w:r>
      <w:r w:rsidR="007F1FA7" w:rsidRPr="00B43A83">
        <w:rPr>
          <w:color w:val="auto"/>
        </w:rPr>
        <w:t xml:space="preserve">infatti </w:t>
      </w:r>
      <w:r w:rsidR="004D49EC" w:rsidRPr="00B43A83">
        <w:rPr>
          <w:color w:val="auto"/>
        </w:rPr>
        <w:t>a</w:t>
      </w:r>
      <w:r w:rsidR="00F41F65" w:rsidRPr="00B43A83">
        <w:rPr>
          <w:color w:val="auto"/>
        </w:rPr>
        <w:t xml:space="preserve"> </w:t>
      </w:r>
      <w:r w:rsidR="00B43A83" w:rsidRPr="00B43A83">
        <w:rPr>
          <w:color w:val="auto"/>
        </w:rPr>
        <w:t>50</w:t>
      </w:r>
      <w:r w:rsidR="004D49EC" w:rsidRPr="00B43A83">
        <w:rPr>
          <w:color w:val="auto"/>
        </w:rPr>
        <w:t xml:space="preserve"> </w:t>
      </w:r>
      <w:r w:rsidR="00547F28" w:rsidRPr="00B43A83">
        <w:rPr>
          <w:color w:val="auto"/>
        </w:rPr>
        <w:t xml:space="preserve">ingressi/die </w:t>
      </w:r>
      <w:r w:rsidR="004D49EC" w:rsidRPr="00B43A83">
        <w:rPr>
          <w:color w:val="auto"/>
        </w:rPr>
        <w:t>ris</w:t>
      </w:r>
      <w:r w:rsidR="00127096" w:rsidRPr="00B43A83">
        <w:rPr>
          <w:color w:val="auto"/>
        </w:rPr>
        <w:t xml:space="preserve">petto </w:t>
      </w:r>
      <w:r w:rsidR="00C34550" w:rsidRPr="00B43A83">
        <w:rPr>
          <w:color w:val="auto"/>
        </w:rPr>
        <w:t xml:space="preserve">ai </w:t>
      </w:r>
      <w:r w:rsidR="00B43A83" w:rsidRPr="00B43A83">
        <w:rPr>
          <w:color w:val="auto"/>
        </w:rPr>
        <w:t>45</w:t>
      </w:r>
      <w:r w:rsidR="00696979" w:rsidRPr="00B43A83">
        <w:rPr>
          <w:color w:val="auto"/>
        </w:rPr>
        <w:t xml:space="preserve"> </w:t>
      </w:r>
      <w:r w:rsidR="004D49EC" w:rsidRPr="00B43A83">
        <w:rPr>
          <w:color w:val="auto"/>
        </w:rPr>
        <w:t>della settimana precedente</w:t>
      </w:r>
      <w:r w:rsidR="00D42AAE" w:rsidRPr="00B43A83">
        <w:rPr>
          <w:color w:val="auto"/>
        </w:rPr>
        <w:t>»</w:t>
      </w:r>
      <w:r w:rsidR="00BD67DE" w:rsidRPr="00B43A83">
        <w:rPr>
          <w:color w:val="auto"/>
        </w:rPr>
        <w:t xml:space="preserve"> (</w:t>
      </w:r>
      <w:r w:rsidR="00BD67DE" w:rsidRPr="00B43A83">
        <w:rPr>
          <w:color w:val="auto"/>
          <w:highlight w:val="yellow"/>
        </w:rPr>
        <w:t>figura</w:t>
      </w:r>
      <w:r w:rsidR="00C91686" w:rsidRPr="00B43A83">
        <w:rPr>
          <w:color w:val="auto"/>
          <w:highlight w:val="yellow"/>
        </w:rPr>
        <w:t xml:space="preserve"> </w:t>
      </w:r>
      <w:r w:rsidR="001E3B61" w:rsidRPr="00B43A83">
        <w:rPr>
          <w:color w:val="auto"/>
          <w:highlight w:val="yellow"/>
        </w:rPr>
        <w:t>8</w:t>
      </w:r>
      <w:r w:rsidR="00BD67DE" w:rsidRPr="00B43A83">
        <w:rPr>
          <w:color w:val="auto"/>
        </w:rPr>
        <w:t>).</w:t>
      </w:r>
    </w:p>
    <w:p w:rsidR="00670CB5" w:rsidRDefault="00670CB5" w:rsidP="00670CB5">
      <w:pPr>
        <w:jc w:val="both"/>
      </w:pPr>
      <w:r w:rsidRPr="00743A5B">
        <w:t>«</w:t>
      </w:r>
      <w:r w:rsidR="00FB7CD8">
        <w:t>È importante rilevare</w:t>
      </w:r>
      <w:r w:rsidR="00E060C7">
        <w:t xml:space="preserve"> </w:t>
      </w:r>
      <w:r w:rsidRPr="00743A5B">
        <w:t>–</w:t>
      </w:r>
      <w:r>
        <w:t xml:space="preserve"> commenta </w:t>
      </w:r>
      <w:r w:rsidRPr="00743A5B">
        <w:t>Cartabellotta –</w:t>
      </w:r>
      <w:r>
        <w:t xml:space="preserve"> </w:t>
      </w:r>
      <w:r w:rsidRPr="002344C4">
        <w:rPr>
          <w:color w:val="auto"/>
        </w:rPr>
        <w:t xml:space="preserve">che il quadro dei </w:t>
      </w:r>
      <w:r>
        <w:t xml:space="preserve">pazienti ospedalizzati è notevolmente mutato negli ultimi 6 mesi, sia per effetto delle coperture vaccinali e relativi </w:t>
      </w:r>
      <w:r w:rsidRPr="00F61D33">
        <w:rPr>
          <w:i/>
        </w:rPr>
        <w:t>booster</w:t>
      </w:r>
      <w:r>
        <w:t xml:space="preserve">, sia per la progressiva sostituzione della variante delta con quella omicron, più contagiosa, ma meno severa». In particolare, se a fine ottobre veniva ricoverato il 3,22% degli attualmente positivi in area </w:t>
      </w:r>
      <w:r w:rsidRPr="006F2F59">
        <w:t xml:space="preserve">medica e lo 0,47% in terapia intensiva, oggi queste percentuali sono crollate rispettivamente allo 0,78% ed allo 0,04%. Inoltre, se il recente rialzo dei casi ha determinato </w:t>
      </w:r>
      <w:r w:rsidR="0045421C">
        <w:t xml:space="preserve">in tre settimane </w:t>
      </w:r>
      <w:r w:rsidRPr="006F2F59">
        <w:t xml:space="preserve">un </w:t>
      </w:r>
      <w:r>
        <w:t xml:space="preserve">incremento di oltre 2.000 posti letto </w:t>
      </w:r>
      <w:r w:rsidRPr="006F2F59">
        <w:t xml:space="preserve">in area medica, in </w:t>
      </w:r>
      <w:r>
        <w:t xml:space="preserve">area critica al momento si osserva un plateau. </w:t>
      </w:r>
      <w:r w:rsidRPr="00743A5B">
        <w:t>«</w:t>
      </w:r>
      <w:r>
        <w:t xml:space="preserve">Questo dimostra che si è ridotto in maniera rilevante il numero di pazienti COVID-19 ospedalizzati per polmonite severa che </w:t>
      </w:r>
      <w:r w:rsidR="00251947">
        <w:t xml:space="preserve">richiedono </w:t>
      </w:r>
      <w:r>
        <w:t>un ricovero in terapia intensiva</w:t>
      </w:r>
      <w:r w:rsidR="007E5441">
        <w:t xml:space="preserve"> </w:t>
      </w:r>
      <w:r w:rsidR="007E5441" w:rsidRPr="00743A5B">
        <w:t>–</w:t>
      </w:r>
      <w:r w:rsidR="007E5441">
        <w:t xml:space="preserve"> continua il Presidente </w:t>
      </w:r>
      <w:r w:rsidR="007E5441" w:rsidRPr="00743A5B">
        <w:t>–</w:t>
      </w:r>
      <w:r w:rsidR="007E5441">
        <w:t xml:space="preserve"> </w:t>
      </w:r>
      <w:r>
        <w:t xml:space="preserve">mentre vengono ospedalizzati soprattutto anziani con patologie multiple </w:t>
      </w:r>
      <w:r w:rsidR="003178F9">
        <w:t>che possono essere assistiti</w:t>
      </w:r>
      <w:r>
        <w:t xml:space="preserve"> nei reparti ordinari».</w:t>
      </w:r>
    </w:p>
    <w:p w:rsidR="00670CB5" w:rsidRDefault="00670CB5" w:rsidP="00670CB5">
      <w:pPr>
        <w:jc w:val="center"/>
      </w:pPr>
      <w:r>
        <w:rPr>
          <w:noProof/>
        </w:rPr>
        <w:drawing>
          <wp:inline distT="0" distB="0" distL="0" distR="0" wp14:anchorId="203C0E0C" wp14:editId="3AF3B648">
            <wp:extent cx="5760000" cy="2880211"/>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2880211"/>
                    </a:xfrm>
                    <a:prstGeom prst="rect">
                      <a:avLst/>
                    </a:prstGeom>
                    <a:noFill/>
                  </pic:spPr>
                </pic:pic>
              </a:graphicData>
            </a:graphic>
          </wp:inline>
        </w:drawing>
      </w:r>
    </w:p>
    <w:p w:rsidR="00C26FE5" w:rsidRPr="00670CB5" w:rsidRDefault="00483722" w:rsidP="00483722">
      <w:pPr>
        <w:jc w:val="both"/>
        <w:rPr>
          <w:color w:val="FF0000"/>
        </w:rPr>
      </w:pPr>
      <w:r w:rsidRPr="00B43A83">
        <w:rPr>
          <w:b/>
          <w:color w:val="auto"/>
        </w:rPr>
        <w:t xml:space="preserve">Decessi. </w:t>
      </w:r>
      <w:r w:rsidR="00C26FE5" w:rsidRPr="00B43A83">
        <w:rPr>
          <w:color w:val="auto"/>
        </w:rPr>
        <w:t xml:space="preserve">Dopo </w:t>
      </w:r>
      <w:r w:rsidR="00B43A83" w:rsidRPr="00B43A83">
        <w:rPr>
          <w:color w:val="auto"/>
        </w:rPr>
        <w:t xml:space="preserve">la stabilizzazione della scorsa settimana torna a crescere il numero </w:t>
      </w:r>
      <w:r w:rsidR="00B243A0" w:rsidRPr="00B43A83">
        <w:rPr>
          <w:color w:val="auto"/>
        </w:rPr>
        <w:t>dei decessi</w:t>
      </w:r>
      <w:r w:rsidR="00C26FE5" w:rsidRPr="00B43A83">
        <w:rPr>
          <w:color w:val="auto"/>
        </w:rPr>
        <w:t xml:space="preserve">: </w:t>
      </w:r>
      <w:r w:rsidR="00B43A83" w:rsidRPr="00B43A83">
        <w:rPr>
          <w:color w:val="auto"/>
        </w:rPr>
        <w:t>1.049</w:t>
      </w:r>
      <w:r w:rsidR="00C26FE5" w:rsidRPr="00B43A83">
        <w:rPr>
          <w:color w:val="auto"/>
        </w:rPr>
        <w:t xml:space="preserve"> negli ultimi 7 giorni (di cui </w:t>
      </w:r>
      <w:r w:rsidR="00B43A83" w:rsidRPr="00B43A83">
        <w:rPr>
          <w:color w:val="auto"/>
        </w:rPr>
        <w:t>104</w:t>
      </w:r>
      <w:r w:rsidR="00C26FE5" w:rsidRPr="00B43A83">
        <w:rPr>
          <w:color w:val="auto"/>
        </w:rPr>
        <w:t xml:space="preserve"> riferiti a periodi precedenti), con una media di </w:t>
      </w:r>
      <w:r w:rsidR="00B43A83" w:rsidRPr="00B43A83">
        <w:rPr>
          <w:color w:val="auto"/>
        </w:rPr>
        <w:t>150</w:t>
      </w:r>
      <w:r w:rsidR="00C26FE5" w:rsidRPr="00B43A83">
        <w:rPr>
          <w:color w:val="auto"/>
        </w:rPr>
        <w:t xml:space="preserve"> al giorno rispetto ai 1</w:t>
      </w:r>
      <w:r w:rsidR="00B43A83" w:rsidRPr="00B43A83">
        <w:rPr>
          <w:color w:val="auto"/>
        </w:rPr>
        <w:t>36</w:t>
      </w:r>
      <w:r w:rsidR="00C26FE5" w:rsidRPr="00B43A83">
        <w:rPr>
          <w:color w:val="auto"/>
        </w:rPr>
        <w:t xml:space="preserve"> della settimana precedente.</w:t>
      </w:r>
      <w:r w:rsidR="00670CB5">
        <w:rPr>
          <w:color w:val="auto"/>
        </w:rPr>
        <w:t xml:space="preserve"> </w:t>
      </w:r>
      <w:r w:rsidR="00E45DCE" w:rsidRPr="00743A5B">
        <w:t>«</w:t>
      </w:r>
      <w:r w:rsidR="000A1424">
        <w:t xml:space="preserve">Il </w:t>
      </w:r>
      <w:r w:rsidR="00AD0D1E">
        <w:t xml:space="preserve">numero dei decessi che non accenna a scendere </w:t>
      </w:r>
      <w:r w:rsidR="00E45DCE" w:rsidRPr="00743A5B">
        <w:t>–</w:t>
      </w:r>
      <w:r w:rsidR="00E45DCE">
        <w:t xml:space="preserve"> </w:t>
      </w:r>
      <w:r w:rsidR="000A1424">
        <w:t>sottolinea Cartabellotta</w:t>
      </w:r>
      <w:r w:rsidR="00E45DCE">
        <w:t xml:space="preserve"> </w:t>
      </w:r>
      <w:r w:rsidR="00E45DCE" w:rsidRPr="00743A5B">
        <w:t>–</w:t>
      </w:r>
      <w:r w:rsidR="00E45DCE">
        <w:t xml:space="preserve"> </w:t>
      </w:r>
      <w:r w:rsidR="000A1424">
        <w:t xml:space="preserve">merita </w:t>
      </w:r>
      <w:r w:rsidR="00C10693">
        <w:t>una particolare attenzione</w:t>
      </w:r>
      <w:r w:rsidR="00AD0D1E">
        <w:t>: infatti</w:t>
      </w:r>
      <w:r w:rsidR="003178F9">
        <w:t>,</w:t>
      </w:r>
      <w:r w:rsidR="00AD0D1E">
        <w:t xml:space="preserve"> accanto a fattori epidemiologici non modificabili (età avanzata, </w:t>
      </w:r>
      <w:r w:rsidR="00AD0D1E">
        <w:lastRenderedPageBreak/>
        <w:t>comorbidità</w:t>
      </w:r>
      <w:r w:rsidR="00AD0D1E" w:rsidRPr="003B2A24">
        <w:t>)</w:t>
      </w:r>
      <w:r w:rsidR="00AF398B">
        <w:t>,</w:t>
      </w:r>
      <w:r w:rsidR="00AD0D1E">
        <w:t xml:space="preserve"> esistono determinanti legate al</w:t>
      </w:r>
      <w:r w:rsidR="002344C4">
        <w:t xml:space="preserve"> calo del</w:t>
      </w:r>
      <w:r w:rsidR="00AD0D1E">
        <w:t xml:space="preserve">l’efficacia vaccinale </w:t>
      </w:r>
      <w:r w:rsidR="002344C4">
        <w:t xml:space="preserve">sulla malattia grave </w:t>
      </w:r>
      <w:r w:rsidR="00AD0D1E">
        <w:t>e al</w:t>
      </w:r>
      <w:r w:rsidR="00AF398B">
        <w:t xml:space="preserve"> sottoutilizzo </w:t>
      </w:r>
      <w:r w:rsidR="00AD0D1E">
        <w:t>dei farmaci antivirali su cui, invece, è possibile intervenire</w:t>
      </w:r>
      <w:r w:rsidR="00E45DCE">
        <w:t>».</w:t>
      </w:r>
    </w:p>
    <w:p w:rsidR="00670CB5" w:rsidRDefault="00670CB5" w:rsidP="00670CB5">
      <w:pPr>
        <w:jc w:val="both"/>
      </w:pPr>
      <w:r>
        <w:t xml:space="preserve">Secondo quanto riportato dall’ultimo </w:t>
      </w:r>
      <w:hyperlink r:id="rId9" w:history="1">
        <w:r>
          <w:rPr>
            <w:rStyle w:val="Collegamentoipertestuale"/>
          </w:rPr>
          <w:t>R</w:t>
        </w:r>
        <w:r w:rsidRPr="00321719">
          <w:rPr>
            <w:rStyle w:val="Collegamentoipertestuale"/>
          </w:rPr>
          <w:t>eport dell’Istituto Superiore di Sanità</w:t>
        </w:r>
      </w:hyperlink>
      <w:r w:rsidR="000A1424">
        <w:t xml:space="preserve">, infatti, </w:t>
      </w:r>
      <w:r>
        <w:t xml:space="preserve">si sono verificati 3.798 </w:t>
      </w:r>
      <w:r w:rsidRPr="001647A3">
        <w:rPr>
          <w:color w:val="auto"/>
        </w:rPr>
        <w:t xml:space="preserve">decessi </w:t>
      </w:r>
      <w:r w:rsidR="001647A3">
        <w:rPr>
          <w:color w:val="auto"/>
        </w:rPr>
        <w:t xml:space="preserve">di persone che hanno </w:t>
      </w:r>
      <w:r w:rsidR="00860D87">
        <w:rPr>
          <w:color w:val="auto"/>
        </w:rPr>
        <w:t xml:space="preserve">ricevuto </w:t>
      </w:r>
      <w:r w:rsidR="001647A3">
        <w:rPr>
          <w:color w:val="auto"/>
        </w:rPr>
        <w:t xml:space="preserve">una </w:t>
      </w:r>
      <w:r w:rsidRPr="001647A3">
        <w:rPr>
          <w:color w:val="auto"/>
        </w:rPr>
        <w:t xml:space="preserve">diagnosi </w:t>
      </w:r>
      <w:r w:rsidR="001647A3">
        <w:rPr>
          <w:color w:val="auto"/>
        </w:rPr>
        <w:t xml:space="preserve">di COVID-19 </w:t>
      </w:r>
      <w:r w:rsidRPr="001647A3">
        <w:rPr>
          <w:color w:val="auto"/>
        </w:rPr>
        <w:t>nel periodo 4 febbraio</w:t>
      </w:r>
      <w:r>
        <w:t xml:space="preserve">-6 marzo 2022. Il tasso di mortalità per 100.000 </w:t>
      </w:r>
      <w:r w:rsidR="00860D87">
        <w:t>persone</w:t>
      </w:r>
      <w:r>
        <w:t xml:space="preserve">, calcolato sulla popolazione per status vaccinale al 19 febbraio, è nettamente più elevato per i non vaccinati e decresce progressivamente per i vaccinati con ciclo incompleto, per </w:t>
      </w:r>
      <w:r w:rsidR="000A1424">
        <w:t>quelli</w:t>
      </w:r>
      <w:r>
        <w:t xml:space="preserve"> con ciclo completo da almeno 120 giorni, per </w:t>
      </w:r>
      <w:r w:rsidR="000A1424">
        <w:t>quelli</w:t>
      </w:r>
      <w:r>
        <w:t xml:space="preserve"> con ciclo completo da meno di 120 giorni e per </w:t>
      </w:r>
      <w:r w:rsidR="000A1424">
        <w:t>quelli</w:t>
      </w:r>
      <w:r>
        <w:t xml:space="preserve"> con ciclo completo più </w:t>
      </w:r>
      <w:r w:rsidRPr="00F61D33">
        <w:rPr>
          <w:i/>
        </w:rPr>
        <w:t>booster</w:t>
      </w:r>
      <w:r>
        <w:t>. I dati dimostrano l</w:t>
      </w:r>
      <w:r w:rsidR="000A1424">
        <w:t xml:space="preserve">a straordinaria </w:t>
      </w:r>
      <w:r>
        <w:t xml:space="preserve">efficacia del vaccino nel ridurre il tasso di mortalità a partire dagli over 40 e in particolare nella fascia 60-79 (3,4 vs 41,8) e negli over 80 (32,9 vs 470,8). </w:t>
      </w:r>
      <w:r w:rsidRPr="00743A5B">
        <w:t>«</w:t>
      </w:r>
      <w:r w:rsidR="000A1424">
        <w:t>Per dirla con altre parole</w:t>
      </w:r>
      <w:r>
        <w:t xml:space="preserve"> </w:t>
      </w:r>
      <w:r w:rsidRPr="00743A5B">
        <w:t>–</w:t>
      </w:r>
      <w:r>
        <w:t xml:space="preserve"> spiega il Presidente </w:t>
      </w:r>
      <w:r w:rsidRPr="00743A5B">
        <w:t>–</w:t>
      </w:r>
      <w:r>
        <w:t xml:space="preserve"> il tasso di mortalità nei non vaccinati rispetto ai vaccinati con dose </w:t>
      </w:r>
      <w:r w:rsidRPr="003B2A24">
        <w:rPr>
          <w:i/>
        </w:rPr>
        <w:t>booster</w:t>
      </w:r>
      <w:r>
        <w:t xml:space="preserve"> è superiore di 14,3 volte negli over 80, di 12,3 volte nella fascia 60-79 e di 8 volte nella fascia 40-59».</w:t>
      </w:r>
    </w:p>
    <w:tbl>
      <w:tblPr>
        <w:tblW w:w="4964" w:type="pct"/>
        <w:tblInd w:w="70" w:type="dxa"/>
        <w:tblBorders>
          <w:top w:val="single" w:sz="4" w:space="0" w:color="00457D"/>
          <w:left w:val="single" w:sz="4" w:space="0" w:color="00457D"/>
          <w:bottom w:val="single" w:sz="4" w:space="0" w:color="00457D"/>
          <w:right w:val="single" w:sz="4" w:space="0" w:color="00457D"/>
          <w:insideH w:val="single" w:sz="4" w:space="0" w:color="00457D"/>
          <w:insideV w:val="single" w:sz="4" w:space="0" w:color="00457D"/>
        </w:tblBorders>
        <w:tblCellMar>
          <w:left w:w="70" w:type="dxa"/>
          <w:right w:w="70" w:type="dxa"/>
        </w:tblCellMar>
        <w:tblLook w:val="04A0" w:firstRow="1" w:lastRow="0" w:firstColumn="1" w:lastColumn="0" w:noHBand="0" w:noVBand="1"/>
      </w:tblPr>
      <w:tblGrid>
        <w:gridCol w:w="1040"/>
        <w:gridCol w:w="1370"/>
        <w:gridCol w:w="1700"/>
        <w:gridCol w:w="1820"/>
        <w:gridCol w:w="2004"/>
        <w:gridCol w:w="1768"/>
      </w:tblGrid>
      <w:tr w:rsidR="00670CB5" w:rsidRPr="00743A5B" w:rsidTr="00186E2D">
        <w:trPr>
          <w:trHeight w:val="340"/>
        </w:trPr>
        <w:tc>
          <w:tcPr>
            <w:tcW w:w="5000" w:type="pct"/>
            <w:gridSpan w:val="6"/>
            <w:tcBorders>
              <w:top w:val="nil"/>
              <w:left w:val="nil"/>
              <w:bottom w:val="single" w:sz="4" w:space="0" w:color="00457D"/>
              <w:right w:val="nil"/>
            </w:tcBorders>
            <w:shd w:val="clear" w:color="auto" w:fill="auto"/>
            <w:vAlign w:val="center"/>
          </w:tcPr>
          <w:p w:rsidR="00670CB5" w:rsidRPr="00743A5B" w:rsidRDefault="00AF32CC" w:rsidP="003A149B">
            <w:pPr>
              <w:pBdr>
                <w:top w:val="none" w:sz="0" w:space="0" w:color="auto"/>
              </w:pBdr>
              <w:spacing w:after="0"/>
              <w:jc w:val="center"/>
              <w:rPr>
                <w:rFonts w:eastAsia="Times New Roman" w:cstheme="minorHAnsi"/>
                <w:b/>
                <w:bCs/>
                <w:color w:val="00457D"/>
                <w:sz w:val="20"/>
                <w:szCs w:val="20"/>
              </w:rPr>
            </w:pPr>
            <w:r w:rsidRPr="003A149B">
              <w:rPr>
                <w:rFonts w:eastAsia="Times New Roman" w:cstheme="minorHAnsi"/>
                <w:b/>
                <w:color w:val="00457D"/>
                <w:sz w:val="20"/>
                <w:szCs w:val="20"/>
              </w:rPr>
              <w:t>COVID-19: t</w:t>
            </w:r>
            <w:r w:rsidR="00670CB5" w:rsidRPr="003A149B">
              <w:rPr>
                <w:rFonts w:eastAsia="Times New Roman" w:cstheme="minorHAnsi"/>
                <w:b/>
                <w:color w:val="00457D"/>
                <w:sz w:val="20"/>
                <w:szCs w:val="20"/>
              </w:rPr>
              <w:t>asso di mortalità per 100</w:t>
            </w:r>
            <w:r w:rsidR="00670CB5" w:rsidRPr="00743A5B">
              <w:rPr>
                <w:rFonts w:eastAsia="Times New Roman" w:cstheme="minorHAnsi"/>
                <w:b/>
                <w:color w:val="00457D"/>
                <w:sz w:val="20"/>
                <w:szCs w:val="20"/>
              </w:rPr>
              <w:t xml:space="preserve">.000 </w:t>
            </w:r>
            <w:r w:rsidR="003A149B">
              <w:rPr>
                <w:rFonts w:eastAsia="Times New Roman" w:cstheme="minorHAnsi"/>
                <w:b/>
                <w:color w:val="00457D"/>
                <w:sz w:val="20"/>
                <w:szCs w:val="20"/>
              </w:rPr>
              <w:t xml:space="preserve">persone per </w:t>
            </w:r>
            <w:r w:rsidR="00860D87">
              <w:rPr>
                <w:rFonts w:eastAsia="Times New Roman" w:cstheme="minorHAnsi"/>
                <w:b/>
                <w:color w:val="00457D"/>
                <w:sz w:val="20"/>
                <w:szCs w:val="20"/>
              </w:rPr>
              <w:t xml:space="preserve">status </w:t>
            </w:r>
            <w:r w:rsidR="003A149B">
              <w:rPr>
                <w:rFonts w:eastAsia="Times New Roman" w:cstheme="minorHAnsi"/>
                <w:b/>
                <w:color w:val="00457D"/>
                <w:sz w:val="20"/>
                <w:szCs w:val="20"/>
              </w:rPr>
              <w:t>vaccinale (al 19 febbraio 2022)</w:t>
            </w:r>
          </w:p>
        </w:tc>
      </w:tr>
      <w:tr w:rsidR="00670CB5" w:rsidRPr="00743A5B" w:rsidTr="00E45DCE">
        <w:trPr>
          <w:trHeight w:val="900"/>
        </w:trPr>
        <w:tc>
          <w:tcPr>
            <w:tcW w:w="536" w:type="pct"/>
            <w:tcBorders>
              <w:right w:val="single" w:sz="4" w:space="0" w:color="FFFFFF" w:themeColor="background1"/>
            </w:tcBorders>
            <w:shd w:val="clear" w:color="auto" w:fill="00457D"/>
            <w:vAlign w:val="center"/>
            <w:hideMark/>
          </w:tcPr>
          <w:p w:rsidR="00670CB5" w:rsidRPr="00BA5381" w:rsidRDefault="00670CB5" w:rsidP="00E45DCE">
            <w:pPr>
              <w:spacing w:after="0" w:line="240" w:lineRule="auto"/>
              <w:jc w:val="center"/>
              <w:rPr>
                <w:rFonts w:eastAsia="Times New Roman" w:cstheme="minorHAnsi"/>
                <w:color w:val="FFFFFF" w:themeColor="background1"/>
                <w:sz w:val="20"/>
                <w:szCs w:val="20"/>
              </w:rPr>
            </w:pPr>
            <w:r w:rsidRPr="00BA5381">
              <w:rPr>
                <w:rFonts w:eastAsia="Times New Roman" w:cstheme="minorHAnsi"/>
                <w:b/>
                <w:bCs/>
                <w:color w:val="FFFFFF" w:themeColor="background1"/>
                <w:sz w:val="20"/>
                <w:szCs w:val="20"/>
              </w:rPr>
              <w:t>Fascia di età</w:t>
            </w:r>
          </w:p>
        </w:tc>
        <w:tc>
          <w:tcPr>
            <w:tcW w:w="706" w:type="pct"/>
            <w:tcBorders>
              <w:left w:val="single" w:sz="4" w:space="0" w:color="FFFFFF" w:themeColor="background1"/>
              <w:right w:val="single" w:sz="4" w:space="0" w:color="FFFFFF" w:themeColor="background1"/>
            </w:tcBorders>
            <w:shd w:val="clear" w:color="auto" w:fill="00457D"/>
            <w:vAlign w:val="center"/>
            <w:hideMark/>
          </w:tcPr>
          <w:p w:rsidR="00670CB5" w:rsidRPr="00BA5381" w:rsidRDefault="00670CB5" w:rsidP="00E45DCE">
            <w:pPr>
              <w:spacing w:after="0" w:line="240" w:lineRule="auto"/>
              <w:jc w:val="center"/>
              <w:rPr>
                <w:rFonts w:eastAsia="Times New Roman" w:cstheme="minorHAnsi"/>
                <w:b/>
                <w:bCs/>
                <w:color w:val="FFFFFF" w:themeColor="background1"/>
                <w:sz w:val="20"/>
                <w:szCs w:val="20"/>
              </w:rPr>
            </w:pPr>
            <w:r w:rsidRPr="00BA5381">
              <w:rPr>
                <w:rFonts w:eastAsia="Times New Roman" w:cstheme="minorHAnsi"/>
                <w:b/>
                <w:bCs/>
                <w:color w:val="FFFFFF" w:themeColor="background1"/>
                <w:sz w:val="20"/>
                <w:szCs w:val="20"/>
              </w:rPr>
              <w:t>Non vaccinati</w:t>
            </w:r>
          </w:p>
        </w:tc>
        <w:tc>
          <w:tcPr>
            <w:tcW w:w="876" w:type="pct"/>
            <w:tcBorders>
              <w:left w:val="single" w:sz="4" w:space="0" w:color="FFFFFF" w:themeColor="background1"/>
              <w:right w:val="single" w:sz="4" w:space="0" w:color="FFFFFF" w:themeColor="background1"/>
            </w:tcBorders>
            <w:shd w:val="clear" w:color="auto" w:fill="00457D"/>
            <w:vAlign w:val="center"/>
            <w:hideMark/>
          </w:tcPr>
          <w:p w:rsidR="00670CB5" w:rsidRPr="00BA5381" w:rsidRDefault="00670CB5" w:rsidP="00E45DCE">
            <w:pPr>
              <w:spacing w:after="0" w:line="240" w:lineRule="auto"/>
              <w:jc w:val="center"/>
              <w:rPr>
                <w:rFonts w:eastAsia="Times New Roman" w:cstheme="minorHAnsi"/>
                <w:b/>
                <w:bCs/>
                <w:color w:val="FFFFFF" w:themeColor="background1"/>
                <w:sz w:val="20"/>
                <w:szCs w:val="20"/>
              </w:rPr>
            </w:pPr>
            <w:r w:rsidRPr="00BA5381">
              <w:rPr>
                <w:rFonts w:eastAsia="Times New Roman" w:cstheme="minorHAnsi"/>
                <w:b/>
                <w:bCs/>
                <w:color w:val="FFFFFF" w:themeColor="background1"/>
                <w:sz w:val="20"/>
                <w:szCs w:val="20"/>
              </w:rPr>
              <w:t>Vaccinati con ciclo incompleto</w:t>
            </w:r>
          </w:p>
        </w:tc>
        <w:tc>
          <w:tcPr>
            <w:tcW w:w="938" w:type="pct"/>
            <w:tcBorders>
              <w:left w:val="single" w:sz="4" w:space="0" w:color="FFFFFF" w:themeColor="background1"/>
              <w:right w:val="single" w:sz="4" w:space="0" w:color="FFFFFF" w:themeColor="background1"/>
            </w:tcBorders>
            <w:shd w:val="clear" w:color="auto" w:fill="00457D"/>
            <w:vAlign w:val="center"/>
            <w:hideMark/>
          </w:tcPr>
          <w:p w:rsidR="00670CB5" w:rsidRPr="00BA5381" w:rsidRDefault="00670CB5" w:rsidP="00E45DCE">
            <w:pPr>
              <w:spacing w:after="0" w:line="240" w:lineRule="auto"/>
              <w:jc w:val="center"/>
              <w:rPr>
                <w:rFonts w:eastAsia="Times New Roman" w:cstheme="minorHAnsi"/>
                <w:b/>
                <w:bCs/>
                <w:color w:val="FFFFFF" w:themeColor="background1"/>
                <w:sz w:val="20"/>
                <w:szCs w:val="20"/>
              </w:rPr>
            </w:pPr>
            <w:r w:rsidRPr="00BA5381">
              <w:rPr>
                <w:rFonts w:eastAsia="Times New Roman" w:cstheme="minorHAnsi"/>
                <w:b/>
                <w:bCs/>
                <w:color w:val="FFFFFF" w:themeColor="background1"/>
                <w:sz w:val="20"/>
                <w:szCs w:val="20"/>
              </w:rPr>
              <w:t>Vaccinati con ciclo completo da almeno 120 giorni</w:t>
            </w:r>
          </w:p>
        </w:tc>
        <w:tc>
          <w:tcPr>
            <w:tcW w:w="1033" w:type="pct"/>
            <w:tcBorders>
              <w:left w:val="single" w:sz="4" w:space="0" w:color="FFFFFF" w:themeColor="background1"/>
              <w:right w:val="single" w:sz="4" w:space="0" w:color="FFFFFF" w:themeColor="background1"/>
            </w:tcBorders>
            <w:shd w:val="clear" w:color="auto" w:fill="00457D"/>
            <w:vAlign w:val="center"/>
            <w:hideMark/>
          </w:tcPr>
          <w:p w:rsidR="00670CB5" w:rsidRPr="00BA5381" w:rsidRDefault="00670CB5" w:rsidP="00E45DCE">
            <w:pPr>
              <w:spacing w:after="0" w:line="240" w:lineRule="auto"/>
              <w:jc w:val="center"/>
              <w:rPr>
                <w:rFonts w:eastAsia="Times New Roman" w:cstheme="minorHAnsi"/>
                <w:b/>
                <w:bCs/>
                <w:color w:val="FFFFFF" w:themeColor="background1"/>
                <w:sz w:val="20"/>
                <w:szCs w:val="20"/>
              </w:rPr>
            </w:pPr>
            <w:r w:rsidRPr="00BA5381">
              <w:rPr>
                <w:rFonts w:eastAsia="Times New Roman" w:cstheme="minorHAnsi"/>
                <w:b/>
                <w:bCs/>
                <w:color w:val="FFFFFF" w:themeColor="background1"/>
                <w:sz w:val="20"/>
                <w:szCs w:val="20"/>
              </w:rPr>
              <w:t xml:space="preserve">Vaccinati con ciclo completo da </w:t>
            </w:r>
            <w:r w:rsidRPr="00743A5B">
              <w:rPr>
                <w:rFonts w:eastAsia="Times New Roman" w:cstheme="minorHAnsi"/>
                <w:b/>
                <w:bCs/>
                <w:color w:val="FFFFFF" w:themeColor="background1"/>
                <w:sz w:val="20"/>
                <w:szCs w:val="20"/>
              </w:rPr>
              <w:t xml:space="preserve">meno di </w:t>
            </w:r>
            <w:r w:rsidRPr="00BA5381">
              <w:rPr>
                <w:rFonts w:eastAsia="Times New Roman" w:cstheme="minorHAnsi"/>
                <w:b/>
                <w:bCs/>
                <w:color w:val="FFFFFF" w:themeColor="background1"/>
                <w:sz w:val="20"/>
                <w:szCs w:val="20"/>
              </w:rPr>
              <w:t>120 giorni</w:t>
            </w:r>
          </w:p>
        </w:tc>
        <w:tc>
          <w:tcPr>
            <w:tcW w:w="911" w:type="pct"/>
            <w:tcBorders>
              <w:left w:val="single" w:sz="4" w:space="0" w:color="FFFFFF" w:themeColor="background1"/>
            </w:tcBorders>
            <w:shd w:val="clear" w:color="auto" w:fill="00457D"/>
            <w:vAlign w:val="center"/>
            <w:hideMark/>
          </w:tcPr>
          <w:p w:rsidR="00670CB5" w:rsidRPr="00BA5381" w:rsidRDefault="00670CB5" w:rsidP="00E45DCE">
            <w:pPr>
              <w:spacing w:after="0" w:line="240" w:lineRule="auto"/>
              <w:jc w:val="center"/>
              <w:rPr>
                <w:rFonts w:eastAsia="Times New Roman" w:cstheme="minorHAnsi"/>
                <w:b/>
                <w:bCs/>
                <w:color w:val="FFFFFF" w:themeColor="background1"/>
                <w:sz w:val="20"/>
                <w:szCs w:val="20"/>
              </w:rPr>
            </w:pPr>
            <w:r w:rsidRPr="00BA5381">
              <w:rPr>
                <w:rFonts w:eastAsia="Times New Roman" w:cstheme="minorHAnsi"/>
                <w:b/>
                <w:bCs/>
                <w:color w:val="FFFFFF" w:themeColor="background1"/>
                <w:sz w:val="20"/>
                <w:szCs w:val="20"/>
              </w:rPr>
              <w:t>Vaccinati con ciclo completo + booster</w:t>
            </w:r>
          </w:p>
        </w:tc>
      </w:tr>
      <w:tr w:rsidR="00670CB5" w:rsidRPr="00743A5B" w:rsidTr="00E45DCE">
        <w:trPr>
          <w:trHeight w:val="340"/>
        </w:trPr>
        <w:tc>
          <w:tcPr>
            <w:tcW w:w="536" w:type="pct"/>
            <w:shd w:val="clear" w:color="auto" w:fill="auto"/>
            <w:vAlign w:val="center"/>
            <w:hideMark/>
          </w:tcPr>
          <w:p w:rsidR="00670CB5" w:rsidRPr="00BA5381" w:rsidRDefault="00670CB5" w:rsidP="00E45DCE">
            <w:pPr>
              <w:spacing w:after="0" w:line="240" w:lineRule="auto"/>
              <w:jc w:val="center"/>
              <w:rPr>
                <w:rFonts w:eastAsia="Times New Roman" w:cstheme="minorHAnsi"/>
                <w:b/>
                <w:color w:val="00457D"/>
                <w:sz w:val="20"/>
                <w:szCs w:val="20"/>
              </w:rPr>
            </w:pPr>
            <w:r w:rsidRPr="00BA5381">
              <w:rPr>
                <w:rFonts w:eastAsia="Times New Roman" w:cstheme="minorHAnsi"/>
                <w:b/>
                <w:color w:val="00457D"/>
                <w:sz w:val="20"/>
                <w:szCs w:val="20"/>
              </w:rPr>
              <w:t>12-39</w:t>
            </w:r>
          </w:p>
        </w:tc>
        <w:tc>
          <w:tcPr>
            <w:tcW w:w="706"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0,2</w:t>
            </w:r>
          </w:p>
        </w:tc>
        <w:tc>
          <w:tcPr>
            <w:tcW w:w="876"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0,0</w:t>
            </w:r>
          </w:p>
        </w:tc>
        <w:tc>
          <w:tcPr>
            <w:tcW w:w="938"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0,1</w:t>
            </w:r>
          </w:p>
        </w:tc>
        <w:tc>
          <w:tcPr>
            <w:tcW w:w="1033"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0,1</w:t>
            </w:r>
          </w:p>
        </w:tc>
        <w:tc>
          <w:tcPr>
            <w:tcW w:w="911"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0,1</w:t>
            </w:r>
          </w:p>
        </w:tc>
      </w:tr>
      <w:tr w:rsidR="00670CB5" w:rsidRPr="00743A5B" w:rsidTr="00E45DCE">
        <w:trPr>
          <w:trHeight w:val="340"/>
        </w:trPr>
        <w:tc>
          <w:tcPr>
            <w:tcW w:w="536" w:type="pct"/>
            <w:shd w:val="clear" w:color="auto" w:fill="auto"/>
            <w:vAlign w:val="center"/>
            <w:hideMark/>
          </w:tcPr>
          <w:p w:rsidR="00670CB5" w:rsidRPr="00BA5381" w:rsidRDefault="00670CB5" w:rsidP="00E45DCE">
            <w:pPr>
              <w:spacing w:after="0" w:line="240" w:lineRule="auto"/>
              <w:jc w:val="center"/>
              <w:rPr>
                <w:rFonts w:eastAsia="Times New Roman" w:cstheme="minorHAnsi"/>
                <w:b/>
                <w:color w:val="00457D"/>
                <w:sz w:val="20"/>
                <w:szCs w:val="20"/>
              </w:rPr>
            </w:pPr>
            <w:r w:rsidRPr="00BA5381">
              <w:rPr>
                <w:rFonts w:eastAsia="Times New Roman" w:cstheme="minorHAnsi"/>
                <w:b/>
                <w:color w:val="00457D"/>
                <w:sz w:val="20"/>
                <w:szCs w:val="20"/>
              </w:rPr>
              <w:t>40-59</w:t>
            </w:r>
          </w:p>
        </w:tc>
        <w:tc>
          <w:tcPr>
            <w:tcW w:w="706"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2,4</w:t>
            </w:r>
          </w:p>
        </w:tc>
        <w:tc>
          <w:tcPr>
            <w:tcW w:w="876"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1,3</w:t>
            </w:r>
          </w:p>
        </w:tc>
        <w:tc>
          <w:tcPr>
            <w:tcW w:w="938"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1,2</w:t>
            </w:r>
          </w:p>
        </w:tc>
        <w:tc>
          <w:tcPr>
            <w:tcW w:w="1033"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1,3</w:t>
            </w:r>
          </w:p>
        </w:tc>
        <w:tc>
          <w:tcPr>
            <w:tcW w:w="911"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0,3</w:t>
            </w:r>
          </w:p>
        </w:tc>
      </w:tr>
      <w:tr w:rsidR="00670CB5" w:rsidRPr="00743A5B" w:rsidTr="00E45DCE">
        <w:trPr>
          <w:trHeight w:val="340"/>
        </w:trPr>
        <w:tc>
          <w:tcPr>
            <w:tcW w:w="536" w:type="pct"/>
            <w:shd w:val="clear" w:color="auto" w:fill="auto"/>
            <w:vAlign w:val="center"/>
            <w:hideMark/>
          </w:tcPr>
          <w:p w:rsidR="00670CB5" w:rsidRPr="00BA5381" w:rsidRDefault="00670CB5" w:rsidP="00E45DCE">
            <w:pPr>
              <w:spacing w:after="0" w:line="240" w:lineRule="auto"/>
              <w:jc w:val="center"/>
              <w:rPr>
                <w:rFonts w:eastAsia="Times New Roman" w:cstheme="minorHAnsi"/>
                <w:b/>
                <w:color w:val="00457D"/>
                <w:sz w:val="20"/>
                <w:szCs w:val="20"/>
              </w:rPr>
            </w:pPr>
            <w:r w:rsidRPr="00BA5381">
              <w:rPr>
                <w:rFonts w:eastAsia="Times New Roman" w:cstheme="minorHAnsi"/>
                <w:b/>
                <w:color w:val="00457D"/>
                <w:sz w:val="20"/>
                <w:szCs w:val="20"/>
              </w:rPr>
              <w:t>60-79</w:t>
            </w:r>
          </w:p>
        </w:tc>
        <w:tc>
          <w:tcPr>
            <w:tcW w:w="706"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41,8</w:t>
            </w:r>
          </w:p>
        </w:tc>
        <w:tc>
          <w:tcPr>
            <w:tcW w:w="876"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16,5</w:t>
            </w:r>
          </w:p>
        </w:tc>
        <w:tc>
          <w:tcPr>
            <w:tcW w:w="938"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21,5</w:t>
            </w:r>
          </w:p>
        </w:tc>
        <w:tc>
          <w:tcPr>
            <w:tcW w:w="1033"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10,1</w:t>
            </w:r>
          </w:p>
        </w:tc>
        <w:tc>
          <w:tcPr>
            <w:tcW w:w="911"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3,4</w:t>
            </w:r>
          </w:p>
        </w:tc>
      </w:tr>
      <w:tr w:rsidR="00670CB5" w:rsidRPr="00743A5B" w:rsidTr="00E45DCE">
        <w:trPr>
          <w:trHeight w:val="340"/>
        </w:trPr>
        <w:tc>
          <w:tcPr>
            <w:tcW w:w="536" w:type="pct"/>
            <w:shd w:val="clear" w:color="auto" w:fill="auto"/>
            <w:vAlign w:val="center"/>
            <w:hideMark/>
          </w:tcPr>
          <w:p w:rsidR="00670CB5" w:rsidRPr="00BA5381" w:rsidRDefault="00670CB5" w:rsidP="00E45DCE">
            <w:pPr>
              <w:spacing w:after="0" w:line="240" w:lineRule="auto"/>
              <w:jc w:val="center"/>
              <w:rPr>
                <w:rFonts w:eastAsia="Times New Roman" w:cstheme="minorHAnsi"/>
                <w:b/>
                <w:color w:val="00457D"/>
                <w:sz w:val="20"/>
                <w:szCs w:val="20"/>
              </w:rPr>
            </w:pPr>
            <w:r w:rsidRPr="00BA5381">
              <w:rPr>
                <w:rFonts w:eastAsia="Times New Roman" w:cstheme="minorHAnsi"/>
                <w:b/>
                <w:color w:val="00457D"/>
                <w:sz w:val="20"/>
                <w:szCs w:val="20"/>
              </w:rPr>
              <w:t>80+</w:t>
            </w:r>
          </w:p>
        </w:tc>
        <w:tc>
          <w:tcPr>
            <w:tcW w:w="706"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470,8</w:t>
            </w:r>
          </w:p>
        </w:tc>
        <w:tc>
          <w:tcPr>
            <w:tcW w:w="876"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104,4</w:t>
            </w:r>
          </w:p>
        </w:tc>
        <w:tc>
          <w:tcPr>
            <w:tcW w:w="938"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107,1</w:t>
            </w:r>
          </w:p>
        </w:tc>
        <w:tc>
          <w:tcPr>
            <w:tcW w:w="1033"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86,1</w:t>
            </w:r>
          </w:p>
        </w:tc>
        <w:tc>
          <w:tcPr>
            <w:tcW w:w="911"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32,9</w:t>
            </w:r>
          </w:p>
        </w:tc>
      </w:tr>
      <w:tr w:rsidR="00670CB5" w:rsidRPr="00B0493C" w:rsidTr="00E45DCE">
        <w:trPr>
          <w:trHeight w:val="567"/>
        </w:trPr>
        <w:tc>
          <w:tcPr>
            <w:tcW w:w="4089" w:type="pct"/>
            <w:gridSpan w:val="5"/>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670CB5" w:rsidRPr="00B0493C" w:rsidRDefault="00670CB5" w:rsidP="00E45DCE">
            <w:pPr>
              <w:spacing w:after="0" w:line="240" w:lineRule="auto"/>
              <w:rPr>
                <w:rFonts w:eastAsia="Times New Roman" w:cstheme="minorHAnsi"/>
                <w:color w:val="00457D"/>
                <w:sz w:val="18"/>
                <w:szCs w:val="20"/>
              </w:rPr>
            </w:pPr>
            <w:r w:rsidRPr="00B0493C">
              <w:rPr>
                <w:rFonts w:eastAsia="Times New Roman" w:cstheme="minorHAnsi"/>
                <w:color w:val="00457D"/>
                <w:sz w:val="18"/>
                <w:szCs w:val="20"/>
              </w:rPr>
              <w:t>Elaborazione GIMBE su dati Istituto Superiore di Sanità</w:t>
            </w:r>
          </w:p>
          <w:p w:rsidR="00670CB5" w:rsidRPr="00B0493C" w:rsidRDefault="00670CB5" w:rsidP="00E45DCE">
            <w:pPr>
              <w:spacing w:after="0" w:line="240" w:lineRule="auto"/>
              <w:rPr>
                <w:rFonts w:cstheme="minorHAnsi"/>
                <w:color w:val="FF0000"/>
                <w:sz w:val="20"/>
                <w:szCs w:val="20"/>
              </w:rPr>
            </w:pPr>
            <w:r w:rsidRPr="00B0493C">
              <w:rPr>
                <w:rFonts w:eastAsia="Times New Roman" w:cstheme="minorHAnsi"/>
                <w:color w:val="00457D"/>
                <w:sz w:val="18"/>
                <w:szCs w:val="20"/>
              </w:rPr>
              <w:t>Aggiornamento: 30 marzo 2022 ore 12:00</w:t>
            </w:r>
          </w:p>
        </w:tc>
        <w:tc>
          <w:tcPr>
            <w:tcW w:w="911" w:type="pct"/>
            <w:tcBorders>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670CB5" w:rsidRPr="00B0493C" w:rsidRDefault="00670CB5" w:rsidP="00E45DCE">
            <w:pPr>
              <w:spacing w:after="0" w:line="240" w:lineRule="auto"/>
              <w:jc w:val="right"/>
              <w:rPr>
                <w:rFonts w:cstheme="minorHAnsi"/>
                <w:color w:val="FF0000"/>
                <w:sz w:val="20"/>
                <w:szCs w:val="20"/>
              </w:rPr>
            </w:pPr>
            <w:r>
              <w:rPr>
                <w:noProof/>
              </w:rPr>
              <w:drawing>
                <wp:inline distT="0" distB="0" distL="0" distR="0" wp14:anchorId="32A4AC6B" wp14:editId="72774A8D">
                  <wp:extent cx="773358" cy="262880"/>
                  <wp:effectExtent l="0" t="0" r="0" b="4445"/>
                  <wp:docPr id="3" name="Immagine 3">
                    <a:extLst xmlns:a="http://schemas.openxmlformats.org/drawingml/2006/main">
                      <a:ext uri="{FF2B5EF4-FFF2-40B4-BE49-F238E27FC236}">
                        <a16:creationId xmlns:a16="http://schemas.microsoft.com/office/drawing/2014/main" id="{00000000-0008-0000-0000-00001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00000000-0008-0000-0000-000013000000}"/>
                              </a:ext>
                            </a:extLst>
                          </pic:cNvPr>
                          <pic:cNvPicPr>
                            <a:picLocks noChangeAspect="1"/>
                          </pic:cNvPicPr>
                        </pic:nvPicPr>
                        <pic:blipFill>
                          <a:blip r:embed="rId10" cstate="print"/>
                          <a:stretch>
                            <a:fillRect/>
                          </a:stretch>
                        </pic:blipFill>
                        <pic:spPr>
                          <a:xfrm>
                            <a:off x="0" y="0"/>
                            <a:ext cx="795513" cy="270411"/>
                          </a:xfrm>
                          <a:prstGeom prst="rect">
                            <a:avLst/>
                          </a:prstGeom>
                        </pic:spPr>
                      </pic:pic>
                    </a:graphicData>
                  </a:graphic>
                </wp:inline>
              </w:drawing>
            </w:r>
          </w:p>
        </w:tc>
      </w:tr>
    </w:tbl>
    <w:p w:rsidR="00670CB5" w:rsidRPr="003A149B" w:rsidRDefault="00670CB5" w:rsidP="003A149B">
      <w:pPr>
        <w:spacing w:before="160"/>
        <w:jc w:val="both"/>
      </w:pPr>
      <w:r>
        <w:t>Guardando ai numeri assoluti</w:t>
      </w:r>
      <w:r w:rsidR="00B25129">
        <w:t>,</w:t>
      </w:r>
      <w:r w:rsidR="00860D87">
        <w:rPr>
          <w:color w:val="auto"/>
        </w:rPr>
        <w:t xml:space="preserve"> </w:t>
      </w:r>
      <w:r w:rsidR="00860D87">
        <w:t>tra le</w:t>
      </w:r>
      <w:r w:rsidR="001647A3">
        <w:rPr>
          <w:color w:val="auto"/>
        </w:rPr>
        <w:t xml:space="preserve"> persone </w:t>
      </w:r>
      <w:r w:rsidR="00B25129">
        <w:rPr>
          <w:color w:val="auto"/>
        </w:rPr>
        <w:t xml:space="preserve">vaccinate con ciclo completo più </w:t>
      </w:r>
      <w:r w:rsidR="00B25129" w:rsidRPr="00F11D93">
        <w:rPr>
          <w:i/>
          <w:color w:val="auto"/>
        </w:rPr>
        <w:t>booster</w:t>
      </w:r>
      <w:r w:rsidR="00B25129">
        <w:rPr>
          <w:color w:val="auto"/>
        </w:rPr>
        <w:t xml:space="preserve"> </w:t>
      </w:r>
      <w:r w:rsidR="001647A3">
        <w:rPr>
          <w:color w:val="auto"/>
        </w:rPr>
        <w:t xml:space="preserve">che hanno avuto una </w:t>
      </w:r>
      <w:r w:rsidR="001647A3" w:rsidRPr="001647A3">
        <w:rPr>
          <w:color w:val="auto"/>
        </w:rPr>
        <w:t xml:space="preserve">diagnosi </w:t>
      </w:r>
      <w:r w:rsidR="001647A3">
        <w:rPr>
          <w:color w:val="auto"/>
        </w:rPr>
        <w:t xml:space="preserve">di COVID-19 </w:t>
      </w:r>
      <w:r w:rsidR="00F11D93">
        <w:rPr>
          <w:color w:val="auto"/>
        </w:rPr>
        <w:t xml:space="preserve">- </w:t>
      </w:r>
      <w:r>
        <w:t>nel periodo 4 febbraio-6 marzo 2022</w:t>
      </w:r>
      <w:r w:rsidR="00F11D93">
        <w:t xml:space="preserve"> -</w:t>
      </w:r>
      <w:r>
        <w:t xml:space="preserve"> </w:t>
      </w:r>
      <w:r w:rsidR="00860D87">
        <w:t xml:space="preserve">si sono registrati 1.688 decessi (44,4% del totale), </w:t>
      </w:r>
      <w:r>
        <w:t xml:space="preserve">di cui 369 nella fascia 70-79 e 1.272 </w:t>
      </w:r>
      <w:r w:rsidR="00860D87">
        <w:t xml:space="preserve">tra gli </w:t>
      </w:r>
      <w:r>
        <w:t xml:space="preserve">over 80. Tenendo conto che al 19 febbraio circa 600 mila over 80 avevano ricevuto il </w:t>
      </w:r>
      <w:r w:rsidRPr="00F61D33">
        <w:rPr>
          <w:i/>
        </w:rPr>
        <w:t>booster</w:t>
      </w:r>
      <w:r>
        <w:t xml:space="preserve"> da oltre 120 giorni è verosimile che</w:t>
      </w:r>
      <w:r w:rsidR="00AD0D1E">
        <w:t xml:space="preserve"> un’ulteriore </w:t>
      </w:r>
      <w:r w:rsidRPr="003B2A24">
        <w:t>determinante dell’elevat</w:t>
      </w:r>
      <w:r>
        <w:t xml:space="preserve">o numero di decessi sia rappresentata dal progressivo declino dell’efficacia vaccinale </w:t>
      </w:r>
      <w:r w:rsidR="00AD0D1E">
        <w:t xml:space="preserve">sulla malattia grave </w:t>
      </w:r>
      <w:r w:rsidR="003033A7">
        <w:t xml:space="preserve">anche </w:t>
      </w:r>
      <w:r>
        <w:t xml:space="preserve">nelle persone che hanno fatto il richiamo. </w:t>
      </w:r>
      <w:r w:rsidR="00EA03F3" w:rsidRPr="00EA03F3">
        <w:t>«In attesa che le autorità regolatorie si pronuncino sull’estensione della quarta dose – spiega Cartabellotta – dal punto di vista organizzativo bisogna i</w:t>
      </w:r>
      <w:r w:rsidR="00EA03F3">
        <w:t>niziare a considerare che, al 31 maggio</w:t>
      </w:r>
      <w:r w:rsidR="00EA03F3" w:rsidRPr="00EA03F3">
        <w:t xml:space="preserve">, gli over 70 che avranno ricevuto il </w:t>
      </w:r>
      <w:r w:rsidR="00EA03F3" w:rsidRPr="00F11D93">
        <w:rPr>
          <w:i/>
        </w:rPr>
        <w:t>booster</w:t>
      </w:r>
      <w:r w:rsidR="00EA03F3" w:rsidRPr="00EA03F3">
        <w:t xml:space="preserve"> da oltre 120 giorni saranno 8,8 milioni, di cui 3,8 milioni di ult</w:t>
      </w:r>
      <w:r w:rsidR="00EA03F3">
        <w:t>raottantenni e quasi 5 milioni n</w:t>
      </w:r>
      <w:r w:rsidR="00EA03F3" w:rsidRPr="00EA03F3">
        <w:t>ella fascia 70-79».</w:t>
      </w:r>
    </w:p>
    <w:tbl>
      <w:tblPr>
        <w:tblW w:w="4964" w:type="pct"/>
        <w:tblInd w:w="70" w:type="dxa"/>
        <w:tblBorders>
          <w:top w:val="single" w:sz="4" w:space="0" w:color="00457D"/>
          <w:left w:val="single" w:sz="4" w:space="0" w:color="00457D"/>
          <w:bottom w:val="single" w:sz="4" w:space="0" w:color="00457D"/>
          <w:right w:val="single" w:sz="4" w:space="0" w:color="00457D"/>
          <w:insideH w:val="single" w:sz="4" w:space="0" w:color="00457D"/>
          <w:insideV w:val="single" w:sz="4" w:space="0" w:color="00457D"/>
        </w:tblBorders>
        <w:tblCellMar>
          <w:left w:w="70" w:type="dxa"/>
          <w:right w:w="70" w:type="dxa"/>
        </w:tblCellMar>
        <w:tblLook w:val="04A0" w:firstRow="1" w:lastRow="0" w:firstColumn="1" w:lastColumn="0" w:noHBand="0" w:noVBand="1"/>
      </w:tblPr>
      <w:tblGrid>
        <w:gridCol w:w="1087"/>
        <w:gridCol w:w="1321"/>
        <w:gridCol w:w="1700"/>
        <w:gridCol w:w="1841"/>
        <w:gridCol w:w="1983"/>
        <w:gridCol w:w="1770"/>
      </w:tblGrid>
      <w:tr w:rsidR="00670CB5" w:rsidRPr="00743A5B" w:rsidTr="00186E2D">
        <w:trPr>
          <w:trHeight w:val="397"/>
        </w:trPr>
        <w:tc>
          <w:tcPr>
            <w:tcW w:w="5000" w:type="pct"/>
            <w:gridSpan w:val="6"/>
            <w:tcBorders>
              <w:top w:val="nil"/>
              <w:left w:val="nil"/>
              <w:bottom w:val="single" w:sz="4" w:space="0" w:color="00457D"/>
              <w:right w:val="nil"/>
            </w:tcBorders>
            <w:shd w:val="clear" w:color="auto" w:fill="auto"/>
            <w:vAlign w:val="center"/>
          </w:tcPr>
          <w:p w:rsidR="00670CB5" w:rsidRPr="00743A5B" w:rsidRDefault="003A149B" w:rsidP="003A149B">
            <w:pPr>
              <w:spacing w:after="0" w:line="240" w:lineRule="auto"/>
              <w:jc w:val="center"/>
              <w:rPr>
                <w:rFonts w:eastAsia="Times New Roman" w:cstheme="minorHAnsi"/>
                <w:b/>
                <w:bCs/>
                <w:color w:val="00457D"/>
                <w:sz w:val="20"/>
                <w:szCs w:val="20"/>
              </w:rPr>
            </w:pPr>
            <w:r>
              <w:rPr>
                <w:rFonts w:eastAsia="Times New Roman" w:cstheme="minorHAnsi"/>
                <w:b/>
                <w:bCs/>
                <w:color w:val="00457D"/>
                <w:sz w:val="20"/>
                <w:szCs w:val="20"/>
              </w:rPr>
              <w:t>N. di p</w:t>
            </w:r>
            <w:r w:rsidR="00754FB8" w:rsidRPr="003A149B">
              <w:rPr>
                <w:rFonts w:eastAsia="Times New Roman" w:cstheme="minorHAnsi"/>
                <w:b/>
                <w:bCs/>
                <w:color w:val="00457D"/>
                <w:sz w:val="20"/>
                <w:szCs w:val="20"/>
              </w:rPr>
              <w:t xml:space="preserve">ersone decedute </w:t>
            </w:r>
            <w:r w:rsidR="001647A3" w:rsidRPr="003A149B">
              <w:rPr>
                <w:b/>
                <w:color w:val="00457D"/>
                <w:sz w:val="20"/>
              </w:rPr>
              <w:t>che hanno avuto una diagnosi di COVID-19</w:t>
            </w:r>
            <w:r w:rsidR="00670CB5" w:rsidRPr="003A149B">
              <w:rPr>
                <w:rFonts w:eastAsia="Times New Roman" w:cstheme="minorHAnsi"/>
                <w:b/>
                <w:bCs/>
                <w:color w:val="00457D"/>
                <w:sz w:val="20"/>
                <w:szCs w:val="20"/>
              </w:rPr>
              <w:t xml:space="preserve"> tra il 4 febbraio e il 6 marzo 2022</w:t>
            </w:r>
          </w:p>
        </w:tc>
      </w:tr>
      <w:tr w:rsidR="00670CB5" w:rsidRPr="00743A5B" w:rsidTr="00E45DCE">
        <w:trPr>
          <w:trHeight w:val="900"/>
        </w:trPr>
        <w:tc>
          <w:tcPr>
            <w:tcW w:w="560" w:type="pct"/>
            <w:tcBorders>
              <w:right w:val="single" w:sz="4" w:space="0" w:color="FFFFFF" w:themeColor="background1"/>
            </w:tcBorders>
            <w:shd w:val="clear" w:color="auto" w:fill="00457D"/>
            <w:vAlign w:val="center"/>
            <w:hideMark/>
          </w:tcPr>
          <w:p w:rsidR="00670CB5" w:rsidRPr="00BA5381" w:rsidRDefault="00670CB5" w:rsidP="00E45DCE">
            <w:pPr>
              <w:spacing w:after="0" w:line="240" w:lineRule="auto"/>
              <w:jc w:val="center"/>
              <w:rPr>
                <w:rFonts w:eastAsia="Times New Roman" w:cstheme="minorHAnsi"/>
                <w:color w:val="FFFFFF" w:themeColor="background1"/>
                <w:sz w:val="20"/>
                <w:szCs w:val="20"/>
              </w:rPr>
            </w:pPr>
            <w:r w:rsidRPr="00BA5381">
              <w:rPr>
                <w:rFonts w:eastAsia="Times New Roman" w:cstheme="minorHAnsi"/>
                <w:b/>
                <w:bCs/>
                <w:color w:val="FFFFFF" w:themeColor="background1"/>
                <w:sz w:val="20"/>
                <w:szCs w:val="20"/>
              </w:rPr>
              <w:t>Fascia di età</w:t>
            </w:r>
          </w:p>
        </w:tc>
        <w:tc>
          <w:tcPr>
            <w:tcW w:w="681" w:type="pct"/>
            <w:tcBorders>
              <w:left w:val="single" w:sz="4" w:space="0" w:color="FFFFFF" w:themeColor="background1"/>
              <w:right w:val="single" w:sz="4" w:space="0" w:color="FFFFFF" w:themeColor="background1"/>
            </w:tcBorders>
            <w:shd w:val="clear" w:color="auto" w:fill="00457D"/>
            <w:vAlign w:val="center"/>
            <w:hideMark/>
          </w:tcPr>
          <w:p w:rsidR="00670CB5" w:rsidRPr="00BA5381" w:rsidRDefault="00670CB5" w:rsidP="00E45DCE">
            <w:pPr>
              <w:spacing w:after="0" w:line="240" w:lineRule="auto"/>
              <w:jc w:val="center"/>
              <w:rPr>
                <w:rFonts w:eastAsia="Times New Roman" w:cstheme="minorHAnsi"/>
                <w:b/>
                <w:bCs/>
                <w:color w:val="FFFFFF" w:themeColor="background1"/>
                <w:sz w:val="20"/>
                <w:szCs w:val="20"/>
              </w:rPr>
            </w:pPr>
            <w:r w:rsidRPr="00BA5381">
              <w:rPr>
                <w:rFonts w:eastAsia="Times New Roman" w:cstheme="minorHAnsi"/>
                <w:b/>
                <w:bCs/>
                <w:color w:val="FFFFFF" w:themeColor="background1"/>
                <w:sz w:val="20"/>
                <w:szCs w:val="20"/>
              </w:rPr>
              <w:t>Non vaccinati</w:t>
            </w:r>
          </w:p>
        </w:tc>
        <w:tc>
          <w:tcPr>
            <w:tcW w:w="876" w:type="pct"/>
            <w:tcBorders>
              <w:left w:val="single" w:sz="4" w:space="0" w:color="FFFFFF" w:themeColor="background1"/>
              <w:right w:val="single" w:sz="4" w:space="0" w:color="FFFFFF" w:themeColor="background1"/>
            </w:tcBorders>
            <w:shd w:val="clear" w:color="auto" w:fill="00457D"/>
            <w:vAlign w:val="center"/>
            <w:hideMark/>
          </w:tcPr>
          <w:p w:rsidR="00670CB5" w:rsidRPr="00BA5381" w:rsidRDefault="00670CB5" w:rsidP="00E45DCE">
            <w:pPr>
              <w:spacing w:after="0" w:line="240" w:lineRule="auto"/>
              <w:jc w:val="center"/>
              <w:rPr>
                <w:rFonts w:eastAsia="Times New Roman" w:cstheme="minorHAnsi"/>
                <w:b/>
                <w:bCs/>
                <w:color w:val="FFFFFF" w:themeColor="background1"/>
                <w:sz w:val="20"/>
                <w:szCs w:val="20"/>
              </w:rPr>
            </w:pPr>
            <w:r w:rsidRPr="00BA5381">
              <w:rPr>
                <w:rFonts w:eastAsia="Times New Roman" w:cstheme="minorHAnsi"/>
                <w:b/>
                <w:bCs/>
                <w:color w:val="FFFFFF" w:themeColor="background1"/>
                <w:sz w:val="20"/>
                <w:szCs w:val="20"/>
              </w:rPr>
              <w:t>Vaccinati con ciclo incompleto</w:t>
            </w:r>
          </w:p>
        </w:tc>
        <w:tc>
          <w:tcPr>
            <w:tcW w:w="949" w:type="pct"/>
            <w:tcBorders>
              <w:left w:val="single" w:sz="4" w:space="0" w:color="FFFFFF" w:themeColor="background1"/>
              <w:right w:val="single" w:sz="4" w:space="0" w:color="FFFFFF" w:themeColor="background1"/>
            </w:tcBorders>
            <w:shd w:val="clear" w:color="auto" w:fill="00457D"/>
            <w:vAlign w:val="center"/>
            <w:hideMark/>
          </w:tcPr>
          <w:p w:rsidR="00670CB5" w:rsidRPr="00BA5381" w:rsidRDefault="00670CB5" w:rsidP="00E45DCE">
            <w:pPr>
              <w:spacing w:after="0" w:line="240" w:lineRule="auto"/>
              <w:jc w:val="center"/>
              <w:rPr>
                <w:rFonts w:eastAsia="Times New Roman" w:cstheme="minorHAnsi"/>
                <w:b/>
                <w:bCs/>
                <w:color w:val="FFFFFF" w:themeColor="background1"/>
                <w:sz w:val="20"/>
                <w:szCs w:val="20"/>
              </w:rPr>
            </w:pPr>
            <w:r w:rsidRPr="00BA5381">
              <w:rPr>
                <w:rFonts w:eastAsia="Times New Roman" w:cstheme="minorHAnsi"/>
                <w:b/>
                <w:bCs/>
                <w:color w:val="FFFFFF" w:themeColor="background1"/>
                <w:sz w:val="20"/>
                <w:szCs w:val="20"/>
              </w:rPr>
              <w:t>Vaccinati con ciclo completo da almeno 120 giorni</w:t>
            </w:r>
          </w:p>
        </w:tc>
        <w:tc>
          <w:tcPr>
            <w:tcW w:w="1022" w:type="pct"/>
            <w:tcBorders>
              <w:left w:val="single" w:sz="4" w:space="0" w:color="FFFFFF" w:themeColor="background1"/>
              <w:right w:val="single" w:sz="4" w:space="0" w:color="FFFFFF" w:themeColor="background1"/>
            </w:tcBorders>
            <w:shd w:val="clear" w:color="auto" w:fill="00457D"/>
            <w:vAlign w:val="center"/>
            <w:hideMark/>
          </w:tcPr>
          <w:p w:rsidR="00670CB5" w:rsidRPr="00BA5381" w:rsidRDefault="00670CB5" w:rsidP="00E45DCE">
            <w:pPr>
              <w:spacing w:after="0" w:line="240" w:lineRule="auto"/>
              <w:jc w:val="center"/>
              <w:rPr>
                <w:rFonts w:eastAsia="Times New Roman" w:cstheme="minorHAnsi"/>
                <w:b/>
                <w:bCs/>
                <w:color w:val="FFFFFF" w:themeColor="background1"/>
                <w:sz w:val="20"/>
                <w:szCs w:val="20"/>
              </w:rPr>
            </w:pPr>
            <w:r w:rsidRPr="00BA5381">
              <w:rPr>
                <w:rFonts w:eastAsia="Times New Roman" w:cstheme="minorHAnsi"/>
                <w:b/>
                <w:bCs/>
                <w:color w:val="FFFFFF" w:themeColor="background1"/>
                <w:sz w:val="20"/>
                <w:szCs w:val="20"/>
              </w:rPr>
              <w:t xml:space="preserve">Vaccinati con ciclo completo da </w:t>
            </w:r>
            <w:r w:rsidRPr="00743A5B">
              <w:rPr>
                <w:rFonts w:eastAsia="Times New Roman" w:cstheme="minorHAnsi"/>
                <w:b/>
                <w:bCs/>
                <w:color w:val="FFFFFF" w:themeColor="background1"/>
                <w:sz w:val="20"/>
                <w:szCs w:val="20"/>
              </w:rPr>
              <w:t xml:space="preserve">meno di </w:t>
            </w:r>
            <w:r w:rsidRPr="00BA5381">
              <w:rPr>
                <w:rFonts w:eastAsia="Times New Roman" w:cstheme="minorHAnsi"/>
                <w:b/>
                <w:bCs/>
                <w:color w:val="FFFFFF" w:themeColor="background1"/>
                <w:sz w:val="20"/>
                <w:szCs w:val="20"/>
              </w:rPr>
              <w:t>120 giorni</w:t>
            </w:r>
          </w:p>
        </w:tc>
        <w:tc>
          <w:tcPr>
            <w:tcW w:w="912" w:type="pct"/>
            <w:tcBorders>
              <w:left w:val="single" w:sz="4" w:space="0" w:color="FFFFFF" w:themeColor="background1"/>
            </w:tcBorders>
            <w:shd w:val="clear" w:color="auto" w:fill="00457D"/>
            <w:vAlign w:val="center"/>
            <w:hideMark/>
          </w:tcPr>
          <w:p w:rsidR="00670CB5" w:rsidRPr="00BA5381" w:rsidRDefault="00670CB5" w:rsidP="00E45DCE">
            <w:pPr>
              <w:spacing w:after="0" w:line="240" w:lineRule="auto"/>
              <w:jc w:val="center"/>
              <w:rPr>
                <w:rFonts w:eastAsia="Times New Roman" w:cstheme="minorHAnsi"/>
                <w:b/>
                <w:bCs/>
                <w:color w:val="FFFFFF" w:themeColor="background1"/>
                <w:sz w:val="20"/>
                <w:szCs w:val="20"/>
              </w:rPr>
            </w:pPr>
            <w:r w:rsidRPr="00BA5381">
              <w:rPr>
                <w:rFonts w:eastAsia="Times New Roman" w:cstheme="minorHAnsi"/>
                <w:b/>
                <w:bCs/>
                <w:color w:val="FFFFFF" w:themeColor="background1"/>
                <w:sz w:val="20"/>
                <w:szCs w:val="20"/>
              </w:rPr>
              <w:t>Vaccinati con ciclo completo + booster</w:t>
            </w:r>
          </w:p>
        </w:tc>
      </w:tr>
      <w:tr w:rsidR="00670CB5" w:rsidRPr="00743A5B" w:rsidTr="00E45DCE">
        <w:trPr>
          <w:trHeight w:val="340"/>
        </w:trPr>
        <w:tc>
          <w:tcPr>
            <w:tcW w:w="560" w:type="pct"/>
            <w:shd w:val="clear" w:color="auto" w:fill="auto"/>
            <w:vAlign w:val="center"/>
            <w:hideMark/>
          </w:tcPr>
          <w:p w:rsidR="00670CB5" w:rsidRPr="00BA5381" w:rsidRDefault="00670CB5" w:rsidP="00E45DCE">
            <w:pPr>
              <w:spacing w:after="0" w:line="240" w:lineRule="auto"/>
              <w:jc w:val="center"/>
              <w:rPr>
                <w:rFonts w:eastAsia="Times New Roman" w:cstheme="minorHAnsi"/>
                <w:b/>
                <w:color w:val="00457D"/>
                <w:sz w:val="20"/>
                <w:szCs w:val="20"/>
              </w:rPr>
            </w:pPr>
            <w:r w:rsidRPr="00BA5381">
              <w:rPr>
                <w:rFonts w:eastAsia="Times New Roman" w:cstheme="minorHAnsi"/>
                <w:b/>
                <w:color w:val="00457D"/>
                <w:sz w:val="20"/>
                <w:szCs w:val="20"/>
              </w:rPr>
              <w:t>12-39</w:t>
            </w:r>
          </w:p>
        </w:tc>
        <w:tc>
          <w:tcPr>
            <w:tcW w:w="681"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4</w:t>
            </w:r>
          </w:p>
        </w:tc>
        <w:tc>
          <w:tcPr>
            <w:tcW w:w="876"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0</w:t>
            </w:r>
          </w:p>
        </w:tc>
        <w:tc>
          <w:tcPr>
            <w:tcW w:w="949"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4</w:t>
            </w:r>
          </w:p>
        </w:tc>
        <w:tc>
          <w:tcPr>
            <w:tcW w:w="1022"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3</w:t>
            </w:r>
          </w:p>
        </w:tc>
        <w:tc>
          <w:tcPr>
            <w:tcW w:w="912"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7</w:t>
            </w:r>
          </w:p>
        </w:tc>
      </w:tr>
      <w:tr w:rsidR="00670CB5" w:rsidRPr="00743A5B" w:rsidTr="00E45DCE">
        <w:trPr>
          <w:trHeight w:val="340"/>
        </w:trPr>
        <w:tc>
          <w:tcPr>
            <w:tcW w:w="560" w:type="pct"/>
            <w:shd w:val="clear" w:color="auto" w:fill="auto"/>
            <w:vAlign w:val="center"/>
            <w:hideMark/>
          </w:tcPr>
          <w:p w:rsidR="00670CB5" w:rsidRPr="00BA5381" w:rsidRDefault="00670CB5" w:rsidP="00E45DCE">
            <w:pPr>
              <w:spacing w:after="0" w:line="240" w:lineRule="auto"/>
              <w:jc w:val="center"/>
              <w:rPr>
                <w:rFonts w:eastAsia="Times New Roman" w:cstheme="minorHAnsi"/>
                <w:b/>
                <w:color w:val="00457D"/>
                <w:sz w:val="20"/>
                <w:szCs w:val="20"/>
              </w:rPr>
            </w:pPr>
            <w:r w:rsidRPr="00BA5381">
              <w:rPr>
                <w:rFonts w:eastAsia="Times New Roman" w:cstheme="minorHAnsi"/>
                <w:b/>
                <w:color w:val="00457D"/>
                <w:sz w:val="20"/>
                <w:szCs w:val="20"/>
              </w:rPr>
              <w:t>40-59</w:t>
            </w:r>
          </w:p>
        </w:tc>
        <w:tc>
          <w:tcPr>
            <w:tcW w:w="681"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48</w:t>
            </w:r>
          </w:p>
        </w:tc>
        <w:tc>
          <w:tcPr>
            <w:tcW w:w="876"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6</w:t>
            </w:r>
          </w:p>
        </w:tc>
        <w:tc>
          <w:tcPr>
            <w:tcW w:w="949"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29</w:t>
            </w:r>
          </w:p>
        </w:tc>
        <w:tc>
          <w:tcPr>
            <w:tcW w:w="1022"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19</w:t>
            </w:r>
          </w:p>
        </w:tc>
        <w:tc>
          <w:tcPr>
            <w:tcW w:w="912"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40</w:t>
            </w:r>
          </w:p>
        </w:tc>
      </w:tr>
      <w:tr w:rsidR="00670CB5" w:rsidRPr="00743A5B" w:rsidTr="00E45DCE">
        <w:trPr>
          <w:trHeight w:val="340"/>
        </w:trPr>
        <w:tc>
          <w:tcPr>
            <w:tcW w:w="560" w:type="pct"/>
            <w:shd w:val="clear" w:color="auto" w:fill="auto"/>
            <w:vAlign w:val="center"/>
            <w:hideMark/>
          </w:tcPr>
          <w:p w:rsidR="00670CB5" w:rsidRPr="00BA5381" w:rsidRDefault="00670CB5" w:rsidP="00E45DCE">
            <w:pPr>
              <w:spacing w:after="0" w:line="240" w:lineRule="auto"/>
              <w:jc w:val="center"/>
              <w:rPr>
                <w:rFonts w:eastAsia="Times New Roman" w:cstheme="minorHAnsi"/>
                <w:b/>
                <w:color w:val="00457D"/>
                <w:sz w:val="20"/>
                <w:szCs w:val="20"/>
              </w:rPr>
            </w:pPr>
            <w:r w:rsidRPr="00BA5381">
              <w:rPr>
                <w:rFonts w:eastAsia="Times New Roman" w:cstheme="minorHAnsi"/>
                <w:b/>
                <w:color w:val="00457D"/>
                <w:sz w:val="20"/>
                <w:szCs w:val="20"/>
              </w:rPr>
              <w:t>60-79</w:t>
            </w:r>
          </w:p>
        </w:tc>
        <w:tc>
          <w:tcPr>
            <w:tcW w:w="681"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337</w:t>
            </w:r>
          </w:p>
        </w:tc>
        <w:tc>
          <w:tcPr>
            <w:tcW w:w="876"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47</w:t>
            </w:r>
          </w:p>
        </w:tc>
        <w:tc>
          <w:tcPr>
            <w:tcW w:w="949"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206</w:t>
            </w:r>
          </w:p>
        </w:tc>
        <w:tc>
          <w:tcPr>
            <w:tcW w:w="1022"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50</w:t>
            </w:r>
          </w:p>
        </w:tc>
        <w:tc>
          <w:tcPr>
            <w:tcW w:w="912" w:type="pct"/>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369</w:t>
            </w:r>
          </w:p>
        </w:tc>
      </w:tr>
      <w:tr w:rsidR="00670CB5" w:rsidRPr="00743A5B" w:rsidTr="00E45DCE">
        <w:trPr>
          <w:trHeight w:val="340"/>
        </w:trPr>
        <w:tc>
          <w:tcPr>
            <w:tcW w:w="560" w:type="pct"/>
            <w:tcBorders>
              <w:bottom w:val="single" w:sz="4" w:space="0" w:color="00457D"/>
            </w:tcBorders>
            <w:shd w:val="clear" w:color="auto" w:fill="auto"/>
            <w:vAlign w:val="center"/>
            <w:hideMark/>
          </w:tcPr>
          <w:p w:rsidR="00670CB5" w:rsidRPr="00BA5381" w:rsidRDefault="00670CB5" w:rsidP="00E45DCE">
            <w:pPr>
              <w:spacing w:after="0" w:line="240" w:lineRule="auto"/>
              <w:jc w:val="center"/>
              <w:rPr>
                <w:rFonts w:eastAsia="Times New Roman" w:cstheme="minorHAnsi"/>
                <w:b/>
                <w:color w:val="00457D"/>
                <w:sz w:val="20"/>
                <w:szCs w:val="20"/>
              </w:rPr>
            </w:pPr>
            <w:r w:rsidRPr="00BA5381">
              <w:rPr>
                <w:rFonts w:eastAsia="Times New Roman" w:cstheme="minorHAnsi"/>
                <w:b/>
                <w:color w:val="00457D"/>
                <w:sz w:val="20"/>
                <w:szCs w:val="20"/>
              </w:rPr>
              <w:t>80+</w:t>
            </w:r>
          </w:p>
        </w:tc>
        <w:tc>
          <w:tcPr>
            <w:tcW w:w="681" w:type="pct"/>
            <w:tcBorders>
              <w:bottom w:val="single" w:sz="4" w:space="0" w:color="00457D"/>
            </w:tcBorders>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760</w:t>
            </w:r>
          </w:p>
        </w:tc>
        <w:tc>
          <w:tcPr>
            <w:tcW w:w="876" w:type="pct"/>
            <w:tcBorders>
              <w:bottom w:val="single" w:sz="4" w:space="0" w:color="00457D"/>
            </w:tcBorders>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107</w:t>
            </w:r>
          </w:p>
        </w:tc>
        <w:tc>
          <w:tcPr>
            <w:tcW w:w="949" w:type="pct"/>
            <w:tcBorders>
              <w:bottom w:val="single" w:sz="4" w:space="0" w:color="00457D"/>
            </w:tcBorders>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415</w:t>
            </w:r>
          </w:p>
        </w:tc>
        <w:tc>
          <w:tcPr>
            <w:tcW w:w="1022" w:type="pct"/>
            <w:tcBorders>
              <w:bottom w:val="single" w:sz="4" w:space="0" w:color="00457D"/>
            </w:tcBorders>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75</w:t>
            </w:r>
          </w:p>
        </w:tc>
        <w:tc>
          <w:tcPr>
            <w:tcW w:w="912" w:type="pct"/>
            <w:tcBorders>
              <w:bottom w:val="single" w:sz="4" w:space="0" w:color="00457D"/>
            </w:tcBorders>
            <w:shd w:val="clear" w:color="auto" w:fill="auto"/>
            <w:noWrap/>
            <w:vAlign w:val="center"/>
            <w:hideMark/>
          </w:tcPr>
          <w:p w:rsidR="00670CB5" w:rsidRPr="00BA5381" w:rsidRDefault="00670CB5" w:rsidP="00E45DCE">
            <w:pPr>
              <w:spacing w:after="0" w:line="240" w:lineRule="auto"/>
              <w:jc w:val="center"/>
              <w:rPr>
                <w:rFonts w:eastAsia="Times New Roman" w:cstheme="minorHAnsi"/>
                <w:sz w:val="20"/>
                <w:szCs w:val="20"/>
              </w:rPr>
            </w:pPr>
            <w:r w:rsidRPr="00BA5381">
              <w:rPr>
                <w:rFonts w:eastAsia="Times New Roman" w:cstheme="minorHAnsi"/>
                <w:sz w:val="20"/>
                <w:szCs w:val="20"/>
              </w:rPr>
              <w:t>1.272</w:t>
            </w:r>
          </w:p>
        </w:tc>
      </w:tr>
      <w:tr w:rsidR="00670CB5" w:rsidRPr="00743A5B" w:rsidTr="00E45DCE">
        <w:trPr>
          <w:trHeight w:val="340"/>
        </w:trPr>
        <w:tc>
          <w:tcPr>
            <w:tcW w:w="560" w:type="pct"/>
            <w:tcBorders>
              <w:bottom w:val="single" w:sz="4" w:space="0" w:color="00457D"/>
            </w:tcBorders>
            <w:shd w:val="clear" w:color="auto" w:fill="auto"/>
            <w:vAlign w:val="center"/>
            <w:hideMark/>
          </w:tcPr>
          <w:p w:rsidR="00670CB5" w:rsidRPr="00BA5381" w:rsidRDefault="00670CB5" w:rsidP="00E45DCE">
            <w:pPr>
              <w:spacing w:after="0" w:line="240" w:lineRule="auto"/>
              <w:jc w:val="center"/>
              <w:rPr>
                <w:rFonts w:eastAsia="Times New Roman" w:cstheme="minorHAnsi"/>
                <w:b/>
                <w:bCs/>
                <w:color w:val="00457D"/>
                <w:sz w:val="20"/>
                <w:szCs w:val="20"/>
              </w:rPr>
            </w:pPr>
            <w:r w:rsidRPr="00BA5381">
              <w:rPr>
                <w:rFonts w:eastAsia="Times New Roman" w:cstheme="minorHAnsi"/>
                <w:b/>
                <w:bCs/>
                <w:color w:val="00457D"/>
                <w:sz w:val="20"/>
                <w:szCs w:val="20"/>
              </w:rPr>
              <w:t>Totale</w:t>
            </w:r>
          </w:p>
        </w:tc>
        <w:tc>
          <w:tcPr>
            <w:tcW w:w="681" w:type="pct"/>
            <w:tcBorders>
              <w:bottom w:val="single" w:sz="4" w:space="0" w:color="00457D"/>
            </w:tcBorders>
            <w:shd w:val="clear" w:color="auto" w:fill="auto"/>
            <w:noWrap/>
            <w:vAlign w:val="center"/>
            <w:hideMark/>
          </w:tcPr>
          <w:p w:rsidR="00670CB5" w:rsidRPr="00BA5381" w:rsidRDefault="00670CB5" w:rsidP="00E45DCE">
            <w:pPr>
              <w:spacing w:after="0" w:line="240" w:lineRule="auto"/>
              <w:jc w:val="center"/>
              <w:rPr>
                <w:rFonts w:eastAsia="Times New Roman" w:cstheme="minorHAnsi"/>
                <w:bCs/>
                <w:sz w:val="20"/>
                <w:szCs w:val="20"/>
              </w:rPr>
            </w:pPr>
            <w:r w:rsidRPr="00BA5381">
              <w:rPr>
                <w:rFonts w:eastAsia="Times New Roman" w:cstheme="minorHAnsi"/>
                <w:bCs/>
                <w:sz w:val="20"/>
                <w:szCs w:val="20"/>
              </w:rPr>
              <w:t>1.149</w:t>
            </w:r>
          </w:p>
        </w:tc>
        <w:tc>
          <w:tcPr>
            <w:tcW w:w="876" w:type="pct"/>
            <w:tcBorders>
              <w:bottom w:val="single" w:sz="4" w:space="0" w:color="00457D"/>
            </w:tcBorders>
            <w:shd w:val="clear" w:color="auto" w:fill="auto"/>
            <w:noWrap/>
            <w:vAlign w:val="center"/>
            <w:hideMark/>
          </w:tcPr>
          <w:p w:rsidR="00670CB5" w:rsidRPr="00BA5381" w:rsidRDefault="00670CB5" w:rsidP="00E45DCE">
            <w:pPr>
              <w:spacing w:after="0" w:line="240" w:lineRule="auto"/>
              <w:jc w:val="center"/>
              <w:rPr>
                <w:rFonts w:eastAsia="Times New Roman" w:cstheme="minorHAnsi"/>
                <w:bCs/>
                <w:sz w:val="20"/>
                <w:szCs w:val="20"/>
              </w:rPr>
            </w:pPr>
            <w:r w:rsidRPr="00BA5381">
              <w:rPr>
                <w:rFonts w:eastAsia="Times New Roman" w:cstheme="minorHAnsi"/>
                <w:bCs/>
                <w:sz w:val="20"/>
                <w:szCs w:val="20"/>
              </w:rPr>
              <w:t>160</w:t>
            </w:r>
          </w:p>
        </w:tc>
        <w:tc>
          <w:tcPr>
            <w:tcW w:w="949" w:type="pct"/>
            <w:tcBorders>
              <w:bottom w:val="single" w:sz="4" w:space="0" w:color="00457D"/>
            </w:tcBorders>
            <w:shd w:val="clear" w:color="auto" w:fill="auto"/>
            <w:noWrap/>
            <w:vAlign w:val="center"/>
            <w:hideMark/>
          </w:tcPr>
          <w:p w:rsidR="00670CB5" w:rsidRPr="00BA5381" w:rsidRDefault="00670CB5" w:rsidP="00E45DCE">
            <w:pPr>
              <w:spacing w:after="0" w:line="240" w:lineRule="auto"/>
              <w:jc w:val="center"/>
              <w:rPr>
                <w:rFonts w:eastAsia="Times New Roman" w:cstheme="minorHAnsi"/>
                <w:bCs/>
                <w:sz w:val="20"/>
                <w:szCs w:val="20"/>
              </w:rPr>
            </w:pPr>
            <w:r w:rsidRPr="00BA5381">
              <w:rPr>
                <w:rFonts w:eastAsia="Times New Roman" w:cstheme="minorHAnsi"/>
                <w:bCs/>
                <w:sz w:val="20"/>
                <w:szCs w:val="20"/>
              </w:rPr>
              <w:t>654</w:t>
            </w:r>
          </w:p>
        </w:tc>
        <w:tc>
          <w:tcPr>
            <w:tcW w:w="1022" w:type="pct"/>
            <w:tcBorders>
              <w:bottom w:val="single" w:sz="4" w:space="0" w:color="00457D"/>
            </w:tcBorders>
            <w:shd w:val="clear" w:color="auto" w:fill="auto"/>
            <w:noWrap/>
            <w:vAlign w:val="center"/>
            <w:hideMark/>
          </w:tcPr>
          <w:p w:rsidR="00670CB5" w:rsidRPr="00BA5381" w:rsidRDefault="00670CB5" w:rsidP="00E45DCE">
            <w:pPr>
              <w:spacing w:after="0" w:line="240" w:lineRule="auto"/>
              <w:jc w:val="center"/>
              <w:rPr>
                <w:rFonts w:eastAsia="Times New Roman" w:cstheme="minorHAnsi"/>
                <w:bCs/>
                <w:sz w:val="20"/>
                <w:szCs w:val="20"/>
              </w:rPr>
            </w:pPr>
            <w:r w:rsidRPr="00BA5381">
              <w:rPr>
                <w:rFonts w:eastAsia="Times New Roman" w:cstheme="minorHAnsi"/>
                <w:bCs/>
                <w:sz w:val="20"/>
                <w:szCs w:val="20"/>
              </w:rPr>
              <w:t>147</w:t>
            </w:r>
          </w:p>
        </w:tc>
        <w:tc>
          <w:tcPr>
            <w:tcW w:w="912" w:type="pct"/>
            <w:tcBorders>
              <w:bottom w:val="single" w:sz="4" w:space="0" w:color="00457D"/>
            </w:tcBorders>
            <w:shd w:val="clear" w:color="auto" w:fill="auto"/>
            <w:noWrap/>
            <w:vAlign w:val="center"/>
            <w:hideMark/>
          </w:tcPr>
          <w:p w:rsidR="00670CB5" w:rsidRPr="00BA5381" w:rsidRDefault="00670CB5" w:rsidP="00E45DCE">
            <w:pPr>
              <w:spacing w:after="0" w:line="240" w:lineRule="auto"/>
              <w:jc w:val="center"/>
              <w:rPr>
                <w:rFonts w:eastAsia="Times New Roman" w:cstheme="minorHAnsi"/>
                <w:bCs/>
                <w:sz w:val="20"/>
                <w:szCs w:val="20"/>
              </w:rPr>
            </w:pPr>
            <w:r w:rsidRPr="00BA5381">
              <w:rPr>
                <w:rFonts w:eastAsia="Times New Roman" w:cstheme="minorHAnsi"/>
                <w:bCs/>
                <w:sz w:val="20"/>
                <w:szCs w:val="20"/>
              </w:rPr>
              <w:t>1.688</w:t>
            </w:r>
          </w:p>
        </w:tc>
      </w:tr>
      <w:tr w:rsidR="00670CB5" w:rsidRPr="00743A5B" w:rsidTr="00E45DCE">
        <w:trPr>
          <w:trHeight w:val="567"/>
        </w:trPr>
        <w:tc>
          <w:tcPr>
            <w:tcW w:w="4088" w:type="pct"/>
            <w:gridSpan w:val="5"/>
            <w:tcBorders>
              <w:top w:val="single" w:sz="4" w:space="0" w:color="00457D"/>
              <w:left w:val="nil"/>
              <w:bottom w:val="nil"/>
              <w:right w:val="nil"/>
            </w:tcBorders>
            <w:shd w:val="clear" w:color="auto" w:fill="auto"/>
            <w:vAlign w:val="center"/>
          </w:tcPr>
          <w:p w:rsidR="00670CB5" w:rsidRPr="00B0493C" w:rsidRDefault="00670CB5" w:rsidP="00E45DCE">
            <w:pPr>
              <w:spacing w:after="0" w:line="240" w:lineRule="auto"/>
              <w:rPr>
                <w:rFonts w:eastAsia="Times New Roman" w:cstheme="minorHAnsi"/>
                <w:color w:val="00457D"/>
                <w:sz w:val="18"/>
                <w:szCs w:val="20"/>
              </w:rPr>
            </w:pPr>
            <w:r w:rsidRPr="00B0493C">
              <w:rPr>
                <w:rFonts w:eastAsia="Times New Roman" w:cstheme="minorHAnsi"/>
                <w:color w:val="00457D"/>
                <w:sz w:val="18"/>
                <w:szCs w:val="20"/>
              </w:rPr>
              <w:t>Elaborazione GIMBE su dati Istituto Superiore di Sanità</w:t>
            </w:r>
          </w:p>
          <w:p w:rsidR="00670CB5" w:rsidRPr="00BA5381" w:rsidRDefault="00670CB5" w:rsidP="00E45DCE">
            <w:pPr>
              <w:spacing w:after="0" w:line="240" w:lineRule="auto"/>
              <w:rPr>
                <w:rFonts w:eastAsia="Times New Roman" w:cstheme="minorHAnsi"/>
                <w:bCs/>
                <w:sz w:val="20"/>
                <w:szCs w:val="20"/>
              </w:rPr>
            </w:pPr>
            <w:r w:rsidRPr="00B0493C">
              <w:rPr>
                <w:rFonts w:eastAsia="Times New Roman" w:cstheme="minorHAnsi"/>
                <w:color w:val="00457D"/>
                <w:sz w:val="18"/>
                <w:szCs w:val="20"/>
              </w:rPr>
              <w:t>Aggiornamento: 30 marzo 2022 ore 12:00</w:t>
            </w:r>
          </w:p>
        </w:tc>
        <w:tc>
          <w:tcPr>
            <w:tcW w:w="912" w:type="pct"/>
            <w:tcBorders>
              <w:top w:val="single" w:sz="4" w:space="0" w:color="00457D"/>
              <w:left w:val="nil"/>
              <w:bottom w:val="nil"/>
              <w:right w:val="nil"/>
            </w:tcBorders>
            <w:shd w:val="clear" w:color="auto" w:fill="auto"/>
            <w:noWrap/>
            <w:vAlign w:val="center"/>
          </w:tcPr>
          <w:p w:rsidR="00670CB5" w:rsidRPr="00BA5381" w:rsidRDefault="00670CB5" w:rsidP="00E45DCE">
            <w:pPr>
              <w:spacing w:after="0" w:line="240" w:lineRule="auto"/>
              <w:jc w:val="right"/>
              <w:rPr>
                <w:rFonts w:eastAsia="Times New Roman" w:cstheme="minorHAnsi"/>
                <w:bCs/>
                <w:sz w:val="20"/>
                <w:szCs w:val="20"/>
              </w:rPr>
            </w:pPr>
            <w:r>
              <w:rPr>
                <w:noProof/>
              </w:rPr>
              <w:drawing>
                <wp:inline distT="0" distB="0" distL="0" distR="0" wp14:anchorId="65740093" wp14:editId="2E470343">
                  <wp:extent cx="773358" cy="262880"/>
                  <wp:effectExtent l="0" t="0" r="0" b="4445"/>
                  <wp:docPr id="6" name="Immagine 6">
                    <a:extLst xmlns:a="http://schemas.openxmlformats.org/drawingml/2006/main">
                      <a:ext uri="{FF2B5EF4-FFF2-40B4-BE49-F238E27FC236}">
                        <a16:creationId xmlns:a16="http://schemas.microsoft.com/office/drawing/2014/main" id="{00000000-0008-0000-0000-00001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00000000-0008-0000-0000-000013000000}"/>
                              </a:ext>
                            </a:extLst>
                          </pic:cNvPr>
                          <pic:cNvPicPr>
                            <a:picLocks noChangeAspect="1"/>
                          </pic:cNvPicPr>
                        </pic:nvPicPr>
                        <pic:blipFill>
                          <a:blip r:embed="rId10" cstate="print"/>
                          <a:stretch>
                            <a:fillRect/>
                          </a:stretch>
                        </pic:blipFill>
                        <pic:spPr>
                          <a:xfrm>
                            <a:off x="0" y="0"/>
                            <a:ext cx="795513" cy="270411"/>
                          </a:xfrm>
                          <a:prstGeom prst="rect">
                            <a:avLst/>
                          </a:prstGeom>
                        </pic:spPr>
                      </pic:pic>
                    </a:graphicData>
                  </a:graphic>
                </wp:inline>
              </w:drawing>
            </w:r>
          </w:p>
        </w:tc>
      </w:tr>
    </w:tbl>
    <w:p w:rsidR="00670CB5" w:rsidRDefault="00670CB5" w:rsidP="00670CB5">
      <w:pPr>
        <w:jc w:val="both"/>
      </w:pPr>
      <w:r w:rsidRPr="00BA5381">
        <w:rPr>
          <w:rFonts w:eastAsia="Times New Roman" w:cs="Calibri"/>
          <w:b/>
          <w:bCs/>
          <w:color w:val="FFFFFF" w:themeColor="background1"/>
        </w:rPr>
        <w:br/>
      </w:r>
      <w:r>
        <w:t xml:space="preserve">Oltre al declino della copertura data </w:t>
      </w:r>
      <w:r w:rsidRPr="003B2A24">
        <w:t xml:space="preserve">del </w:t>
      </w:r>
      <w:r w:rsidRPr="003B2A24">
        <w:rPr>
          <w:i/>
        </w:rPr>
        <w:t>booster</w:t>
      </w:r>
      <w:r>
        <w:t xml:space="preserve">, un’ulteriore determinante di </w:t>
      </w:r>
      <w:r w:rsidR="003033A7">
        <w:t>ospedalizzazioni</w:t>
      </w:r>
      <w:r>
        <w:t xml:space="preserve"> e decessi può essere identificata nel sottoutilizzo dei farmaci antivirali. Infatti, come riportato dal </w:t>
      </w:r>
      <w:hyperlink r:id="rId11" w:history="1">
        <w:r w:rsidRPr="00186E2D">
          <w:rPr>
            <w:rStyle w:val="Collegamentoipertestuale"/>
            <w:color w:val="000000" w:themeColor="text1"/>
          </w:rPr>
          <w:t>Report AIFA Monitoraggio Ant</w:t>
        </w:r>
        <w:bookmarkStart w:id="1" w:name="_GoBack"/>
        <w:bookmarkEnd w:id="1"/>
        <w:r w:rsidRPr="00186E2D">
          <w:rPr>
            <w:rStyle w:val="Collegamentoipertestuale"/>
            <w:color w:val="000000" w:themeColor="text1"/>
          </w:rPr>
          <w:t>ivirali per COVID-19</w:t>
        </w:r>
      </w:hyperlink>
      <w:r w:rsidRPr="0095100B">
        <w:t xml:space="preserve"> </w:t>
      </w:r>
      <w:r>
        <w:t>del 25 marzo 2022, dei t</w:t>
      </w:r>
      <w:r w:rsidRPr="0095100B">
        <w:t xml:space="preserve">rattamenti </w:t>
      </w:r>
      <w:r>
        <w:t xml:space="preserve">antivirali </w:t>
      </w:r>
      <w:r w:rsidRPr="001F53A2">
        <w:t>disponibili per pazienti non ospedalizzati sono st</w:t>
      </w:r>
      <w:r>
        <w:t xml:space="preserve">ate avviate </w:t>
      </w:r>
      <w:r w:rsidRPr="001F53A2">
        <w:t xml:space="preserve">4.052 </w:t>
      </w:r>
      <w:r>
        <w:t>terapie con Paxlovid (</w:t>
      </w:r>
      <w:r w:rsidRPr="001F53A2">
        <w:t>in 42 giorni</w:t>
      </w:r>
      <w:r>
        <w:t xml:space="preserve">), </w:t>
      </w:r>
      <w:r w:rsidRPr="001F53A2">
        <w:t xml:space="preserve">12.149 </w:t>
      </w:r>
      <w:r>
        <w:t xml:space="preserve">con </w:t>
      </w:r>
      <w:r w:rsidRPr="001F53A2">
        <w:t>Molnupiravir</w:t>
      </w:r>
      <w:r>
        <w:t xml:space="preserve"> (</w:t>
      </w:r>
      <w:r w:rsidRPr="001F53A2">
        <w:t xml:space="preserve">in </w:t>
      </w:r>
      <w:r w:rsidRPr="001F53A2">
        <w:lastRenderedPageBreak/>
        <w:t>83 giorni</w:t>
      </w:r>
      <w:r>
        <w:t xml:space="preserve">) e </w:t>
      </w:r>
      <w:r w:rsidRPr="001F53A2">
        <w:t xml:space="preserve">5.100 </w:t>
      </w:r>
      <w:r>
        <w:t xml:space="preserve">con </w:t>
      </w:r>
      <w:r w:rsidRPr="001F53A2">
        <w:t>Remdesivir</w:t>
      </w:r>
      <w:r>
        <w:t xml:space="preserve"> (</w:t>
      </w:r>
      <w:r w:rsidRPr="001F53A2">
        <w:t>in 83 giorni</w:t>
      </w:r>
      <w:r>
        <w:t xml:space="preserve">). Numeri troppo esigui, rispetto alle indicazioni di questi farmaci, raccomandati per tutti “gli adulti non ospedalizzati per COVID-19 e non in ossigeno-terapia per COVID-19 con insorgenza di sintomi da non oltre 7 giorni e in presenza di condizioni cliniche predisponenti che rappresentino dei fattori di rischio per lo sviluppo di COVID-19 grave”. </w:t>
      </w:r>
      <w:r w:rsidRPr="00743A5B">
        <w:t>«</w:t>
      </w:r>
      <w:r w:rsidR="009D4FEE">
        <w:t>Il sottoutilizzo di questi farmaci</w:t>
      </w:r>
      <w:r w:rsidR="003A149B">
        <w:t xml:space="preserve"> </w:t>
      </w:r>
      <w:r w:rsidRPr="00743A5B">
        <w:t>–</w:t>
      </w:r>
      <w:r>
        <w:t xml:space="preserve"> </w:t>
      </w:r>
      <w:r w:rsidR="009D4FEE">
        <w:t xml:space="preserve">sottolinea </w:t>
      </w:r>
      <w:r w:rsidRPr="00743A5B">
        <w:t>Cartabellotta –</w:t>
      </w:r>
      <w:r w:rsidR="009D4FEE">
        <w:t xml:space="preserve"> </w:t>
      </w:r>
      <w:r>
        <w:t>è da imputare alla mancata abilitazione dei medici di famiglia alla loro prescrizione, oltre che all’erogazione</w:t>
      </w:r>
      <w:r w:rsidR="00525431">
        <w:t xml:space="preserve"> esclusiva</w:t>
      </w:r>
      <w:r>
        <w:t xml:space="preserve"> </w:t>
      </w:r>
      <w:r w:rsidR="00525431">
        <w:t>nel</w:t>
      </w:r>
      <w:r>
        <w:t>le farmacie ospedaliere</w:t>
      </w:r>
      <w:r w:rsidR="00525431">
        <w:t xml:space="preserve"> e non in quelle territoriali</w:t>
      </w:r>
      <w:r>
        <w:t xml:space="preserve">. </w:t>
      </w:r>
      <w:r w:rsidR="009D4FEE">
        <w:t>Considerato che l’</w:t>
      </w:r>
      <w:r w:rsidR="009D4FEE" w:rsidRPr="006C5201">
        <w:t xml:space="preserve">accordo </w:t>
      </w:r>
      <w:r w:rsidR="009D4FEE">
        <w:t>2022</w:t>
      </w:r>
      <w:r w:rsidR="009D4FEE" w:rsidRPr="006C5201">
        <w:t xml:space="preserve"> per la fornitura</w:t>
      </w:r>
      <w:r w:rsidR="009D4FEE">
        <w:t xml:space="preserve"> di Paxlovid ammonta a </w:t>
      </w:r>
      <w:r w:rsidR="009D4FEE" w:rsidRPr="006C5201">
        <w:t xml:space="preserve">600 mila </w:t>
      </w:r>
      <w:r w:rsidR="00C31543">
        <w:t>trattamenti completi</w:t>
      </w:r>
      <w:r w:rsidR="009D4FEE" w:rsidRPr="006C5201">
        <w:t xml:space="preserve"> </w:t>
      </w:r>
      <w:r w:rsidR="000E0C48">
        <w:t>(</w:t>
      </w:r>
      <w:r w:rsidR="009D4FEE">
        <w:t>per un totale di 400 milioni di euro</w:t>
      </w:r>
      <w:r w:rsidR="000E0C48">
        <w:t>)</w:t>
      </w:r>
      <w:r w:rsidR="009D4FEE">
        <w:t xml:space="preserve">, in assenza di </w:t>
      </w:r>
      <w:r>
        <w:t xml:space="preserve">un adeguato modello organizzativo in grado di </w:t>
      </w:r>
      <w:r w:rsidR="005A3C0A">
        <w:t xml:space="preserve">garantire </w:t>
      </w:r>
      <w:r w:rsidR="00525431">
        <w:t xml:space="preserve">la necessaria tempestività della </w:t>
      </w:r>
      <w:r>
        <w:t xml:space="preserve">prescrizione, </w:t>
      </w:r>
      <w:r w:rsidR="009D4FEE">
        <w:t xml:space="preserve">si </w:t>
      </w:r>
      <w:r>
        <w:t>risch</w:t>
      </w:r>
      <w:r w:rsidR="009D4FEE">
        <w:t xml:space="preserve">ia concretamente </w:t>
      </w:r>
      <w:r>
        <w:t xml:space="preserve">che </w:t>
      </w:r>
      <w:r w:rsidR="005A3C0A">
        <w:t xml:space="preserve">le scorte </w:t>
      </w:r>
      <w:r>
        <w:t>rimanga</w:t>
      </w:r>
      <w:r w:rsidR="00525431">
        <w:t>no inutilizzat</w:t>
      </w:r>
      <w:r w:rsidR="005A3C0A">
        <w:t>e</w:t>
      </w:r>
      <w:r>
        <w:t xml:space="preserve"> come già accaduto per gli anticorpi monoclonali</w:t>
      </w:r>
      <w:r w:rsidRPr="00743A5B">
        <w:t>».</w:t>
      </w:r>
    </w:p>
    <w:p w:rsidR="00403BEB" w:rsidRPr="00403BEB" w:rsidRDefault="00403BEB" w:rsidP="001B0254">
      <w:pPr>
        <w:jc w:val="both"/>
        <w:rPr>
          <w:color w:val="auto"/>
        </w:rPr>
      </w:pPr>
      <w:r w:rsidRPr="00403BEB">
        <w:rPr>
          <w:b/>
          <w:color w:val="auto"/>
        </w:rPr>
        <w:t>Vaccini: somministrazioni.</w:t>
      </w:r>
      <w:r w:rsidRPr="00403BEB">
        <w:rPr>
          <w:color w:val="auto"/>
        </w:rPr>
        <w:t xml:space="preserve"> Al 6 aprile (aggiornamento ore 06.17) </w:t>
      </w:r>
      <w:r>
        <w:rPr>
          <w:color w:val="auto"/>
        </w:rPr>
        <w:t>l’</w:t>
      </w:r>
      <w:r w:rsidRPr="00403BEB">
        <w:rPr>
          <w:color w:val="auto"/>
        </w:rPr>
        <w:t xml:space="preserve">85,6% della popolazione (n. 50.734.581) ha ricevuto almeno una dose di vaccino (+11.173 rispetto alla settimana precedente) e </w:t>
      </w:r>
      <w:r>
        <w:rPr>
          <w:color w:val="auto"/>
        </w:rPr>
        <w:t>l’</w:t>
      </w:r>
      <w:r w:rsidRPr="00403BEB">
        <w:rPr>
          <w:color w:val="auto"/>
        </w:rPr>
        <w:t>84% (n. 49.778.737) ha completato il ciclo vaccinale (+33.970 rispetto alla settim</w:t>
      </w:r>
      <w:r>
        <w:rPr>
          <w:color w:val="auto"/>
        </w:rPr>
        <w:t>ana precedente) (</w:t>
      </w:r>
      <w:r w:rsidRPr="00403BEB">
        <w:rPr>
          <w:color w:val="auto"/>
          <w:highlight w:val="yellow"/>
        </w:rPr>
        <w:t>figura 9</w:t>
      </w:r>
      <w:r>
        <w:rPr>
          <w:color w:val="auto"/>
        </w:rPr>
        <w:t>).</w:t>
      </w:r>
    </w:p>
    <w:p w:rsidR="00403BEB" w:rsidRPr="00403BEB" w:rsidRDefault="00403BEB" w:rsidP="00124C08">
      <w:pPr>
        <w:spacing w:line="276" w:lineRule="auto"/>
        <w:jc w:val="both"/>
        <w:rPr>
          <w:rFonts w:cs="Calibri"/>
          <w:color w:val="auto"/>
        </w:rPr>
      </w:pPr>
      <w:r w:rsidRPr="00403BEB">
        <w:rPr>
          <w:rFonts w:cs="Calibri"/>
          <w:b/>
          <w:color w:val="auto"/>
        </w:rPr>
        <w:t>Vaccini: coperture.</w:t>
      </w:r>
      <w:r w:rsidRPr="00403BEB">
        <w:rPr>
          <w:rFonts w:cs="Calibri"/>
          <w:color w:val="auto"/>
        </w:rPr>
        <w:t xml:space="preserve"> Le coperture con almeno una dose di vaccino sono molto variabili nelle diverse fasce d’età (dal 99,4% </w:t>
      </w:r>
      <w:r w:rsidR="002B2CCB">
        <w:rPr>
          <w:rFonts w:cs="Calibri"/>
          <w:color w:val="auto"/>
        </w:rPr>
        <w:t>degli o</w:t>
      </w:r>
      <w:r w:rsidR="002B2CCB" w:rsidRPr="00403BEB">
        <w:rPr>
          <w:rFonts w:cs="Calibri"/>
          <w:color w:val="auto"/>
        </w:rPr>
        <w:t>ver</w:t>
      </w:r>
      <w:r w:rsidR="002B2CCB">
        <w:rPr>
          <w:rFonts w:cs="Calibri"/>
          <w:color w:val="auto"/>
        </w:rPr>
        <w:t xml:space="preserve"> </w:t>
      </w:r>
      <w:r w:rsidR="002B2CCB" w:rsidRPr="00403BEB">
        <w:rPr>
          <w:rFonts w:cs="Calibri"/>
          <w:color w:val="auto"/>
        </w:rPr>
        <w:t xml:space="preserve">80 </w:t>
      </w:r>
      <w:r w:rsidRPr="00403BEB">
        <w:rPr>
          <w:rFonts w:cs="Calibri"/>
          <w:color w:val="auto"/>
        </w:rPr>
        <w:t>al 37,5% della fascia 5-11), così come sul fronte dei richiami, che negli over 80 hanno raggiunto il 89%, nella fascia 70-79 il 87,9% e in quella 60-69 anni il 84,8% (</w:t>
      </w:r>
      <w:r w:rsidRPr="00403BEB">
        <w:rPr>
          <w:rFonts w:cs="Calibri"/>
          <w:color w:val="auto"/>
          <w:highlight w:val="yellow"/>
        </w:rPr>
        <w:t>figura 1</w:t>
      </w:r>
      <w:r w:rsidR="005A7316">
        <w:rPr>
          <w:rFonts w:cs="Calibri"/>
          <w:color w:val="auto"/>
          <w:highlight w:val="yellow"/>
        </w:rPr>
        <w:t>0</w:t>
      </w:r>
      <w:r w:rsidRPr="00403BEB">
        <w:rPr>
          <w:rFonts w:cs="Calibri"/>
          <w:color w:val="auto"/>
        </w:rPr>
        <w:t>).</w:t>
      </w:r>
    </w:p>
    <w:p w:rsidR="00574EAE" w:rsidRPr="00E630AC" w:rsidRDefault="00B672EA" w:rsidP="00124C08">
      <w:pPr>
        <w:spacing w:line="276" w:lineRule="auto"/>
        <w:jc w:val="both"/>
        <w:rPr>
          <w:rFonts w:cs="Calibri"/>
          <w:b/>
          <w:color w:val="auto"/>
        </w:rPr>
      </w:pPr>
      <w:r w:rsidRPr="00E630AC">
        <w:rPr>
          <w:b/>
          <w:color w:val="auto"/>
        </w:rPr>
        <w:t xml:space="preserve">Vaccini: </w:t>
      </w:r>
      <w:r w:rsidR="003E293F" w:rsidRPr="00E630AC">
        <w:rPr>
          <w:b/>
          <w:color w:val="auto"/>
        </w:rPr>
        <w:t>nuovi vaccinati</w:t>
      </w:r>
      <w:r w:rsidRPr="00E630AC">
        <w:rPr>
          <w:b/>
          <w:color w:val="auto"/>
        </w:rPr>
        <w:t>.</w:t>
      </w:r>
      <w:r w:rsidRPr="00E630AC">
        <w:rPr>
          <w:color w:val="auto"/>
        </w:rPr>
        <w:t xml:space="preserve"> </w:t>
      </w:r>
      <w:r w:rsidR="00554F5B" w:rsidRPr="00E630AC">
        <w:rPr>
          <w:color w:val="auto"/>
        </w:rPr>
        <w:t>N</w:t>
      </w:r>
      <w:r w:rsidR="00F75D8A" w:rsidRPr="00E630AC">
        <w:rPr>
          <w:color w:val="auto"/>
        </w:rPr>
        <w:t>el</w:t>
      </w:r>
      <w:r w:rsidR="00554F5B" w:rsidRPr="00E630AC">
        <w:rPr>
          <w:color w:val="auto"/>
        </w:rPr>
        <w:t>la</w:t>
      </w:r>
      <w:r w:rsidR="00F75D8A" w:rsidRPr="00E630AC">
        <w:rPr>
          <w:color w:val="auto"/>
        </w:rPr>
        <w:t xml:space="preserve"> </w:t>
      </w:r>
      <w:r w:rsidR="00554F5B" w:rsidRPr="00E630AC">
        <w:rPr>
          <w:color w:val="auto"/>
        </w:rPr>
        <w:t xml:space="preserve">settimana </w:t>
      </w:r>
      <w:r w:rsidR="00403BEB" w:rsidRPr="00E630AC">
        <w:rPr>
          <w:color w:val="auto"/>
        </w:rPr>
        <w:t>30</w:t>
      </w:r>
      <w:r w:rsidR="002A2549" w:rsidRPr="00E630AC">
        <w:rPr>
          <w:color w:val="auto"/>
        </w:rPr>
        <w:t xml:space="preserve"> marzo</w:t>
      </w:r>
      <w:r w:rsidR="00403BEB" w:rsidRPr="00E630AC">
        <w:rPr>
          <w:color w:val="auto"/>
        </w:rPr>
        <w:t>-5 aprile</w:t>
      </w:r>
      <w:r w:rsidR="00F75D8A" w:rsidRPr="00E630AC">
        <w:rPr>
          <w:color w:val="auto"/>
        </w:rPr>
        <w:t xml:space="preserve"> </w:t>
      </w:r>
      <w:r w:rsidR="00E3038F" w:rsidRPr="00E630AC">
        <w:rPr>
          <w:color w:val="auto"/>
        </w:rPr>
        <w:t xml:space="preserve">si </w:t>
      </w:r>
      <w:r w:rsidR="008927DE" w:rsidRPr="00E630AC">
        <w:rPr>
          <w:color w:val="auto"/>
        </w:rPr>
        <w:t xml:space="preserve">registra un </w:t>
      </w:r>
      <w:r w:rsidR="00A61C84" w:rsidRPr="00E630AC">
        <w:rPr>
          <w:color w:val="auto"/>
        </w:rPr>
        <w:t xml:space="preserve">ulteriore calo </w:t>
      </w:r>
      <w:r w:rsidR="000C22FE" w:rsidRPr="00E630AC">
        <w:rPr>
          <w:color w:val="auto"/>
        </w:rPr>
        <w:t xml:space="preserve">dei nuovi vaccinati: </w:t>
      </w:r>
      <w:r w:rsidR="00403BEB" w:rsidRPr="00E630AC">
        <w:rPr>
          <w:color w:val="auto"/>
        </w:rPr>
        <w:t>9.553</w:t>
      </w:r>
      <w:r w:rsidR="00BA1894" w:rsidRPr="00E630AC">
        <w:rPr>
          <w:color w:val="auto"/>
        </w:rPr>
        <w:t xml:space="preserve"> </w:t>
      </w:r>
      <w:r w:rsidR="008574A0" w:rsidRPr="00E630AC">
        <w:rPr>
          <w:color w:val="auto"/>
        </w:rPr>
        <w:t xml:space="preserve">rispetto ai </w:t>
      </w:r>
      <w:r w:rsidR="00403BEB" w:rsidRPr="00E630AC">
        <w:rPr>
          <w:color w:val="auto"/>
        </w:rPr>
        <w:t>14.7</w:t>
      </w:r>
      <w:r w:rsidR="00F420D4">
        <w:rPr>
          <w:color w:val="auto"/>
        </w:rPr>
        <w:t>8</w:t>
      </w:r>
      <w:r w:rsidR="00403BEB" w:rsidRPr="00E630AC">
        <w:rPr>
          <w:color w:val="auto"/>
        </w:rPr>
        <w:t>2</w:t>
      </w:r>
      <w:r w:rsidR="00BA1894" w:rsidRPr="00E630AC">
        <w:rPr>
          <w:color w:val="auto"/>
        </w:rPr>
        <w:t xml:space="preserve"> </w:t>
      </w:r>
      <w:r w:rsidR="00CB3BD4" w:rsidRPr="00E630AC">
        <w:rPr>
          <w:color w:val="auto"/>
        </w:rPr>
        <w:t>della settimana precedente</w:t>
      </w:r>
      <w:r w:rsidR="009D0C36" w:rsidRPr="00E630AC">
        <w:rPr>
          <w:color w:val="auto"/>
        </w:rPr>
        <w:t xml:space="preserve"> (-</w:t>
      </w:r>
      <w:r w:rsidR="00403BEB" w:rsidRPr="00E630AC">
        <w:rPr>
          <w:color w:val="auto"/>
        </w:rPr>
        <w:t>35,4</w:t>
      </w:r>
      <w:r w:rsidR="009D0C36" w:rsidRPr="00E630AC">
        <w:rPr>
          <w:color w:val="auto"/>
        </w:rPr>
        <w:t>%)</w:t>
      </w:r>
      <w:r w:rsidR="00470CE3" w:rsidRPr="00E630AC">
        <w:rPr>
          <w:color w:val="auto"/>
        </w:rPr>
        <w:t xml:space="preserve">. </w:t>
      </w:r>
      <w:r w:rsidR="008927DE" w:rsidRPr="00E630AC">
        <w:rPr>
          <w:color w:val="auto"/>
        </w:rPr>
        <w:t xml:space="preserve">Di questi </w:t>
      </w:r>
      <w:r w:rsidR="007C7E75" w:rsidRPr="00E630AC">
        <w:rPr>
          <w:color w:val="auto"/>
        </w:rPr>
        <w:t xml:space="preserve">il </w:t>
      </w:r>
      <w:r w:rsidR="00FF200B" w:rsidRPr="00E630AC">
        <w:rPr>
          <w:color w:val="auto"/>
        </w:rPr>
        <w:t>2</w:t>
      </w:r>
      <w:r w:rsidR="00403BEB" w:rsidRPr="00E630AC">
        <w:rPr>
          <w:color w:val="auto"/>
        </w:rPr>
        <w:t>5</w:t>
      </w:r>
      <w:r w:rsidR="00574EAE" w:rsidRPr="00E630AC">
        <w:rPr>
          <w:color w:val="auto"/>
        </w:rPr>
        <w:t>,</w:t>
      </w:r>
      <w:r w:rsidR="00403BEB" w:rsidRPr="00E630AC">
        <w:rPr>
          <w:color w:val="auto"/>
        </w:rPr>
        <w:t>9</w:t>
      </w:r>
      <w:r w:rsidR="007C7E75" w:rsidRPr="00E630AC">
        <w:rPr>
          <w:color w:val="auto"/>
        </w:rPr>
        <w:t>%</w:t>
      </w:r>
      <w:r w:rsidR="008927DE" w:rsidRPr="00E630AC">
        <w:rPr>
          <w:color w:val="auto"/>
        </w:rPr>
        <w:t xml:space="preserve"> è </w:t>
      </w:r>
      <w:r w:rsidR="00CD534A" w:rsidRPr="00E630AC">
        <w:rPr>
          <w:color w:val="auto"/>
        </w:rPr>
        <w:t xml:space="preserve">rappresentato </w:t>
      </w:r>
      <w:r w:rsidR="008927DE" w:rsidRPr="00E630AC">
        <w:rPr>
          <w:color w:val="auto"/>
        </w:rPr>
        <w:t xml:space="preserve">dalla </w:t>
      </w:r>
      <w:r w:rsidR="00E129D4" w:rsidRPr="00E630AC">
        <w:rPr>
          <w:color w:val="auto"/>
        </w:rPr>
        <w:t>fascia 5-11</w:t>
      </w:r>
      <w:r w:rsidR="0068557B" w:rsidRPr="00E630AC">
        <w:rPr>
          <w:color w:val="auto"/>
        </w:rPr>
        <w:t xml:space="preserve">: </w:t>
      </w:r>
      <w:r w:rsidR="00403BEB" w:rsidRPr="00E630AC">
        <w:rPr>
          <w:color w:val="auto"/>
        </w:rPr>
        <w:t>2.479</w:t>
      </w:r>
      <w:r w:rsidR="00AD46ED" w:rsidRPr="00E630AC">
        <w:rPr>
          <w:color w:val="auto"/>
        </w:rPr>
        <w:t xml:space="preserve">, </w:t>
      </w:r>
      <w:r w:rsidR="00FF200B" w:rsidRPr="00E630AC">
        <w:rPr>
          <w:color w:val="auto"/>
        </w:rPr>
        <w:t>con un calo del</w:t>
      </w:r>
      <w:r w:rsidR="00403BEB" w:rsidRPr="00E630AC">
        <w:rPr>
          <w:color w:val="auto"/>
        </w:rPr>
        <w:t xml:space="preserve"> 32,1</w:t>
      </w:r>
      <w:r w:rsidR="00FF200B" w:rsidRPr="00E630AC">
        <w:rPr>
          <w:color w:val="auto"/>
        </w:rPr>
        <w:t>%</w:t>
      </w:r>
      <w:r w:rsidR="007C7E75" w:rsidRPr="00E630AC">
        <w:rPr>
          <w:color w:val="auto"/>
        </w:rPr>
        <w:t xml:space="preserve"> rispetto alla settimana precedente</w:t>
      </w:r>
      <w:r w:rsidR="007F4EC6" w:rsidRPr="00E630AC">
        <w:rPr>
          <w:color w:val="auto"/>
        </w:rPr>
        <w:t>.</w:t>
      </w:r>
      <w:r w:rsidR="000C22FE" w:rsidRPr="00E630AC">
        <w:rPr>
          <w:color w:val="auto"/>
        </w:rPr>
        <w:t xml:space="preserve"> </w:t>
      </w:r>
      <w:r w:rsidR="00B243A0" w:rsidRPr="00E630AC">
        <w:rPr>
          <w:color w:val="auto"/>
        </w:rPr>
        <w:t>Scende ancora t</w:t>
      </w:r>
      <w:r w:rsidR="00880B59" w:rsidRPr="00E630AC">
        <w:rPr>
          <w:color w:val="auto"/>
        </w:rPr>
        <w:t xml:space="preserve">ra </w:t>
      </w:r>
      <w:r w:rsidR="00F3347A" w:rsidRPr="00E630AC">
        <w:rPr>
          <w:color w:val="auto"/>
        </w:rPr>
        <w:t>gli over 50</w:t>
      </w:r>
      <w:r w:rsidR="0002125E" w:rsidRPr="00E630AC">
        <w:rPr>
          <w:color w:val="auto"/>
        </w:rPr>
        <w:t>, più a rischio di malattia grave,</w:t>
      </w:r>
      <w:r w:rsidR="00F3347A" w:rsidRPr="00E630AC">
        <w:rPr>
          <w:color w:val="auto"/>
        </w:rPr>
        <w:t xml:space="preserve"> </w:t>
      </w:r>
      <w:r w:rsidR="00801454" w:rsidRPr="00E630AC">
        <w:rPr>
          <w:color w:val="auto"/>
        </w:rPr>
        <w:t>i</w:t>
      </w:r>
      <w:r w:rsidR="0084641B" w:rsidRPr="00E630AC">
        <w:rPr>
          <w:color w:val="auto"/>
        </w:rPr>
        <w:t>l numero di</w:t>
      </w:r>
      <w:r w:rsidR="00801454" w:rsidRPr="00E630AC">
        <w:rPr>
          <w:color w:val="auto"/>
        </w:rPr>
        <w:t xml:space="preserve"> nuovi vaccinati</w:t>
      </w:r>
      <w:r w:rsidR="005A7316">
        <w:rPr>
          <w:color w:val="auto"/>
        </w:rPr>
        <w:t xml:space="preserve"> che si attesta</w:t>
      </w:r>
      <w:r w:rsidR="00F3347A" w:rsidRPr="00E630AC">
        <w:rPr>
          <w:color w:val="auto"/>
        </w:rPr>
        <w:t xml:space="preserve"> a quota </w:t>
      </w:r>
      <w:r w:rsidR="00E630AC" w:rsidRPr="00E630AC">
        <w:rPr>
          <w:color w:val="auto"/>
        </w:rPr>
        <w:t>2.049</w:t>
      </w:r>
      <w:r w:rsidR="008F04B0" w:rsidRPr="00E630AC">
        <w:rPr>
          <w:color w:val="auto"/>
        </w:rPr>
        <w:t xml:space="preserve"> </w:t>
      </w:r>
      <w:r w:rsidR="00211923" w:rsidRPr="00E630AC">
        <w:rPr>
          <w:color w:val="auto"/>
        </w:rPr>
        <w:t>(-</w:t>
      </w:r>
      <w:r w:rsidR="00E630AC" w:rsidRPr="00E630AC">
        <w:rPr>
          <w:color w:val="auto"/>
        </w:rPr>
        <w:t>34</w:t>
      </w:r>
      <w:r w:rsidR="00BA1894" w:rsidRPr="00E630AC">
        <w:rPr>
          <w:color w:val="auto"/>
        </w:rPr>
        <w:t>,</w:t>
      </w:r>
      <w:r w:rsidR="00FF200B" w:rsidRPr="00E630AC">
        <w:rPr>
          <w:color w:val="auto"/>
        </w:rPr>
        <w:t>8</w:t>
      </w:r>
      <w:r w:rsidR="00431177" w:rsidRPr="00E630AC">
        <w:rPr>
          <w:color w:val="auto"/>
        </w:rPr>
        <w:t>% ris</w:t>
      </w:r>
      <w:r w:rsidR="007F4EC6" w:rsidRPr="00E630AC">
        <w:rPr>
          <w:color w:val="auto"/>
        </w:rPr>
        <w:t>petto alla settimana precedente</w:t>
      </w:r>
      <w:r w:rsidR="00F20059" w:rsidRPr="00E630AC">
        <w:rPr>
          <w:color w:val="auto"/>
        </w:rPr>
        <w:t>)</w:t>
      </w:r>
      <w:r w:rsidR="00431177" w:rsidRPr="00E630AC">
        <w:rPr>
          <w:color w:val="auto"/>
        </w:rPr>
        <w:t xml:space="preserve"> </w:t>
      </w:r>
      <w:r w:rsidR="008F04B0" w:rsidRPr="00E630AC">
        <w:rPr>
          <w:color w:val="auto"/>
        </w:rPr>
        <w:t>(</w:t>
      </w:r>
      <w:r w:rsidR="003D430C" w:rsidRPr="00E630AC">
        <w:rPr>
          <w:color w:val="auto"/>
          <w:highlight w:val="yellow"/>
        </w:rPr>
        <w:t>figure 1</w:t>
      </w:r>
      <w:r w:rsidR="001E3B61" w:rsidRPr="00E630AC">
        <w:rPr>
          <w:color w:val="auto"/>
          <w:highlight w:val="yellow"/>
        </w:rPr>
        <w:t>1</w:t>
      </w:r>
      <w:r w:rsidR="00D022C4" w:rsidRPr="00E630AC">
        <w:rPr>
          <w:color w:val="auto"/>
          <w:highlight w:val="yellow"/>
        </w:rPr>
        <w:t xml:space="preserve"> e </w:t>
      </w:r>
      <w:r w:rsidR="008F04B0" w:rsidRPr="00E630AC">
        <w:rPr>
          <w:color w:val="auto"/>
          <w:highlight w:val="yellow"/>
        </w:rPr>
        <w:t>1</w:t>
      </w:r>
      <w:r w:rsidR="001E3B61" w:rsidRPr="00E630AC">
        <w:rPr>
          <w:color w:val="auto"/>
          <w:highlight w:val="yellow"/>
        </w:rPr>
        <w:t>2</w:t>
      </w:r>
      <w:r w:rsidR="008F04B0" w:rsidRPr="00E630AC">
        <w:rPr>
          <w:color w:val="auto"/>
        </w:rPr>
        <w:t>)</w:t>
      </w:r>
      <w:r w:rsidR="001C167C" w:rsidRPr="00E630AC">
        <w:rPr>
          <w:color w:val="auto"/>
        </w:rPr>
        <w:t>.</w:t>
      </w:r>
      <w:r w:rsidR="00FA4320" w:rsidRPr="00E630AC" w:rsidDel="00FA4320">
        <w:rPr>
          <w:color w:val="auto"/>
        </w:rPr>
        <w:t xml:space="preserve"> </w:t>
      </w:r>
    </w:p>
    <w:p w:rsidR="00B667E8" w:rsidRPr="00403BEB" w:rsidRDefault="006C515D" w:rsidP="000C2BD2">
      <w:pPr>
        <w:jc w:val="both"/>
        <w:rPr>
          <w:rFonts w:eastAsia="Calibri" w:cs="Calibri"/>
          <w:iCs/>
          <w:noProof/>
          <w:color w:val="auto"/>
          <w:u w:color="0563C1"/>
        </w:rPr>
      </w:pPr>
      <w:r w:rsidRPr="00403BEB">
        <w:rPr>
          <w:b/>
          <w:color w:val="auto"/>
        </w:rPr>
        <w:t>Vaccini: persone non vaccinate</w:t>
      </w:r>
      <w:r w:rsidRPr="00403BEB">
        <w:rPr>
          <w:color w:val="auto"/>
        </w:rPr>
        <w:t xml:space="preserve">. Al </w:t>
      </w:r>
      <w:r w:rsidR="00403BEB" w:rsidRPr="00403BEB">
        <w:rPr>
          <w:color w:val="auto"/>
        </w:rPr>
        <w:t>6</w:t>
      </w:r>
      <w:r w:rsidRPr="00403BEB">
        <w:rPr>
          <w:color w:val="auto"/>
        </w:rPr>
        <w:t xml:space="preserve"> </w:t>
      </w:r>
      <w:r w:rsidR="005A7316">
        <w:rPr>
          <w:color w:val="auto"/>
        </w:rPr>
        <w:t>aprile</w:t>
      </w:r>
      <w:r w:rsidR="005A7316" w:rsidRPr="00403BEB">
        <w:rPr>
          <w:color w:val="auto"/>
        </w:rPr>
        <w:t xml:space="preserve"> </w:t>
      </w:r>
      <w:r w:rsidR="004254C7" w:rsidRPr="00403BEB">
        <w:rPr>
          <w:color w:val="auto"/>
        </w:rPr>
        <w:t xml:space="preserve">sono ancora </w:t>
      </w:r>
      <w:r w:rsidR="00E03BC7" w:rsidRPr="00403BEB">
        <w:rPr>
          <w:color w:val="auto"/>
        </w:rPr>
        <w:t>6,9</w:t>
      </w:r>
      <w:r w:rsidR="00403BEB" w:rsidRPr="00403BEB">
        <w:rPr>
          <w:color w:val="auto"/>
        </w:rPr>
        <w:t>3</w:t>
      </w:r>
      <w:r w:rsidRPr="00403BEB">
        <w:rPr>
          <w:color w:val="auto"/>
        </w:rPr>
        <w:t xml:space="preserve"> milioni</w:t>
      </w:r>
      <w:r w:rsidR="00C23202" w:rsidRPr="00403BEB">
        <w:rPr>
          <w:color w:val="auto"/>
        </w:rPr>
        <w:t xml:space="preserve"> </w:t>
      </w:r>
      <w:r w:rsidR="00242F2C" w:rsidRPr="00403BEB">
        <w:rPr>
          <w:color w:val="auto"/>
        </w:rPr>
        <w:t xml:space="preserve">le </w:t>
      </w:r>
      <w:r w:rsidRPr="00403BEB">
        <w:rPr>
          <w:color w:val="auto"/>
        </w:rPr>
        <w:t xml:space="preserve">persone </w:t>
      </w:r>
      <w:r w:rsidR="00242F2C" w:rsidRPr="00403BEB">
        <w:rPr>
          <w:color w:val="auto"/>
        </w:rPr>
        <w:t xml:space="preserve">che </w:t>
      </w:r>
      <w:r w:rsidRPr="00403BEB">
        <w:rPr>
          <w:color w:val="auto"/>
        </w:rPr>
        <w:t>non hanno ricevuto nemmeno una dose di vaccino, di cui 2,</w:t>
      </w:r>
      <w:r w:rsidR="00FF200B" w:rsidRPr="00403BEB">
        <w:rPr>
          <w:color w:val="auto"/>
        </w:rPr>
        <w:t>5</w:t>
      </w:r>
      <w:r w:rsidR="00403BEB" w:rsidRPr="00403BEB">
        <w:rPr>
          <w:color w:val="auto"/>
        </w:rPr>
        <w:t>8</w:t>
      </w:r>
      <w:r w:rsidR="00FF200B" w:rsidRPr="00403BEB">
        <w:rPr>
          <w:color w:val="auto"/>
        </w:rPr>
        <w:t xml:space="preserve"> </w:t>
      </w:r>
      <w:r w:rsidRPr="00403BEB">
        <w:rPr>
          <w:color w:val="auto"/>
        </w:rPr>
        <w:t xml:space="preserve">milioni </w:t>
      </w:r>
      <w:r w:rsidR="0002125E" w:rsidRPr="00403BEB">
        <w:rPr>
          <w:color w:val="auto"/>
        </w:rPr>
        <w:t xml:space="preserve">protette solo </w:t>
      </w:r>
      <w:r w:rsidR="004254C7" w:rsidRPr="00403BEB">
        <w:rPr>
          <w:color w:val="auto"/>
        </w:rPr>
        <w:t xml:space="preserve">temporaneamente in quanto </w:t>
      </w:r>
      <w:r w:rsidRPr="00403BEB">
        <w:rPr>
          <w:color w:val="auto"/>
        </w:rPr>
        <w:t>guarite da COVID-19 da meno di 180 giorni</w:t>
      </w:r>
      <w:r w:rsidR="00EF2175" w:rsidRPr="00403BEB">
        <w:rPr>
          <w:color w:val="auto"/>
        </w:rPr>
        <w:t xml:space="preserve"> </w:t>
      </w:r>
      <w:r w:rsidRPr="00403BEB">
        <w:rPr>
          <w:color w:val="auto"/>
        </w:rPr>
        <w:t>(</w:t>
      </w:r>
      <w:r w:rsidRPr="00403BEB">
        <w:rPr>
          <w:color w:val="auto"/>
          <w:highlight w:val="yellow"/>
        </w:rPr>
        <w:t xml:space="preserve">figura </w:t>
      </w:r>
      <w:r w:rsidR="00D022C4" w:rsidRPr="00403BEB">
        <w:rPr>
          <w:color w:val="auto"/>
          <w:highlight w:val="yellow"/>
        </w:rPr>
        <w:t>1</w:t>
      </w:r>
      <w:r w:rsidR="001E3B61" w:rsidRPr="00403BEB">
        <w:rPr>
          <w:color w:val="auto"/>
          <w:highlight w:val="yellow"/>
        </w:rPr>
        <w:t>3</w:t>
      </w:r>
      <w:r w:rsidR="00C23202" w:rsidRPr="00403BEB">
        <w:rPr>
          <w:color w:val="auto"/>
        </w:rPr>
        <w:t>). Di conseguenza,</w:t>
      </w:r>
      <w:r w:rsidR="006B7129" w:rsidRPr="00403BEB">
        <w:rPr>
          <w:color w:val="auto"/>
        </w:rPr>
        <w:t xml:space="preserve"> l</w:t>
      </w:r>
      <w:r w:rsidRPr="00403BEB">
        <w:rPr>
          <w:color w:val="auto"/>
        </w:rPr>
        <w:t>e persone attualmente vaccinabili sono circa 4,</w:t>
      </w:r>
      <w:r w:rsidR="00403BEB" w:rsidRPr="00403BEB">
        <w:rPr>
          <w:color w:val="auto"/>
        </w:rPr>
        <w:t>35</w:t>
      </w:r>
      <w:r w:rsidR="00FF200B" w:rsidRPr="00403BEB">
        <w:rPr>
          <w:color w:val="auto"/>
        </w:rPr>
        <w:t xml:space="preserve"> </w:t>
      </w:r>
      <w:r w:rsidRPr="00403BEB">
        <w:rPr>
          <w:color w:val="auto"/>
        </w:rPr>
        <w:t xml:space="preserve">milioni, un dato che </w:t>
      </w:r>
      <w:r w:rsidR="00A16713" w:rsidRPr="00403BEB">
        <w:rPr>
          <w:color w:val="auto"/>
        </w:rPr>
        <w:t xml:space="preserve">continua a non tener </w:t>
      </w:r>
      <w:r w:rsidRPr="00403BEB">
        <w:rPr>
          <w:color w:val="auto"/>
        </w:rPr>
        <w:t>conto delle esenzioni di cui non si conosce il numero esatto.</w:t>
      </w:r>
    </w:p>
    <w:p w:rsidR="00E630AC" w:rsidRPr="00E630AC" w:rsidRDefault="00E630AC" w:rsidP="00D304E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E630AC">
        <w:rPr>
          <w:b/>
          <w:color w:val="auto"/>
        </w:rPr>
        <w:t xml:space="preserve">Vaccini: fascia 5-11 anni. </w:t>
      </w:r>
      <w:r w:rsidRPr="00E630AC">
        <w:rPr>
          <w:color w:val="auto"/>
        </w:rPr>
        <w:t>Al 6 aprile (aggiornamento ore 06.17) nella fascia 5-11 anni sono state somministrate 2.434.653 dosi: 1.377.309 hanno ricevuto almeno 1 dose di vaccino (di cui 1.240.338 hanno completato il ciclo vaccinale), con un tasso di copertura nazionale che si attesta al 37,5% con nette differenze regionali (dal 20,3% della Provincia Autonoma di Bolzano al 53,8% della Puglia) (</w:t>
      </w:r>
      <w:r w:rsidRPr="00E630AC">
        <w:rPr>
          <w:color w:val="auto"/>
          <w:highlight w:val="yellow"/>
        </w:rPr>
        <w:t>figura 14</w:t>
      </w:r>
      <w:r w:rsidRPr="00E630AC">
        <w:rPr>
          <w:color w:val="auto"/>
        </w:rPr>
        <w:t>).</w:t>
      </w:r>
    </w:p>
    <w:p w:rsidR="00FF200B" w:rsidRPr="005A434C" w:rsidRDefault="005A434C" w:rsidP="00617AD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5A434C">
        <w:rPr>
          <w:b/>
          <w:color w:val="auto"/>
        </w:rPr>
        <w:t>Vaccini: terza dose.</w:t>
      </w:r>
      <w:r w:rsidRPr="005A434C">
        <w:rPr>
          <w:color w:val="auto"/>
        </w:rPr>
        <w:t xml:space="preserve"> Al 6 aprile (aggiornamento ore 06.17) sono state somministrate 38.938.828 terze dosi con una media mobile a 7 giorni di 22.484 somministrazioni al giorno. In base alla </w:t>
      </w:r>
      <w:hyperlink r:id="rId12" w:history="1">
        <w:r w:rsidRPr="005A434C">
          <w:rPr>
            <w:rStyle w:val="Collegamentoipertestuale"/>
            <w:color w:val="auto"/>
          </w:rPr>
          <w:t>platea ufficiale</w:t>
        </w:r>
      </w:hyperlink>
      <w:r w:rsidRPr="005A434C">
        <w:rPr>
          <w:color w:val="auto"/>
        </w:rPr>
        <w:t xml:space="preserve"> (n. 46.653.548), aggiornata al 1° aprile, il tasso di copertura nazionale per le terze dosi è del</w:t>
      </w:r>
      <w:r w:rsidR="005A7316">
        <w:rPr>
          <w:color w:val="auto"/>
        </w:rPr>
        <w:t>l’</w:t>
      </w:r>
      <w:r w:rsidRPr="005A434C">
        <w:rPr>
          <w:color w:val="auto"/>
        </w:rPr>
        <w:t>83,5% con nette differenze regionali: dal 78,2% della Sicilia al</w:t>
      </w:r>
      <w:r w:rsidR="005A7316">
        <w:rPr>
          <w:color w:val="auto"/>
        </w:rPr>
        <w:t>l’</w:t>
      </w:r>
      <w:r w:rsidRPr="005A434C">
        <w:rPr>
          <w:color w:val="auto"/>
        </w:rPr>
        <w:t>87,3% della Valle D'Aosta (</w:t>
      </w:r>
      <w:r w:rsidRPr="005A434C">
        <w:rPr>
          <w:color w:val="auto"/>
          <w:highlight w:val="yellow"/>
        </w:rPr>
        <w:t>figura 15</w:t>
      </w:r>
      <w:r w:rsidRPr="005A434C">
        <w:rPr>
          <w:color w:val="auto"/>
        </w:rPr>
        <w:t xml:space="preserve">). </w:t>
      </w:r>
      <w:r w:rsidR="00FF200B" w:rsidRPr="005A434C">
        <w:rPr>
          <w:color w:val="auto"/>
        </w:rPr>
        <w:t>De</w:t>
      </w:r>
      <w:r w:rsidR="00403BEB" w:rsidRPr="005A434C">
        <w:rPr>
          <w:color w:val="auto"/>
        </w:rPr>
        <w:t>i</w:t>
      </w:r>
      <w:r w:rsidR="00FF200B" w:rsidRPr="005A434C">
        <w:rPr>
          <w:color w:val="auto"/>
        </w:rPr>
        <w:t xml:space="preserve"> </w:t>
      </w:r>
      <w:r w:rsidR="00403BEB" w:rsidRPr="005A434C">
        <w:rPr>
          <w:color w:val="auto"/>
        </w:rPr>
        <w:t xml:space="preserve">7,71 milioni di </w:t>
      </w:r>
      <w:r w:rsidR="00FF200B" w:rsidRPr="005A434C">
        <w:rPr>
          <w:color w:val="auto"/>
        </w:rPr>
        <w:t xml:space="preserve">persone che non hanno ancora ricevuto la dose </w:t>
      </w:r>
      <w:r w:rsidR="00FF200B" w:rsidRPr="005A434C">
        <w:rPr>
          <w:i/>
          <w:color w:val="auto"/>
        </w:rPr>
        <w:t>booster</w:t>
      </w:r>
      <w:r w:rsidR="00403BEB" w:rsidRPr="005A434C">
        <w:rPr>
          <w:color w:val="auto"/>
        </w:rPr>
        <w:t>, 2,55</w:t>
      </w:r>
      <w:r w:rsidR="00FF200B" w:rsidRPr="005A434C">
        <w:rPr>
          <w:color w:val="auto"/>
        </w:rPr>
        <w:t xml:space="preserve"> milioni potrebbero riceverla subito, mentre</w:t>
      </w:r>
      <w:r w:rsidR="00FF200B" w:rsidRPr="005A434C" w:rsidDel="00B24DAE">
        <w:rPr>
          <w:color w:val="auto"/>
        </w:rPr>
        <w:t xml:space="preserve"> </w:t>
      </w:r>
      <w:r w:rsidR="00403BEB" w:rsidRPr="005A434C">
        <w:rPr>
          <w:color w:val="auto"/>
        </w:rPr>
        <w:t>5,16</w:t>
      </w:r>
      <w:r w:rsidR="00FF200B" w:rsidRPr="005A434C">
        <w:rPr>
          <w:color w:val="auto"/>
        </w:rPr>
        <w:t xml:space="preserve"> milioni di guariti da meno di 120 giorni non sono candidati a riceverla nell’immediato (</w:t>
      </w:r>
      <w:r w:rsidR="00FF200B" w:rsidRPr="005A434C">
        <w:rPr>
          <w:color w:val="auto"/>
          <w:highlight w:val="yellow"/>
        </w:rPr>
        <w:t xml:space="preserve">figura </w:t>
      </w:r>
      <w:r w:rsidR="001E3B61" w:rsidRPr="005A434C">
        <w:rPr>
          <w:color w:val="auto"/>
          <w:highlight w:val="yellow"/>
        </w:rPr>
        <w:t>16</w:t>
      </w:r>
      <w:r w:rsidR="00FF200B" w:rsidRPr="005A434C">
        <w:rPr>
          <w:color w:val="auto"/>
        </w:rPr>
        <w:t>).</w:t>
      </w:r>
    </w:p>
    <w:p w:rsidR="0039345B" w:rsidRPr="005A434C" w:rsidRDefault="005A434C" w:rsidP="0039345B">
      <w:pPr>
        <w:spacing w:line="276" w:lineRule="auto"/>
        <w:jc w:val="both"/>
        <w:rPr>
          <w:color w:val="FF0000"/>
        </w:rPr>
      </w:pPr>
      <w:r w:rsidRPr="005A434C">
        <w:rPr>
          <w:rFonts w:eastAsia="Times New Roman" w:cstheme="minorHAnsi"/>
          <w:b/>
          <w:color w:val="auto"/>
        </w:rPr>
        <w:t>Vaccini: quarta dose.</w:t>
      </w:r>
      <w:r w:rsidRPr="005A434C">
        <w:rPr>
          <w:rFonts w:eastAsia="Times New Roman" w:cstheme="minorHAnsi"/>
          <w:color w:val="auto"/>
        </w:rPr>
        <w:t xml:space="preserve"> Al 6 aprile (aggiornamento ore 06.17) sono state somministrate 64.792 quarte dosi. In base alla </w:t>
      </w:r>
      <w:hyperlink r:id="rId13" w:history="1">
        <w:r w:rsidRPr="005A434C">
          <w:rPr>
            <w:rStyle w:val="Collegamentoipertestuale"/>
            <w:color w:val="auto"/>
          </w:rPr>
          <w:t>platea ufficiale</w:t>
        </w:r>
      </w:hyperlink>
      <w:r w:rsidRPr="005A434C">
        <w:rPr>
          <w:rFonts w:eastAsia="Times New Roman" w:cstheme="minorHAnsi"/>
          <w:color w:val="auto"/>
        </w:rPr>
        <w:t xml:space="preserve"> (n. 791.376), aggiornata al 9 marzo, il tasso di copertura nazionale per le </w:t>
      </w:r>
      <w:r w:rsidR="00B17958">
        <w:rPr>
          <w:rFonts w:eastAsia="Times New Roman" w:cstheme="minorHAnsi"/>
          <w:color w:val="auto"/>
        </w:rPr>
        <w:t>quarte</w:t>
      </w:r>
      <w:r w:rsidR="00B17958" w:rsidRPr="005A434C">
        <w:rPr>
          <w:rFonts w:eastAsia="Times New Roman" w:cstheme="minorHAnsi"/>
          <w:color w:val="auto"/>
        </w:rPr>
        <w:t xml:space="preserve"> </w:t>
      </w:r>
      <w:r w:rsidRPr="005A434C">
        <w:rPr>
          <w:rFonts w:eastAsia="Times New Roman" w:cstheme="minorHAnsi"/>
          <w:color w:val="auto"/>
        </w:rPr>
        <w:t xml:space="preserve">dosi è </w:t>
      </w:r>
      <w:r w:rsidR="00B17958" w:rsidRPr="005A434C">
        <w:rPr>
          <w:rFonts w:eastAsia="Times New Roman" w:cstheme="minorHAnsi"/>
          <w:color w:val="auto"/>
        </w:rPr>
        <w:t>del</w:t>
      </w:r>
      <w:r w:rsidR="00B17958">
        <w:rPr>
          <w:rFonts w:eastAsia="Times New Roman" w:cstheme="minorHAnsi"/>
          <w:color w:val="auto"/>
        </w:rPr>
        <w:t>l’</w:t>
      </w:r>
      <w:r w:rsidRPr="005A434C">
        <w:rPr>
          <w:rFonts w:eastAsia="Times New Roman" w:cstheme="minorHAnsi"/>
          <w:color w:val="auto"/>
        </w:rPr>
        <w:t xml:space="preserve">8,2% con nette differenze regionali: dallo 0,8% del Molise al 36,7% del Piemonte </w:t>
      </w:r>
      <w:r w:rsidRPr="005A434C">
        <w:rPr>
          <w:color w:val="auto"/>
        </w:rPr>
        <w:t>(</w:t>
      </w:r>
      <w:r w:rsidRPr="005A434C">
        <w:rPr>
          <w:color w:val="auto"/>
          <w:highlight w:val="yellow"/>
        </w:rPr>
        <w:t>figura 17</w:t>
      </w:r>
      <w:r w:rsidRPr="005A434C">
        <w:rPr>
          <w:color w:val="auto"/>
        </w:rPr>
        <w:t>)</w:t>
      </w:r>
      <w:r w:rsidRPr="005A434C">
        <w:rPr>
          <w:rFonts w:eastAsia="Times New Roman" w:cstheme="minorHAnsi"/>
          <w:color w:val="auto"/>
        </w:rPr>
        <w:t xml:space="preserve">. </w:t>
      </w:r>
      <w:r w:rsidR="0039345B" w:rsidRPr="0045421C">
        <w:rPr>
          <w:rFonts w:eastAsia="Times New Roman" w:cstheme="minorHAnsi"/>
          <w:color w:val="auto"/>
        </w:rPr>
        <w:t>«</w:t>
      </w:r>
      <w:r w:rsidR="00AC2A01" w:rsidRPr="0045421C">
        <w:rPr>
          <w:rFonts w:eastAsia="Times New Roman" w:cstheme="minorHAnsi"/>
          <w:color w:val="auto"/>
        </w:rPr>
        <w:t xml:space="preserve">Restano del tutto ingiustificate </w:t>
      </w:r>
      <w:r w:rsidR="00B90BF4" w:rsidRPr="0045421C">
        <w:rPr>
          <w:rFonts w:eastAsia="Times New Roman" w:cstheme="minorHAnsi"/>
          <w:color w:val="auto"/>
        </w:rPr>
        <w:t>–</w:t>
      </w:r>
      <w:r w:rsidR="00DB2DC0" w:rsidRPr="0045421C">
        <w:rPr>
          <w:rFonts w:eastAsia="Times New Roman" w:cstheme="minorHAnsi"/>
          <w:color w:val="auto"/>
        </w:rPr>
        <w:t xml:space="preserve"> chiosa </w:t>
      </w:r>
      <w:r w:rsidR="00B90BF4" w:rsidRPr="0045421C">
        <w:rPr>
          <w:rFonts w:eastAsia="Times New Roman" w:cstheme="minorHAnsi"/>
          <w:color w:val="auto"/>
        </w:rPr>
        <w:t>Cartabellotta –</w:t>
      </w:r>
      <w:r w:rsidR="0039345B" w:rsidRPr="0045421C">
        <w:rPr>
          <w:rFonts w:eastAsia="Times New Roman" w:cstheme="minorHAnsi"/>
          <w:color w:val="auto"/>
        </w:rPr>
        <w:t xml:space="preserve"> </w:t>
      </w:r>
      <w:r w:rsidR="00AC2A01" w:rsidRPr="0045421C">
        <w:rPr>
          <w:rFonts w:eastAsia="Times New Roman" w:cstheme="minorHAnsi"/>
          <w:color w:val="auto"/>
        </w:rPr>
        <w:t xml:space="preserve">le esigue coperture </w:t>
      </w:r>
      <w:r w:rsidR="0039345B" w:rsidRPr="0045421C">
        <w:rPr>
          <w:rFonts w:eastAsia="Times New Roman" w:cstheme="minorHAnsi"/>
          <w:color w:val="auto"/>
        </w:rPr>
        <w:t xml:space="preserve">e le </w:t>
      </w:r>
      <w:r w:rsidR="00AC2A01" w:rsidRPr="0045421C">
        <w:rPr>
          <w:rFonts w:eastAsia="Times New Roman" w:cstheme="minorHAnsi"/>
          <w:color w:val="auto"/>
        </w:rPr>
        <w:t>eterogene</w:t>
      </w:r>
      <w:r w:rsidR="0045421C">
        <w:rPr>
          <w:rFonts w:eastAsia="Times New Roman" w:cstheme="minorHAnsi"/>
          <w:color w:val="auto"/>
        </w:rPr>
        <w:t>i</w:t>
      </w:r>
      <w:r w:rsidR="00AC2A01" w:rsidRPr="0045421C">
        <w:rPr>
          <w:rFonts w:eastAsia="Times New Roman" w:cstheme="minorHAnsi"/>
          <w:color w:val="auto"/>
        </w:rPr>
        <w:t xml:space="preserve">tà </w:t>
      </w:r>
      <w:r w:rsidR="0039345B" w:rsidRPr="0045421C">
        <w:rPr>
          <w:rFonts w:eastAsia="Times New Roman" w:cstheme="minorHAnsi"/>
          <w:color w:val="auto"/>
        </w:rPr>
        <w:t xml:space="preserve">regionali, tenendo conto che </w:t>
      </w:r>
      <w:r w:rsidR="00B17958">
        <w:rPr>
          <w:rFonts w:eastAsia="Times New Roman" w:cstheme="minorHAnsi"/>
          <w:color w:val="auto"/>
        </w:rPr>
        <w:t>i</w:t>
      </w:r>
      <w:r w:rsidR="00AC2A01" w:rsidRPr="0045421C">
        <w:rPr>
          <w:rFonts w:eastAsia="Times New Roman" w:cstheme="minorHAnsi"/>
          <w:color w:val="auto"/>
        </w:rPr>
        <w:t xml:space="preserve"> pazienti immunodepressi che necessitano della quarta dose a completamento del ciclo </w:t>
      </w:r>
      <w:r w:rsidR="00B17958">
        <w:rPr>
          <w:rFonts w:eastAsia="Times New Roman" w:cstheme="minorHAnsi"/>
          <w:color w:val="auto"/>
        </w:rPr>
        <w:t>sono noti</w:t>
      </w:r>
      <w:r w:rsidR="00B90BF4" w:rsidRPr="0045421C">
        <w:rPr>
          <w:rFonts w:eastAsia="Times New Roman" w:cstheme="minorHAnsi"/>
          <w:color w:val="auto"/>
        </w:rPr>
        <w:t xml:space="preserve"> </w:t>
      </w:r>
      <w:r w:rsidR="0039345B" w:rsidRPr="0045421C">
        <w:rPr>
          <w:rFonts w:eastAsia="Times New Roman" w:cstheme="minorHAnsi"/>
          <w:color w:val="auto"/>
        </w:rPr>
        <w:t>alle ASL e raggiungibili tramite chiamata attiva».</w:t>
      </w:r>
    </w:p>
    <w:p w:rsidR="004E61A3" w:rsidRPr="00E66A25" w:rsidRDefault="00DA5AD4" w:rsidP="006203EA">
      <w:pPr>
        <w:jc w:val="both"/>
        <w:rPr>
          <w:b/>
          <w:color w:val="00457D"/>
          <w:sz w:val="18"/>
        </w:rPr>
      </w:pPr>
      <w:r w:rsidRPr="005A434C">
        <w:rPr>
          <w:color w:val="000000" w:themeColor="text1"/>
        </w:rPr>
        <w:t>«</w:t>
      </w:r>
      <w:r w:rsidR="00DD62D9" w:rsidRPr="005A434C">
        <w:rPr>
          <w:color w:val="000000" w:themeColor="text1"/>
        </w:rPr>
        <w:t xml:space="preserve">Tutti </w:t>
      </w:r>
      <w:r w:rsidR="0039345B" w:rsidRPr="005A434C">
        <w:rPr>
          <w:color w:val="000000" w:themeColor="text1"/>
        </w:rPr>
        <w:t xml:space="preserve">i dati confermano </w:t>
      </w:r>
      <w:r w:rsidR="00DD62D9" w:rsidRPr="005A434C">
        <w:rPr>
          <w:color w:val="000000" w:themeColor="text1"/>
        </w:rPr>
        <w:t xml:space="preserve">che la </w:t>
      </w:r>
      <w:r w:rsidR="0039345B" w:rsidRPr="005A434C">
        <w:rPr>
          <w:color w:val="000000" w:themeColor="text1"/>
        </w:rPr>
        <w:t xml:space="preserve">campagna vaccinale </w:t>
      </w:r>
      <w:r w:rsidR="00DA7CCE">
        <w:rPr>
          <w:color w:val="000000" w:themeColor="text1"/>
        </w:rPr>
        <w:t xml:space="preserve">si è ormai fermata </w:t>
      </w:r>
      <w:r w:rsidR="00B91A74" w:rsidRPr="005A434C">
        <w:rPr>
          <w:color w:val="000000" w:themeColor="text1"/>
        </w:rPr>
        <w:t xml:space="preserve">– sottolinea </w:t>
      </w:r>
      <w:r w:rsidR="000E0C48">
        <w:rPr>
          <w:color w:val="000000" w:themeColor="text1"/>
        </w:rPr>
        <w:t>il Presidente</w:t>
      </w:r>
      <w:r w:rsidR="000E0C48" w:rsidRPr="005A434C">
        <w:rPr>
          <w:color w:val="000000" w:themeColor="text1"/>
        </w:rPr>
        <w:t xml:space="preserve"> </w:t>
      </w:r>
      <w:r w:rsidR="00B91A74" w:rsidRPr="005A434C">
        <w:rPr>
          <w:color w:val="000000" w:themeColor="text1"/>
        </w:rPr>
        <w:t xml:space="preserve">– </w:t>
      </w:r>
      <w:r w:rsidRPr="005A434C">
        <w:rPr>
          <w:color w:val="000000" w:themeColor="text1"/>
        </w:rPr>
        <w:t>nonostante 4,</w:t>
      </w:r>
      <w:r w:rsidR="005A434C">
        <w:rPr>
          <w:color w:val="000000" w:themeColor="text1"/>
        </w:rPr>
        <w:t>3</w:t>
      </w:r>
      <w:r w:rsidR="00FB26BC">
        <w:rPr>
          <w:color w:val="000000" w:themeColor="text1"/>
        </w:rPr>
        <w:t>5</w:t>
      </w:r>
      <w:r w:rsidRPr="005A434C">
        <w:rPr>
          <w:color w:val="000000" w:themeColor="text1"/>
        </w:rPr>
        <w:t xml:space="preserve"> milioni di persone</w:t>
      </w:r>
      <w:r w:rsidR="00DE4D9C" w:rsidRPr="005A434C">
        <w:rPr>
          <w:color w:val="000000" w:themeColor="text1"/>
        </w:rPr>
        <w:t xml:space="preserve"> </w:t>
      </w:r>
      <w:r w:rsidRPr="005A434C">
        <w:rPr>
          <w:color w:val="000000" w:themeColor="text1"/>
        </w:rPr>
        <w:t>vaccinabili con prima dose e 2,</w:t>
      </w:r>
      <w:r w:rsidR="005A434C">
        <w:rPr>
          <w:color w:val="000000" w:themeColor="text1"/>
        </w:rPr>
        <w:t>5</w:t>
      </w:r>
      <w:r w:rsidR="00FB26BC">
        <w:rPr>
          <w:color w:val="000000" w:themeColor="text1"/>
        </w:rPr>
        <w:t>5</w:t>
      </w:r>
      <w:r w:rsidR="005A434C">
        <w:rPr>
          <w:color w:val="000000" w:themeColor="text1"/>
        </w:rPr>
        <w:t xml:space="preserve"> </w:t>
      </w:r>
      <w:r w:rsidR="00085AF6" w:rsidRPr="005A434C">
        <w:rPr>
          <w:color w:val="000000" w:themeColor="text1"/>
        </w:rPr>
        <w:t>milioni</w:t>
      </w:r>
      <w:r w:rsidRPr="005A434C">
        <w:rPr>
          <w:color w:val="000000" w:themeColor="text1"/>
        </w:rPr>
        <w:t xml:space="preserve"> con </w:t>
      </w:r>
      <w:r w:rsidR="00DE4D9C" w:rsidRPr="005A434C">
        <w:rPr>
          <w:color w:val="000000" w:themeColor="text1"/>
        </w:rPr>
        <w:t xml:space="preserve">dose </w:t>
      </w:r>
      <w:r w:rsidRPr="005A434C">
        <w:rPr>
          <w:i/>
          <w:color w:val="000000" w:themeColor="text1"/>
        </w:rPr>
        <w:t>booster</w:t>
      </w:r>
      <w:r w:rsidRPr="005A434C">
        <w:rPr>
          <w:color w:val="000000" w:themeColor="text1"/>
        </w:rPr>
        <w:t>.</w:t>
      </w:r>
      <w:r w:rsidR="00DE4D9C" w:rsidRPr="005A434C">
        <w:rPr>
          <w:color w:val="000000" w:themeColor="text1"/>
        </w:rPr>
        <w:t xml:space="preserve"> I tassi di copertura </w:t>
      </w:r>
      <w:r w:rsidR="00DD62D9" w:rsidRPr="005A434C">
        <w:rPr>
          <w:color w:val="000000" w:themeColor="text1"/>
        </w:rPr>
        <w:t>vaccinale</w:t>
      </w:r>
      <w:r w:rsidR="00DE4D9C" w:rsidRPr="005A434C">
        <w:rPr>
          <w:color w:val="000000" w:themeColor="text1"/>
        </w:rPr>
        <w:t xml:space="preserve">, infatti, </w:t>
      </w:r>
      <w:r w:rsidR="00795D4B" w:rsidRPr="005A434C">
        <w:rPr>
          <w:color w:val="000000" w:themeColor="text1"/>
        </w:rPr>
        <w:t xml:space="preserve">nell’ultimo mese </w:t>
      </w:r>
      <w:r w:rsidR="00DE4D9C" w:rsidRPr="005A434C">
        <w:rPr>
          <w:color w:val="000000" w:themeColor="text1"/>
        </w:rPr>
        <w:t>hanno registrato incrementi</w:t>
      </w:r>
      <w:r w:rsidR="00054D1D" w:rsidRPr="005A434C">
        <w:rPr>
          <w:color w:val="000000" w:themeColor="text1"/>
        </w:rPr>
        <w:t xml:space="preserve"> </w:t>
      </w:r>
      <w:r w:rsidR="00A51DC5" w:rsidRPr="005A434C">
        <w:rPr>
          <w:color w:val="000000" w:themeColor="text1"/>
        </w:rPr>
        <w:t xml:space="preserve">davvero </w:t>
      </w:r>
      <w:r w:rsidR="00B8370F" w:rsidRPr="005A434C">
        <w:rPr>
          <w:color w:val="000000" w:themeColor="text1"/>
        </w:rPr>
        <w:t>esigui</w:t>
      </w:r>
      <w:r w:rsidR="00DD62D9" w:rsidRPr="005A434C">
        <w:rPr>
          <w:color w:val="000000" w:themeColor="text1"/>
        </w:rPr>
        <w:t>»</w:t>
      </w:r>
      <w:r w:rsidR="00B8370F" w:rsidRPr="005A434C">
        <w:rPr>
          <w:color w:val="000000" w:themeColor="text1"/>
        </w:rPr>
        <w:t xml:space="preserve">. </w:t>
      </w:r>
      <w:r w:rsidR="00FB26BC">
        <w:rPr>
          <w:color w:val="000000" w:themeColor="text1"/>
        </w:rPr>
        <w:t>Tra il 6 marzo e il 5 aprile</w:t>
      </w:r>
      <w:r w:rsidR="00B952E3">
        <w:rPr>
          <w:color w:val="000000" w:themeColor="text1"/>
        </w:rPr>
        <w:t xml:space="preserve"> </w:t>
      </w:r>
      <w:r w:rsidR="00FB26BC">
        <w:rPr>
          <w:color w:val="000000" w:themeColor="text1"/>
        </w:rPr>
        <w:t>l</w:t>
      </w:r>
      <w:r w:rsidR="00F62E1B" w:rsidRPr="005A434C">
        <w:rPr>
          <w:color w:val="000000" w:themeColor="text1"/>
        </w:rPr>
        <w:t xml:space="preserve">e coperture con almeno una dose </w:t>
      </w:r>
      <w:r w:rsidR="00A51DC5" w:rsidRPr="005A434C">
        <w:rPr>
          <w:color w:val="000000" w:themeColor="text1"/>
        </w:rPr>
        <w:t>segnano</w:t>
      </w:r>
      <w:r w:rsidR="00DD62D9" w:rsidRPr="005A434C">
        <w:rPr>
          <w:color w:val="000000" w:themeColor="text1"/>
        </w:rPr>
        <w:t xml:space="preserve"> </w:t>
      </w:r>
      <w:r w:rsidR="00A51DC5" w:rsidRPr="005A434C">
        <w:rPr>
          <w:color w:val="000000" w:themeColor="text1"/>
        </w:rPr>
        <w:t xml:space="preserve">un </w:t>
      </w:r>
      <w:r w:rsidR="006203EA">
        <w:rPr>
          <w:color w:val="000000" w:themeColor="text1"/>
        </w:rPr>
        <w:t>esiguo</w:t>
      </w:r>
      <w:r w:rsidR="00A51DC5" w:rsidRPr="005A434C">
        <w:rPr>
          <w:color w:val="000000" w:themeColor="text1"/>
        </w:rPr>
        <w:t xml:space="preserve"> +</w:t>
      </w:r>
      <w:r w:rsidR="00DE4D9C" w:rsidRPr="005A434C">
        <w:rPr>
          <w:color w:val="000000" w:themeColor="text1"/>
        </w:rPr>
        <w:t>0,</w:t>
      </w:r>
      <w:r w:rsidR="005A434C">
        <w:rPr>
          <w:color w:val="000000" w:themeColor="text1"/>
        </w:rPr>
        <w:t>1</w:t>
      </w:r>
      <w:r w:rsidR="009A25F3" w:rsidRPr="005A434C">
        <w:rPr>
          <w:color w:val="000000" w:themeColor="text1"/>
        </w:rPr>
        <w:t xml:space="preserve"> passando da 85,</w:t>
      </w:r>
      <w:r w:rsidR="005A434C">
        <w:rPr>
          <w:color w:val="000000" w:themeColor="text1"/>
        </w:rPr>
        <w:t>5</w:t>
      </w:r>
      <w:r w:rsidR="009A25F3" w:rsidRPr="005A434C">
        <w:rPr>
          <w:color w:val="000000" w:themeColor="text1"/>
        </w:rPr>
        <w:t>% a 85,6%</w:t>
      </w:r>
      <w:r w:rsidR="00B8370F" w:rsidRPr="005A434C">
        <w:rPr>
          <w:color w:val="000000" w:themeColor="text1"/>
        </w:rPr>
        <w:t xml:space="preserve">; quelle con ciclo completo </w:t>
      </w:r>
      <w:r w:rsidR="00A51DC5" w:rsidRPr="005A434C">
        <w:rPr>
          <w:color w:val="000000" w:themeColor="text1"/>
        </w:rPr>
        <w:t xml:space="preserve">sono cresciute di </w:t>
      </w:r>
      <w:r w:rsidR="00E66A25" w:rsidRPr="005A434C">
        <w:rPr>
          <w:color w:val="000000" w:themeColor="text1"/>
        </w:rPr>
        <w:t>soli 0,</w:t>
      </w:r>
      <w:r w:rsidR="005A434C">
        <w:rPr>
          <w:color w:val="000000" w:themeColor="text1"/>
        </w:rPr>
        <w:t>4</w:t>
      </w:r>
      <w:r w:rsidR="00E66A25" w:rsidRPr="005A434C">
        <w:rPr>
          <w:color w:val="000000" w:themeColor="text1"/>
        </w:rPr>
        <w:t xml:space="preserve"> punti percentuali passando da 83</w:t>
      </w:r>
      <w:r w:rsidR="009A25F3" w:rsidRPr="005A434C">
        <w:rPr>
          <w:color w:val="000000" w:themeColor="text1"/>
        </w:rPr>
        <w:t>,</w:t>
      </w:r>
      <w:r w:rsidR="005A434C">
        <w:rPr>
          <w:color w:val="000000" w:themeColor="text1"/>
        </w:rPr>
        <w:t>6</w:t>
      </w:r>
      <w:r w:rsidR="009A25F3" w:rsidRPr="005A434C">
        <w:rPr>
          <w:color w:val="000000" w:themeColor="text1"/>
        </w:rPr>
        <w:t xml:space="preserve">% a </w:t>
      </w:r>
      <w:r w:rsidR="005A434C">
        <w:rPr>
          <w:color w:val="000000" w:themeColor="text1"/>
        </w:rPr>
        <w:t>84</w:t>
      </w:r>
      <w:r w:rsidR="009A25F3" w:rsidRPr="005A434C">
        <w:rPr>
          <w:color w:val="000000" w:themeColor="text1"/>
        </w:rPr>
        <w:t>%</w:t>
      </w:r>
      <w:r w:rsidR="00F62E1B" w:rsidRPr="005A434C">
        <w:rPr>
          <w:color w:val="000000" w:themeColor="text1"/>
        </w:rPr>
        <w:t xml:space="preserve">. Anche le coperture </w:t>
      </w:r>
      <w:r w:rsidR="00F62E1B" w:rsidRPr="005A434C">
        <w:rPr>
          <w:color w:val="000000" w:themeColor="text1"/>
        </w:rPr>
        <w:lastRenderedPageBreak/>
        <w:t>delle terze e quarte dosi procedono a rilento con</w:t>
      </w:r>
      <w:r w:rsidR="00B91A74">
        <w:rPr>
          <w:color w:val="000000" w:themeColor="text1"/>
        </w:rPr>
        <w:t xml:space="preserve"> </w:t>
      </w:r>
      <w:r w:rsidR="009A25F3" w:rsidRPr="005A434C">
        <w:rPr>
          <w:color w:val="000000" w:themeColor="text1"/>
        </w:rPr>
        <w:t>incrementi pari</w:t>
      </w:r>
      <w:r w:rsidR="00B91A74">
        <w:rPr>
          <w:color w:val="000000" w:themeColor="text1"/>
        </w:rPr>
        <w:t xml:space="preserve"> </w:t>
      </w:r>
      <w:r w:rsidR="00B91A74" w:rsidRPr="005A434C">
        <w:rPr>
          <w:color w:val="000000" w:themeColor="text1"/>
        </w:rPr>
        <w:t>rispettivamente</w:t>
      </w:r>
      <w:r w:rsidR="009A25F3" w:rsidRPr="005A434C">
        <w:rPr>
          <w:color w:val="000000" w:themeColor="text1"/>
        </w:rPr>
        <w:t xml:space="preserve"> a </w:t>
      </w:r>
      <w:r w:rsidR="00E66A25" w:rsidRPr="005A434C">
        <w:rPr>
          <w:color w:val="000000" w:themeColor="text1"/>
        </w:rPr>
        <w:t>2</w:t>
      </w:r>
      <w:r w:rsidR="00F62E1B" w:rsidRPr="005A434C">
        <w:rPr>
          <w:color w:val="000000" w:themeColor="text1"/>
        </w:rPr>
        <w:t>,</w:t>
      </w:r>
      <w:r w:rsidR="00186E2D">
        <w:rPr>
          <w:color w:val="000000" w:themeColor="text1"/>
        </w:rPr>
        <w:t>4</w:t>
      </w:r>
      <w:r w:rsidR="005A434C">
        <w:rPr>
          <w:color w:val="000000" w:themeColor="text1"/>
        </w:rPr>
        <w:t xml:space="preserve"> </w:t>
      </w:r>
      <w:r w:rsidR="00F62E1B" w:rsidRPr="005A434C">
        <w:rPr>
          <w:color w:val="000000" w:themeColor="text1"/>
        </w:rPr>
        <w:t xml:space="preserve">e </w:t>
      </w:r>
      <w:r w:rsidR="005A434C">
        <w:rPr>
          <w:color w:val="000000" w:themeColor="text1"/>
        </w:rPr>
        <w:t>6</w:t>
      </w:r>
      <w:r w:rsidR="00E66A25" w:rsidRPr="005A434C">
        <w:rPr>
          <w:color w:val="000000" w:themeColor="text1"/>
        </w:rPr>
        <w:t>,3</w:t>
      </w:r>
      <w:r w:rsidR="00DE4D9C" w:rsidRPr="005A434C">
        <w:rPr>
          <w:color w:val="000000" w:themeColor="text1"/>
        </w:rPr>
        <w:t xml:space="preserve"> </w:t>
      </w:r>
      <w:r w:rsidR="009A25F3" w:rsidRPr="005A434C">
        <w:rPr>
          <w:color w:val="000000" w:themeColor="text1"/>
        </w:rPr>
        <w:t>punti percentuali (rispettivamente 8</w:t>
      </w:r>
      <w:r w:rsidR="005A434C">
        <w:rPr>
          <w:color w:val="000000" w:themeColor="text1"/>
        </w:rPr>
        <w:t>1</w:t>
      </w:r>
      <w:r w:rsidR="009A25F3" w:rsidRPr="005A434C">
        <w:rPr>
          <w:color w:val="000000" w:themeColor="text1"/>
        </w:rPr>
        <w:t>,</w:t>
      </w:r>
      <w:r w:rsidR="005A434C">
        <w:rPr>
          <w:color w:val="000000" w:themeColor="text1"/>
        </w:rPr>
        <w:t>1</w:t>
      </w:r>
      <w:r w:rsidR="009A25F3" w:rsidRPr="005A434C">
        <w:rPr>
          <w:color w:val="000000" w:themeColor="text1"/>
        </w:rPr>
        <w:t>% vs 8</w:t>
      </w:r>
      <w:r w:rsidR="00E66A25" w:rsidRPr="005A434C">
        <w:rPr>
          <w:color w:val="000000" w:themeColor="text1"/>
        </w:rPr>
        <w:t>3,</w:t>
      </w:r>
      <w:r w:rsidR="005A434C">
        <w:rPr>
          <w:color w:val="000000" w:themeColor="text1"/>
        </w:rPr>
        <w:t>5% e 1,9</w:t>
      </w:r>
      <w:r w:rsidR="009A25F3" w:rsidRPr="005A434C">
        <w:rPr>
          <w:color w:val="000000" w:themeColor="text1"/>
        </w:rPr>
        <w:t xml:space="preserve">% vs </w:t>
      </w:r>
      <w:r w:rsidR="005A434C">
        <w:rPr>
          <w:color w:val="000000" w:themeColor="text1"/>
        </w:rPr>
        <w:t>8</w:t>
      </w:r>
      <w:r w:rsidR="00E66A25" w:rsidRPr="005A434C">
        <w:rPr>
          <w:color w:val="000000" w:themeColor="text1"/>
        </w:rPr>
        <w:t>,</w:t>
      </w:r>
      <w:r w:rsidR="005A434C">
        <w:rPr>
          <w:color w:val="000000" w:themeColor="text1"/>
        </w:rPr>
        <w:t>2</w:t>
      </w:r>
      <w:r w:rsidR="009A25F3" w:rsidRPr="005A434C">
        <w:rPr>
          <w:color w:val="000000" w:themeColor="text1"/>
        </w:rPr>
        <w:t xml:space="preserve">%) </w:t>
      </w:r>
      <w:r w:rsidR="00F62E1B" w:rsidRPr="005A434C">
        <w:rPr>
          <w:color w:val="000000" w:themeColor="text1"/>
        </w:rPr>
        <w:t>nonostante l’inizio più tardivo e l</w:t>
      </w:r>
      <w:r w:rsidR="002349E6" w:rsidRPr="005A434C">
        <w:rPr>
          <w:color w:val="000000" w:themeColor="text1"/>
        </w:rPr>
        <w:t xml:space="preserve">’estesa </w:t>
      </w:r>
      <w:r w:rsidR="00B8370F" w:rsidRPr="005A434C">
        <w:rPr>
          <w:color w:val="000000" w:themeColor="text1"/>
        </w:rPr>
        <w:t xml:space="preserve">platea </w:t>
      </w:r>
      <w:r w:rsidR="00D5251A" w:rsidRPr="005A434C">
        <w:rPr>
          <w:color w:val="000000" w:themeColor="text1"/>
        </w:rPr>
        <w:t>v</w:t>
      </w:r>
      <w:r w:rsidR="00B8370F" w:rsidRPr="005A434C">
        <w:rPr>
          <w:color w:val="000000" w:themeColor="text1"/>
        </w:rPr>
        <w:t>accinabile</w:t>
      </w:r>
      <w:r w:rsidR="00B91A74">
        <w:rPr>
          <w:color w:val="000000" w:themeColor="text1"/>
        </w:rPr>
        <w:t>.</w:t>
      </w:r>
      <w:r w:rsidR="00930D8E" w:rsidRPr="005A434C">
        <w:rPr>
          <w:color w:val="000000" w:themeColor="text1"/>
        </w:rPr>
        <w:t xml:space="preserve"> </w:t>
      </w:r>
    </w:p>
    <w:p w:rsidR="003A149B" w:rsidRDefault="00372B2C" w:rsidP="00E66A2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color w:val="auto"/>
        </w:rPr>
      </w:pPr>
      <w:r w:rsidRPr="001E3B61">
        <w:rPr>
          <w:rFonts w:eastAsia="Times New Roman"/>
          <w:b/>
          <w:color w:val="auto"/>
        </w:rPr>
        <w:t>Vaccini: efficacia.</w:t>
      </w:r>
      <w:r w:rsidRPr="001E3B61">
        <w:rPr>
          <w:rFonts w:eastAsia="Times New Roman"/>
          <w:color w:val="auto"/>
        </w:rPr>
        <w:t xml:space="preserve"> I </w:t>
      </w:r>
      <w:hyperlink r:id="rId14" w:history="1">
        <w:r w:rsidRPr="001E3B61">
          <w:rPr>
            <w:rStyle w:val="Collegamentoipertestuale"/>
            <w:color w:val="auto"/>
          </w:rPr>
          <w:t>dati dell’Istituto Superiore di Sanità</w:t>
        </w:r>
      </w:hyperlink>
      <w:r w:rsidR="00945FDF" w:rsidRPr="001E3B61">
        <w:rPr>
          <w:color w:val="auto"/>
        </w:rPr>
        <w:t xml:space="preserve"> dimostrano </w:t>
      </w:r>
      <w:r w:rsidR="00820300">
        <w:rPr>
          <w:color w:val="auto"/>
        </w:rPr>
        <w:t>che</w:t>
      </w:r>
      <w:r w:rsidR="003A149B">
        <w:rPr>
          <w:color w:val="auto"/>
        </w:rPr>
        <w:t>:</w:t>
      </w:r>
    </w:p>
    <w:p w:rsidR="003A149B" w:rsidRPr="001E3B61" w:rsidRDefault="003A149B" w:rsidP="003A149B">
      <w:pPr>
        <w:pStyle w:val="Paragrafoelenco"/>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80" w:line="276" w:lineRule="auto"/>
        <w:ind w:left="357" w:hanging="357"/>
        <w:jc w:val="both"/>
        <w:rPr>
          <w:color w:val="auto"/>
        </w:rPr>
      </w:pPr>
      <w:r w:rsidRPr="001E3B61">
        <w:rPr>
          <w:color w:val="auto"/>
        </w:rPr>
        <w:t xml:space="preserve">l’efficacia sulla diagnosi </w:t>
      </w:r>
      <w:r>
        <w:rPr>
          <w:color w:val="auto"/>
        </w:rPr>
        <w:t xml:space="preserve">è sostanzialmente stabile </w:t>
      </w:r>
      <w:r w:rsidRPr="001E3B61">
        <w:rPr>
          <w:color w:val="auto"/>
        </w:rPr>
        <w:t>dal 48,8% per i vaccinati con due dosi entro 90 giorni al 47,2% per i</w:t>
      </w:r>
      <w:r>
        <w:rPr>
          <w:color w:val="auto"/>
        </w:rPr>
        <w:t xml:space="preserve"> vaccinati da più di 120 giorni e sale</w:t>
      </w:r>
      <w:r w:rsidRPr="001E3B61">
        <w:rPr>
          <w:color w:val="auto"/>
        </w:rPr>
        <w:t xml:space="preserve"> al 68% dopo il richiamo; </w:t>
      </w:r>
    </w:p>
    <w:p w:rsidR="003A149B" w:rsidRPr="001E3B61" w:rsidRDefault="003A149B" w:rsidP="003A149B">
      <w:pPr>
        <w:pStyle w:val="Paragrafoelenco"/>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80" w:line="276" w:lineRule="auto"/>
        <w:ind w:left="357" w:hanging="357"/>
        <w:jc w:val="both"/>
        <w:rPr>
          <w:color w:val="auto"/>
        </w:rPr>
      </w:pPr>
      <w:r w:rsidRPr="001E3B61">
        <w:rPr>
          <w:color w:val="auto"/>
        </w:rPr>
        <w:t>l’efficacia sulla malattia severa</w:t>
      </w:r>
      <w:r>
        <w:rPr>
          <w:color w:val="auto"/>
        </w:rPr>
        <w:t xml:space="preserve"> è sostanzialmente stabile </w:t>
      </w:r>
      <w:r w:rsidRPr="001E3B61">
        <w:rPr>
          <w:color w:val="auto"/>
        </w:rPr>
        <w:t xml:space="preserve">dal 73% per i vaccinati con due dosi entro 90 giorni al 75,2% per i </w:t>
      </w:r>
      <w:r w:rsidR="00820300">
        <w:rPr>
          <w:color w:val="auto"/>
        </w:rPr>
        <w:t xml:space="preserve">vaccinati da più di 120 giorni e sale </w:t>
      </w:r>
      <w:r w:rsidRPr="001E3B61">
        <w:rPr>
          <w:color w:val="auto"/>
        </w:rPr>
        <w:t>al 91,1% dopo il richiamo.</w:t>
      </w:r>
    </w:p>
    <w:p w:rsidR="0039345B" w:rsidRDefault="001E3B61" w:rsidP="00E66A2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color w:val="auto"/>
        </w:rPr>
      </w:pPr>
      <w:r w:rsidRPr="001E3B61">
        <w:rPr>
          <w:rFonts w:eastAsia="Times New Roman" w:cstheme="minorHAnsi"/>
          <w:color w:val="auto"/>
        </w:rPr>
        <w:t>Complessivamente nelle persone vaccinate con ciclo completo (più eventuale dose di richiamo), rispetto a quelle non vaccinate, nelle varie fasce d’età si riduce l’incidenza di diagnosi (del 31,5-65,9%), ma soprat</w:t>
      </w:r>
      <w:r>
        <w:rPr>
          <w:rFonts w:eastAsia="Times New Roman" w:cstheme="minorHAnsi"/>
          <w:color w:val="auto"/>
        </w:rPr>
        <w:t>tutto di malattia grave (del 55</w:t>
      </w:r>
      <w:r w:rsidRPr="001E3B61">
        <w:rPr>
          <w:rFonts w:eastAsia="Times New Roman" w:cstheme="minorHAnsi"/>
          <w:color w:val="auto"/>
        </w:rPr>
        <w:t>-86,4% per ricoveri ordinari; del 67,7-88,9% per le tera</w:t>
      </w:r>
      <w:r>
        <w:rPr>
          <w:rFonts w:eastAsia="Times New Roman" w:cstheme="minorHAnsi"/>
          <w:color w:val="auto"/>
        </w:rPr>
        <w:t>pie intensive) e decesso (del 54</w:t>
      </w:r>
      <w:r w:rsidRPr="001E3B61">
        <w:rPr>
          <w:rFonts w:eastAsia="Times New Roman" w:cstheme="minorHAnsi"/>
          <w:color w:val="auto"/>
        </w:rPr>
        <w:t>,8-91,4%) (</w:t>
      </w:r>
      <w:r w:rsidRPr="001E3B61">
        <w:rPr>
          <w:rFonts w:eastAsia="Times New Roman" w:cstheme="minorHAnsi"/>
          <w:color w:val="auto"/>
          <w:highlight w:val="yellow"/>
        </w:rPr>
        <w:t>figura 18</w:t>
      </w:r>
      <w:r w:rsidRPr="001E3B61">
        <w:rPr>
          <w:rFonts w:eastAsia="Times New Roman" w:cstheme="minorHAnsi"/>
          <w:color w:val="auto"/>
        </w:rPr>
        <w:t>).</w:t>
      </w:r>
    </w:p>
    <w:p w:rsidR="00E23CF9" w:rsidRDefault="00666867" w:rsidP="00BD67DE">
      <w:pPr>
        <w:spacing w:after="120" w:line="276" w:lineRule="auto"/>
        <w:rPr>
          <w:rStyle w:val="Hyperlink0"/>
        </w:rPr>
      </w:pPr>
      <w:r w:rsidRPr="00234B97">
        <w:rPr>
          <w:i/>
          <w:iCs/>
        </w:rPr>
        <w:t>Il</w:t>
      </w:r>
      <w:r w:rsidR="00CE577D" w:rsidRPr="00234B97">
        <w:rPr>
          <w:i/>
          <w:iCs/>
        </w:rPr>
        <w:t xml:space="preserve"> monitoraggio GIMBE dell'epidemia COVID-19 è disponibile a: </w:t>
      </w:r>
      <w:hyperlink r:id="rId15" w:history="1">
        <w:r w:rsidR="00CE577D" w:rsidRPr="00234B97">
          <w:rPr>
            <w:rStyle w:val="Hyperlink0"/>
          </w:rPr>
          <w:t>https://coronavirus.gimbe.org</w:t>
        </w:r>
      </w:hyperlink>
    </w:p>
    <w:p w:rsidR="00044ABB" w:rsidRPr="00C46A82" w:rsidRDefault="00CE577D" w:rsidP="00C46A82">
      <w:pPr>
        <w:spacing w:after="120"/>
        <w:rPr>
          <w:rFonts w:eastAsia="Calibri" w:cs="Calibri"/>
          <w:color w:val="0563C1"/>
          <w:sz w:val="20"/>
          <w:szCs w:val="20"/>
          <w:u w:val="single" w:color="0563C1"/>
        </w:rPr>
      </w:pPr>
      <w:r w:rsidRPr="00234B97">
        <w:rPr>
          <w:b/>
          <w:bCs/>
        </w:rPr>
        <w:t>CONTATTI</w:t>
      </w:r>
      <w:r w:rsidRPr="00234B97">
        <w:rPr>
          <w:i/>
          <w:iCs/>
        </w:rPr>
        <w:br/>
      </w:r>
      <w:r w:rsidRPr="00234B97">
        <w:rPr>
          <w:b/>
          <w:bCs/>
        </w:rPr>
        <w:t>Fondazione GIMBE</w:t>
      </w:r>
      <w:r w:rsidRPr="00234B97">
        <w:rPr>
          <w:i/>
          <w:iCs/>
          <w:color w:val="0563C1"/>
          <w:u w:val="single" w:color="0563C1"/>
        </w:rPr>
        <w:br/>
      </w:r>
      <w:r w:rsidRPr="00234B97">
        <w:rPr>
          <w:sz w:val="20"/>
          <w:szCs w:val="20"/>
        </w:rPr>
        <w:t>Via Amendola 2 - 40121 Bologna</w:t>
      </w:r>
      <w:r w:rsidRPr="00234B97">
        <w:rPr>
          <w:sz w:val="20"/>
          <w:szCs w:val="20"/>
        </w:rPr>
        <w:br/>
        <w:t>Tel. 051 5883920 - Fax 051 4075774</w:t>
      </w:r>
      <w:r w:rsidRPr="00234B97">
        <w:rPr>
          <w:sz w:val="20"/>
          <w:szCs w:val="20"/>
        </w:rPr>
        <w:br/>
        <w:t xml:space="preserve">E-mail: </w:t>
      </w:r>
      <w:hyperlink r:id="rId16" w:history="1">
        <w:r w:rsidRPr="00234B97">
          <w:rPr>
            <w:rStyle w:val="Hyperlink1"/>
          </w:rPr>
          <w:t>ufficio.stampa@gimbe.org</w:t>
        </w:r>
      </w:hyperlink>
    </w:p>
    <w:p w:rsidR="00F43DFC" w:rsidRDefault="001203E4" w:rsidP="00D304E2">
      <w:pPr>
        <w:spacing w:after="0" w:line="240" w:lineRule="auto"/>
        <w:jc w:val="center"/>
        <w:rPr>
          <w:b/>
          <w:bCs/>
          <w:color w:val="00457D"/>
          <w:sz w:val="24"/>
          <w:szCs w:val="24"/>
          <w:u w:color="00457D"/>
        </w:rPr>
      </w:pPr>
      <w:r>
        <w:rPr>
          <w:b/>
          <w:bCs/>
          <w:color w:val="00457D"/>
          <w:sz w:val="24"/>
          <w:szCs w:val="24"/>
          <w:u w:color="00457D"/>
        </w:rPr>
        <w:br w:type="page"/>
      </w:r>
      <w:r w:rsidR="00CE577D" w:rsidRPr="008E7049">
        <w:rPr>
          <w:b/>
          <w:bCs/>
          <w:color w:val="00457D"/>
          <w:sz w:val="24"/>
          <w:szCs w:val="24"/>
          <w:u w:color="00457D"/>
        </w:rPr>
        <w:lastRenderedPageBreak/>
        <w:t>Figura 1</w:t>
      </w:r>
    </w:p>
    <w:p w:rsidR="00F43DFC" w:rsidRPr="00234B97" w:rsidRDefault="004E7F6E">
      <w:pPr>
        <w:jc w:val="center"/>
        <w:rPr>
          <w:b/>
          <w:bCs/>
          <w:color w:val="00457D"/>
          <w:sz w:val="24"/>
          <w:szCs w:val="24"/>
          <w:u w:color="00457D"/>
        </w:rPr>
      </w:pPr>
      <w:r>
        <w:rPr>
          <w:b/>
          <w:bCs/>
          <w:noProof/>
          <w:color w:val="00457D"/>
          <w:sz w:val="24"/>
          <w:szCs w:val="24"/>
          <w:u w:color="00457D"/>
        </w:rPr>
        <w:drawing>
          <wp:inline distT="0" distB="0" distL="0" distR="0" wp14:anchorId="7554DE7A" wp14:editId="53E7F6EA">
            <wp:extent cx="5760000" cy="3193390"/>
            <wp:effectExtent l="0" t="0" r="0" b="762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3193390"/>
                    </a:xfrm>
                    <a:prstGeom prst="rect">
                      <a:avLst/>
                    </a:prstGeom>
                    <a:noFill/>
                  </pic:spPr>
                </pic:pic>
              </a:graphicData>
            </a:graphic>
          </wp:inline>
        </w:drawing>
      </w:r>
    </w:p>
    <w:p w:rsidR="00266D51" w:rsidRPr="00234B97" w:rsidRDefault="00266D51">
      <w:pPr>
        <w:jc w:val="center"/>
        <w:rPr>
          <w:b/>
          <w:bCs/>
          <w:color w:val="00457D"/>
          <w:sz w:val="24"/>
          <w:szCs w:val="24"/>
          <w:u w:color="00457D"/>
        </w:rPr>
      </w:pPr>
    </w:p>
    <w:p w:rsidR="007B682B" w:rsidRPr="00234B97" w:rsidRDefault="00CE577D">
      <w:pPr>
        <w:jc w:val="center"/>
        <w:rPr>
          <w:b/>
          <w:bCs/>
          <w:color w:val="00457D"/>
          <w:sz w:val="24"/>
          <w:szCs w:val="24"/>
          <w:u w:color="00457D"/>
        </w:rPr>
      </w:pPr>
      <w:r w:rsidRPr="008E7049">
        <w:rPr>
          <w:b/>
          <w:bCs/>
          <w:color w:val="00457D"/>
          <w:sz w:val="24"/>
          <w:szCs w:val="24"/>
          <w:u w:color="00457D"/>
        </w:rPr>
        <w:t>Figura 2</w:t>
      </w:r>
      <w:r w:rsidRPr="00234B97">
        <w:rPr>
          <w:b/>
          <w:bCs/>
          <w:color w:val="00457D"/>
          <w:sz w:val="24"/>
          <w:szCs w:val="24"/>
          <w:u w:color="00457D"/>
        </w:rPr>
        <w:br/>
      </w:r>
      <w:r w:rsidR="004E7F6E">
        <w:rPr>
          <w:b/>
          <w:bCs/>
          <w:noProof/>
          <w:color w:val="00457D"/>
          <w:sz w:val="24"/>
          <w:szCs w:val="24"/>
          <w:u w:color="00457D"/>
        </w:rPr>
        <w:drawing>
          <wp:inline distT="0" distB="0" distL="0" distR="0" wp14:anchorId="04F84DF2" wp14:editId="44D2F5B6">
            <wp:extent cx="5760000" cy="3192521"/>
            <wp:effectExtent l="0" t="0" r="0" b="825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3192521"/>
                    </a:xfrm>
                    <a:prstGeom prst="rect">
                      <a:avLst/>
                    </a:prstGeom>
                    <a:noFill/>
                  </pic:spPr>
                </pic:pic>
              </a:graphicData>
            </a:graphic>
          </wp:inline>
        </w:drawing>
      </w:r>
    </w:p>
    <w:p w:rsidR="000E770E" w:rsidRDefault="000E770E">
      <w:pPr>
        <w:jc w:val="center"/>
        <w:rPr>
          <w:b/>
          <w:bCs/>
          <w:color w:val="00457D"/>
          <w:sz w:val="24"/>
          <w:szCs w:val="24"/>
          <w:u w:color="00457D"/>
        </w:rPr>
      </w:pPr>
    </w:p>
    <w:p w:rsidR="007B682B" w:rsidRPr="00234B97" w:rsidRDefault="00CE577D">
      <w:pPr>
        <w:jc w:val="center"/>
        <w:sectPr w:rsidR="007B682B" w:rsidRPr="00234B97" w:rsidSect="005B4AE1">
          <w:pgSz w:w="11900" w:h="16840"/>
          <w:pgMar w:top="993" w:right="1134" w:bottom="709" w:left="1134" w:header="709" w:footer="709" w:gutter="0"/>
          <w:cols w:space="720"/>
        </w:sectPr>
      </w:pPr>
      <w:r w:rsidRPr="00234B97">
        <w:rPr>
          <w:b/>
          <w:bCs/>
          <w:color w:val="00457D"/>
          <w:sz w:val="24"/>
          <w:szCs w:val="24"/>
          <w:u w:color="00457D"/>
        </w:rPr>
        <w:br/>
      </w:r>
    </w:p>
    <w:p w:rsidR="007B682B" w:rsidRDefault="00CE577D" w:rsidP="00466C2D">
      <w:pPr>
        <w:spacing w:after="0" w:line="360" w:lineRule="auto"/>
        <w:jc w:val="center"/>
        <w:rPr>
          <w:b/>
          <w:bCs/>
          <w:color w:val="00457D"/>
          <w:sz w:val="24"/>
          <w:szCs w:val="24"/>
          <w:u w:color="00457D"/>
        </w:rPr>
      </w:pPr>
      <w:r w:rsidRPr="00234B97">
        <w:rPr>
          <w:b/>
          <w:bCs/>
          <w:color w:val="00457D"/>
          <w:sz w:val="24"/>
          <w:szCs w:val="24"/>
          <w:u w:color="00457D"/>
        </w:rPr>
        <w:lastRenderedPageBreak/>
        <w:t>Figura 3</w:t>
      </w:r>
    </w:p>
    <w:p w:rsidR="00333BB6" w:rsidRPr="00234B97" w:rsidRDefault="005322FE" w:rsidP="00466C2D">
      <w:pPr>
        <w:spacing w:after="0" w:line="360" w:lineRule="auto"/>
        <w:jc w:val="center"/>
        <w:rPr>
          <w:b/>
          <w:bCs/>
          <w:color w:val="00457D"/>
          <w:sz w:val="24"/>
          <w:szCs w:val="24"/>
          <w:u w:color="00457D"/>
        </w:rPr>
      </w:pPr>
      <w:r>
        <w:rPr>
          <w:b/>
          <w:bCs/>
          <w:noProof/>
          <w:color w:val="00457D"/>
          <w:sz w:val="24"/>
          <w:szCs w:val="24"/>
          <w:u w:color="00457D"/>
        </w:rPr>
        <w:drawing>
          <wp:inline distT="0" distB="0" distL="0" distR="0" wp14:anchorId="6C2914D1" wp14:editId="7F107D9F">
            <wp:extent cx="9360000" cy="4810624"/>
            <wp:effectExtent l="0" t="0" r="0"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60000" cy="4810624"/>
                    </a:xfrm>
                    <a:prstGeom prst="rect">
                      <a:avLst/>
                    </a:prstGeom>
                    <a:noFill/>
                  </pic:spPr>
                </pic:pic>
              </a:graphicData>
            </a:graphic>
          </wp:inline>
        </w:drawing>
      </w:r>
    </w:p>
    <w:p w:rsidR="007B682B" w:rsidRPr="00234B97" w:rsidRDefault="007B682B">
      <w:pPr>
        <w:spacing w:after="0" w:line="360" w:lineRule="auto"/>
        <w:jc w:val="center"/>
        <w:sectPr w:rsidR="007B682B" w:rsidRPr="00234B97" w:rsidSect="005B4AE1">
          <w:pgSz w:w="16840" w:h="11900" w:orient="landscape"/>
          <w:pgMar w:top="992" w:right="1134" w:bottom="709" w:left="1134" w:header="709" w:footer="709" w:gutter="0"/>
          <w:cols w:space="720"/>
          <w:docGrid w:linePitch="299"/>
        </w:sectPr>
      </w:pPr>
    </w:p>
    <w:p w:rsidR="00184E2C" w:rsidRDefault="00E10DC3" w:rsidP="00E10DC3">
      <w:pPr>
        <w:spacing w:after="0"/>
        <w:jc w:val="center"/>
        <w:rPr>
          <w:b/>
          <w:bCs/>
          <w:color w:val="00457D"/>
          <w:sz w:val="24"/>
          <w:szCs w:val="24"/>
          <w:u w:color="00457D"/>
        </w:rPr>
      </w:pPr>
      <w:r>
        <w:rPr>
          <w:b/>
          <w:bCs/>
          <w:color w:val="00457D"/>
          <w:sz w:val="24"/>
          <w:szCs w:val="24"/>
          <w:u w:color="00457D"/>
        </w:rPr>
        <w:lastRenderedPageBreak/>
        <w:t>Figura 4</w:t>
      </w:r>
    </w:p>
    <w:p w:rsidR="00FB6128" w:rsidRDefault="000B6BAC" w:rsidP="00E10DC3">
      <w:pPr>
        <w:spacing w:after="0"/>
        <w:jc w:val="center"/>
        <w:rPr>
          <w:color w:val="auto"/>
        </w:rPr>
      </w:pPr>
      <w:r>
        <w:rPr>
          <w:noProof/>
          <w:color w:val="auto"/>
        </w:rPr>
        <w:drawing>
          <wp:inline distT="0" distB="0" distL="0" distR="0" wp14:anchorId="36B04BF3" wp14:editId="245E879D">
            <wp:extent cx="5760000" cy="2814192"/>
            <wp:effectExtent l="0" t="0" r="0" b="571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2814192"/>
                    </a:xfrm>
                    <a:prstGeom prst="rect">
                      <a:avLst/>
                    </a:prstGeom>
                    <a:noFill/>
                  </pic:spPr>
                </pic:pic>
              </a:graphicData>
            </a:graphic>
          </wp:inline>
        </w:drawing>
      </w:r>
    </w:p>
    <w:p w:rsidR="00FB6128" w:rsidRDefault="00FB6128" w:rsidP="00E10DC3">
      <w:pPr>
        <w:spacing w:after="0"/>
        <w:jc w:val="center"/>
        <w:rPr>
          <w:color w:val="auto"/>
        </w:rPr>
      </w:pPr>
    </w:p>
    <w:p w:rsidR="00FB6128" w:rsidRPr="00FB6128" w:rsidRDefault="00FB6128" w:rsidP="00FB6128">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5</w:t>
      </w:r>
    </w:p>
    <w:p w:rsidR="00184E2C" w:rsidRDefault="005322FE" w:rsidP="000E770E">
      <w:pPr>
        <w:spacing w:after="0" w:line="276" w:lineRule="auto"/>
        <w:jc w:val="center"/>
        <w:rPr>
          <w:color w:val="auto"/>
        </w:rPr>
      </w:pPr>
      <w:r>
        <w:rPr>
          <w:noProof/>
          <w:color w:val="auto"/>
        </w:rPr>
        <w:drawing>
          <wp:inline distT="0" distB="0" distL="0" distR="0" wp14:anchorId="59855FCF" wp14:editId="6CB976DE">
            <wp:extent cx="5760000" cy="3118094"/>
            <wp:effectExtent l="0" t="0" r="0" b="635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3118094"/>
                    </a:xfrm>
                    <a:prstGeom prst="rect">
                      <a:avLst/>
                    </a:prstGeom>
                    <a:noFill/>
                  </pic:spPr>
                </pic:pic>
              </a:graphicData>
            </a:graphic>
          </wp:inline>
        </w:drawing>
      </w:r>
    </w:p>
    <w:p w:rsidR="000E770E" w:rsidRDefault="000E770E" w:rsidP="00626103">
      <w:pPr>
        <w:spacing w:after="0"/>
        <w:jc w:val="center"/>
        <w:rPr>
          <w:b/>
          <w:bCs/>
          <w:color w:val="00457D"/>
          <w:sz w:val="24"/>
          <w:szCs w:val="24"/>
          <w:u w:color="00457D"/>
        </w:rPr>
      </w:pPr>
    </w:p>
    <w:p w:rsidR="00FB6128" w:rsidRDefault="00FB6128">
      <w:pPr>
        <w:spacing w:after="0" w:line="240" w:lineRule="auto"/>
        <w:rPr>
          <w:b/>
          <w:bCs/>
          <w:color w:val="00457D"/>
          <w:sz w:val="24"/>
          <w:szCs w:val="24"/>
          <w:u w:color="00457D"/>
        </w:rPr>
      </w:pPr>
      <w:r>
        <w:rPr>
          <w:b/>
          <w:bCs/>
          <w:color w:val="00457D"/>
          <w:sz w:val="24"/>
          <w:szCs w:val="24"/>
          <w:u w:color="00457D"/>
        </w:rPr>
        <w:br w:type="page"/>
      </w:r>
    </w:p>
    <w:p w:rsidR="00D93FAE" w:rsidRDefault="00D93FAE" w:rsidP="00D93FAE">
      <w:pPr>
        <w:spacing w:after="0"/>
        <w:jc w:val="center"/>
        <w:rPr>
          <w:b/>
          <w:bCs/>
          <w:color w:val="00457D"/>
          <w:sz w:val="24"/>
          <w:szCs w:val="24"/>
          <w:u w:color="00457D"/>
        </w:rPr>
      </w:pPr>
      <w:r w:rsidRPr="00234B97">
        <w:rPr>
          <w:b/>
          <w:bCs/>
          <w:color w:val="00457D"/>
          <w:sz w:val="24"/>
          <w:szCs w:val="24"/>
          <w:u w:color="00457D"/>
        </w:rPr>
        <w:lastRenderedPageBreak/>
        <w:t xml:space="preserve">Figura </w:t>
      </w:r>
      <w:r>
        <w:rPr>
          <w:b/>
          <w:bCs/>
          <w:color w:val="00457D"/>
          <w:sz w:val="24"/>
          <w:szCs w:val="24"/>
          <w:u w:color="00457D"/>
        </w:rPr>
        <w:t>6</w:t>
      </w:r>
    </w:p>
    <w:p w:rsidR="00D93FAE" w:rsidRPr="00FB6128" w:rsidRDefault="005322FE" w:rsidP="00F9470A">
      <w:pPr>
        <w:spacing w:after="0"/>
        <w:jc w:val="center"/>
        <w:rPr>
          <w:b/>
          <w:bCs/>
          <w:color w:val="00457D"/>
          <w:sz w:val="24"/>
          <w:szCs w:val="24"/>
          <w:u w:color="00457D"/>
        </w:rPr>
      </w:pPr>
      <w:r>
        <w:rPr>
          <w:b/>
          <w:bCs/>
          <w:noProof/>
          <w:color w:val="00457D"/>
          <w:sz w:val="24"/>
          <w:szCs w:val="24"/>
          <w:u w:color="00457D"/>
        </w:rPr>
        <w:drawing>
          <wp:inline distT="0" distB="0" distL="0" distR="0" wp14:anchorId="2212075B" wp14:editId="28B0E655">
            <wp:extent cx="5724000" cy="3053187"/>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4000" cy="3053187"/>
                    </a:xfrm>
                    <a:prstGeom prst="rect">
                      <a:avLst/>
                    </a:prstGeom>
                    <a:noFill/>
                  </pic:spPr>
                </pic:pic>
              </a:graphicData>
            </a:graphic>
          </wp:inline>
        </w:drawing>
      </w:r>
    </w:p>
    <w:p w:rsidR="00D93FAE" w:rsidRPr="00F9470A" w:rsidRDefault="00D93FAE" w:rsidP="00D93FAE">
      <w:pPr>
        <w:spacing w:after="0" w:line="240" w:lineRule="auto"/>
        <w:jc w:val="center"/>
        <w:rPr>
          <w:b/>
          <w:bCs/>
          <w:color w:val="00457D"/>
          <w:sz w:val="8"/>
          <w:szCs w:val="14"/>
          <w:u w:color="00457D"/>
        </w:rPr>
      </w:pPr>
    </w:p>
    <w:p w:rsidR="00061647" w:rsidRDefault="00061647">
      <w:pPr>
        <w:spacing w:after="0" w:line="240" w:lineRule="auto"/>
        <w:rPr>
          <w:b/>
          <w:bCs/>
          <w:color w:val="00457D"/>
          <w:sz w:val="24"/>
          <w:szCs w:val="24"/>
          <w:u w:color="00457D"/>
        </w:rPr>
      </w:pPr>
    </w:p>
    <w:p w:rsidR="00A03AAC" w:rsidRDefault="00D93FAE" w:rsidP="00D93FAE">
      <w:pPr>
        <w:spacing w:after="0"/>
        <w:jc w:val="center"/>
        <w:rPr>
          <w:b/>
          <w:bCs/>
          <w:color w:val="00457D"/>
          <w:sz w:val="24"/>
          <w:szCs w:val="24"/>
          <w:u w:color="00457D"/>
        </w:rPr>
      </w:pPr>
      <w:r>
        <w:rPr>
          <w:b/>
          <w:bCs/>
          <w:color w:val="00457D"/>
          <w:sz w:val="24"/>
          <w:szCs w:val="24"/>
          <w:u w:color="00457D"/>
        </w:rPr>
        <w:t xml:space="preserve">Figura </w:t>
      </w:r>
      <w:r w:rsidR="001E3B61">
        <w:rPr>
          <w:b/>
          <w:bCs/>
          <w:color w:val="00457D"/>
          <w:sz w:val="24"/>
          <w:szCs w:val="24"/>
          <w:u w:color="00457D"/>
        </w:rPr>
        <w:t>7</w:t>
      </w:r>
    </w:p>
    <w:p w:rsidR="00D93FAE" w:rsidRPr="00D93FAE" w:rsidRDefault="00BD4F61" w:rsidP="00D93FAE">
      <w:pPr>
        <w:spacing w:after="0"/>
        <w:jc w:val="center"/>
        <w:rPr>
          <w:b/>
          <w:bCs/>
          <w:color w:val="00457D"/>
          <w:sz w:val="24"/>
          <w:szCs w:val="24"/>
          <w:u w:color="00457D"/>
        </w:rPr>
      </w:pPr>
      <w:r>
        <w:rPr>
          <w:b/>
          <w:bCs/>
          <w:noProof/>
          <w:color w:val="00457D"/>
          <w:sz w:val="24"/>
          <w:szCs w:val="24"/>
          <w:u w:color="00457D"/>
        </w:rPr>
        <w:drawing>
          <wp:inline distT="0" distB="0" distL="0" distR="0" wp14:anchorId="25810E2B" wp14:editId="63093F71">
            <wp:extent cx="5724000" cy="53202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000" cy="5320200"/>
                    </a:xfrm>
                    <a:prstGeom prst="rect">
                      <a:avLst/>
                    </a:prstGeom>
                    <a:noFill/>
                  </pic:spPr>
                </pic:pic>
              </a:graphicData>
            </a:graphic>
          </wp:inline>
        </w:drawing>
      </w:r>
    </w:p>
    <w:p w:rsidR="002879EE" w:rsidRPr="002879EE" w:rsidRDefault="002879EE">
      <w:pPr>
        <w:spacing w:after="0"/>
        <w:jc w:val="center"/>
        <w:rPr>
          <w:b/>
          <w:bCs/>
          <w:color w:val="00457D"/>
          <w:sz w:val="10"/>
          <w:szCs w:val="12"/>
          <w:u w:color="00457D"/>
        </w:rPr>
      </w:pPr>
    </w:p>
    <w:p w:rsidR="00184E2C" w:rsidRDefault="00CE577D">
      <w:pPr>
        <w:spacing w:after="0"/>
        <w:jc w:val="center"/>
        <w:rPr>
          <w:b/>
          <w:bCs/>
          <w:color w:val="00457D"/>
          <w:sz w:val="24"/>
          <w:szCs w:val="24"/>
          <w:u w:color="00457D"/>
        </w:rPr>
      </w:pPr>
      <w:r w:rsidRPr="00542585">
        <w:rPr>
          <w:b/>
          <w:bCs/>
          <w:color w:val="00457D"/>
          <w:sz w:val="24"/>
          <w:szCs w:val="24"/>
          <w:u w:color="00457D"/>
        </w:rPr>
        <w:t>Figura</w:t>
      </w:r>
      <w:r w:rsidR="00E10DC3">
        <w:rPr>
          <w:b/>
          <w:bCs/>
          <w:color w:val="00457D"/>
          <w:sz w:val="24"/>
          <w:szCs w:val="24"/>
          <w:u w:color="00457D"/>
        </w:rPr>
        <w:t xml:space="preserve"> </w:t>
      </w:r>
      <w:r w:rsidR="001E3B61">
        <w:rPr>
          <w:b/>
          <w:bCs/>
          <w:color w:val="00457D"/>
          <w:sz w:val="24"/>
          <w:szCs w:val="24"/>
          <w:u w:color="00457D"/>
        </w:rPr>
        <w:t>8</w:t>
      </w:r>
    </w:p>
    <w:p w:rsidR="003274E5" w:rsidRDefault="00BD4F61" w:rsidP="003274E5">
      <w:pPr>
        <w:spacing w:after="0"/>
        <w:jc w:val="center"/>
        <w:rPr>
          <w:b/>
          <w:bCs/>
          <w:color w:val="00457D"/>
          <w:sz w:val="24"/>
          <w:szCs w:val="24"/>
          <w:u w:color="00457D"/>
        </w:rPr>
      </w:pPr>
      <w:r>
        <w:rPr>
          <w:b/>
          <w:bCs/>
          <w:noProof/>
          <w:color w:val="00457D"/>
          <w:sz w:val="24"/>
          <w:szCs w:val="24"/>
          <w:u w:color="00457D"/>
        </w:rPr>
        <w:drawing>
          <wp:inline distT="0" distB="0" distL="0" distR="0" wp14:anchorId="74D3B840" wp14:editId="79506628">
            <wp:extent cx="5760000" cy="2792940"/>
            <wp:effectExtent l="0" t="0" r="0" b="762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2792940"/>
                    </a:xfrm>
                    <a:prstGeom prst="rect">
                      <a:avLst/>
                    </a:prstGeom>
                    <a:noFill/>
                  </pic:spPr>
                </pic:pic>
              </a:graphicData>
            </a:graphic>
          </wp:inline>
        </w:drawing>
      </w:r>
    </w:p>
    <w:p w:rsidR="007B5BBD" w:rsidRDefault="007B5BBD" w:rsidP="005E411F">
      <w:pPr>
        <w:spacing w:after="0" w:line="240" w:lineRule="auto"/>
        <w:jc w:val="center"/>
        <w:rPr>
          <w:b/>
          <w:bCs/>
          <w:color w:val="00457D"/>
          <w:sz w:val="24"/>
          <w:szCs w:val="24"/>
          <w:u w:color="00457D"/>
        </w:rPr>
      </w:pPr>
    </w:p>
    <w:p w:rsidR="007B682B" w:rsidRPr="008049CF" w:rsidRDefault="00F9470A" w:rsidP="005E411F">
      <w:pPr>
        <w:spacing w:after="0" w:line="240" w:lineRule="auto"/>
        <w:jc w:val="center"/>
        <w:rPr>
          <w:b/>
          <w:bCs/>
          <w:color w:val="00457D"/>
          <w:sz w:val="24"/>
          <w:szCs w:val="24"/>
          <w:u w:color="00457D"/>
        </w:rPr>
      </w:pPr>
      <w:r w:rsidRPr="008049CF">
        <w:rPr>
          <w:b/>
          <w:bCs/>
          <w:color w:val="00457D"/>
          <w:sz w:val="24"/>
          <w:szCs w:val="24"/>
          <w:u w:color="00457D"/>
        </w:rPr>
        <w:t>Figura</w:t>
      </w:r>
      <w:r w:rsidR="001E3B61">
        <w:rPr>
          <w:b/>
          <w:bCs/>
          <w:color w:val="00457D"/>
          <w:sz w:val="24"/>
          <w:szCs w:val="24"/>
          <w:u w:color="00457D"/>
        </w:rPr>
        <w:t xml:space="preserve"> 9</w:t>
      </w:r>
    </w:p>
    <w:p w:rsidR="00542585" w:rsidRDefault="005A434C" w:rsidP="00F529F2">
      <w:pPr>
        <w:jc w:val="center"/>
        <w:rPr>
          <w:b/>
          <w:bCs/>
          <w:color w:val="00457D"/>
          <w:sz w:val="24"/>
          <w:szCs w:val="24"/>
          <w:u w:color="00457D"/>
        </w:rPr>
      </w:pPr>
      <w:r>
        <w:rPr>
          <w:b/>
          <w:bCs/>
          <w:noProof/>
          <w:color w:val="00457D"/>
          <w:sz w:val="24"/>
          <w:szCs w:val="24"/>
          <w:u w:color="00457D"/>
        </w:rPr>
        <w:drawing>
          <wp:inline distT="0" distB="0" distL="0" distR="0" wp14:anchorId="1C6C16ED" wp14:editId="79B84874">
            <wp:extent cx="5760000" cy="4510939"/>
            <wp:effectExtent l="0" t="0" r="0" b="444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4510939"/>
                    </a:xfrm>
                    <a:prstGeom prst="rect">
                      <a:avLst/>
                    </a:prstGeom>
                    <a:noFill/>
                  </pic:spPr>
                </pic:pic>
              </a:graphicData>
            </a:graphic>
          </wp:inline>
        </w:drawing>
      </w:r>
    </w:p>
    <w:p w:rsidR="001C70B3" w:rsidRDefault="001C70B3" w:rsidP="00F529F2">
      <w:pPr>
        <w:jc w:val="center"/>
        <w:rPr>
          <w:b/>
          <w:bCs/>
          <w:color w:val="00457D"/>
          <w:sz w:val="24"/>
          <w:szCs w:val="24"/>
          <w:u w:color="00457D"/>
        </w:rPr>
      </w:pPr>
    </w:p>
    <w:p w:rsidR="00E03BC7" w:rsidRDefault="00E03BC7">
      <w:pPr>
        <w:spacing w:after="0" w:line="240" w:lineRule="auto"/>
        <w:rPr>
          <w:b/>
          <w:bCs/>
          <w:color w:val="00457D"/>
          <w:sz w:val="24"/>
          <w:szCs w:val="24"/>
          <w:u w:color="00457D"/>
        </w:rPr>
      </w:pPr>
      <w:r>
        <w:rPr>
          <w:b/>
          <w:bCs/>
          <w:color w:val="00457D"/>
          <w:sz w:val="24"/>
          <w:szCs w:val="24"/>
          <w:u w:color="00457D"/>
        </w:rPr>
        <w:br w:type="page"/>
      </w:r>
    </w:p>
    <w:p w:rsidR="00303AA0" w:rsidRDefault="004B6DC2" w:rsidP="00303AA0">
      <w:pPr>
        <w:spacing w:after="0" w:line="240" w:lineRule="auto"/>
        <w:jc w:val="center"/>
        <w:rPr>
          <w:b/>
          <w:bCs/>
          <w:color w:val="00457D"/>
          <w:sz w:val="24"/>
          <w:szCs w:val="24"/>
          <w:u w:color="00457D"/>
        </w:rPr>
      </w:pPr>
      <w:r>
        <w:rPr>
          <w:b/>
          <w:bCs/>
          <w:color w:val="00457D"/>
          <w:sz w:val="24"/>
          <w:szCs w:val="24"/>
          <w:u w:color="00457D"/>
        </w:rPr>
        <w:lastRenderedPageBreak/>
        <w:t xml:space="preserve">Figura </w:t>
      </w:r>
      <w:r w:rsidR="001E3B61">
        <w:rPr>
          <w:b/>
          <w:bCs/>
          <w:color w:val="00457D"/>
          <w:sz w:val="24"/>
          <w:szCs w:val="24"/>
          <w:u w:color="00457D"/>
        </w:rPr>
        <w:t>10</w:t>
      </w:r>
    </w:p>
    <w:p w:rsidR="004B6DC2" w:rsidRDefault="005A434C" w:rsidP="00F23D8B">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2DC0797C" wp14:editId="4C0160E3">
            <wp:extent cx="5760000" cy="3881274"/>
            <wp:effectExtent l="0" t="0" r="0" b="508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3881274"/>
                    </a:xfrm>
                    <a:prstGeom prst="rect">
                      <a:avLst/>
                    </a:prstGeom>
                    <a:noFill/>
                  </pic:spPr>
                </pic:pic>
              </a:graphicData>
            </a:graphic>
          </wp:inline>
        </w:drawing>
      </w:r>
    </w:p>
    <w:p w:rsidR="001C3D01" w:rsidRDefault="001C3D01">
      <w:pPr>
        <w:spacing w:after="0" w:line="240" w:lineRule="auto"/>
        <w:rPr>
          <w:b/>
          <w:bCs/>
          <w:color w:val="00457D"/>
          <w:sz w:val="24"/>
          <w:szCs w:val="24"/>
          <w:u w:color="00457D"/>
        </w:rPr>
      </w:pPr>
    </w:p>
    <w:p w:rsidR="001B3764" w:rsidRPr="00BF670A" w:rsidRDefault="00736C14" w:rsidP="00DB1360">
      <w:pPr>
        <w:spacing w:after="0" w:line="240" w:lineRule="auto"/>
        <w:jc w:val="center"/>
        <w:rPr>
          <w:b/>
          <w:bCs/>
          <w:color w:val="FF0000"/>
          <w:sz w:val="24"/>
          <w:szCs w:val="24"/>
          <w:u w:color="00457D"/>
        </w:rPr>
      </w:pPr>
      <w:r>
        <w:rPr>
          <w:b/>
          <w:bCs/>
          <w:color w:val="00457D"/>
          <w:sz w:val="24"/>
          <w:szCs w:val="24"/>
          <w:u w:color="00457D"/>
        </w:rPr>
        <w:t>Figura 1</w:t>
      </w:r>
      <w:r w:rsidR="001E3B61">
        <w:rPr>
          <w:b/>
          <w:bCs/>
          <w:color w:val="00457D"/>
          <w:sz w:val="24"/>
          <w:szCs w:val="24"/>
          <w:u w:color="00457D"/>
        </w:rPr>
        <w:t>1</w:t>
      </w:r>
    </w:p>
    <w:p w:rsidR="001B3764" w:rsidRPr="00466C2D" w:rsidRDefault="00403BEB" w:rsidP="005C1E56">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6BEED24F" wp14:editId="4407057A">
            <wp:extent cx="5760000" cy="3657340"/>
            <wp:effectExtent l="0" t="0" r="0" b="63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3657340"/>
                    </a:xfrm>
                    <a:prstGeom prst="rect">
                      <a:avLst/>
                    </a:prstGeom>
                    <a:noFill/>
                  </pic:spPr>
                </pic:pic>
              </a:graphicData>
            </a:graphic>
          </wp:inline>
        </w:drawing>
      </w:r>
    </w:p>
    <w:p w:rsidR="00A45C23" w:rsidRPr="00466C2D" w:rsidRDefault="00A45C23">
      <w:pPr>
        <w:spacing w:after="0" w:line="240" w:lineRule="auto"/>
        <w:rPr>
          <w:b/>
          <w:bCs/>
          <w:color w:val="00457D"/>
          <w:sz w:val="24"/>
          <w:szCs w:val="24"/>
          <w:u w:color="00457D"/>
        </w:rPr>
      </w:pPr>
    </w:p>
    <w:p w:rsidR="00DF30EE" w:rsidRDefault="00DF30EE">
      <w:pPr>
        <w:spacing w:after="0" w:line="240" w:lineRule="auto"/>
        <w:rPr>
          <w:b/>
          <w:bCs/>
          <w:color w:val="00457D"/>
          <w:sz w:val="24"/>
          <w:szCs w:val="24"/>
          <w:u w:color="00457D"/>
        </w:rPr>
      </w:pPr>
    </w:p>
    <w:p w:rsidR="00061647" w:rsidRDefault="00061647">
      <w:pPr>
        <w:spacing w:after="0" w:line="240" w:lineRule="auto"/>
        <w:rPr>
          <w:b/>
          <w:bCs/>
          <w:color w:val="00457D"/>
          <w:sz w:val="24"/>
          <w:szCs w:val="24"/>
          <w:u w:color="00457D"/>
        </w:rPr>
      </w:pPr>
      <w:r>
        <w:rPr>
          <w:b/>
          <w:bCs/>
          <w:color w:val="00457D"/>
          <w:sz w:val="24"/>
          <w:szCs w:val="24"/>
          <w:u w:color="00457D"/>
        </w:rPr>
        <w:br w:type="page"/>
      </w:r>
    </w:p>
    <w:p w:rsidR="004B6DC2" w:rsidRPr="004B6DC2" w:rsidRDefault="004B6DC2" w:rsidP="00005129">
      <w:pPr>
        <w:spacing w:after="0" w:line="240" w:lineRule="auto"/>
        <w:jc w:val="center"/>
        <w:rPr>
          <w:b/>
          <w:bCs/>
          <w:color w:val="00457D"/>
          <w:sz w:val="24"/>
          <w:szCs w:val="24"/>
          <w:u w:color="00457D"/>
        </w:rPr>
      </w:pPr>
      <w:r w:rsidRPr="004B6DC2">
        <w:rPr>
          <w:b/>
          <w:bCs/>
          <w:color w:val="00457D"/>
          <w:sz w:val="24"/>
          <w:szCs w:val="24"/>
          <w:u w:color="00457D"/>
        </w:rPr>
        <w:lastRenderedPageBreak/>
        <w:t>Figura 1</w:t>
      </w:r>
      <w:r w:rsidR="001E3B61">
        <w:rPr>
          <w:b/>
          <w:bCs/>
          <w:color w:val="00457D"/>
          <w:sz w:val="24"/>
          <w:szCs w:val="24"/>
          <w:u w:color="00457D"/>
        </w:rPr>
        <w:t>2</w:t>
      </w:r>
    </w:p>
    <w:p w:rsidR="003D05A8" w:rsidRDefault="005A434C" w:rsidP="00061647">
      <w:pPr>
        <w:spacing w:after="120"/>
        <w:jc w:val="center"/>
        <w:rPr>
          <w:b/>
          <w:bCs/>
          <w:color w:val="00457D"/>
          <w:sz w:val="24"/>
          <w:szCs w:val="24"/>
          <w:u w:color="00457D"/>
        </w:rPr>
      </w:pPr>
      <w:r>
        <w:rPr>
          <w:b/>
          <w:bCs/>
          <w:noProof/>
          <w:color w:val="00457D"/>
          <w:sz w:val="24"/>
          <w:szCs w:val="24"/>
          <w:u w:color="00457D"/>
        </w:rPr>
        <w:drawing>
          <wp:inline distT="0" distB="0" distL="0" distR="0" wp14:anchorId="5C69FEFF" wp14:editId="69686921">
            <wp:extent cx="5760000" cy="3653478"/>
            <wp:effectExtent l="0" t="0" r="0" b="444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3653478"/>
                    </a:xfrm>
                    <a:prstGeom prst="rect">
                      <a:avLst/>
                    </a:prstGeom>
                    <a:noFill/>
                  </pic:spPr>
                </pic:pic>
              </a:graphicData>
            </a:graphic>
          </wp:inline>
        </w:drawing>
      </w:r>
    </w:p>
    <w:p w:rsidR="00211923" w:rsidRPr="00466C2D" w:rsidRDefault="00211923" w:rsidP="00DF30EE">
      <w:pPr>
        <w:spacing w:after="0" w:line="240" w:lineRule="auto"/>
        <w:jc w:val="center"/>
        <w:rPr>
          <w:b/>
          <w:bCs/>
          <w:color w:val="00457D"/>
          <w:sz w:val="24"/>
          <w:szCs w:val="24"/>
          <w:u w:color="00457D"/>
        </w:rPr>
      </w:pPr>
    </w:p>
    <w:p w:rsidR="00211923" w:rsidRPr="00211923" w:rsidRDefault="00211923" w:rsidP="00211923">
      <w:pPr>
        <w:spacing w:after="0" w:line="240" w:lineRule="auto"/>
        <w:jc w:val="center"/>
        <w:rPr>
          <w:b/>
          <w:bCs/>
          <w:color w:val="00457D"/>
          <w:sz w:val="24"/>
          <w:szCs w:val="24"/>
          <w:u w:color="00457D"/>
        </w:rPr>
      </w:pPr>
      <w:r w:rsidRPr="008049CF">
        <w:rPr>
          <w:b/>
          <w:bCs/>
          <w:color w:val="00457D"/>
          <w:sz w:val="24"/>
          <w:szCs w:val="24"/>
          <w:u w:color="00457D"/>
        </w:rPr>
        <w:t xml:space="preserve">Figura </w:t>
      </w:r>
      <w:r w:rsidR="00D022C4" w:rsidRPr="008049CF">
        <w:rPr>
          <w:b/>
          <w:bCs/>
          <w:color w:val="00457D"/>
          <w:sz w:val="24"/>
          <w:szCs w:val="24"/>
          <w:u w:color="00457D"/>
        </w:rPr>
        <w:t>1</w:t>
      </w:r>
      <w:r w:rsidR="001E3B61">
        <w:rPr>
          <w:b/>
          <w:bCs/>
          <w:color w:val="00457D"/>
          <w:sz w:val="24"/>
          <w:szCs w:val="24"/>
          <w:u w:color="00457D"/>
        </w:rPr>
        <w:t>3</w:t>
      </w:r>
    </w:p>
    <w:p w:rsidR="00A15BB4" w:rsidRDefault="005A434C" w:rsidP="00012B67">
      <w:pPr>
        <w:spacing w:line="276" w:lineRule="auto"/>
        <w:jc w:val="center"/>
        <w:rPr>
          <w:color w:val="FF0000"/>
        </w:rPr>
      </w:pPr>
      <w:r>
        <w:rPr>
          <w:noProof/>
          <w:color w:val="FF0000"/>
        </w:rPr>
        <w:drawing>
          <wp:inline distT="0" distB="0" distL="0" distR="0" wp14:anchorId="659617CA" wp14:editId="4A1B8370">
            <wp:extent cx="5760000" cy="3634133"/>
            <wp:effectExtent l="0" t="0" r="0" b="444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3634133"/>
                    </a:xfrm>
                    <a:prstGeom prst="rect">
                      <a:avLst/>
                    </a:prstGeom>
                    <a:noFill/>
                  </pic:spPr>
                </pic:pic>
              </a:graphicData>
            </a:graphic>
          </wp:inline>
        </w:drawing>
      </w:r>
    </w:p>
    <w:p w:rsidR="00DF30EE" w:rsidRDefault="00DF30EE">
      <w:pPr>
        <w:spacing w:after="0" w:line="240" w:lineRule="auto"/>
        <w:rPr>
          <w:b/>
          <w:bCs/>
          <w:color w:val="00457D"/>
          <w:sz w:val="24"/>
          <w:szCs w:val="24"/>
          <w:u w:color="00457D"/>
        </w:rPr>
      </w:pPr>
    </w:p>
    <w:p w:rsidR="004B6DC2" w:rsidRDefault="004B6DC2" w:rsidP="004B6DC2">
      <w:pPr>
        <w:spacing w:after="0" w:line="240" w:lineRule="auto"/>
        <w:jc w:val="center"/>
        <w:rPr>
          <w:b/>
          <w:bCs/>
          <w:color w:val="00457D"/>
          <w:sz w:val="24"/>
          <w:szCs w:val="24"/>
          <w:u w:color="00457D"/>
        </w:rPr>
      </w:pPr>
    </w:p>
    <w:p w:rsidR="001C3537" w:rsidRDefault="001C3537" w:rsidP="00622991">
      <w:pPr>
        <w:spacing w:after="0" w:line="240" w:lineRule="auto"/>
        <w:jc w:val="center"/>
        <w:rPr>
          <w:b/>
          <w:bCs/>
          <w:color w:val="00457D"/>
          <w:sz w:val="24"/>
          <w:szCs w:val="24"/>
          <w:u w:color="00457D"/>
        </w:rPr>
      </w:pPr>
    </w:p>
    <w:p w:rsidR="00E03BC7" w:rsidRDefault="00E03BC7">
      <w:pPr>
        <w:spacing w:after="0" w:line="240" w:lineRule="auto"/>
        <w:rPr>
          <w:b/>
          <w:bCs/>
          <w:color w:val="00457D"/>
          <w:sz w:val="24"/>
          <w:szCs w:val="24"/>
          <w:u w:color="00457D"/>
        </w:rPr>
      </w:pPr>
      <w:r>
        <w:rPr>
          <w:b/>
          <w:bCs/>
          <w:color w:val="00457D"/>
          <w:sz w:val="24"/>
          <w:szCs w:val="24"/>
          <w:u w:color="00457D"/>
        </w:rPr>
        <w:br w:type="page"/>
      </w:r>
    </w:p>
    <w:p w:rsidR="004B6DC2" w:rsidRDefault="004B6DC2" w:rsidP="004B6DC2">
      <w:pPr>
        <w:spacing w:after="0" w:line="240" w:lineRule="auto"/>
        <w:jc w:val="center"/>
        <w:rPr>
          <w:b/>
          <w:bCs/>
          <w:color w:val="00457D"/>
          <w:sz w:val="24"/>
          <w:szCs w:val="24"/>
          <w:u w:color="00457D"/>
        </w:rPr>
      </w:pPr>
      <w:r w:rsidRPr="00466C2D">
        <w:rPr>
          <w:b/>
          <w:bCs/>
          <w:color w:val="00457D"/>
          <w:sz w:val="24"/>
          <w:szCs w:val="24"/>
          <w:u w:color="00457D"/>
        </w:rPr>
        <w:lastRenderedPageBreak/>
        <w:t xml:space="preserve">Figura </w:t>
      </w:r>
      <w:r w:rsidR="001E3B61">
        <w:rPr>
          <w:b/>
          <w:bCs/>
          <w:color w:val="00457D"/>
          <w:sz w:val="24"/>
          <w:szCs w:val="24"/>
          <w:u w:color="00457D"/>
        </w:rPr>
        <w:t>14</w:t>
      </w:r>
    </w:p>
    <w:p w:rsidR="00061647" w:rsidRDefault="005A434C" w:rsidP="00E03BC7">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1C8E3E79" wp14:editId="17FF792F">
            <wp:extent cx="5652000" cy="4258954"/>
            <wp:effectExtent l="0" t="0" r="6350" b="825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2000" cy="4258954"/>
                    </a:xfrm>
                    <a:prstGeom prst="rect">
                      <a:avLst/>
                    </a:prstGeom>
                    <a:noFill/>
                  </pic:spPr>
                </pic:pic>
              </a:graphicData>
            </a:graphic>
          </wp:inline>
        </w:drawing>
      </w:r>
    </w:p>
    <w:p w:rsidR="00E03BC7" w:rsidRDefault="00E03BC7" w:rsidP="00E03BC7">
      <w:pPr>
        <w:spacing w:after="0" w:line="240" w:lineRule="auto"/>
        <w:jc w:val="center"/>
        <w:rPr>
          <w:b/>
          <w:bCs/>
          <w:color w:val="00457D"/>
          <w:sz w:val="24"/>
          <w:szCs w:val="24"/>
          <w:u w:color="00457D"/>
        </w:rPr>
      </w:pPr>
    </w:p>
    <w:p w:rsidR="001B2CE3" w:rsidRDefault="004B6DC2" w:rsidP="002B5AE9">
      <w:pPr>
        <w:spacing w:after="0" w:line="240" w:lineRule="auto"/>
        <w:jc w:val="center"/>
        <w:rPr>
          <w:b/>
          <w:bCs/>
          <w:color w:val="00457D"/>
          <w:sz w:val="24"/>
          <w:szCs w:val="24"/>
          <w:u w:color="00457D"/>
        </w:rPr>
      </w:pPr>
      <w:r w:rsidRPr="00D001BF">
        <w:rPr>
          <w:b/>
          <w:bCs/>
          <w:color w:val="00457D"/>
          <w:sz w:val="24"/>
          <w:szCs w:val="24"/>
          <w:u w:color="00457D"/>
        </w:rPr>
        <w:t xml:space="preserve">Figura </w:t>
      </w:r>
      <w:r w:rsidR="001E3B61">
        <w:rPr>
          <w:b/>
          <w:bCs/>
          <w:color w:val="00457D"/>
          <w:sz w:val="24"/>
          <w:szCs w:val="24"/>
          <w:u w:color="00457D"/>
        </w:rPr>
        <w:t>15</w:t>
      </w:r>
    </w:p>
    <w:p w:rsidR="004B6DC2" w:rsidRDefault="005A434C" w:rsidP="00A462EE">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3ED8AFA7" wp14:editId="19D7809F">
            <wp:extent cx="5652000" cy="4214563"/>
            <wp:effectExtent l="0" t="0" r="635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2000" cy="4214563"/>
                    </a:xfrm>
                    <a:prstGeom prst="rect">
                      <a:avLst/>
                    </a:prstGeom>
                    <a:noFill/>
                  </pic:spPr>
                </pic:pic>
              </a:graphicData>
            </a:graphic>
          </wp:inline>
        </w:drawing>
      </w:r>
    </w:p>
    <w:p w:rsidR="006E14AA" w:rsidRDefault="006E14AA" w:rsidP="00A462EE">
      <w:pPr>
        <w:spacing w:after="0" w:line="240" w:lineRule="auto"/>
        <w:jc w:val="center"/>
        <w:rPr>
          <w:b/>
          <w:bCs/>
          <w:color w:val="00457D"/>
          <w:sz w:val="24"/>
          <w:szCs w:val="24"/>
          <w:u w:color="00457D"/>
        </w:rPr>
      </w:pPr>
    </w:p>
    <w:p w:rsidR="00C359C9" w:rsidRDefault="00C359C9" w:rsidP="00C359C9">
      <w:pPr>
        <w:spacing w:after="0" w:line="240" w:lineRule="auto"/>
        <w:jc w:val="center"/>
        <w:rPr>
          <w:b/>
          <w:bCs/>
          <w:color w:val="00457D"/>
          <w:sz w:val="24"/>
          <w:szCs w:val="24"/>
          <w:u w:color="00457D"/>
        </w:rPr>
      </w:pPr>
      <w:r w:rsidRPr="00D001BF">
        <w:rPr>
          <w:b/>
          <w:bCs/>
          <w:color w:val="00457D"/>
          <w:sz w:val="24"/>
          <w:szCs w:val="24"/>
          <w:u w:color="00457D"/>
        </w:rPr>
        <w:t>Figura</w:t>
      </w:r>
      <w:r>
        <w:rPr>
          <w:b/>
          <w:bCs/>
          <w:color w:val="00457D"/>
          <w:sz w:val="24"/>
          <w:szCs w:val="24"/>
          <w:u w:color="00457D"/>
        </w:rPr>
        <w:t xml:space="preserve"> </w:t>
      </w:r>
      <w:r w:rsidR="001E3B61">
        <w:rPr>
          <w:b/>
          <w:bCs/>
          <w:color w:val="00457D"/>
          <w:sz w:val="24"/>
          <w:szCs w:val="24"/>
          <w:u w:color="00457D"/>
        </w:rPr>
        <w:t>16</w:t>
      </w:r>
    </w:p>
    <w:p w:rsidR="006E14AA" w:rsidRDefault="005A434C" w:rsidP="00C359C9">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7B6E1D43" wp14:editId="4A659ACF">
            <wp:extent cx="5760000" cy="3490318"/>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3490318"/>
                    </a:xfrm>
                    <a:prstGeom prst="rect">
                      <a:avLst/>
                    </a:prstGeom>
                    <a:noFill/>
                  </pic:spPr>
                </pic:pic>
              </a:graphicData>
            </a:graphic>
          </wp:inline>
        </w:drawing>
      </w:r>
    </w:p>
    <w:p w:rsidR="006E14AA" w:rsidRDefault="006E14AA" w:rsidP="00C359C9">
      <w:pPr>
        <w:spacing w:after="0" w:line="240" w:lineRule="auto"/>
        <w:jc w:val="center"/>
        <w:rPr>
          <w:b/>
          <w:bCs/>
          <w:color w:val="00457D"/>
          <w:sz w:val="24"/>
          <w:szCs w:val="24"/>
          <w:u w:color="00457D"/>
        </w:rPr>
      </w:pPr>
    </w:p>
    <w:p w:rsidR="006E14AA" w:rsidRDefault="006E14AA" w:rsidP="006E14AA">
      <w:pPr>
        <w:spacing w:after="0" w:line="240" w:lineRule="auto"/>
        <w:jc w:val="center"/>
        <w:rPr>
          <w:b/>
          <w:bCs/>
          <w:color w:val="00457D"/>
          <w:sz w:val="24"/>
          <w:szCs w:val="24"/>
          <w:u w:color="00457D"/>
        </w:rPr>
      </w:pPr>
      <w:r w:rsidRPr="00D001BF">
        <w:rPr>
          <w:b/>
          <w:bCs/>
          <w:color w:val="00457D"/>
          <w:sz w:val="24"/>
          <w:szCs w:val="24"/>
          <w:u w:color="00457D"/>
        </w:rPr>
        <w:t>Figura</w:t>
      </w:r>
      <w:r>
        <w:rPr>
          <w:b/>
          <w:bCs/>
          <w:color w:val="00457D"/>
          <w:sz w:val="24"/>
          <w:szCs w:val="24"/>
          <w:u w:color="00457D"/>
        </w:rPr>
        <w:t xml:space="preserve"> </w:t>
      </w:r>
      <w:r w:rsidR="001E3B61">
        <w:rPr>
          <w:b/>
          <w:bCs/>
          <w:color w:val="00457D"/>
          <w:sz w:val="24"/>
          <w:szCs w:val="24"/>
          <w:u w:color="00457D"/>
        </w:rPr>
        <w:t>17</w:t>
      </w:r>
    </w:p>
    <w:p w:rsidR="007E1AAC" w:rsidRDefault="005A434C" w:rsidP="006E14AA">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36F0E0A0" wp14:editId="51E62367">
            <wp:extent cx="5760000" cy="4298414"/>
            <wp:effectExtent l="0" t="0" r="0" b="698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4298414"/>
                    </a:xfrm>
                    <a:prstGeom prst="rect">
                      <a:avLst/>
                    </a:prstGeom>
                    <a:noFill/>
                  </pic:spPr>
                </pic:pic>
              </a:graphicData>
            </a:graphic>
          </wp:inline>
        </w:drawing>
      </w:r>
    </w:p>
    <w:p w:rsidR="00C359C9" w:rsidRDefault="00C359C9" w:rsidP="00E03BC7">
      <w:pPr>
        <w:spacing w:after="0" w:line="240" w:lineRule="auto"/>
        <w:jc w:val="center"/>
        <w:rPr>
          <w:b/>
          <w:bCs/>
          <w:color w:val="00457D"/>
          <w:sz w:val="24"/>
          <w:szCs w:val="24"/>
          <w:u w:color="00457D"/>
        </w:rPr>
        <w:sectPr w:rsidR="00C359C9" w:rsidSect="005B4AE1">
          <w:pgSz w:w="11900" w:h="16840"/>
          <w:pgMar w:top="1134" w:right="1134" w:bottom="1418" w:left="1134" w:header="709" w:footer="709" w:gutter="0"/>
          <w:cols w:space="720"/>
        </w:sectPr>
      </w:pPr>
    </w:p>
    <w:p w:rsidR="00AC2737" w:rsidRDefault="00775180" w:rsidP="00AC2737">
      <w:pPr>
        <w:spacing w:line="240" w:lineRule="auto"/>
        <w:jc w:val="center"/>
        <w:rPr>
          <w:b/>
          <w:bCs/>
          <w:color w:val="00457D"/>
          <w:sz w:val="24"/>
          <w:szCs w:val="24"/>
          <w:u w:color="00457D"/>
        </w:rPr>
      </w:pPr>
      <w:r w:rsidRPr="00F26C68">
        <w:rPr>
          <w:b/>
          <w:bCs/>
          <w:color w:val="00457D"/>
          <w:sz w:val="24"/>
          <w:szCs w:val="24"/>
          <w:u w:color="00457D"/>
        </w:rPr>
        <w:lastRenderedPageBreak/>
        <w:t xml:space="preserve">Figura </w:t>
      </w:r>
      <w:r w:rsidR="001E3B61">
        <w:rPr>
          <w:b/>
          <w:bCs/>
          <w:color w:val="00457D"/>
          <w:sz w:val="24"/>
          <w:szCs w:val="24"/>
          <w:u w:color="00457D"/>
        </w:rPr>
        <w:t>18</w:t>
      </w:r>
    </w:p>
    <w:p w:rsidR="004066D0" w:rsidRDefault="001E3B61" w:rsidP="00AC2737">
      <w:pPr>
        <w:spacing w:line="240" w:lineRule="auto"/>
        <w:jc w:val="center"/>
        <w:rPr>
          <w:b/>
          <w:bCs/>
          <w:noProof/>
          <w:color w:val="00457D"/>
          <w:sz w:val="24"/>
          <w:szCs w:val="24"/>
          <w:u w:color="00457D"/>
        </w:rPr>
      </w:pPr>
      <w:r>
        <w:rPr>
          <w:b/>
          <w:bCs/>
          <w:noProof/>
          <w:color w:val="00457D"/>
          <w:sz w:val="24"/>
          <w:szCs w:val="24"/>
          <w:u w:color="00457D"/>
        </w:rPr>
        <w:drawing>
          <wp:inline distT="0" distB="0" distL="0" distR="0" wp14:anchorId="04E918FD" wp14:editId="7D704AF8">
            <wp:extent cx="9360000" cy="5273582"/>
            <wp:effectExtent l="0" t="0" r="0" b="38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60000" cy="5273582"/>
                    </a:xfrm>
                    <a:prstGeom prst="rect">
                      <a:avLst/>
                    </a:prstGeom>
                    <a:noFill/>
                  </pic:spPr>
                </pic:pic>
              </a:graphicData>
            </a:graphic>
          </wp:inline>
        </w:drawing>
      </w:r>
    </w:p>
    <w:p w:rsidR="00AC2737" w:rsidRDefault="00AC2737" w:rsidP="004B6DC2">
      <w:pPr>
        <w:spacing w:line="240" w:lineRule="auto"/>
        <w:jc w:val="center"/>
        <w:rPr>
          <w:b/>
          <w:bCs/>
          <w:color w:val="00457D"/>
          <w:sz w:val="24"/>
          <w:szCs w:val="24"/>
          <w:u w:color="00457D"/>
        </w:rPr>
        <w:sectPr w:rsidR="00AC2737" w:rsidSect="005B4AE1">
          <w:pgSz w:w="16840" w:h="11900" w:orient="landscape"/>
          <w:pgMar w:top="1134" w:right="1134" w:bottom="1134" w:left="1418" w:header="709" w:footer="709" w:gutter="0"/>
          <w:cols w:space="720"/>
          <w:docGrid w:linePitch="299"/>
        </w:sectPr>
      </w:pPr>
    </w:p>
    <w:p w:rsidR="005A434C" w:rsidRDefault="004D16FF" w:rsidP="005A434C">
      <w:pPr>
        <w:spacing w:line="276" w:lineRule="auto"/>
        <w:jc w:val="center"/>
      </w:pPr>
      <w:r w:rsidRPr="00FE45DD">
        <w:rPr>
          <w:b/>
          <w:bCs/>
          <w:color w:val="00457D"/>
          <w:sz w:val="24"/>
          <w:szCs w:val="24"/>
          <w:u w:color="00457D"/>
        </w:rPr>
        <w:lastRenderedPageBreak/>
        <w:t xml:space="preserve">Tabella 1. Indicatori regionali: settimana </w:t>
      </w:r>
      <w:r w:rsidR="005A434C">
        <w:rPr>
          <w:b/>
          <w:bCs/>
          <w:color w:val="00457D"/>
          <w:sz w:val="24"/>
          <w:szCs w:val="24"/>
          <w:u w:color="00457D"/>
        </w:rPr>
        <w:t>30</w:t>
      </w:r>
      <w:r w:rsidR="00120F46" w:rsidRPr="00FE45DD">
        <w:rPr>
          <w:b/>
          <w:bCs/>
          <w:color w:val="00457D"/>
          <w:sz w:val="24"/>
          <w:szCs w:val="24"/>
          <w:u w:color="00457D"/>
        </w:rPr>
        <w:t xml:space="preserve"> marzo</w:t>
      </w:r>
      <w:r w:rsidR="005A434C">
        <w:rPr>
          <w:b/>
          <w:bCs/>
          <w:color w:val="00457D"/>
          <w:sz w:val="24"/>
          <w:szCs w:val="24"/>
          <w:u w:color="00457D"/>
        </w:rPr>
        <w:t>-5 aprile</w:t>
      </w:r>
      <w:r w:rsidRPr="00FE45DD">
        <w:rPr>
          <w:b/>
          <w:bCs/>
          <w:color w:val="00457D"/>
          <w:sz w:val="24"/>
          <w:szCs w:val="24"/>
          <w:u w:color="00457D"/>
        </w:rPr>
        <w:t xml:space="preserve"> 2022</w:t>
      </w:r>
    </w:p>
    <w:tbl>
      <w:tblPr>
        <w:tblW w:w="9695" w:type="dxa"/>
        <w:tblInd w:w="-5" w:type="dxa"/>
        <w:tblCellMar>
          <w:left w:w="70" w:type="dxa"/>
          <w:right w:w="70" w:type="dxa"/>
        </w:tblCellMar>
        <w:tblLook w:val="04A0" w:firstRow="1" w:lastRow="0" w:firstColumn="1" w:lastColumn="0" w:noHBand="0" w:noVBand="1"/>
      </w:tblPr>
      <w:tblGrid>
        <w:gridCol w:w="2127"/>
        <w:gridCol w:w="1660"/>
        <w:gridCol w:w="1458"/>
        <w:gridCol w:w="2268"/>
        <w:gridCol w:w="2126"/>
        <w:gridCol w:w="56"/>
      </w:tblGrid>
      <w:tr w:rsidR="005A434C" w:rsidRPr="005A434C" w:rsidTr="00936C2E">
        <w:trPr>
          <w:gridAfter w:val="1"/>
          <w:wAfter w:w="56" w:type="dxa"/>
          <w:trHeight w:val="907"/>
        </w:trPr>
        <w:tc>
          <w:tcPr>
            <w:tcW w:w="2127" w:type="dxa"/>
            <w:tcBorders>
              <w:top w:val="single" w:sz="4" w:space="0" w:color="00457D"/>
              <w:left w:val="single" w:sz="4" w:space="0" w:color="00457D"/>
              <w:bottom w:val="single" w:sz="4" w:space="0" w:color="00457D"/>
              <w:right w:val="single" w:sz="4" w:space="0" w:color="FFFFFF"/>
            </w:tcBorders>
            <w:shd w:val="clear" w:color="000000" w:fill="00457D"/>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5A434C">
              <w:rPr>
                <w:rFonts w:eastAsia="Times New Roman" w:cs="Calibri"/>
                <w:b/>
                <w:bCs/>
                <w:color w:val="FFFFFF"/>
                <w:bdr w:val="none" w:sz="0" w:space="0" w:color="auto"/>
              </w:rPr>
              <w:t>Regione</w:t>
            </w:r>
          </w:p>
        </w:tc>
        <w:tc>
          <w:tcPr>
            <w:tcW w:w="1660" w:type="dxa"/>
            <w:tcBorders>
              <w:top w:val="single" w:sz="4" w:space="0" w:color="00457D"/>
              <w:left w:val="nil"/>
              <w:bottom w:val="single" w:sz="4" w:space="0" w:color="00457D"/>
              <w:right w:val="single" w:sz="4" w:space="0" w:color="FFFFFF"/>
            </w:tcBorders>
            <w:shd w:val="clear" w:color="000000" w:fill="00457D"/>
            <w:vAlign w:val="center"/>
            <w:hideMark/>
          </w:tcPr>
          <w:p w:rsidR="005A434C" w:rsidRPr="005A434C" w:rsidRDefault="005A434C" w:rsidP="005A434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sz w:val="21"/>
                <w:szCs w:val="21"/>
                <w:bdr w:val="none" w:sz="0" w:space="0" w:color="auto"/>
              </w:rPr>
            </w:pPr>
            <w:r w:rsidRPr="005A434C">
              <w:rPr>
                <w:rFonts w:eastAsia="Times New Roman" w:cs="Calibri"/>
                <w:b/>
                <w:bCs/>
                <w:color w:val="FFFFFF"/>
                <w:sz w:val="21"/>
                <w:szCs w:val="21"/>
                <w:bdr w:val="none" w:sz="0" w:space="0" w:color="auto"/>
              </w:rPr>
              <w:t>Casi attualmente positivi per 100.000 abitanti</w:t>
            </w:r>
          </w:p>
        </w:tc>
        <w:tc>
          <w:tcPr>
            <w:tcW w:w="1458" w:type="dxa"/>
            <w:tcBorders>
              <w:top w:val="single" w:sz="4" w:space="0" w:color="00457D"/>
              <w:left w:val="nil"/>
              <w:bottom w:val="single" w:sz="4" w:space="0" w:color="00457D"/>
              <w:right w:val="single" w:sz="4" w:space="0" w:color="FFFFFF"/>
            </w:tcBorders>
            <w:shd w:val="clear" w:color="000000" w:fill="00457D"/>
            <w:vAlign w:val="center"/>
            <w:hideMark/>
          </w:tcPr>
          <w:p w:rsidR="005A434C" w:rsidRPr="005A434C" w:rsidRDefault="005A434C" w:rsidP="005A434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5A434C">
              <w:rPr>
                <w:rFonts w:eastAsia="Times New Roman" w:cs="Calibri"/>
                <w:b/>
                <w:bCs/>
                <w:color w:val="FFFFFF"/>
                <w:bdr w:val="none" w:sz="0" w:space="0" w:color="auto"/>
              </w:rPr>
              <w:t xml:space="preserve">Variazione </w:t>
            </w:r>
            <w:r w:rsidRPr="005A434C">
              <w:rPr>
                <w:rFonts w:eastAsia="Times New Roman" w:cs="Calibri"/>
                <w:b/>
                <w:bCs/>
                <w:color w:val="FFFFFF"/>
                <w:bdr w:val="none" w:sz="0" w:space="0" w:color="auto"/>
              </w:rPr>
              <w:br/>
              <w:t>% nuovi casi</w:t>
            </w:r>
          </w:p>
        </w:tc>
        <w:tc>
          <w:tcPr>
            <w:tcW w:w="2268" w:type="dxa"/>
            <w:tcBorders>
              <w:top w:val="single" w:sz="4" w:space="0" w:color="00457D"/>
              <w:left w:val="nil"/>
              <w:bottom w:val="single" w:sz="4" w:space="0" w:color="00457D"/>
              <w:right w:val="single" w:sz="4" w:space="0" w:color="FFFFFF"/>
            </w:tcBorders>
            <w:shd w:val="clear" w:color="000000" w:fill="00457D"/>
            <w:vAlign w:val="center"/>
            <w:hideMark/>
          </w:tcPr>
          <w:p w:rsidR="005A434C" w:rsidRPr="005A434C" w:rsidRDefault="005A434C" w:rsidP="005A434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5A434C">
              <w:rPr>
                <w:rFonts w:eastAsia="Times New Roman" w:cs="Calibri"/>
                <w:b/>
                <w:bCs/>
                <w:color w:val="FFFFFF"/>
                <w:bdr w:val="none" w:sz="0" w:space="0" w:color="auto"/>
              </w:rPr>
              <w:t>Posti letto in area medica occupati da pazienti COVID−19</w:t>
            </w:r>
          </w:p>
        </w:tc>
        <w:tc>
          <w:tcPr>
            <w:tcW w:w="2126" w:type="dxa"/>
            <w:tcBorders>
              <w:top w:val="single" w:sz="4" w:space="0" w:color="00457D"/>
              <w:left w:val="nil"/>
              <w:bottom w:val="single" w:sz="4" w:space="0" w:color="00457D"/>
              <w:right w:val="single" w:sz="4" w:space="0" w:color="00457D"/>
            </w:tcBorders>
            <w:shd w:val="clear" w:color="000000" w:fill="00457D"/>
            <w:vAlign w:val="center"/>
            <w:hideMark/>
          </w:tcPr>
          <w:p w:rsidR="005A434C" w:rsidRPr="005A434C" w:rsidRDefault="005A434C" w:rsidP="005A434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5A434C">
              <w:rPr>
                <w:rFonts w:eastAsia="Times New Roman" w:cs="Calibri"/>
                <w:b/>
                <w:bCs/>
                <w:color w:val="FFFFFF"/>
                <w:bdr w:val="none" w:sz="0" w:space="0" w:color="auto"/>
              </w:rPr>
              <w:t xml:space="preserve">Posti letto in terapia intensiva occupati da </w:t>
            </w:r>
            <w:r w:rsidRPr="005A434C">
              <w:rPr>
                <w:rFonts w:eastAsia="Times New Roman" w:cs="Calibri"/>
                <w:b/>
                <w:bCs/>
                <w:color w:val="FFFFFF"/>
                <w:bdr w:val="none" w:sz="0" w:space="0" w:color="auto"/>
              </w:rPr>
              <w:br/>
              <w:t>pazienti COVID−19</w:t>
            </w:r>
          </w:p>
        </w:tc>
      </w:tr>
      <w:tr w:rsidR="005A434C" w:rsidRPr="005A434C" w:rsidTr="00936C2E">
        <w:trPr>
          <w:gridAfter w:val="1"/>
          <w:wAfter w:w="56" w:type="dxa"/>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A434C">
              <w:rPr>
                <w:rFonts w:eastAsia="Times New Roman" w:cs="Calibri"/>
                <w:bdr w:val="none" w:sz="0" w:space="0" w:color="auto"/>
              </w:rPr>
              <w:t>Abruzzo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3.294</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-4,4%</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23,4%</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8,3%</w:t>
            </w:r>
          </w:p>
        </w:tc>
      </w:tr>
      <w:tr w:rsidR="005A434C" w:rsidRPr="005A434C" w:rsidTr="00936C2E">
        <w:trPr>
          <w:gridAfter w:val="1"/>
          <w:wAfter w:w="56" w:type="dxa"/>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A434C">
              <w:rPr>
                <w:rFonts w:eastAsia="Times New Roman" w:cs="Calibri"/>
                <w:bdr w:val="none" w:sz="0" w:space="0" w:color="auto"/>
              </w:rPr>
              <w:t>Basilicata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4.803</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-8,9%</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25,8%</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1,3%</w:t>
            </w:r>
          </w:p>
        </w:tc>
      </w:tr>
      <w:tr w:rsidR="005A434C" w:rsidRPr="005A434C" w:rsidTr="00936C2E">
        <w:trPr>
          <w:gridAfter w:val="1"/>
          <w:wAfter w:w="56" w:type="dxa"/>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A434C">
              <w:rPr>
                <w:rFonts w:eastAsia="Times New Roman" w:cs="Calibri"/>
                <w:bdr w:val="none" w:sz="0" w:space="0" w:color="auto"/>
              </w:rPr>
              <w:t>Calabria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4.222</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-11,6%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33,9%</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10,1%</w:t>
            </w:r>
          </w:p>
        </w:tc>
      </w:tr>
      <w:tr w:rsidR="005A434C" w:rsidRPr="005A434C" w:rsidTr="00936C2E">
        <w:trPr>
          <w:gridAfter w:val="1"/>
          <w:wAfter w:w="56" w:type="dxa"/>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A434C">
              <w:rPr>
                <w:rFonts w:eastAsia="Times New Roman" w:cs="Calibri"/>
                <w:bdr w:val="none" w:sz="0" w:space="0" w:color="auto"/>
              </w:rPr>
              <w:t>Campania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2.970</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-7,9%</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17,6%</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6,0%</w:t>
            </w:r>
          </w:p>
        </w:tc>
      </w:tr>
      <w:tr w:rsidR="005A434C" w:rsidRPr="005A434C" w:rsidTr="00936C2E">
        <w:trPr>
          <w:gridAfter w:val="1"/>
          <w:wAfter w:w="56" w:type="dxa"/>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A434C">
              <w:rPr>
                <w:rFonts w:eastAsia="Times New Roman" w:cs="Calibri"/>
                <w:bdr w:val="none" w:sz="0" w:space="0" w:color="auto"/>
              </w:rPr>
              <w:t>Emilia Romagna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1.214</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10,4%</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13,4%</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4,3%</w:t>
            </w:r>
          </w:p>
        </w:tc>
      </w:tr>
      <w:tr w:rsidR="005A434C" w:rsidRPr="005A434C" w:rsidTr="00936C2E">
        <w:trPr>
          <w:gridAfter w:val="1"/>
          <w:wAfter w:w="56" w:type="dxa"/>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A434C">
              <w:rPr>
                <w:rFonts w:eastAsia="Times New Roman" w:cs="Calibri"/>
                <w:bdr w:val="none" w:sz="0" w:space="0" w:color="auto"/>
              </w:rPr>
              <w:t>Friuli Venezia Giulia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2.001</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-1,4%</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11,2%</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2,9%</w:t>
            </w:r>
          </w:p>
        </w:tc>
      </w:tr>
      <w:tr w:rsidR="005A434C" w:rsidRPr="005A434C" w:rsidTr="00936C2E">
        <w:trPr>
          <w:gridAfter w:val="1"/>
          <w:wAfter w:w="56" w:type="dxa"/>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A434C">
              <w:rPr>
                <w:rFonts w:eastAsia="Times New Roman" w:cs="Calibri"/>
                <w:bdr w:val="none" w:sz="0" w:space="0" w:color="auto"/>
              </w:rPr>
              <w:t>Lazio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2.315</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-3,5%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17,8%</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8,3%</w:t>
            </w:r>
          </w:p>
        </w:tc>
      </w:tr>
      <w:tr w:rsidR="005A434C" w:rsidRPr="005A434C" w:rsidTr="00936C2E">
        <w:trPr>
          <w:gridAfter w:val="1"/>
          <w:wAfter w:w="56" w:type="dxa"/>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A434C">
              <w:rPr>
                <w:rFonts w:eastAsia="Times New Roman" w:cs="Calibri"/>
                <w:bdr w:val="none" w:sz="0" w:space="0" w:color="auto"/>
              </w:rPr>
              <w:t>Liguria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1.125</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-6,1%</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15,2%</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3,7%</w:t>
            </w:r>
          </w:p>
        </w:tc>
      </w:tr>
      <w:tr w:rsidR="005A434C" w:rsidRPr="005A434C" w:rsidTr="00936C2E">
        <w:trPr>
          <w:gridAfter w:val="1"/>
          <w:wAfter w:w="56" w:type="dxa"/>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A434C">
              <w:rPr>
                <w:rFonts w:eastAsia="Times New Roman" w:cs="Calibri"/>
                <w:bdr w:val="none" w:sz="0" w:space="0" w:color="auto"/>
              </w:rPr>
              <w:t>Lombardia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1.616</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-1,3%</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11,1%</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2,2%</w:t>
            </w:r>
          </w:p>
        </w:tc>
      </w:tr>
      <w:tr w:rsidR="005A434C" w:rsidRPr="005A434C" w:rsidTr="00936C2E">
        <w:trPr>
          <w:gridAfter w:val="1"/>
          <w:wAfter w:w="56" w:type="dxa"/>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A434C">
              <w:rPr>
                <w:rFonts w:eastAsia="Times New Roman" w:cs="Calibri"/>
                <w:bdr w:val="none" w:sz="0" w:space="0" w:color="auto"/>
              </w:rPr>
              <w:t>Marche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833</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-8,0%</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22,6%</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3,9%</w:t>
            </w:r>
          </w:p>
        </w:tc>
      </w:tr>
      <w:tr w:rsidR="005A434C" w:rsidRPr="005A434C" w:rsidTr="00936C2E">
        <w:trPr>
          <w:gridAfter w:val="1"/>
          <w:wAfter w:w="56" w:type="dxa"/>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A434C">
              <w:rPr>
                <w:rFonts w:eastAsia="Times New Roman" w:cs="Calibri"/>
                <w:bdr w:val="none" w:sz="0" w:space="0" w:color="auto"/>
              </w:rPr>
              <w:t>Molise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2.685</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3,6%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15,9%</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0,0%</w:t>
            </w:r>
          </w:p>
        </w:tc>
      </w:tr>
      <w:tr w:rsidR="005A434C" w:rsidRPr="005A434C" w:rsidTr="00936C2E">
        <w:trPr>
          <w:gridAfter w:val="1"/>
          <w:wAfter w:w="56" w:type="dxa"/>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A434C">
              <w:rPr>
                <w:rFonts w:eastAsia="Times New Roman" w:cs="Calibri"/>
                <w:bdr w:val="none" w:sz="0" w:space="0" w:color="auto"/>
              </w:rPr>
              <w:t>Piemonte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1.263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7,0%</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9,2%</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4,3%</w:t>
            </w:r>
          </w:p>
        </w:tc>
      </w:tr>
      <w:tr w:rsidR="005A434C" w:rsidRPr="005A434C" w:rsidTr="00936C2E">
        <w:trPr>
          <w:gridAfter w:val="1"/>
          <w:wAfter w:w="56" w:type="dxa"/>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A434C">
              <w:rPr>
                <w:rFonts w:eastAsia="Times New Roman" w:cs="Calibri"/>
                <w:bdr w:val="none" w:sz="0" w:space="0" w:color="auto"/>
              </w:rPr>
              <w:t>Prov. Aut. Bolzano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1.178</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-18,0%</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10,0%</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4,0%</w:t>
            </w:r>
          </w:p>
        </w:tc>
      </w:tr>
      <w:tr w:rsidR="005A434C" w:rsidRPr="005A434C" w:rsidTr="00936C2E">
        <w:trPr>
          <w:gridAfter w:val="1"/>
          <w:wAfter w:w="56" w:type="dxa"/>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A434C">
              <w:rPr>
                <w:rFonts w:eastAsia="Times New Roman" w:cs="Calibri"/>
                <w:bdr w:val="none" w:sz="0" w:space="0" w:color="auto"/>
              </w:rPr>
              <w:t>Prov. Aut. Trento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723</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-8,3%</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11,4%</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3,3%</w:t>
            </w:r>
          </w:p>
        </w:tc>
      </w:tr>
      <w:tr w:rsidR="005A434C" w:rsidRPr="005A434C" w:rsidTr="00936C2E">
        <w:trPr>
          <w:gridAfter w:val="1"/>
          <w:wAfter w:w="56" w:type="dxa"/>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A434C">
              <w:rPr>
                <w:rFonts w:eastAsia="Times New Roman" w:cs="Calibri"/>
                <w:bdr w:val="none" w:sz="0" w:space="0" w:color="auto"/>
              </w:rPr>
              <w:t>Puglia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2.900</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-13,2%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23,6%</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8,0%</w:t>
            </w:r>
          </w:p>
        </w:tc>
      </w:tr>
      <w:tr w:rsidR="005A434C" w:rsidRPr="005A434C" w:rsidTr="00936C2E">
        <w:trPr>
          <w:gridAfter w:val="1"/>
          <w:wAfter w:w="56" w:type="dxa"/>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A434C">
              <w:rPr>
                <w:rFonts w:eastAsia="Times New Roman" w:cs="Calibri"/>
                <w:bdr w:val="none" w:sz="0" w:space="0" w:color="auto"/>
              </w:rPr>
              <w:t>Sardegna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1.889</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-12,8%</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20,6%</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11,3%</w:t>
            </w:r>
          </w:p>
        </w:tc>
      </w:tr>
      <w:tr w:rsidR="005A434C" w:rsidRPr="005A434C" w:rsidTr="00936C2E">
        <w:trPr>
          <w:gridAfter w:val="1"/>
          <w:wAfter w:w="56" w:type="dxa"/>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A434C">
              <w:rPr>
                <w:rFonts w:eastAsia="Times New Roman" w:cs="Calibri"/>
                <w:bdr w:val="none" w:sz="0" w:space="0" w:color="auto"/>
              </w:rPr>
              <w:t>Sicilia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3.828</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-10,4%</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26,9%</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5,8%</w:t>
            </w:r>
          </w:p>
        </w:tc>
      </w:tr>
      <w:tr w:rsidR="005A434C" w:rsidRPr="005A434C" w:rsidTr="00936C2E">
        <w:trPr>
          <w:gridAfter w:val="1"/>
          <w:wAfter w:w="56" w:type="dxa"/>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A434C">
              <w:rPr>
                <w:rFonts w:eastAsia="Times New Roman" w:cs="Calibri"/>
                <w:bdr w:val="none" w:sz="0" w:space="0" w:color="auto"/>
              </w:rPr>
              <w:t>Toscana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1.352</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-7,4%</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18,0%</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8,1%</w:t>
            </w:r>
          </w:p>
        </w:tc>
      </w:tr>
      <w:tr w:rsidR="005A434C" w:rsidRPr="005A434C" w:rsidTr="00936C2E">
        <w:trPr>
          <w:gridAfter w:val="1"/>
          <w:wAfter w:w="56" w:type="dxa"/>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A434C">
              <w:rPr>
                <w:rFonts w:eastAsia="Times New Roman" w:cs="Calibri"/>
                <w:bdr w:val="none" w:sz="0" w:space="0" w:color="auto"/>
              </w:rPr>
              <w:t>Umbria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1.908</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-18,2%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42,4%</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3,5%</w:t>
            </w:r>
          </w:p>
        </w:tc>
      </w:tr>
      <w:tr w:rsidR="005A434C" w:rsidRPr="005A434C" w:rsidTr="00936C2E">
        <w:trPr>
          <w:gridAfter w:val="1"/>
          <w:wAfter w:w="56" w:type="dxa"/>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A434C">
              <w:rPr>
                <w:rFonts w:eastAsia="Times New Roman" w:cs="Calibri"/>
                <w:bdr w:val="none" w:sz="0" w:space="0" w:color="auto"/>
              </w:rPr>
              <w:t>Valle D'Aosta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900</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-1,8%</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15,3%</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0,0%</w:t>
            </w:r>
          </w:p>
        </w:tc>
      </w:tr>
      <w:tr w:rsidR="005A434C" w:rsidRPr="005A434C" w:rsidTr="00936C2E">
        <w:trPr>
          <w:gridAfter w:val="1"/>
          <w:wAfter w:w="56" w:type="dxa"/>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A434C">
              <w:rPr>
                <w:rFonts w:eastAsia="Times New Roman" w:cs="Calibri"/>
                <w:bdr w:val="none" w:sz="0" w:space="0" w:color="auto"/>
              </w:rPr>
              <w:t>Veneto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1.642</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A434C">
              <w:rPr>
                <w:rFonts w:eastAsia="Times New Roman" w:cs="Calibri"/>
                <w:color w:val="9C0006"/>
                <w:bdr w:val="none" w:sz="0" w:space="0" w:color="auto"/>
              </w:rPr>
              <w:t>1,3%</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9,9%</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A434C">
              <w:rPr>
                <w:rFonts w:eastAsia="Times New Roman" w:cs="Calibri"/>
                <w:color w:val="006100"/>
                <w:bdr w:val="none" w:sz="0" w:space="0" w:color="auto"/>
              </w:rPr>
              <w:t>2,7%</w:t>
            </w:r>
          </w:p>
        </w:tc>
      </w:tr>
      <w:tr w:rsidR="005A434C" w:rsidRPr="005A434C" w:rsidTr="00936C2E">
        <w:trPr>
          <w:gridAfter w:val="1"/>
          <w:wAfter w:w="56" w:type="dxa"/>
          <w:trHeight w:val="340"/>
        </w:trPr>
        <w:tc>
          <w:tcPr>
            <w:tcW w:w="2127" w:type="dxa"/>
            <w:tcBorders>
              <w:top w:val="nil"/>
              <w:left w:val="single" w:sz="4" w:space="0" w:color="00457D"/>
              <w:bottom w:val="single" w:sz="4" w:space="0" w:color="00457D"/>
              <w:right w:val="single" w:sz="4" w:space="0" w:color="00457D"/>
            </w:tcBorders>
            <w:shd w:val="clear" w:color="000000" w:fill="00457D"/>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5A434C">
              <w:rPr>
                <w:rFonts w:eastAsia="Times New Roman" w:cs="Calibri"/>
                <w:b/>
                <w:bCs/>
                <w:color w:val="FFFFFF"/>
                <w:bdr w:val="none" w:sz="0" w:space="0" w:color="auto"/>
              </w:rPr>
              <w:t>ITALIA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5A434C">
              <w:rPr>
                <w:rFonts w:eastAsia="Times New Roman" w:cs="Calibri"/>
                <w:b/>
                <w:bCs/>
                <w:color w:val="9C0006"/>
                <w:bdr w:val="none" w:sz="0" w:space="0" w:color="auto"/>
              </w:rPr>
              <w:t>2.137</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5A434C">
              <w:rPr>
                <w:rFonts w:eastAsia="Times New Roman" w:cs="Calibri"/>
                <w:b/>
                <w:bCs/>
                <w:color w:val="006100"/>
                <w:bdr w:val="none" w:sz="0" w:space="0" w:color="auto"/>
              </w:rPr>
              <w:t>-5,3%</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5A434C">
              <w:rPr>
                <w:rFonts w:eastAsia="Times New Roman" w:cs="Calibri"/>
                <w:b/>
                <w:bCs/>
                <w:color w:val="006100"/>
                <w:bdr w:val="none" w:sz="0" w:space="0" w:color="auto"/>
              </w:rPr>
              <w:t>15,8%</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5A434C">
              <w:rPr>
                <w:rFonts w:eastAsia="Times New Roman" w:cs="Calibri"/>
                <w:b/>
                <w:bCs/>
                <w:color w:val="006100"/>
                <w:bdr w:val="none" w:sz="0" w:space="0" w:color="auto"/>
              </w:rPr>
              <w:t>5,0%</w:t>
            </w:r>
          </w:p>
        </w:tc>
      </w:tr>
      <w:tr w:rsidR="005A434C" w:rsidRPr="005A434C" w:rsidTr="00936C2E">
        <w:trPr>
          <w:trHeight w:val="1871"/>
        </w:trPr>
        <w:tc>
          <w:tcPr>
            <w:tcW w:w="9695" w:type="dxa"/>
            <w:gridSpan w:val="6"/>
            <w:tcBorders>
              <w:top w:val="single" w:sz="4" w:space="0" w:color="00457D"/>
              <w:left w:val="single" w:sz="4" w:space="0" w:color="00457D"/>
              <w:bottom w:val="single" w:sz="4" w:space="0" w:color="00457D"/>
              <w:right w:val="single" w:sz="4" w:space="0" w:color="00457D"/>
            </w:tcBorders>
            <w:shd w:val="clear" w:color="auto" w:fill="auto"/>
            <w:vAlign w:val="center"/>
            <w:hideMark/>
          </w:tcPr>
          <w:p w:rsid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8C1577">
              <w:rPr>
                <w:rFonts w:eastAsia="Times New Roman" w:cs="Calibri"/>
                <w:color w:val="auto"/>
                <w:sz w:val="20"/>
                <w:szCs w:val="20"/>
                <w:bdr w:val="none" w:sz="0" w:space="0" w:color="auto"/>
              </w:rPr>
              <w:t xml:space="preserve">Nota: </w:t>
            </w:r>
            <w:r>
              <w:rPr>
                <w:rFonts w:eastAsia="Times New Roman" w:cs="Calibri"/>
                <w:color w:val="auto"/>
                <w:sz w:val="20"/>
                <w:szCs w:val="20"/>
                <w:bdr w:val="none" w:sz="0" w:space="0" w:color="auto"/>
              </w:rPr>
              <w:t>i dati della Regione Sicilia risentono di ricalcoli avvenuti nell’ultima settimana.</w:t>
            </w:r>
          </w:p>
          <w:p w:rsidR="005A434C" w:rsidRPr="005A434C" w:rsidRDefault="005A434C" w:rsidP="00936C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Pr>
                <w:rFonts w:eastAsia="Times New Roman" w:cs="Calibri"/>
                <w:color w:val="auto"/>
                <w:sz w:val="20"/>
                <w:szCs w:val="20"/>
                <w:bdr w:val="none" w:sz="0" w:space="0" w:color="auto"/>
              </w:rPr>
              <w:t>N</w:t>
            </w:r>
            <w:r w:rsidRPr="005A434C">
              <w:rPr>
                <w:rFonts w:eastAsia="Times New Roman" w:cs="Calibri"/>
                <w:color w:val="auto"/>
                <w:sz w:val="20"/>
                <w:szCs w:val="20"/>
                <w:bdr w:val="none" w:sz="0" w:space="0" w:color="auto"/>
              </w:rPr>
              <w:t>ella prima colonna i colori rosso, verde e giallo indicano rispettivamente una performance regionale in peggioramento, in miglioramento o stabile, rispetto alla settimana precedente.</w:t>
            </w:r>
            <w:r w:rsidRPr="005A434C">
              <w:rPr>
                <w:rFonts w:eastAsia="Times New Roman" w:cs="Calibri"/>
                <w:color w:val="auto"/>
                <w:sz w:val="20"/>
                <w:szCs w:val="20"/>
                <w:bdr w:val="none" w:sz="0" w:space="0" w:color="auto"/>
              </w:rPr>
              <w:br/>
              <w:t>Nella seconda colonna i colori rosso e verde indicano rispettivamente un aumento o una diminuzione percentuale dei nuovi casi rispetto alla settimana precedente.</w:t>
            </w:r>
            <w:r w:rsidRPr="005A434C">
              <w:rPr>
                <w:rFonts w:eastAsia="Times New Roman" w:cs="Calibri"/>
                <w:color w:val="auto"/>
                <w:sz w:val="20"/>
                <w:szCs w:val="20"/>
                <w:bdr w:val="none" w:sz="0" w:space="0" w:color="auto"/>
              </w:rPr>
              <w:br/>
              <w:t xml:space="preserve">Nelle ultime 2 colonne i colori rosso e verde indicano rispettivamente un valore superiore o inferiore rispetto alla media nazionale (dati Agenas). </w:t>
            </w:r>
          </w:p>
        </w:tc>
      </w:tr>
    </w:tbl>
    <w:p w:rsidR="004D16FF" w:rsidRDefault="004D16FF" w:rsidP="004D16FF">
      <w:pPr>
        <w:spacing w:after="0" w:line="240" w:lineRule="auto"/>
      </w:pPr>
      <w:r>
        <w:br w:type="page"/>
      </w:r>
    </w:p>
    <w:p w:rsidR="004D16FF" w:rsidRPr="00F441F1" w:rsidRDefault="004D16FF" w:rsidP="004D16FF">
      <w:pPr>
        <w:spacing w:after="80" w:line="240" w:lineRule="auto"/>
        <w:jc w:val="center"/>
        <w:rPr>
          <w:b/>
          <w:bCs/>
          <w:color w:val="00457D"/>
          <w:sz w:val="24"/>
          <w:szCs w:val="24"/>
          <w:u w:color="00457D"/>
        </w:rPr>
      </w:pPr>
      <w:r w:rsidRPr="00F441F1">
        <w:rPr>
          <w:b/>
          <w:bCs/>
          <w:color w:val="00457D"/>
          <w:sz w:val="24"/>
          <w:szCs w:val="24"/>
          <w:u w:color="00457D"/>
        </w:rPr>
        <w:lastRenderedPageBreak/>
        <w:t>Tabella 2. Nuovi casi nell’ultima settimana suddivisi per provincia</w:t>
      </w:r>
    </w:p>
    <w:p w:rsidR="004D16FF" w:rsidRDefault="004D16FF" w:rsidP="004D16FF">
      <w:pPr>
        <w:spacing w:after="80" w:line="240" w:lineRule="auto"/>
        <w:jc w:val="center"/>
        <w:rPr>
          <w:b/>
          <w:bCs/>
          <w:color w:val="00457D"/>
          <w:spacing w:val="-3"/>
          <w:sz w:val="10"/>
          <w:szCs w:val="10"/>
          <w:u w:color="00457D"/>
        </w:rPr>
      </w:pPr>
    </w:p>
    <w:tbl>
      <w:tblPr>
        <w:tblStyle w:val="TableNormal"/>
        <w:tblW w:w="823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2000"/>
        <w:gridCol w:w="2248"/>
        <w:gridCol w:w="2268"/>
        <w:gridCol w:w="1707"/>
        <w:gridCol w:w="9"/>
      </w:tblGrid>
      <w:tr w:rsidR="00745BD1" w:rsidRPr="005672CD" w:rsidTr="00936C2E">
        <w:trPr>
          <w:gridAfter w:val="1"/>
          <w:wAfter w:w="9" w:type="dxa"/>
          <w:trHeight w:val="481"/>
          <w:tblHeader/>
          <w:jc w:val="center"/>
        </w:trPr>
        <w:tc>
          <w:tcPr>
            <w:tcW w:w="2000"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rsidR="00745BD1" w:rsidRPr="005672CD" w:rsidRDefault="00745BD1" w:rsidP="00775550">
            <w:pPr>
              <w:spacing w:after="0" w:line="240" w:lineRule="auto"/>
              <w:rPr>
                <w:rFonts w:cs="Calibri"/>
                <w:szCs w:val="20"/>
              </w:rPr>
            </w:pPr>
            <w:r w:rsidRPr="005672CD">
              <w:rPr>
                <w:rFonts w:cs="Calibri"/>
                <w:b/>
                <w:bCs/>
                <w:color w:val="FFFFFF"/>
                <w:szCs w:val="20"/>
                <w:u w:color="FFFFFF"/>
              </w:rPr>
              <w:t>Regione</w:t>
            </w:r>
          </w:p>
        </w:tc>
        <w:tc>
          <w:tcPr>
            <w:tcW w:w="2248"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rsidR="00745BD1" w:rsidRPr="005672CD" w:rsidRDefault="00745BD1" w:rsidP="00775550">
            <w:pPr>
              <w:spacing w:after="0" w:line="240" w:lineRule="auto"/>
              <w:rPr>
                <w:rFonts w:cs="Calibri"/>
                <w:szCs w:val="20"/>
              </w:rPr>
            </w:pPr>
            <w:r w:rsidRPr="005672CD">
              <w:rPr>
                <w:rFonts w:cs="Calibri"/>
                <w:b/>
                <w:bCs/>
                <w:color w:val="FFFFFF"/>
                <w:szCs w:val="20"/>
                <w:u w:color="FFFFFF"/>
              </w:rPr>
              <w:t>Provincia</w:t>
            </w:r>
          </w:p>
        </w:tc>
        <w:tc>
          <w:tcPr>
            <w:tcW w:w="2268" w:type="dxa"/>
            <w:tcBorders>
              <w:top w:val="single" w:sz="4" w:space="0" w:color="00457D"/>
              <w:left w:val="single" w:sz="4" w:space="0" w:color="FFFFFF"/>
              <w:bottom w:val="single" w:sz="4" w:space="0" w:color="00457D"/>
              <w:right w:val="single" w:sz="4" w:space="0" w:color="FFFFFF" w:themeColor="background1"/>
            </w:tcBorders>
            <w:shd w:val="clear" w:color="auto" w:fill="00457D"/>
            <w:tcMar>
              <w:top w:w="80" w:type="dxa"/>
              <w:left w:w="80" w:type="dxa"/>
              <w:bottom w:w="80" w:type="dxa"/>
              <w:right w:w="80" w:type="dxa"/>
            </w:tcMar>
            <w:vAlign w:val="center"/>
          </w:tcPr>
          <w:p w:rsidR="00745BD1" w:rsidRPr="005672CD" w:rsidRDefault="00745BD1" w:rsidP="009C2E47">
            <w:pPr>
              <w:spacing w:after="0" w:line="240" w:lineRule="auto"/>
              <w:jc w:val="center"/>
              <w:rPr>
                <w:rFonts w:cs="Calibri"/>
                <w:szCs w:val="20"/>
              </w:rPr>
            </w:pPr>
            <w:r w:rsidRPr="005672CD">
              <w:rPr>
                <w:rFonts w:cs="Calibri"/>
                <w:b/>
                <w:bCs/>
                <w:color w:val="FFFFFF"/>
                <w:szCs w:val="20"/>
                <w:u w:color="FFFFFF"/>
              </w:rPr>
              <w:t xml:space="preserve">Nuovi casi per </w:t>
            </w:r>
            <w:r w:rsidR="00936C2E">
              <w:rPr>
                <w:rFonts w:cs="Calibri"/>
                <w:b/>
                <w:bCs/>
                <w:color w:val="FFFFFF"/>
                <w:szCs w:val="20"/>
                <w:u w:color="FFFFFF"/>
              </w:rPr>
              <w:br/>
            </w:r>
            <w:r w:rsidRPr="005672CD">
              <w:rPr>
                <w:rFonts w:cs="Calibri"/>
                <w:b/>
                <w:bCs/>
                <w:color w:val="FFFFFF"/>
                <w:szCs w:val="20"/>
                <w:u w:color="FFFFFF"/>
              </w:rPr>
              <w:t xml:space="preserve">100.000 abitanti </w:t>
            </w:r>
            <w:r>
              <w:rPr>
                <w:rFonts w:cs="Calibri"/>
                <w:b/>
                <w:bCs/>
                <w:color w:val="FFFFFF"/>
                <w:szCs w:val="20"/>
                <w:u w:color="FFFFFF"/>
              </w:rPr>
              <w:br/>
            </w:r>
            <w:r w:rsidR="00936C2E">
              <w:rPr>
                <w:rFonts w:cs="Calibri"/>
                <w:b/>
                <w:bCs/>
                <w:color w:val="FFFFFF"/>
                <w:szCs w:val="20"/>
                <w:u w:color="FFFFFF"/>
              </w:rPr>
              <w:t>30</w:t>
            </w:r>
            <w:r>
              <w:rPr>
                <w:rFonts w:cs="Calibri"/>
                <w:b/>
                <w:bCs/>
                <w:color w:val="FFFFFF"/>
                <w:szCs w:val="20"/>
                <w:u w:color="FFFFFF"/>
              </w:rPr>
              <w:t xml:space="preserve"> marzo</w:t>
            </w:r>
            <w:r w:rsidR="00936C2E">
              <w:rPr>
                <w:rFonts w:cs="Calibri"/>
                <w:b/>
                <w:bCs/>
                <w:color w:val="FFFFFF"/>
                <w:szCs w:val="20"/>
                <w:u w:color="FFFFFF"/>
              </w:rPr>
              <w:t>-5 aprile</w:t>
            </w:r>
            <w:r>
              <w:rPr>
                <w:rFonts w:cs="Calibri"/>
                <w:b/>
                <w:bCs/>
                <w:color w:val="FFFFFF"/>
                <w:szCs w:val="20"/>
                <w:u w:color="FFFFFF"/>
              </w:rPr>
              <w:t xml:space="preserve"> 2022</w:t>
            </w:r>
          </w:p>
        </w:tc>
        <w:tc>
          <w:tcPr>
            <w:tcW w:w="1707" w:type="dxa"/>
            <w:tcBorders>
              <w:top w:val="single" w:sz="4" w:space="0" w:color="00457D"/>
              <w:left w:val="single" w:sz="4" w:space="0" w:color="FFFFFF" w:themeColor="background1"/>
              <w:bottom w:val="single" w:sz="4" w:space="0" w:color="00457D"/>
              <w:right w:val="single" w:sz="4" w:space="0" w:color="00457D"/>
            </w:tcBorders>
            <w:shd w:val="clear" w:color="auto" w:fill="00457D"/>
            <w:vAlign w:val="center"/>
          </w:tcPr>
          <w:p w:rsidR="00745BD1" w:rsidRPr="005672CD" w:rsidRDefault="00745BD1" w:rsidP="00745BD1">
            <w:pPr>
              <w:spacing w:after="0" w:line="240" w:lineRule="auto"/>
              <w:jc w:val="center"/>
              <w:rPr>
                <w:rFonts w:cs="Calibri"/>
                <w:b/>
                <w:bCs/>
                <w:color w:val="FFFFFF"/>
                <w:szCs w:val="20"/>
                <w:u w:color="FFFFFF"/>
              </w:rPr>
            </w:pPr>
            <w:r>
              <w:rPr>
                <w:rFonts w:cs="Calibri"/>
                <w:b/>
                <w:bCs/>
                <w:color w:val="FFFFFF"/>
                <w:szCs w:val="20"/>
                <w:u w:color="FFFFFF"/>
              </w:rPr>
              <w:t>Variazione % nuovi casi</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Teramo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1.250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-5,3%</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Chieti</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1.084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-2,6%</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Pescara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981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6,7%</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L'Aquila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941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-15,0%</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Potenza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1.166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hd w:val="clear" w:color="auto" w:fill="C6EFCE"/>
              <w:spacing w:after="0" w:line="240" w:lineRule="auto"/>
              <w:contextualSpacing/>
              <w:jc w:val="center"/>
              <w:rPr>
                <w:rFonts w:cs="Calibri"/>
                <w:color w:val="auto"/>
              </w:rPr>
            </w:pPr>
            <w:r>
              <w:rPr>
                <w:rFonts w:cs="Calibri"/>
                <w:color w:val="006100"/>
              </w:rPr>
              <w:t>-6,0%</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Matera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850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-15,4%</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Reggio di Calabria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1.104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-18,4%</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Vibo Valentia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1.083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1,8%</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Crotone</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1.040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-23,0%</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Catanzaro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935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15,1%</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Cosenza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792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-14,2%</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Avellino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1.374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-5,7%</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Benevento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1.130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-11,1%</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Salerno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990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-2,1%</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Caserta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955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-9,1%</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Napoli</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779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-9,7%</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Ravenna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773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15,3%</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Reggio nell'Emilia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765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26,1%</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Bologna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679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2,7%</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Forlì-Cesena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661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2,7%</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Rimini</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644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14,6%</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Modena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636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10,5%</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Ferrara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630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2,6%</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Parma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587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25,5%</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Piacenza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481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14,8%</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Trieste</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668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-3,5%</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Udine</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624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2,2%</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Gorizia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615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5,5%</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Pordenone</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479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-8,3%</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Frosinone</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1.057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-4,2%</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Latina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1.031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-9,0%</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Rieti</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1.031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-20,9%</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Roma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973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-0,8%</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Viterbo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731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-17,2%</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La Spezia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813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-8,0%</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Genova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619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-4,1%</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Savona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527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-6,8%</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Imperia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477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-7,6%</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lastRenderedPageBreak/>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Mantova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739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10,5%</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Lecco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699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9,3%</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Varese</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607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-2,3%</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Milano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581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-2,1%</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Monza e della Brianza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571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-4,1%</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Brescia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570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-0,5%</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Pavia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570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5,1%</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Como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523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-7,4%</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Cremona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518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2,3%</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Lodi</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385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5,3%</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Sondrio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372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-15,9%</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Bergamo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326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0,8%</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Ascoli Piceno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1.174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-10,6%</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Fermo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1.080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-11,9%</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Ancona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1.048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-3,6%</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Macerata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860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-12,4%</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Pesaro e Urbino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709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-2,3%</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Campobasso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918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-3,0%</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Isernia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809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22,6%</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P.A. Bolzano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Bolzano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C2E47" w:rsidP="009C2E47">
            <w:pPr>
              <w:spacing w:after="0" w:line="240" w:lineRule="auto"/>
              <w:contextualSpacing/>
              <w:jc w:val="center"/>
              <w:rPr>
                <w:rFonts w:cs="Calibri"/>
              </w:rPr>
            </w:pPr>
            <w:r>
              <w:rPr>
                <w:rFonts w:cs="Calibri"/>
              </w:rPr>
              <w:t>698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C2E47">
            <w:pPr>
              <w:spacing w:after="0" w:line="240" w:lineRule="auto"/>
              <w:contextualSpacing/>
              <w:jc w:val="center"/>
              <w:rPr>
                <w:rFonts w:cs="Calibri"/>
                <w:color w:val="auto"/>
              </w:rPr>
            </w:pPr>
            <w:r>
              <w:rPr>
                <w:rFonts w:cs="Calibri"/>
                <w:color w:val="006100"/>
              </w:rPr>
              <w:t>-</w:t>
            </w:r>
            <w:r w:rsidR="009C2E47">
              <w:rPr>
                <w:rFonts w:cs="Calibri"/>
                <w:color w:val="006100"/>
              </w:rPr>
              <w:t>1</w:t>
            </w:r>
            <w:r>
              <w:rPr>
                <w:rFonts w:cs="Calibri"/>
                <w:color w:val="006100"/>
              </w:rPr>
              <w:t>8</w:t>
            </w:r>
            <w:r w:rsidR="009C2E47">
              <w:rPr>
                <w:rFonts w:cs="Calibri"/>
                <w:color w:val="006100"/>
              </w:rPr>
              <w:t>,0</w:t>
            </w:r>
            <w:r>
              <w:rPr>
                <w:rFonts w:cs="Calibri"/>
                <w:color w:val="006100"/>
              </w:rPr>
              <w:t>%</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P.A. Trento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Trento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492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-8,3%</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Alessandria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660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2,2%</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Asti</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573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25,7%</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Verbano-Cusio-Ossola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550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1,9%</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Torino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458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5,8%</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Novara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425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10,6%</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Vercelli</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396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18,2%</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Biella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359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8,3%</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Cuneo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311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2,6%</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Lecce</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1.342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-24,3%</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Bari</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1.200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-8,2%</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Brindisi</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1.145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-3,8%</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Taranto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1.018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-5,1%</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Foggia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902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-14,6%</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Barletta-Andria-Trani</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804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-16,1%</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Cagliari</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807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-7,0%</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Nuoro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807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-18,2%</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Oristano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790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-11,9%</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Sassari</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684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-23,3%</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lastRenderedPageBreak/>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Sud Sardegna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622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3,4%</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Messina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1.256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-7,2%</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Trapani</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853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-11,5%</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Agrigento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847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-18,9%</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Palermo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821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-17,2%</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Caltanissetta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812</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-9,5%</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Enna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807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22,6%</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Ragusa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788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-18,9%</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Siracusa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739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-5,5%</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Catania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531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2,4%</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Lucca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991</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-15,4%</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Livorno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973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-7,1%</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Grosseto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970</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-12,9%</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Massa Carrara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967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-14,2%</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Siena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946</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-13,2%</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Arezzo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894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-12,2%</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Pisa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867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-4,2%</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Firenze</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747</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-0,3%</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Pistoia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741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1,0%</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Prato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575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0,5%</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Perugia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1.115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-18,7%</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Terni</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904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-22,2%</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Valle d'Aosta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Aosta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338</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sidRPr="00936C2E">
              <w:rPr>
                <w:rFonts w:cs="Calibri"/>
                <w:color w:val="006100"/>
              </w:rPr>
              <w:t>-1,8%</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Padova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1.069</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-0,6%</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Vicenza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968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6,5%</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Venezia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965</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-3,3%</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Rovigo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964</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936C2E" w:rsidRPr="0080409E" w:rsidRDefault="00936C2E" w:rsidP="00936C2E">
            <w:pPr>
              <w:spacing w:after="0" w:line="240" w:lineRule="auto"/>
              <w:contextualSpacing/>
              <w:jc w:val="center"/>
              <w:rPr>
                <w:rFonts w:cs="Calibri"/>
                <w:color w:val="auto"/>
              </w:rPr>
            </w:pPr>
            <w:r>
              <w:rPr>
                <w:rFonts w:cs="Calibri"/>
                <w:color w:val="006100"/>
              </w:rPr>
              <w:t>-0,4%</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Treviso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904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5,3%</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Verona</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762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0,4%</w:t>
            </w:r>
          </w:p>
        </w:tc>
      </w:tr>
      <w:tr w:rsidR="00936C2E" w:rsidRPr="0080409E" w:rsidTr="00936C2E">
        <w:tblPrEx>
          <w:shd w:val="clear" w:color="auto" w:fill="CDD4E9"/>
        </w:tblPrEx>
        <w:trPr>
          <w:gridAfter w:val="1"/>
          <w:wAfter w:w="9" w:type="dxa"/>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36C2E">
            <w:pPr>
              <w:spacing w:after="0" w:line="240" w:lineRule="auto"/>
              <w:contextualSpacing/>
              <w:rPr>
                <w:rFonts w:cs="Calibri"/>
              </w:rPr>
            </w:pPr>
            <w:r>
              <w:rPr>
                <w:rFonts w:cs="Calibri"/>
              </w:rPr>
              <w:t>Belluno</w:t>
            </w:r>
          </w:p>
        </w:tc>
        <w:tc>
          <w:tcPr>
            <w:tcW w:w="226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936C2E" w:rsidRDefault="00936C2E" w:rsidP="009C2E47">
            <w:pPr>
              <w:spacing w:after="0" w:line="240" w:lineRule="auto"/>
              <w:contextualSpacing/>
              <w:jc w:val="center"/>
              <w:rPr>
                <w:rFonts w:cs="Calibri"/>
              </w:rPr>
            </w:pPr>
            <w:r>
              <w:rPr>
                <w:rFonts w:cs="Calibri"/>
              </w:rPr>
              <w:t>646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936C2E" w:rsidRPr="0080409E" w:rsidRDefault="00936C2E" w:rsidP="00936C2E">
            <w:pPr>
              <w:spacing w:after="0" w:line="240" w:lineRule="auto"/>
              <w:contextualSpacing/>
              <w:jc w:val="center"/>
              <w:rPr>
                <w:rFonts w:cs="Calibri"/>
                <w:color w:val="auto"/>
              </w:rPr>
            </w:pPr>
            <w:r>
              <w:rPr>
                <w:rFonts w:cs="Calibri"/>
                <w:color w:val="9C0006"/>
              </w:rPr>
              <w:t>6,9%</w:t>
            </w:r>
          </w:p>
        </w:tc>
      </w:tr>
      <w:tr w:rsidR="00D91289" w:rsidRPr="005672CD" w:rsidTr="00936C2E">
        <w:tblPrEx>
          <w:shd w:val="clear" w:color="auto" w:fill="CDD4E9"/>
        </w:tblPrEx>
        <w:trPr>
          <w:trHeight w:val="20"/>
          <w:jc w:val="center"/>
        </w:trPr>
        <w:tc>
          <w:tcPr>
            <w:tcW w:w="8232" w:type="dxa"/>
            <w:gridSpan w:val="5"/>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1289" w:rsidRDefault="002B5E81" w:rsidP="009C2E47">
            <w:pPr>
              <w:spacing w:after="0" w:line="240" w:lineRule="auto"/>
              <w:contextualSpacing/>
              <w:jc w:val="center"/>
              <w:rPr>
                <w:rFonts w:cs="Calibri"/>
              </w:rPr>
            </w:pPr>
            <w:r w:rsidRPr="00120F46">
              <w:rPr>
                <w:rFonts w:eastAsia="Times New Roman" w:cs="Calibri"/>
                <w:color w:val="auto"/>
                <w:sz w:val="20"/>
                <w:szCs w:val="20"/>
                <w:bdr w:val="none" w:sz="0" w:space="0" w:color="auto"/>
              </w:rPr>
              <w:t xml:space="preserve">Nella </w:t>
            </w:r>
            <w:r>
              <w:rPr>
                <w:rFonts w:eastAsia="Times New Roman" w:cs="Calibri"/>
                <w:color w:val="auto"/>
                <w:sz w:val="20"/>
                <w:szCs w:val="20"/>
                <w:bdr w:val="none" w:sz="0" w:space="0" w:color="auto"/>
              </w:rPr>
              <w:t>quarta</w:t>
            </w:r>
            <w:r w:rsidRPr="00120F46">
              <w:rPr>
                <w:rFonts w:eastAsia="Times New Roman" w:cs="Calibri"/>
                <w:color w:val="auto"/>
                <w:sz w:val="20"/>
                <w:szCs w:val="20"/>
                <w:bdr w:val="none" w:sz="0" w:space="0" w:color="auto"/>
              </w:rPr>
              <w:t xml:space="preserve"> colonna </w:t>
            </w:r>
            <w:r>
              <w:rPr>
                <w:rFonts w:eastAsia="Times New Roman" w:cs="Calibri"/>
                <w:color w:val="auto"/>
                <w:sz w:val="20"/>
                <w:szCs w:val="20"/>
                <w:bdr w:val="none" w:sz="0" w:space="0" w:color="auto"/>
              </w:rPr>
              <w:t xml:space="preserve">i colori </w:t>
            </w:r>
            <w:r w:rsidRPr="00120F46">
              <w:rPr>
                <w:rFonts w:eastAsia="Times New Roman" w:cs="Calibri"/>
                <w:color w:val="auto"/>
                <w:sz w:val="20"/>
                <w:szCs w:val="20"/>
                <w:bdr w:val="none" w:sz="0" w:space="0" w:color="auto"/>
              </w:rPr>
              <w:t>rosso e verde indicano rispettivamente un aumento o una diminuzione</w:t>
            </w:r>
            <w:r>
              <w:rPr>
                <w:rFonts w:eastAsia="Times New Roman" w:cs="Calibri"/>
                <w:color w:val="auto"/>
                <w:sz w:val="20"/>
                <w:szCs w:val="20"/>
                <w:bdr w:val="none" w:sz="0" w:space="0" w:color="auto"/>
              </w:rPr>
              <w:t xml:space="preserve"> percentuale dei</w:t>
            </w:r>
            <w:r w:rsidRPr="00120F46">
              <w:rPr>
                <w:rFonts w:eastAsia="Times New Roman" w:cs="Calibri"/>
                <w:color w:val="auto"/>
                <w:sz w:val="20"/>
                <w:szCs w:val="20"/>
                <w:bdr w:val="none" w:sz="0" w:space="0" w:color="auto"/>
              </w:rPr>
              <w:t xml:space="preserve"> nuovi casi rispetto alla settimana precedente.</w:t>
            </w:r>
          </w:p>
        </w:tc>
      </w:tr>
    </w:tbl>
    <w:p w:rsidR="0080409E" w:rsidRPr="00234B97" w:rsidRDefault="0080409E" w:rsidP="004D16FF"/>
    <w:p w:rsidR="00764162" w:rsidRPr="005672CD" w:rsidRDefault="00764162"/>
    <w:p w:rsidR="005E38B7" w:rsidRDefault="005E38B7" w:rsidP="005E38B7">
      <w:pPr>
        <w:widowControl w:val="0"/>
        <w:spacing w:after="80" w:line="240" w:lineRule="auto"/>
        <w:jc w:val="center"/>
      </w:pPr>
    </w:p>
    <w:p w:rsidR="005E38B7" w:rsidRPr="00234B97" w:rsidRDefault="005E38B7"/>
    <w:sectPr w:rsidR="005E38B7" w:rsidRPr="00234B97" w:rsidSect="005B4AE1">
      <w:pgSz w:w="11900" w:h="16840"/>
      <w:pgMar w:top="1134" w:right="1134" w:bottom="1418" w:left="1134" w:header="709" w:footer="709"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ED600" w16cex:dateUtc="2022-03-30T10:09:00Z"/>
  <w16cex:commentExtensible w16cex:durableId="25EED934" w16cex:dateUtc="2022-03-30T11:27:00Z"/>
  <w16cex:commentExtensible w16cex:durableId="25EED601" w16cex:dateUtc="2022-03-30T10:20:00Z"/>
  <w16cex:commentExtensible w16cex:durableId="25EED969" w16cex:dateUtc="2022-03-30T11:28:00Z"/>
  <w16cex:commentExtensible w16cex:durableId="25EED602" w16cex:dateUtc="2022-03-30T10:11:00Z"/>
  <w16cex:commentExtensible w16cex:durableId="25EED991" w16cex:dateUtc="2022-03-30T11:28:00Z"/>
  <w16cex:commentExtensible w16cex:durableId="25EED603" w16cex:dateUtc="2022-03-30T10:11:00Z"/>
  <w16cex:commentExtensible w16cex:durableId="25EED9B7" w16cex:dateUtc="2022-03-30T11:29:00Z"/>
  <w16cex:commentExtensible w16cex:durableId="25EEDA89" w16cex:dateUtc="2022-03-30T11:32:00Z"/>
  <w16cex:commentExtensible w16cex:durableId="25EED604" w16cex:dateUtc="2022-03-30T09:56:00Z"/>
  <w16cex:commentExtensible w16cex:durableId="25EEDAD0" w16cex:dateUtc="2022-03-30T11:34:00Z"/>
  <w16cex:commentExtensible w16cex:durableId="25EED605" w16cex:dateUtc="2022-03-30T10:29:00Z"/>
  <w16cex:commentExtensible w16cex:durableId="25EED606" w16cex:dateUtc="2022-03-30T10:13:00Z"/>
  <w16cex:commentExtensible w16cex:durableId="25EEDAF7" w16cex:dateUtc="2022-03-30T11:34:00Z"/>
  <w16cex:commentExtensible w16cex:durableId="25EED607" w16cex:dateUtc="2022-03-30T10:15:00Z"/>
  <w16cex:commentExtensible w16cex:durableId="25EEDB0A" w16cex:dateUtc="2022-03-30T11:35:00Z"/>
  <w16cex:commentExtensible w16cex:durableId="25EED608" w16cex:dateUtc="2022-03-30T11:09:00Z"/>
  <w16cex:commentExtensible w16cex:durableId="25EED609" w16cex:dateUtc="2022-03-30T11:04:00Z"/>
  <w16cex:commentExtensible w16cex:durableId="25EED60A" w16cex:dateUtc="2022-03-30T11:01:00Z"/>
  <w16cex:commentExtensible w16cex:durableId="25EEDB30" w16cex:dateUtc="2022-03-30T11: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5A90" w:rsidRDefault="00B35A90">
      <w:pPr>
        <w:spacing w:after="0" w:line="240" w:lineRule="auto"/>
      </w:pPr>
      <w:r>
        <w:separator/>
      </w:r>
    </w:p>
  </w:endnote>
  <w:endnote w:type="continuationSeparator" w:id="0">
    <w:p w:rsidR="00B35A90" w:rsidRDefault="00B35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5A90" w:rsidRDefault="00B35A90">
      <w:pPr>
        <w:spacing w:after="0" w:line="240" w:lineRule="auto"/>
      </w:pPr>
      <w:r>
        <w:separator/>
      </w:r>
    </w:p>
  </w:footnote>
  <w:footnote w:type="continuationSeparator" w:id="0">
    <w:p w:rsidR="00B35A90" w:rsidRDefault="00B35A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FF87F41"/>
    <w:multiLevelType w:val="hybridMultilevel"/>
    <w:tmpl w:val="43D6B9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5A930BDF"/>
    <w:multiLevelType w:val="hybridMultilevel"/>
    <w:tmpl w:val="3BB858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682B"/>
    <w:rsid w:val="000022A7"/>
    <w:rsid w:val="00002300"/>
    <w:rsid w:val="0000244C"/>
    <w:rsid w:val="000027F8"/>
    <w:rsid w:val="000043C6"/>
    <w:rsid w:val="00004BE3"/>
    <w:rsid w:val="00004BF7"/>
    <w:rsid w:val="00004CA3"/>
    <w:rsid w:val="00004D92"/>
    <w:rsid w:val="00005129"/>
    <w:rsid w:val="00005172"/>
    <w:rsid w:val="000056DE"/>
    <w:rsid w:val="000066F6"/>
    <w:rsid w:val="0000714A"/>
    <w:rsid w:val="000078FA"/>
    <w:rsid w:val="00007BF9"/>
    <w:rsid w:val="00007D52"/>
    <w:rsid w:val="00010548"/>
    <w:rsid w:val="00010F65"/>
    <w:rsid w:val="0001119D"/>
    <w:rsid w:val="0001122C"/>
    <w:rsid w:val="00011791"/>
    <w:rsid w:val="00011F4F"/>
    <w:rsid w:val="00012113"/>
    <w:rsid w:val="0001299A"/>
    <w:rsid w:val="00012B67"/>
    <w:rsid w:val="0001337E"/>
    <w:rsid w:val="00014385"/>
    <w:rsid w:val="00015574"/>
    <w:rsid w:val="00015BAE"/>
    <w:rsid w:val="00016690"/>
    <w:rsid w:val="00017890"/>
    <w:rsid w:val="0002043C"/>
    <w:rsid w:val="000206F4"/>
    <w:rsid w:val="0002125E"/>
    <w:rsid w:val="00021C19"/>
    <w:rsid w:val="000222A5"/>
    <w:rsid w:val="00023784"/>
    <w:rsid w:val="00024C2D"/>
    <w:rsid w:val="00026849"/>
    <w:rsid w:val="00027033"/>
    <w:rsid w:val="000276DE"/>
    <w:rsid w:val="000300C2"/>
    <w:rsid w:val="0003144B"/>
    <w:rsid w:val="00031CD6"/>
    <w:rsid w:val="00032112"/>
    <w:rsid w:val="00033800"/>
    <w:rsid w:val="00033A78"/>
    <w:rsid w:val="00033CE4"/>
    <w:rsid w:val="0003499E"/>
    <w:rsid w:val="00034A98"/>
    <w:rsid w:val="000352B4"/>
    <w:rsid w:val="000354CC"/>
    <w:rsid w:val="000356DF"/>
    <w:rsid w:val="000365C2"/>
    <w:rsid w:val="00036D4B"/>
    <w:rsid w:val="00036D6B"/>
    <w:rsid w:val="000373F1"/>
    <w:rsid w:val="00037451"/>
    <w:rsid w:val="00037A0A"/>
    <w:rsid w:val="00037F01"/>
    <w:rsid w:val="000403D3"/>
    <w:rsid w:val="00040D5E"/>
    <w:rsid w:val="000410EA"/>
    <w:rsid w:val="000415C2"/>
    <w:rsid w:val="00041695"/>
    <w:rsid w:val="00041719"/>
    <w:rsid w:val="00041D6E"/>
    <w:rsid w:val="000421A9"/>
    <w:rsid w:val="00042E7E"/>
    <w:rsid w:val="00043C39"/>
    <w:rsid w:val="00044665"/>
    <w:rsid w:val="00044ABB"/>
    <w:rsid w:val="00044EB9"/>
    <w:rsid w:val="000453E7"/>
    <w:rsid w:val="00046B65"/>
    <w:rsid w:val="0005001A"/>
    <w:rsid w:val="00051038"/>
    <w:rsid w:val="0005206B"/>
    <w:rsid w:val="00052578"/>
    <w:rsid w:val="000531D1"/>
    <w:rsid w:val="000542D3"/>
    <w:rsid w:val="0005433B"/>
    <w:rsid w:val="00054D1D"/>
    <w:rsid w:val="000552E2"/>
    <w:rsid w:val="00056C03"/>
    <w:rsid w:val="000572F4"/>
    <w:rsid w:val="00057324"/>
    <w:rsid w:val="0005772C"/>
    <w:rsid w:val="00057C36"/>
    <w:rsid w:val="00057E5F"/>
    <w:rsid w:val="00057F3D"/>
    <w:rsid w:val="0006040F"/>
    <w:rsid w:val="00060FAC"/>
    <w:rsid w:val="00061647"/>
    <w:rsid w:val="00061D4E"/>
    <w:rsid w:val="00062223"/>
    <w:rsid w:val="000625F5"/>
    <w:rsid w:val="00063092"/>
    <w:rsid w:val="00063723"/>
    <w:rsid w:val="000653E7"/>
    <w:rsid w:val="0006599B"/>
    <w:rsid w:val="00065C95"/>
    <w:rsid w:val="00066602"/>
    <w:rsid w:val="0006669C"/>
    <w:rsid w:val="00067039"/>
    <w:rsid w:val="000673B6"/>
    <w:rsid w:val="00067B8B"/>
    <w:rsid w:val="00071568"/>
    <w:rsid w:val="00071A13"/>
    <w:rsid w:val="0007243C"/>
    <w:rsid w:val="00072C04"/>
    <w:rsid w:val="00073532"/>
    <w:rsid w:val="00073A8A"/>
    <w:rsid w:val="00073DFF"/>
    <w:rsid w:val="000743B7"/>
    <w:rsid w:val="000747A9"/>
    <w:rsid w:val="00074FDD"/>
    <w:rsid w:val="000753BA"/>
    <w:rsid w:val="00075694"/>
    <w:rsid w:val="00076216"/>
    <w:rsid w:val="000762C3"/>
    <w:rsid w:val="00077B4C"/>
    <w:rsid w:val="00077B7F"/>
    <w:rsid w:val="00077DC5"/>
    <w:rsid w:val="00080225"/>
    <w:rsid w:val="000803DA"/>
    <w:rsid w:val="0008040C"/>
    <w:rsid w:val="00080BE8"/>
    <w:rsid w:val="00080F14"/>
    <w:rsid w:val="0008271E"/>
    <w:rsid w:val="0008362E"/>
    <w:rsid w:val="00083804"/>
    <w:rsid w:val="00083DE2"/>
    <w:rsid w:val="0008457A"/>
    <w:rsid w:val="00085386"/>
    <w:rsid w:val="00085AF6"/>
    <w:rsid w:val="00085D13"/>
    <w:rsid w:val="000871FB"/>
    <w:rsid w:val="00087236"/>
    <w:rsid w:val="00087B77"/>
    <w:rsid w:val="00091A87"/>
    <w:rsid w:val="00091D56"/>
    <w:rsid w:val="0009249D"/>
    <w:rsid w:val="00093AE7"/>
    <w:rsid w:val="0009411D"/>
    <w:rsid w:val="00095584"/>
    <w:rsid w:val="00095667"/>
    <w:rsid w:val="00095DC5"/>
    <w:rsid w:val="00096350"/>
    <w:rsid w:val="00096577"/>
    <w:rsid w:val="000A00BA"/>
    <w:rsid w:val="000A0380"/>
    <w:rsid w:val="000A08BA"/>
    <w:rsid w:val="000A0EDA"/>
    <w:rsid w:val="000A1093"/>
    <w:rsid w:val="000A1424"/>
    <w:rsid w:val="000A39B8"/>
    <w:rsid w:val="000A422E"/>
    <w:rsid w:val="000A57A1"/>
    <w:rsid w:val="000A6581"/>
    <w:rsid w:val="000A6DB2"/>
    <w:rsid w:val="000A72BA"/>
    <w:rsid w:val="000A7DDA"/>
    <w:rsid w:val="000A7E95"/>
    <w:rsid w:val="000A7EA7"/>
    <w:rsid w:val="000B0548"/>
    <w:rsid w:val="000B0AC0"/>
    <w:rsid w:val="000B119C"/>
    <w:rsid w:val="000B1B66"/>
    <w:rsid w:val="000B211A"/>
    <w:rsid w:val="000B21CF"/>
    <w:rsid w:val="000B242E"/>
    <w:rsid w:val="000B2449"/>
    <w:rsid w:val="000B25F9"/>
    <w:rsid w:val="000B3CDF"/>
    <w:rsid w:val="000B4554"/>
    <w:rsid w:val="000B4A82"/>
    <w:rsid w:val="000B53A4"/>
    <w:rsid w:val="000B5AC9"/>
    <w:rsid w:val="000B6238"/>
    <w:rsid w:val="000B68AC"/>
    <w:rsid w:val="000B6BAC"/>
    <w:rsid w:val="000C07AC"/>
    <w:rsid w:val="000C0A45"/>
    <w:rsid w:val="000C0B9A"/>
    <w:rsid w:val="000C22FE"/>
    <w:rsid w:val="000C2BD2"/>
    <w:rsid w:val="000C3C3C"/>
    <w:rsid w:val="000C3DE4"/>
    <w:rsid w:val="000C63F8"/>
    <w:rsid w:val="000C6B69"/>
    <w:rsid w:val="000C7105"/>
    <w:rsid w:val="000C789B"/>
    <w:rsid w:val="000C7A89"/>
    <w:rsid w:val="000D0625"/>
    <w:rsid w:val="000D08C8"/>
    <w:rsid w:val="000D0980"/>
    <w:rsid w:val="000D1250"/>
    <w:rsid w:val="000D1503"/>
    <w:rsid w:val="000D1F5C"/>
    <w:rsid w:val="000D24D7"/>
    <w:rsid w:val="000D2A90"/>
    <w:rsid w:val="000D2CAA"/>
    <w:rsid w:val="000D3B36"/>
    <w:rsid w:val="000D40CB"/>
    <w:rsid w:val="000D4370"/>
    <w:rsid w:val="000D5878"/>
    <w:rsid w:val="000D5B61"/>
    <w:rsid w:val="000D5C61"/>
    <w:rsid w:val="000D7077"/>
    <w:rsid w:val="000D75CD"/>
    <w:rsid w:val="000D7645"/>
    <w:rsid w:val="000D7A69"/>
    <w:rsid w:val="000D7DCE"/>
    <w:rsid w:val="000D7E45"/>
    <w:rsid w:val="000D7EE3"/>
    <w:rsid w:val="000E0BCB"/>
    <w:rsid w:val="000E0C48"/>
    <w:rsid w:val="000E1A5A"/>
    <w:rsid w:val="000E1ABF"/>
    <w:rsid w:val="000E238A"/>
    <w:rsid w:val="000E2D17"/>
    <w:rsid w:val="000E3472"/>
    <w:rsid w:val="000E476D"/>
    <w:rsid w:val="000E4A1A"/>
    <w:rsid w:val="000E5ABA"/>
    <w:rsid w:val="000E60E1"/>
    <w:rsid w:val="000E60EB"/>
    <w:rsid w:val="000E64DA"/>
    <w:rsid w:val="000E6F3B"/>
    <w:rsid w:val="000E770E"/>
    <w:rsid w:val="000E7A53"/>
    <w:rsid w:val="000F0385"/>
    <w:rsid w:val="000F09AA"/>
    <w:rsid w:val="000F159D"/>
    <w:rsid w:val="000F1EC4"/>
    <w:rsid w:val="000F2082"/>
    <w:rsid w:val="000F2389"/>
    <w:rsid w:val="000F387B"/>
    <w:rsid w:val="000F3AC7"/>
    <w:rsid w:val="000F4209"/>
    <w:rsid w:val="000F4917"/>
    <w:rsid w:val="000F5019"/>
    <w:rsid w:val="000F50A4"/>
    <w:rsid w:val="000F6D38"/>
    <w:rsid w:val="000F6EBD"/>
    <w:rsid w:val="000F6FE7"/>
    <w:rsid w:val="000F704A"/>
    <w:rsid w:val="000F7752"/>
    <w:rsid w:val="001014E8"/>
    <w:rsid w:val="00101803"/>
    <w:rsid w:val="00101EE1"/>
    <w:rsid w:val="00102089"/>
    <w:rsid w:val="001022BC"/>
    <w:rsid w:val="00102EF5"/>
    <w:rsid w:val="00103B2C"/>
    <w:rsid w:val="0010442F"/>
    <w:rsid w:val="00104974"/>
    <w:rsid w:val="00104B88"/>
    <w:rsid w:val="00104DDA"/>
    <w:rsid w:val="0010568D"/>
    <w:rsid w:val="00106801"/>
    <w:rsid w:val="00106888"/>
    <w:rsid w:val="00106B84"/>
    <w:rsid w:val="00110316"/>
    <w:rsid w:val="001104E4"/>
    <w:rsid w:val="00111ED5"/>
    <w:rsid w:val="00111F9A"/>
    <w:rsid w:val="00112E06"/>
    <w:rsid w:val="001130FB"/>
    <w:rsid w:val="00113933"/>
    <w:rsid w:val="00113F85"/>
    <w:rsid w:val="00114088"/>
    <w:rsid w:val="00114459"/>
    <w:rsid w:val="00115B80"/>
    <w:rsid w:val="00115C48"/>
    <w:rsid w:val="00116006"/>
    <w:rsid w:val="00116B12"/>
    <w:rsid w:val="00116C56"/>
    <w:rsid w:val="00116C93"/>
    <w:rsid w:val="00117E10"/>
    <w:rsid w:val="001203E4"/>
    <w:rsid w:val="00120DCD"/>
    <w:rsid w:val="00120F46"/>
    <w:rsid w:val="00121EB7"/>
    <w:rsid w:val="00122302"/>
    <w:rsid w:val="0012327E"/>
    <w:rsid w:val="0012383F"/>
    <w:rsid w:val="00123878"/>
    <w:rsid w:val="00123934"/>
    <w:rsid w:val="0012399B"/>
    <w:rsid w:val="00123B8F"/>
    <w:rsid w:val="0012436D"/>
    <w:rsid w:val="00124890"/>
    <w:rsid w:val="00124C08"/>
    <w:rsid w:val="00124EFF"/>
    <w:rsid w:val="0012540D"/>
    <w:rsid w:val="00126938"/>
    <w:rsid w:val="00126C0E"/>
    <w:rsid w:val="00127096"/>
    <w:rsid w:val="00127307"/>
    <w:rsid w:val="00127892"/>
    <w:rsid w:val="001304B0"/>
    <w:rsid w:val="0013062E"/>
    <w:rsid w:val="0013077F"/>
    <w:rsid w:val="00130B71"/>
    <w:rsid w:val="00131B77"/>
    <w:rsid w:val="00131B83"/>
    <w:rsid w:val="00131BD2"/>
    <w:rsid w:val="001324D5"/>
    <w:rsid w:val="00132966"/>
    <w:rsid w:val="00132BF8"/>
    <w:rsid w:val="001343AE"/>
    <w:rsid w:val="00134D05"/>
    <w:rsid w:val="00135006"/>
    <w:rsid w:val="00135D77"/>
    <w:rsid w:val="00135DBC"/>
    <w:rsid w:val="001367B8"/>
    <w:rsid w:val="001378AD"/>
    <w:rsid w:val="0014031D"/>
    <w:rsid w:val="001410D3"/>
    <w:rsid w:val="0014184C"/>
    <w:rsid w:val="00141E72"/>
    <w:rsid w:val="00141F0A"/>
    <w:rsid w:val="00141F2F"/>
    <w:rsid w:val="00142677"/>
    <w:rsid w:val="001429C0"/>
    <w:rsid w:val="00143D58"/>
    <w:rsid w:val="001440A0"/>
    <w:rsid w:val="00144669"/>
    <w:rsid w:val="00144E5A"/>
    <w:rsid w:val="0014500F"/>
    <w:rsid w:val="00145D4E"/>
    <w:rsid w:val="00146286"/>
    <w:rsid w:val="00147243"/>
    <w:rsid w:val="001473B8"/>
    <w:rsid w:val="00147D1B"/>
    <w:rsid w:val="00150022"/>
    <w:rsid w:val="00150920"/>
    <w:rsid w:val="00150E81"/>
    <w:rsid w:val="00150F3B"/>
    <w:rsid w:val="001513A9"/>
    <w:rsid w:val="001518FD"/>
    <w:rsid w:val="00152127"/>
    <w:rsid w:val="001527E3"/>
    <w:rsid w:val="001532BC"/>
    <w:rsid w:val="001533C7"/>
    <w:rsid w:val="001533DC"/>
    <w:rsid w:val="00153627"/>
    <w:rsid w:val="001536E7"/>
    <w:rsid w:val="001546C9"/>
    <w:rsid w:val="00154EE5"/>
    <w:rsid w:val="00157CBE"/>
    <w:rsid w:val="00157E6E"/>
    <w:rsid w:val="00157F8B"/>
    <w:rsid w:val="00161281"/>
    <w:rsid w:val="00161AEE"/>
    <w:rsid w:val="001626C3"/>
    <w:rsid w:val="00162B3C"/>
    <w:rsid w:val="00162BE4"/>
    <w:rsid w:val="00162D8C"/>
    <w:rsid w:val="0016301A"/>
    <w:rsid w:val="0016350E"/>
    <w:rsid w:val="00163CCF"/>
    <w:rsid w:val="00164036"/>
    <w:rsid w:val="001647A3"/>
    <w:rsid w:val="001649D7"/>
    <w:rsid w:val="00164A5D"/>
    <w:rsid w:val="00165554"/>
    <w:rsid w:val="001667ED"/>
    <w:rsid w:val="00166F65"/>
    <w:rsid w:val="0016753E"/>
    <w:rsid w:val="0016781B"/>
    <w:rsid w:val="00167984"/>
    <w:rsid w:val="00167C65"/>
    <w:rsid w:val="00170F6D"/>
    <w:rsid w:val="00171468"/>
    <w:rsid w:val="001715BB"/>
    <w:rsid w:val="00171FB8"/>
    <w:rsid w:val="0017205A"/>
    <w:rsid w:val="0017383E"/>
    <w:rsid w:val="00173E38"/>
    <w:rsid w:val="001753F4"/>
    <w:rsid w:val="00175571"/>
    <w:rsid w:val="00175709"/>
    <w:rsid w:val="00176234"/>
    <w:rsid w:val="00176590"/>
    <w:rsid w:val="00176B1E"/>
    <w:rsid w:val="00177874"/>
    <w:rsid w:val="001803BE"/>
    <w:rsid w:val="0018079D"/>
    <w:rsid w:val="00181994"/>
    <w:rsid w:val="00181F5C"/>
    <w:rsid w:val="00182713"/>
    <w:rsid w:val="0018288F"/>
    <w:rsid w:val="00183B21"/>
    <w:rsid w:val="00183FA3"/>
    <w:rsid w:val="00184068"/>
    <w:rsid w:val="00184E2C"/>
    <w:rsid w:val="00185D5F"/>
    <w:rsid w:val="00186142"/>
    <w:rsid w:val="00186853"/>
    <w:rsid w:val="00186E2D"/>
    <w:rsid w:val="00186FBE"/>
    <w:rsid w:val="001876F5"/>
    <w:rsid w:val="00187EBF"/>
    <w:rsid w:val="00191EB1"/>
    <w:rsid w:val="00192428"/>
    <w:rsid w:val="0019345D"/>
    <w:rsid w:val="001940FA"/>
    <w:rsid w:val="00194F60"/>
    <w:rsid w:val="001956DC"/>
    <w:rsid w:val="001956DE"/>
    <w:rsid w:val="0019613B"/>
    <w:rsid w:val="00196E72"/>
    <w:rsid w:val="00197134"/>
    <w:rsid w:val="00197435"/>
    <w:rsid w:val="001A09E4"/>
    <w:rsid w:val="001A156C"/>
    <w:rsid w:val="001A1A34"/>
    <w:rsid w:val="001A1D07"/>
    <w:rsid w:val="001A25C7"/>
    <w:rsid w:val="001A2A7F"/>
    <w:rsid w:val="001A2CC0"/>
    <w:rsid w:val="001A2F4F"/>
    <w:rsid w:val="001A3572"/>
    <w:rsid w:val="001A37AC"/>
    <w:rsid w:val="001A3E0F"/>
    <w:rsid w:val="001A3E43"/>
    <w:rsid w:val="001A4ADB"/>
    <w:rsid w:val="001A503E"/>
    <w:rsid w:val="001A50D6"/>
    <w:rsid w:val="001A5713"/>
    <w:rsid w:val="001A633C"/>
    <w:rsid w:val="001A65C5"/>
    <w:rsid w:val="001A7237"/>
    <w:rsid w:val="001A7CDE"/>
    <w:rsid w:val="001B0254"/>
    <w:rsid w:val="001B0691"/>
    <w:rsid w:val="001B0764"/>
    <w:rsid w:val="001B1084"/>
    <w:rsid w:val="001B1836"/>
    <w:rsid w:val="001B28CF"/>
    <w:rsid w:val="001B2CE3"/>
    <w:rsid w:val="001B3047"/>
    <w:rsid w:val="001B3764"/>
    <w:rsid w:val="001B3D34"/>
    <w:rsid w:val="001B3DE6"/>
    <w:rsid w:val="001B405E"/>
    <w:rsid w:val="001B4527"/>
    <w:rsid w:val="001B4571"/>
    <w:rsid w:val="001B4670"/>
    <w:rsid w:val="001B4693"/>
    <w:rsid w:val="001B4F73"/>
    <w:rsid w:val="001B51CC"/>
    <w:rsid w:val="001B5BA0"/>
    <w:rsid w:val="001B71EA"/>
    <w:rsid w:val="001B723C"/>
    <w:rsid w:val="001B75D8"/>
    <w:rsid w:val="001C0240"/>
    <w:rsid w:val="001C0EBF"/>
    <w:rsid w:val="001C167C"/>
    <w:rsid w:val="001C3537"/>
    <w:rsid w:val="001C3B3C"/>
    <w:rsid w:val="001C3D01"/>
    <w:rsid w:val="001C3E66"/>
    <w:rsid w:val="001C5BEA"/>
    <w:rsid w:val="001C6ED6"/>
    <w:rsid w:val="001C70B3"/>
    <w:rsid w:val="001C7926"/>
    <w:rsid w:val="001C7E16"/>
    <w:rsid w:val="001D0234"/>
    <w:rsid w:val="001D0883"/>
    <w:rsid w:val="001D0943"/>
    <w:rsid w:val="001D0E98"/>
    <w:rsid w:val="001D1070"/>
    <w:rsid w:val="001D12A5"/>
    <w:rsid w:val="001D13C8"/>
    <w:rsid w:val="001D1905"/>
    <w:rsid w:val="001D1D16"/>
    <w:rsid w:val="001D213D"/>
    <w:rsid w:val="001D224C"/>
    <w:rsid w:val="001D22BD"/>
    <w:rsid w:val="001D26AD"/>
    <w:rsid w:val="001D28BD"/>
    <w:rsid w:val="001D4639"/>
    <w:rsid w:val="001D48DB"/>
    <w:rsid w:val="001D4C72"/>
    <w:rsid w:val="001D4DDE"/>
    <w:rsid w:val="001D5639"/>
    <w:rsid w:val="001D5B10"/>
    <w:rsid w:val="001D5E5A"/>
    <w:rsid w:val="001D7E62"/>
    <w:rsid w:val="001D7FE5"/>
    <w:rsid w:val="001E1FB2"/>
    <w:rsid w:val="001E2196"/>
    <w:rsid w:val="001E2453"/>
    <w:rsid w:val="001E3B61"/>
    <w:rsid w:val="001E4641"/>
    <w:rsid w:val="001E4724"/>
    <w:rsid w:val="001E481E"/>
    <w:rsid w:val="001E49E6"/>
    <w:rsid w:val="001E5259"/>
    <w:rsid w:val="001E5653"/>
    <w:rsid w:val="001E5977"/>
    <w:rsid w:val="001E6262"/>
    <w:rsid w:val="001E7AB9"/>
    <w:rsid w:val="001E7D8F"/>
    <w:rsid w:val="001F0985"/>
    <w:rsid w:val="001F1DD8"/>
    <w:rsid w:val="001F1DEB"/>
    <w:rsid w:val="001F1E82"/>
    <w:rsid w:val="001F2A2D"/>
    <w:rsid w:val="001F2BEC"/>
    <w:rsid w:val="001F2C8F"/>
    <w:rsid w:val="001F30E7"/>
    <w:rsid w:val="001F3785"/>
    <w:rsid w:val="001F4334"/>
    <w:rsid w:val="001F48D1"/>
    <w:rsid w:val="001F4A7E"/>
    <w:rsid w:val="001F4AD2"/>
    <w:rsid w:val="001F50EF"/>
    <w:rsid w:val="001F63AA"/>
    <w:rsid w:val="001F668D"/>
    <w:rsid w:val="001F67CE"/>
    <w:rsid w:val="001F6835"/>
    <w:rsid w:val="001F7135"/>
    <w:rsid w:val="001F7366"/>
    <w:rsid w:val="001F7612"/>
    <w:rsid w:val="00200400"/>
    <w:rsid w:val="002006FB"/>
    <w:rsid w:val="002008E2"/>
    <w:rsid w:val="00200DB8"/>
    <w:rsid w:val="00201768"/>
    <w:rsid w:val="00201D62"/>
    <w:rsid w:val="0020223B"/>
    <w:rsid w:val="00202793"/>
    <w:rsid w:val="00202D0A"/>
    <w:rsid w:val="00204993"/>
    <w:rsid w:val="00204D79"/>
    <w:rsid w:val="002059AE"/>
    <w:rsid w:val="00205B01"/>
    <w:rsid w:val="0020699D"/>
    <w:rsid w:val="00207D85"/>
    <w:rsid w:val="00207EFE"/>
    <w:rsid w:val="00210040"/>
    <w:rsid w:val="00210AF9"/>
    <w:rsid w:val="00211923"/>
    <w:rsid w:val="00211CA6"/>
    <w:rsid w:val="002122FF"/>
    <w:rsid w:val="002127CE"/>
    <w:rsid w:val="002127D1"/>
    <w:rsid w:val="00212F66"/>
    <w:rsid w:val="00213464"/>
    <w:rsid w:val="00213DE0"/>
    <w:rsid w:val="00213F85"/>
    <w:rsid w:val="00214B7C"/>
    <w:rsid w:val="0021525D"/>
    <w:rsid w:val="002158E7"/>
    <w:rsid w:val="00216973"/>
    <w:rsid w:val="00216F85"/>
    <w:rsid w:val="00217016"/>
    <w:rsid w:val="002171F6"/>
    <w:rsid w:val="00217A58"/>
    <w:rsid w:val="00217C57"/>
    <w:rsid w:val="002202C1"/>
    <w:rsid w:val="00220BCF"/>
    <w:rsid w:val="002222F6"/>
    <w:rsid w:val="0022308F"/>
    <w:rsid w:val="00223DBB"/>
    <w:rsid w:val="00223F5C"/>
    <w:rsid w:val="00224675"/>
    <w:rsid w:val="0022481D"/>
    <w:rsid w:val="0022544D"/>
    <w:rsid w:val="00226698"/>
    <w:rsid w:val="00226C11"/>
    <w:rsid w:val="00227577"/>
    <w:rsid w:val="002330ED"/>
    <w:rsid w:val="002344C4"/>
    <w:rsid w:val="002348FC"/>
    <w:rsid w:val="002349E6"/>
    <w:rsid w:val="00234B97"/>
    <w:rsid w:val="00234E8A"/>
    <w:rsid w:val="002351A0"/>
    <w:rsid w:val="00235552"/>
    <w:rsid w:val="00236626"/>
    <w:rsid w:val="0023670C"/>
    <w:rsid w:val="002369FF"/>
    <w:rsid w:val="00236FB0"/>
    <w:rsid w:val="0023721D"/>
    <w:rsid w:val="00240195"/>
    <w:rsid w:val="002408C1"/>
    <w:rsid w:val="00240E86"/>
    <w:rsid w:val="00241542"/>
    <w:rsid w:val="0024188A"/>
    <w:rsid w:val="002427A3"/>
    <w:rsid w:val="00242AB2"/>
    <w:rsid w:val="00242C77"/>
    <w:rsid w:val="00242F2C"/>
    <w:rsid w:val="00243949"/>
    <w:rsid w:val="0024483B"/>
    <w:rsid w:val="00244983"/>
    <w:rsid w:val="00245030"/>
    <w:rsid w:val="00245DC3"/>
    <w:rsid w:val="00246244"/>
    <w:rsid w:val="00246954"/>
    <w:rsid w:val="0024739E"/>
    <w:rsid w:val="00247670"/>
    <w:rsid w:val="00247B4B"/>
    <w:rsid w:val="00247BA3"/>
    <w:rsid w:val="00247F6D"/>
    <w:rsid w:val="00250437"/>
    <w:rsid w:val="002515D1"/>
    <w:rsid w:val="002517CA"/>
    <w:rsid w:val="00251947"/>
    <w:rsid w:val="002519DD"/>
    <w:rsid w:val="00251A96"/>
    <w:rsid w:val="00252D32"/>
    <w:rsid w:val="0025323D"/>
    <w:rsid w:val="00253DD5"/>
    <w:rsid w:val="002540D8"/>
    <w:rsid w:val="00254744"/>
    <w:rsid w:val="002549B0"/>
    <w:rsid w:val="00254CC7"/>
    <w:rsid w:val="00254DBE"/>
    <w:rsid w:val="00255240"/>
    <w:rsid w:val="002560A9"/>
    <w:rsid w:val="002569A9"/>
    <w:rsid w:val="00257103"/>
    <w:rsid w:val="002572A2"/>
    <w:rsid w:val="002573BE"/>
    <w:rsid w:val="0026223C"/>
    <w:rsid w:val="00262272"/>
    <w:rsid w:val="00262F80"/>
    <w:rsid w:val="002634F1"/>
    <w:rsid w:val="00263869"/>
    <w:rsid w:val="00263A36"/>
    <w:rsid w:val="00263BCF"/>
    <w:rsid w:val="00263DA4"/>
    <w:rsid w:val="0026464D"/>
    <w:rsid w:val="00264850"/>
    <w:rsid w:val="00265C72"/>
    <w:rsid w:val="00265ECF"/>
    <w:rsid w:val="00266358"/>
    <w:rsid w:val="00266588"/>
    <w:rsid w:val="002667D7"/>
    <w:rsid w:val="002669FF"/>
    <w:rsid w:val="00266BBA"/>
    <w:rsid w:val="00266BEA"/>
    <w:rsid w:val="00266D51"/>
    <w:rsid w:val="00266FB9"/>
    <w:rsid w:val="0026717A"/>
    <w:rsid w:val="0026757D"/>
    <w:rsid w:val="002676BD"/>
    <w:rsid w:val="0026792F"/>
    <w:rsid w:val="00267F98"/>
    <w:rsid w:val="00272094"/>
    <w:rsid w:val="002723FF"/>
    <w:rsid w:val="002739E8"/>
    <w:rsid w:val="00273C22"/>
    <w:rsid w:val="00275060"/>
    <w:rsid w:val="00275641"/>
    <w:rsid w:val="00275B6C"/>
    <w:rsid w:val="00275C72"/>
    <w:rsid w:val="00275FFE"/>
    <w:rsid w:val="002763EA"/>
    <w:rsid w:val="00276FFD"/>
    <w:rsid w:val="00281537"/>
    <w:rsid w:val="00282D8E"/>
    <w:rsid w:val="0028387B"/>
    <w:rsid w:val="002846B6"/>
    <w:rsid w:val="00284E3A"/>
    <w:rsid w:val="00285319"/>
    <w:rsid w:val="00286961"/>
    <w:rsid w:val="00286F0E"/>
    <w:rsid w:val="002870DE"/>
    <w:rsid w:val="002879EE"/>
    <w:rsid w:val="0029023D"/>
    <w:rsid w:val="00290AD4"/>
    <w:rsid w:val="00290DF8"/>
    <w:rsid w:val="00290E33"/>
    <w:rsid w:val="00291E7C"/>
    <w:rsid w:val="00291ECD"/>
    <w:rsid w:val="0029423D"/>
    <w:rsid w:val="0029562D"/>
    <w:rsid w:val="00295927"/>
    <w:rsid w:val="00296666"/>
    <w:rsid w:val="00296AF1"/>
    <w:rsid w:val="002970AF"/>
    <w:rsid w:val="00297573"/>
    <w:rsid w:val="00297667"/>
    <w:rsid w:val="00297DEB"/>
    <w:rsid w:val="002A0FB9"/>
    <w:rsid w:val="002A1AA7"/>
    <w:rsid w:val="002A1EB7"/>
    <w:rsid w:val="002A225E"/>
    <w:rsid w:val="002A22E3"/>
    <w:rsid w:val="002A2549"/>
    <w:rsid w:val="002A2883"/>
    <w:rsid w:val="002A300B"/>
    <w:rsid w:val="002A35BD"/>
    <w:rsid w:val="002A407A"/>
    <w:rsid w:val="002A4098"/>
    <w:rsid w:val="002A4857"/>
    <w:rsid w:val="002A50E7"/>
    <w:rsid w:val="002A53C2"/>
    <w:rsid w:val="002A7BEE"/>
    <w:rsid w:val="002B0423"/>
    <w:rsid w:val="002B0A30"/>
    <w:rsid w:val="002B0ADF"/>
    <w:rsid w:val="002B20E2"/>
    <w:rsid w:val="002B2371"/>
    <w:rsid w:val="002B2CCB"/>
    <w:rsid w:val="002B3E49"/>
    <w:rsid w:val="002B3EF3"/>
    <w:rsid w:val="002B47C0"/>
    <w:rsid w:val="002B4F83"/>
    <w:rsid w:val="002B50CC"/>
    <w:rsid w:val="002B53AA"/>
    <w:rsid w:val="002B59E2"/>
    <w:rsid w:val="002B5AE9"/>
    <w:rsid w:val="002B5E81"/>
    <w:rsid w:val="002B66F4"/>
    <w:rsid w:val="002B6B31"/>
    <w:rsid w:val="002B7A43"/>
    <w:rsid w:val="002B7BFA"/>
    <w:rsid w:val="002B7F50"/>
    <w:rsid w:val="002C0EEE"/>
    <w:rsid w:val="002C162D"/>
    <w:rsid w:val="002C16AA"/>
    <w:rsid w:val="002C1743"/>
    <w:rsid w:val="002C181E"/>
    <w:rsid w:val="002C19C1"/>
    <w:rsid w:val="002C1E12"/>
    <w:rsid w:val="002C23F8"/>
    <w:rsid w:val="002C29AD"/>
    <w:rsid w:val="002C2AF9"/>
    <w:rsid w:val="002C3E8F"/>
    <w:rsid w:val="002C43D7"/>
    <w:rsid w:val="002C449C"/>
    <w:rsid w:val="002C4CF0"/>
    <w:rsid w:val="002C5910"/>
    <w:rsid w:val="002C5E04"/>
    <w:rsid w:val="002C672C"/>
    <w:rsid w:val="002C6B93"/>
    <w:rsid w:val="002C7BFD"/>
    <w:rsid w:val="002C7D11"/>
    <w:rsid w:val="002D13D6"/>
    <w:rsid w:val="002D15EC"/>
    <w:rsid w:val="002D19DA"/>
    <w:rsid w:val="002D1ACC"/>
    <w:rsid w:val="002D270C"/>
    <w:rsid w:val="002D287E"/>
    <w:rsid w:val="002D288E"/>
    <w:rsid w:val="002D30A6"/>
    <w:rsid w:val="002D3E70"/>
    <w:rsid w:val="002D4262"/>
    <w:rsid w:val="002D4591"/>
    <w:rsid w:val="002D49A9"/>
    <w:rsid w:val="002D4F74"/>
    <w:rsid w:val="002D5592"/>
    <w:rsid w:val="002D66EF"/>
    <w:rsid w:val="002D6D0C"/>
    <w:rsid w:val="002D7021"/>
    <w:rsid w:val="002E0B40"/>
    <w:rsid w:val="002E0CF7"/>
    <w:rsid w:val="002E11E1"/>
    <w:rsid w:val="002E1532"/>
    <w:rsid w:val="002E1669"/>
    <w:rsid w:val="002E2285"/>
    <w:rsid w:val="002E246A"/>
    <w:rsid w:val="002E3070"/>
    <w:rsid w:val="002E30C9"/>
    <w:rsid w:val="002E37EA"/>
    <w:rsid w:val="002E3A5D"/>
    <w:rsid w:val="002E42FC"/>
    <w:rsid w:val="002E452A"/>
    <w:rsid w:val="002E63F1"/>
    <w:rsid w:val="002E732B"/>
    <w:rsid w:val="002E76BD"/>
    <w:rsid w:val="002E7BAF"/>
    <w:rsid w:val="002E7DDE"/>
    <w:rsid w:val="002F0760"/>
    <w:rsid w:val="002F0B13"/>
    <w:rsid w:val="002F1A2D"/>
    <w:rsid w:val="002F1D1A"/>
    <w:rsid w:val="002F262E"/>
    <w:rsid w:val="002F33CD"/>
    <w:rsid w:val="002F4065"/>
    <w:rsid w:val="002F4AE2"/>
    <w:rsid w:val="002F5606"/>
    <w:rsid w:val="002F58DD"/>
    <w:rsid w:val="002F6010"/>
    <w:rsid w:val="002F60B6"/>
    <w:rsid w:val="002F6277"/>
    <w:rsid w:val="002F6530"/>
    <w:rsid w:val="002F6D59"/>
    <w:rsid w:val="002F6DDF"/>
    <w:rsid w:val="002F76B6"/>
    <w:rsid w:val="002F7E69"/>
    <w:rsid w:val="002F7EF9"/>
    <w:rsid w:val="00300770"/>
    <w:rsid w:val="00301555"/>
    <w:rsid w:val="00301A05"/>
    <w:rsid w:val="00301F67"/>
    <w:rsid w:val="00302173"/>
    <w:rsid w:val="00302774"/>
    <w:rsid w:val="003033A7"/>
    <w:rsid w:val="00303AA0"/>
    <w:rsid w:val="00304225"/>
    <w:rsid w:val="00304954"/>
    <w:rsid w:val="003049F6"/>
    <w:rsid w:val="00305C43"/>
    <w:rsid w:val="00305D40"/>
    <w:rsid w:val="00305FD6"/>
    <w:rsid w:val="00306478"/>
    <w:rsid w:val="00306641"/>
    <w:rsid w:val="003068D2"/>
    <w:rsid w:val="003076C1"/>
    <w:rsid w:val="003106B8"/>
    <w:rsid w:val="00310997"/>
    <w:rsid w:val="003120AF"/>
    <w:rsid w:val="00312170"/>
    <w:rsid w:val="0031239E"/>
    <w:rsid w:val="00312A53"/>
    <w:rsid w:val="00312D49"/>
    <w:rsid w:val="00312E2D"/>
    <w:rsid w:val="00312EB1"/>
    <w:rsid w:val="003148FC"/>
    <w:rsid w:val="00314B03"/>
    <w:rsid w:val="003159C9"/>
    <w:rsid w:val="00315A37"/>
    <w:rsid w:val="00315CB0"/>
    <w:rsid w:val="003163EB"/>
    <w:rsid w:val="003178F9"/>
    <w:rsid w:val="00317A4C"/>
    <w:rsid w:val="00317E3D"/>
    <w:rsid w:val="00320D4F"/>
    <w:rsid w:val="00320D92"/>
    <w:rsid w:val="00321CCA"/>
    <w:rsid w:val="00321D29"/>
    <w:rsid w:val="00322631"/>
    <w:rsid w:val="00322C39"/>
    <w:rsid w:val="0032323D"/>
    <w:rsid w:val="0032415F"/>
    <w:rsid w:val="003245C8"/>
    <w:rsid w:val="00324695"/>
    <w:rsid w:val="00325B76"/>
    <w:rsid w:val="00325D76"/>
    <w:rsid w:val="00326426"/>
    <w:rsid w:val="0032674E"/>
    <w:rsid w:val="003267E9"/>
    <w:rsid w:val="00326AB4"/>
    <w:rsid w:val="003274E5"/>
    <w:rsid w:val="0032773F"/>
    <w:rsid w:val="00330F1C"/>
    <w:rsid w:val="00330F23"/>
    <w:rsid w:val="00331A02"/>
    <w:rsid w:val="00332BC9"/>
    <w:rsid w:val="00332E22"/>
    <w:rsid w:val="00332FBA"/>
    <w:rsid w:val="003332F1"/>
    <w:rsid w:val="00333BB6"/>
    <w:rsid w:val="00333D4F"/>
    <w:rsid w:val="003350E5"/>
    <w:rsid w:val="0033511B"/>
    <w:rsid w:val="00337022"/>
    <w:rsid w:val="00337427"/>
    <w:rsid w:val="003375DC"/>
    <w:rsid w:val="00337B53"/>
    <w:rsid w:val="00340152"/>
    <w:rsid w:val="00340216"/>
    <w:rsid w:val="003408FB"/>
    <w:rsid w:val="00340B2D"/>
    <w:rsid w:val="0034119B"/>
    <w:rsid w:val="00341691"/>
    <w:rsid w:val="00342065"/>
    <w:rsid w:val="0034228C"/>
    <w:rsid w:val="003422C4"/>
    <w:rsid w:val="00342A3A"/>
    <w:rsid w:val="00345444"/>
    <w:rsid w:val="00345585"/>
    <w:rsid w:val="0034565E"/>
    <w:rsid w:val="003457D9"/>
    <w:rsid w:val="00346171"/>
    <w:rsid w:val="003461BD"/>
    <w:rsid w:val="00347032"/>
    <w:rsid w:val="003477C3"/>
    <w:rsid w:val="00347F09"/>
    <w:rsid w:val="00350108"/>
    <w:rsid w:val="0035087A"/>
    <w:rsid w:val="00351746"/>
    <w:rsid w:val="003519B6"/>
    <w:rsid w:val="00353CBD"/>
    <w:rsid w:val="00354B9D"/>
    <w:rsid w:val="0035543D"/>
    <w:rsid w:val="003562C6"/>
    <w:rsid w:val="003565D0"/>
    <w:rsid w:val="00357327"/>
    <w:rsid w:val="00357363"/>
    <w:rsid w:val="00360D63"/>
    <w:rsid w:val="00360F67"/>
    <w:rsid w:val="003612F6"/>
    <w:rsid w:val="003614B8"/>
    <w:rsid w:val="00361905"/>
    <w:rsid w:val="00361FB1"/>
    <w:rsid w:val="003621FC"/>
    <w:rsid w:val="003628BF"/>
    <w:rsid w:val="00362CAB"/>
    <w:rsid w:val="00362FDB"/>
    <w:rsid w:val="00363039"/>
    <w:rsid w:val="003631E5"/>
    <w:rsid w:val="00364ED4"/>
    <w:rsid w:val="0036518B"/>
    <w:rsid w:val="00365280"/>
    <w:rsid w:val="0036535A"/>
    <w:rsid w:val="0036634C"/>
    <w:rsid w:val="00366CCB"/>
    <w:rsid w:val="00367020"/>
    <w:rsid w:val="00367AEB"/>
    <w:rsid w:val="00367BA7"/>
    <w:rsid w:val="0037023A"/>
    <w:rsid w:val="0037026E"/>
    <w:rsid w:val="00370F56"/>
    <w:rsid w:val="003719ED"/>
    <w:rsid w:val="00371C1D"/>
    <w:rsid w:val="003726E1"/>
    <w:rsid w:val="003727A7"/>
    <w:rsid w:val="00372AFA"/>
    <w:rsid w:val="00372B2C"/>
    <w:rsid w:val="0037304B"/>
    <w:rsid w:val="00373CA2"/>
    <w:rsid w:val="0037430E"/>
    <w:rsid w:val="003744DF"/>
    <w:rsid w:val="003747F1"/>
    <w:rsid w:val="003763C5"/>
    <w:rsid w:val="00376A63"/>
    <w:rsid w:val="00376B57"/>
    <w:rsid w:val="00376B91"/>
    <w:rsid w:val="00376E88"/>
    <w:rsid w:val="00380127"/>
    <w:rsid w:val="00382074"/>
    <w:rsid w:val="0038374F"/>
    <w:rsid w:val="00383A18"/>
    <w:rsid w:val="00383FBD"/>
    <w:rsid w:val="00384423"/>
    <w:rsid w:val="00385025"/>
    <w:rsid w:val="00385142"/>
    <w:rsid w:val="00385C48"/>
    <w:rsid w:val="003874BF"/>
    <w:rsid w:val="003874D0"/>
    <w:rsid w:val="00387D4E"/>
    <w:rsid w:val="003908B8"/>
    <w:rsid w:val="00390F8F"/>
    <w:rsid w:val="00391BD8"/>
    <w:rsid w:val="00391D3F"/>
    <w:rsid w:val="00392041"/>
    <w:rsid w:val="003920FB"/>
    <w:rsid w:val="0039246E"/>
    <w:rsid w:val="003924CD"/>
    <w:rsid w:val="003932D6"/>
    <w:rsid w:val="0039345B"/>
    <w:rsid w:val="00393652"/>
    <w:rsid w:val="00393F63"/>
    <w:rsid w:val="00394375"/>
    <w:rsid w:val="00394447"/>
    <w:rsid w:val="00394992"/>
    <w:rsid w:val="0039505A"/>
    <w:rsid w:val="003950EC"/>
    <w:rsid w:val="00395E21"/>
    <w:rsid w:val="00396346"/>
    <w:rsid w:val="003965BE"/>
    <w:rsid w:val="00396D1B"/>
    <w:rsid w:val="00397CA5"/>
    <w:rsid w:val="003A051C"/>
    <w:rsid w:val="003A0661"/>
    <w:rsid w:val="003A0BC9"/>
    <w:rsid w:val="003A0D49"/>
    <w:rsid w:val="003A149B"/>
    <w:rsid w:val="003A1AA3"/>
    <w:rsid w:val="003A1AD0"/>
    <w:rsid w:val="003A1C93"/>
    <w:rsid w:val="003A2395"/>
    <w:rsid w:val="003A27B9"/>
    <w:rsid w:val="003A3BE0"/>
    <w:rsid w:val="003A422A"/>
    <w:rsid w:val="003A4755"/>
    <w:rsid w:val="003A5301"/>
    <w:rsid w:val="003A5C42"/>
    <w:rsid w:val="003A60C1"/>
    <w:rsid w:val="003A6257"/>
    <w:rsid w:val="003A62BF"/>
    <w:rsid w:val="003A742F"/>
    <w:rsid w:val="003B0176"/>
    <w:rsid w:val="003B0299"/>
    <w:rsid w:val="003B02F3"/>
    <w:rsid w:val="003B0352"/>
    <w:rsid w:val="003B037E"/>
    <w:rsid w:val="003B0622"/>
    <w:rsid w:val="003B0F67"/>
    <w:rsid w:val="003B19AE"/>
    <w:rsid w:val="003B3D1D"/>
    <w:rsid w:val="003B3D8B"/>
    <w:rsid w:val="003B4640"/>
    <w:rsid w:val="003B4A61"/>
    <w:rsid w:val="003B53A4"/>
    <w:rsid w:val="003B5F29"/>
    <w:rsid w:val="003B632B"/>
    <w:rsid w:val="003B6B24"/>
    <w:rsid w:val="003B6F85"/>
    <w:rsid w:val="003B720F"/>
    <w:rsid w:val="003C0756"/>
    <w:rsid w:val="003C0BF8"/>
    <w:rsid w:val="003C0C5D"/>
    <w:rsid w:val="003C1341"/>
    <w:rsid w:val="003C17AF"/>
    <w:rsid w:val="003C186F"/>
    <w:rsid w:val="003C1BE8"/>
    <w:rsid w:val="003C1DF7"/>
    <w:rsid w:val="003C2801"/>
    <w:rsid w:val="003C2DBB"/>
    <w:rsid w:val="003C3E71"/>
    <w:rsid w:val="003C47EA"/>
    <w:rsid w:val="003C4E72"/>
    <w:rsid w:val="003C5AEF"/>
    <w:rsid w:val="003C620D"/>
    <w:rsid w:val="003C69BE"/>
    <w:rsid w:val="003C6C3F"/>
    <w:rsid w:val="003C724A"/>
    <w:rsid w:val="003C7263"/>
    <w:rsid w:val="003C7892"/>
    <w:rsid w:val="003D049D"/>
    <w:rsid w:val="003D05A8"/>
    <w:rsid w:val="003D1170"/>
    <w:rsid w:val="003D28CD"/>
    <w:rsid w:val="003D2A0B"/>
    <w:rsid w:val="003D3137"/>
    <w:rsid w:val="003D353F"/>
    <w:rsid w:val="003D3EE4"/>
    <w:rsid w:val="003D4011"/>
    <w:rsid w:val="003D4106"/>
    <w:rsid w:val="003D430C"/>
    <w:rsid w:val="003D4657"/>
    <w:rsid w:val="003D4BA4"/>
    <w:rsid w:val="003D4BF6"/>
    <w:rsid w:val="003D4D75"/>
    <w:rsid w:val="003D514B"/>
    <w:rsid w:val="003D5397"/>
    <w:rsid w:val="003D5649"/>
    <w:rsid w:val="003D7565"/>
    <w:rsid w:val="003D75C5"/>
    <w:rsid w:val="003D7D3B"/>
    <w:rsid w:val="003E083A"/>
    <w:rsid w:val="003E1DB5"/>
    <w:rsid w:val="003E230A"/>
    <w:rsid w:val="003E25C2"/>
    <w:rsid w:val="003E293F"/>
    <w:rsid w:val="003E33FF"/>
    <w:rsid w:val="003E3422"/>
    <w:rsid w:val="003E35A0"/>
    <w:rsid w:val="003E3679"/>
    <w:rsid w:val="003E3C44"/>
    <w:rsid w:val="003E3EB4"/>
    <w:rsid w:val="003E3FDD"/>
    <w:rsid w:val="003E49D4"/>
    <w:rsid w:val="003E4B31"/>
    <w:rsid w:val="003E512B"/>
    <w:rsid w:val="003E5430"/>
    <w:rsid w:val="003E5AB8"/>
    <w:rsid w:val="003E5D4D"/>
    <w:rsid w:val="003E5E24"/>
    <w:rsid w:val="003E609A"/>
    <w:rsid w:val="003E6288"/>
    <w:rsid w:val="003E6CDA"/>
    <w:rsid w:val="003E6CFB"/>
    <w:rsid w:val="003E6F3B"/>
    <w:rsid w:val="003E77B8"/>
    <w:rsid w:val="003F07EE"/>
    <w:rsid w:val="003F0B7E"/>
    <w:rsid w:val="003F0EDE"/>
    <w:rsid w:val="003F1259"/>
    <w:rsid w:val="003F1D57"/>
    <w:rsid w:val="003F1E58"/>
    <w:rsid w:val="003F2282"/>
    <w:rsid w:val="003F23CF"/>
    <w:rsid w:val="003F26A1"/>
    <w:rsid w:val="003F28D2"/>
    <w:rsid w:val="003F2987"/>
    <w:rsid w:val="003F5167"/>
    <w:rsid w:val="003F534E"/>
    <w:rsid w:val="003F5612"/>
    <w:rsid w:val="003F6A5F"/>
    <w:rsid w:val="003F6A89"/>
    <w:rsid w:val="003F6C05"/>
    <w:rsid w:val="003F7223"/>
    <w:rsid w:val="003F7469"/>
    <w:rsid w:val="003F7493"/>
    <w:rsid w:val="00400FA8"/>
    <w:rsid w:val="0040190A"/>
    <w:rsid w:val="00401C4B"/>
    <w:rsid w:val="004024E8"/>
    <w:rsid w:val="00402E63"/>
    <w:rsid w:val="00403151"/>
    <w:rsid w:val="0040351E"/>
    <w:rsid w:val="00403BEB"/>
    <w:rsid w:val="00403D87"/>
    <w:rsid w:val="00403F26"/>
    <w:rsid w:val="004041F5"/>
    <w:rsid w:val="004044E5"/>
    <w:rsid w:val="00405588"/>
    <w:rsid w:val="004055EE"/>
    <w:rsid w:val="00406554"/>
    <w:rsid w:val="004066D0"/>
    <w:rsid w:val="004071AC"/>
    <w:rsid w:val="00407F58"/>
    <w:rsid w:val="0041023E"/>
    <w:rsid w:val="004127E6"/>
    <w:rsid w:val="004129D3"/>
    <w:rsid w:val="00412F07"/>
    <w:rsid w:val="0041325C"/>
    <w:rsid w:val="0041381B"/>
    <w:rsid w:val="00413881"/>
    <w:rsid w:val="00413AEA"/>
    <w:rsid w:val="00414033"/>
    <w:rsid w:val="00414839"/>
    <w:rsid w:val="0041483C"/>
    <w:rsid w:val="00414912"/>
    <w:rsid w:val="004149C0"/>
    <w:rsid w:val="00414E88"/>
    <w:rsid w:val="004156CA"/>
    <w:rsid w:val="00415795"/>
    <w:rsid w:val="004167BB"/>
    <w:rsid w:val="00417326"/>
    <w:rsid w:val="00417D75"/>
    <w:rsid w:val="00420736"/>
    <w:rsid w:val="00421389"/>
    <w:rsid w:val="004222A8"/>
    <w:rsid w:val="0042267C"/>
    <w:rsid w:val="004230E7"/>
    <w:rsid w:val="0042340E"/>
    <w:rsid w:val="004235BB"/>
    <w:rsid w:val="004243B2"/>
    <w:rsid w:val="004254C7"/>
    <w:rsid w:val="00426290"/>
    <w:rsid w:val="00431177"/>
    <w:rsid w:val="004315A5"/>
    <w:rsid w:val="00431BFD"/>
    <w:rsid w:val="0043299D"/>
    <w:rsid w:val="00432C1D"/>
    <w:rsid w:val="00433412"/>
    <w:rsid w:val="00434350"/>
    <w:rsid w:val="00435333"/>
    <w:rsid w:val="004358B8"/>
    <w:rsid w:val="00435DD8"/>
    <w:rsid w:val="0043665F"/>
    <w:rsid w:val="00436FD3"/>
    <w:rsid w:val="00437754"/>
    <w:rsid w:val="0043788D"/>
    <w:rsid w:val="00440059"/>
    <w:rsid w:val="0044051F"/>
    <w:rsid w:val="004405AB"/>
    <w:rsid w:val="00440DA1"/>
    <w:rsid w:val="00440DF1"/>
    <w:rsid w:val="004410BB"/>
    <w:rsid w:val="0044264D"/>
    <w:rsid w:val="004428D2"/>
    <w:rsid w:val="00442D9F"/>
    <w:rsid w:val="00443A0B"/>
    <w:rsid w:val="00443AF2"/>
    <w:rsid w:val="00443F5B"/>
    <w:rsid w:val="004445AB"/>
    <w:rsid w:val="00444814"/>
    <w:rsid w:val="00444CD7"/>
    <w:rsid w:val="0044576F"/>
    <w:rsid w:val="00445E8D"/>
    <w:rsid w:val="00446432"/>
    <w:rsid w:val="00446B62"/>
    <w:rsid w:val="00447C34"/>
    <w:rsid w:val="00447CB6"/>
    <w:rsid w:val="00450520"/>
    <w:rsid w:val="00450606"/>
    <w:rsid w:val="00450FC6"/>
    <w:rsid w:val="0045113F"/>
    <w:rsid w:val="00451468"/>
    <w:rsid w:val="00451CF0"/>
    <w:rsid w:val="00451EEA"/>
    <w:rsid w:val="004535DC"/>
    <w:rsid w:val="0045421C"/>
    <w:rsid w:val="00455764"/>
    <w:rsid w:val="0045576F"/>
    <w:rsid w:val="00455AE7"/>
    <w:rsid w:val="00455C5F"/>
    <w:rsid w:val="00456315"/>
    <w:rsid w:val="00457225"/>
    <w:rsid w:val="004572B2"/>
    <w:rsid w:val="00457621"/>
    <w:rsid w:val="00457942"/>
    <w:rsid w:val="00460941"/>
    <w:rsid w:val="00460D0D"/>
    <w:rsid w:val="00460F8A"/>
    <w:rsid w:val="0046121C"/>
    <w:rsid w:val="00461433"/>
    <w:rsid w:val="00463915"/>
    <w:rsid w:val="004642E7"/>
    <w:rsid w:val="00464CCF"/>
    <w:rsid w:val="00465094"/>
    <w:rsid w:val="00465213"/>
    <w:rsid w:val="00465DF9"/>
    <w:rsid w:val="00466C2D"/>
    <w:rsid w:val="00470C75"/>
    <w:rsid w:val="00470CE3"/>
    <w:rsid w:val="00471002"/>
    <w:rsid w:val="004712F1"/>
    <w:rsid w:val="0047216B"/>
    <w:rsid w:val="00472289"/>
    <w:rsid w:val="00472A13"/>
    <w:rsid w:val="00472A5B"/>
    <w:rsid w:val="00472EFF"/>
    <w:rsid w:val="00473630"/>
    <w:rsid w:val="004738E2"/>
    <w:rsid w:val="00474D7E"/>
    <w:rsid w:val="00475624"/>
    <w:rsid w:val="004759A5"/>
    <w:rsid w:val="00476376"/>
    <w:rsid w:val="004765D7"/>
    <w:rsid w:val="004770F1"/>
    <w:rsid w:val="0047724F"/>
    <w:rsid w:val="00477725"/>
    <w:rsid w:val="0047778D"/>
    <w:rsid w:val="004777C6"/>
    <w:rsid w:val="00477B91"/>
    <w:rsid w:val="00477E2C"/>
    <w:rsid w:val="00477F83"/>
    <w:rsid w:val="0048071C"/>
    <w:rsid w:val="00480E53"/>
    <w:rsid w:val="004813DC"/>
    <w:rsid w:val="00481B8E"/>
    <w:rsid w:val="00481C78"/>
    <w:rsid w:val="004821B7"/>
    <w:rsid w:val="004824DB"/>
    <w:rsid w:val="0048254D"/>
    <w:rsid w:val="0048276B"/>
    <w:rsid w:val="00482785"/>
    <w:rsid w:val="00482E79"/>
    <w:rsid w:val="0048371B"/>
    <w:rsid w:val="00483722"/>
    <w:rsid w:val="00483C7A"/>
    <w:rsid w:val="00483FB7"/>
    <w:rsid w:val="0048493A"/>
    <w:rsid w:val="00484A42"/>
    <w:rsid w:val="00485372"/>
    <w:rsid w:val="00485811"/>
    <w:rsid w:val="004858C1"/>
    <w:rsid w:val="004865A6"/>
    <w:rsid w:val="004867DF"/>
    <w:rsid w:val="00486DBE"/>
    <w:rsid w:val="0048730A"/>
    <w:rsid w:val="0048747E"/>
    <w:rsid w:val="004875F7"/>
    <w:rsid w:val="0048771D"/>
    <w:rsid w:val="00490739"/>
    <w:rsid w:val="00490CAB"/>
    <w:rsid w:val="0049135C"/>
    <w:rsid w:val="00491484"/>
    <w:rsid w:val="004919DD"/>
    <w:rsid w:val="004920AE"/>
    <w:rsid w:val="0049213B"/>
    <w:rsid w:val="0049218A"/>
    <w:rsid w:val="004921A6"/>
    <w:rsid w:val="0049267B"/>
    <w:rsid w:val="00492A5B"/>
    <w:rsid w:val="00492C7A"/>
    <w:rsid w:val="00493216"/>
    <w:rsid w:val="00494E98"/>
    <w:rsid w:val="00495029"/>
    <w:rsid w:val="0049544D"/>
    <w:rsid w:val="0049549E"/>
    <w:rsid w:val="00495A9F"/>
    <w:rsid w:val="004960A6"/>
    <w:rsid w:val="00496B48"/>
    <w:rsid w:val="00497D65"/>
    <w:rsid w:val="00497E19"/>
    <w:rsid w:val="004A07F8"/>
    <w:rsid w:val="004A0F1A"/>
    <w:rsid w:val="004A19D1"/>
    <w:rsid w:val="004A3027"/>
    <w:rsid w:val="004A309A"/>
    <w:rsid w:val="004A3673"/>
    <w:rsid w:val="004A3B4B"/>
    <w:rsid w:val="004A447F"/>
    <w:rsid w:val="004A51BE"/>
    <w:rsid w:val="004A5D10"/>
    <w:rsid w:val="004A671F"/>
    <w:rsid w:val="004A7619"/>
    <w:rsid w:val="004A7B51"/>
    <w:rsid w:val="004A7CFD"/>
    <w:rsid w:val="004A7D7C"/>
    <w:rsid w:val="004B0168"/>
    <w:rsid w:val="004B0AA5"/>
    <w:rsid w:val="004B102C"/>
    <w:rsid w:val="004B1639"/>
    <w:rsid w:val="004B1E0F"/>
    <w:rsid w:val="004B248A"/>
    <w:rsid w:val="004B316D"/>
    <w:rsid w:val="004B3E0A"/>
    <w:rsid w:val="004B3EBB"/>
    <w:rsid w:val="004B512D"/>
    <w:rsid w:val="004B5C6E"/>
    <w:rsid w:val="004B5CB6"/>
    <w:rsid w:val="004B6438"/>
    <w:rsid w:val="004B6A39"/>
    <w:rsid w:val="004B6B3C"/>
    <w:rsid w:val="004B6DC2"/>
    <w:rsid w:val="004B7A79"/>
    <w:rsid w:val="004C0E6D"/>
    <w:rsid w:val="004C18D7"/>
    <w:rsid w:val="004C3357"/>
    <w:rsid w:val="004C465D"/>
    <w:rsid w:val="004C59D8"/>
    <w:rsid w:val="004C62E3"/>
    <w:rsid w:val="004C68B9"/>
    <w:rsid w:val="004C70BD"/>
    <w:rsid w:val="004C75FC"/>
    <w:rsid w:val="004C774D"/>
    <w:rsid w:val="004C7EE1"/>
    <w:rsid w:val="004D0234"/>
    <w:rsid w:val="004D0247"/>
    <w:rsid w:val="004D0801"/>
    <w:rsid w:val="004D090A"/>
    <w:rsid w:val="004D0D54"/>
    <w:rsid w:val="004D0E27"/>
    <w:rsid w:val="004D0E65"/>
    <w:rsid w:val="004D0E8A"/>
    <w:rsid w:val="004D16FF"/>
    <w:rsid w:val="004D1B4B"/>
    <w:rsid w:val="004D1C78"/>
    <w:rsid w:val="004D26F0"/>
    <w:rsid w:val="004D2A97"/>
    <w:rsid w:val="004D2E6B"/>
    <w:rsid w:val="004D39E9"/>
    <w:rsid w:val="004D3C41"/>
    <w:rsid w:val="004D3CD7"/>
    <w:rsid w:val="004D3DFD"/>
    <w:rsid w:val="004D49EC"/>
    <w:rsid w:val="004D4C65"/>
    <w:rsid w:val="004D52D6"/>
    <w:rsid w:val="004D5525"/>
    <w:rsid w:val="004D562D"/>
    <w:rsid w:val="004D5CB3"/>
    <w:rsid w:val="004D5CBF"/>
    <w:rsid w:val="004D7ABD"/>
    <w:rsid w:val="004D7E87"/>
    <w:rsid w:val="004E0DD7"/>
    <w:rsid w:val="004E117D"/>
    <w:rsid w:val="004E18F8"/>
    <w:rsid w:val="004E1B35"/>
    <w:rsid w:val="004E220C"/>
    <w:rsid w:val="004E289D"/>
    <w:rsid w:val="004E3F56"/>
    <w:rsid w:val="004E3F72"/>
    <w:rsid w:val="004E4163"/>
    <w:rsid w:val="004E506C"/>
    <w:rsid w:val="004E555F"/>
    <w:rsid w:val="004E6084"/>
    <w:rsid w:val="004E61A3"/>
    <w:rsid w:val="004E6816"/>
    <w:rsid w:val="004E6C61"/>
    <w:rsid w:val="004E7F6E"/>
    <w:rsid w:val="004F0669"/>
    <w:rsid w:val="004F07A7"/>
    <w:rsid w:val="004F1605"/>
    <w:rsid w:val="004F17AF"/>
    <w:rsid w:val="004F2030"/>
    <w:rsid w:val="004F2DBC"/>
    <w:rsid w:val="004F2DDA"/>
    <w:rsid w:val="004F2E6B"/>
    <w:rsid w:val="004F4849"/>
    <w:rsid w:val="004F5848"/>
    <w:rsid w:val="004F6556"/>
    <w:rsid w:val="004F70C6"/>
    <w:rsid w:val="004F798A"/>
    <w:rsid w:val="0050002C"/>
    <w:rsid w:val="00500148"/>
    <w:rsid w:val="00500C6B"/>
    <w:rsid w:val="00501B5F"/>
    <w:rsid w:val="00502D2D"/>
    <w:rsid w:val="00502EE7"/>
    <w:rsid w:val="00503C5E"/>
    <w:rsid w:val="00504F29"/>
    <w:rsid w:val="00505750"/>
    <w:rsid w:val="00505A98"/>
    <w:rsid w:val="00505C8D"/>
    <w:rsid w:val="00506825"/>
    <w:rsid w:val="0050695E"/>
    <w:rsid w:val="00506BF3"/>
    <w:rsid w:val="00507572"/>
    <w:rsid w:val="00510F4E"/>
    <w:rsid w:val="005110E4"/>
    <w:rsid w:val="00511BFE"/>
    <w:rsid w:val="00512377"/>
    <w:rsid w:val="00513024"/>
    <w:rsid w:val="00513780"/>
    <w:rsid w:val="00514887"/>
    <w:rsid w:val="00516F1E"/>
    <w:rsid w:val="00517884"/>
    <w:rsid w:val="005200F6"/>
    <w:rsid w:val="005200FB"/>
    <w:rsid w:val="005206D7"/>
    <w:rsid w:val="005207B1"/>
    <w:rsid w:val="00520CC0"/>
    <w:rsid w:val="00521427"/>
    <w:rsid w:val="00521485"/>
    <w:rsid w:val="005216C3"/>
    <w:rsid w:val="005223FE"/>
    <w:rsid w:val="005239E5"/>
    <w:rsid w:val="00525431"/>
    <w:rsid w:val="005265EC"/>
    <w:rsid w:val="005268E4"/>
    <w:rsid w:val="00526970"/>
    <w:rsid w:val="00526D10"/>
    <w:rsid w:val="00526D94"/>
    <w:rsid w:val="00527260"/>
    <w:rsid w:val="005278CA"/>
    <w:rsid w:val="00527AB3"/>
    <w:rsid w:val="0053071C"/>
    <w:rsid w:val="00530B88"/>
    <w:rsid w:val="00530CC1"/>
    <w:rsid w:val="00531712"/>
    <w:rsid w:val="00531EFE"/>
    <w:rsid w:val="005322FE"/>
    <w:rsid w:val="005329DE"/>
    <w:rsid w:val="00532DB6"/>
    <w:rsid w:val="0053386F"/>
    <w:rsid w:val="005338CD"/>
    <w:rsid w:val="00533987"/>
    <w:rsid w:val="00533B1C"/>
    <w:rsid w:val="00533BE8"/>
    <w:rsid w:val="005354A9"/>
    <w:rsid w:val="0053578B"/>
    <w:rsid w:val="00535B9E"/>
    <w:rsid w:val="0053669F"/>
    <w:rsid w:val="00536726"/>
    <w:rsid w:val="00536DC0"/>
    <w:rsid w:val="00537521"/>
    <w:rsid w:val="005378B1"/>
    <w:rsid w:val="00540EB3"/>
    <w:rsid w:val="005416FD"/>
    <w:rsid w:val="0054238C"/>
    <w:rsid w:val="00542585"/>
    <w:rsid w:val="0054316E"/>
    <w:rsid w:val="00544321"/>
    <w:rsid w:val="00544794"/>
    <w:rsid w:val="00544A7D"/>
    <w:rsid w:val="00545404"/>
    <w:rsid w:val="005455CA"/>
    <w:rsid w:val="00547203"/>
    <w:rsid w:val="00547B69"/>
    <w:rsid w:val="00547F28"/>
    <w:rsid w:val="00550D02"/>
    <w:rsid w:val="00551283"/>
    <w:rsid w:val="00551C90"/>
    <w:rsid w:val="005521C0"/>
    <w:rsid w:val="00552753"/>
    <w:rsid w:val="00553823"/>
    <w:rsid w:val="00553D22"/>
    <w:rsid w:val="00553FF4"/>
    <w:rsid w:val="005549FE"/>
    <w:rsid w:val="00554C0B"/>
    <w:rsid w:val="00554F5B"/>
    <w:rsid w:val="00555BDA"/>
    <w:rsid w:val="00555D82"/>
    <w:rsid w:val="005568AB"/>
    <w:rsid w:val="00557000"/>
    <w:rsid w:val="005574C5"/>
    <w:rsid w:val="0055798A"/>
    <w:rsid w:val="00557FA5"/>
    <w:rsid w:val="00560DC0"/>
    <w:rsid w:val="00561D9B"/>
    <w:rsid w:val="00562977"/>
    <w:rsid w:val="0056300B"/>
    <w:rsid w:val="00563184"/>
    <w:rsid w:val="00565708"/>
    <w:rsid w:val="00566BD9"/>
    <w:rsid w:val="005672CD"/>
    <w:rsid w:val="005675F6"/>
    <w:rsid w:val="00567C14"/>
    <w:rsid w:val="00567F60"/>
    <w:rsid w:val="00570647"/>
    <w:rsid w:val="00570A0E"/>
    <w:rsid w:val="005713EB"/>
    <w:rsid w:val="00571451"/>
    <w:rsid w:val="00571B0C"/>
    <w:rsid w:val="005724C2"/>
    <w:rsid w:val="00572677"/>
    <w:rsid w:val="0057319F"/>
    <w:rsid w:val="00573388"/>
    <w:rsid w:val="0057352F"/>
    <w:rsid w:val="005736A8"/>
    <w:rsid w:val="00573A36"/>
    <w:rsid w:val="00573CC2"/>
    <w:rsid w:val="00574EAE"/>
    <w:rsid w:val="00575515"/>
    <w:rsid w:val="00576364"/>
    <w:rsid w:val="00576516"/>
    <w:rsid w:val="005776BB"/>
    <w:rsid w:val="00580465"/>
    <w:rsid w:val="00580D28"/>
    <w:rsid w:val="00581005"/>
    <w:rsid w:val="00582285"/>
    <w:rsid w:val="005829B3"/>
    <w:rsid w:val="00582BAE"/>
    <w:rsid w:val="00583951"/>
    <w:rsid w:val="00584564"/>
    <w:rsid w:val="00584F59"/>
    <w:rsid w:val="0058585F"/>
    <w:rsid w:val="00585ADD"/>
    <w:rsid w:val="00585B70"/>
    <w:rsid w:val="005862A2"/>
    <w:rsid w:val="0058640B"/>
    <w:rsid w:val="00586DA6"/>
    <w:rsid w:val="0058746E"/>
    <w:rsid w:val="00587698"/>
    <w:rsid w:val="0058785D"/>
    <w:rsid w:val="00590266"/>
    <w:rsid w:val="005906F8"/>
    <w:rsid w:val="005912B5"/>
    <w:rsid w:val="005913E3"/>
    <w:rsid w:val="00592B6E"/>
    <w:rsid w:val="0059338C"/>
    <w:rsid w:val="00594286"/>
    <w:rsid w:val="005943D6"/>
    <w:rsid w:val="00594D45"/>
    <w:rsid w:val="00594FA3"/>
    <w:rsid w:val="0059524A"/>
    <w:rsid w:val="00595E1C"/>
    <w:rsid w:val="00595E53"/>
    <w:rsid w:val="00596109"/>
    <w:rsid w:val="00596736"/>
    <w:rsid w:val="00596E5A"/>
    <w:rsid w:val="005979B2"/>
    <w:rsid w:val="005A05A2"/>
    <w:rsid w:val="005A0E50"/>
    <w:rsid w:val="005A102B"/>
    <w:rsid w:val="005A115D"/>
    <w:rsid w:val="005A1383"/>
    <w:rsid w:val="005A138A"/>
    <w:rsid w:val="005A14F7"/>
    <w:rsid w:val="005A162B"/>
    <w:rsid w:val="005A1874"/>
    <w:rsid w:val="005A2F3C"/>
    <w:rsid w:val="005A2F89"/>
    <w:rsid w:val="005A3332"/>
    <w:rsid w:val="005A3333"/>
    <w:rsid w:val="005A3C0A"/>
    <w:rsid w:val="005A434C"/>
    <w:rsid w:val="005A4857"/>
    <w:rsid w:val="005A52DD"/>
    <w:rsid w:val="005A57C5"/>
    <w:rsid w:val="005A6770"/>
    <w:rsid w:val="005A7316"/>
    <w:rsid w:val="005A735E"/>
    <w:rsid w:val="005A755B"/>
    <w:rsid w:val="005A7880"/>
    <w:rsid w:val="005B083D"/>
    <w:rsid w:val="005B103D"/>
    <w:rsid w:val="005B129C"/>
    <w:rsid w:val="005B13D3"/>
    <w:rsid w:val="005B1AF1"/>
    <w:rsid w:val="005B3275"/>
    <w:rsid w:val="005B3D56"/>
    <w:rsid w:val="005B44BB"/>
    <w:rsid w:val="005B4786"/>
    <w:rsid w:val="005B48EF"/>
    <w:rsid w:val="005B4AE1"/>
    <w:rsid w:val="005B4F2F"/>
    <w:rsid w:val="005B4F47"/>
    <w:rsid w:val="005B5096"/>
    <w:rsid w:val="005B58F8"/>
    <w:rsid w:val="005B5BD7"/>
    <w:rsid w:val="005B5F58"/>
    <w:rsid w:val="005B6229"/>
    <w:rsid w:val="005B6ACD"/>
    <w:rsid w:val="005C09B4"/>
    <w:rsid w:val="005C1BAF"/>
    <w:rsid w:val="005C1E30"/>
    <w:rsid w:val="005C1E56"/>
    <w:rsid w:val="005C2379"/>
    <w:rsid w:val="005C2C9D"/>
    <w:rsid w:val="005C2D0A"/>
    <w:rsid w:val="005C335F"/>
    <w:rsid w:val="005C385F"/>
    <w:rsid w:val="005C40D9"/>
    <w:rsid w:val="005C4488"/>
    <w:rsid w:val="005C459F"/>
    <w:rsid w:val="005C52AD"/>
    <w:rsid w:val="005C61A2"/>
    <w:rsid w:val="005C6FBE"/>
    <w:rsid w:val="005C7C17"/>
    <w:rsid w:val="005D08F1"/>
    <w:rsid w:val="005D1496"/>
    <w:rsid w:val="005D1676"/>
    <w:rsid w:val="005D18C9"/>
    <w:rsid w:val="005D1A29"/>
    <w:rsid w:val="005D1D1E"/>
    <w:rsid w:val="005D1E21"/>
    <w:rsid w:val="005D214D"/>
    <w:rsid w:val="005D3686"/>
    <w:rsid w:val="005D5B02"/>
    <w:rsid w:val="005D5D21"/>
    <w:rsid w:val="005D5E18"/>
    <w:rsid w:val="005D63FA"/>
    <w:rsid w:val="005D750D"/>
    <w:rsid w:val="005E0753"/>
    <w:rsid w:val="005E0815"/>
    <w:rsid w:val="005E0EA1"/>
    <w:rsid w:val="005E19B1"/>
    <w:rsid w:val="005E19F0"/>
    <w:rsid w:val="005E1B40"/>
    <w:rsid w:val="005E236E"/>
    <w:rsid w:val="005E23F3"/>
    <w:rsid w:val="005E26E5"/>
    <w:rsid w:val="005E375E"/>
    <w:rsid w:val="005E38B7"/>
    <w:rsid w:val="005E3BF0"/>
    <w:rsid w:val="005E3CC5"/>
    <w:rsid w:val="005E411F"/>
    <w:rsid w:val="005E4188"/>
    <w:rsid w:val="005E5FFA"/>
    <w:rsid w:val="005E7D0A"/>
    <w:rsid w:val="005E7ECA"/>
    <w:rsid w:val="005E7EE5"/>
    <w:rsid w:val="005F08A7"/>
    <w:rsid w:val="005F14E1"/>
    <w:rsid w:val="005F172A"/>
    <w:rsid w:val="005F1BEA"/>
    <w:rsid w:val="005F1C90"/>
    <w:rsid w:val="005F25FD"/>
    <w:rsid w:val="005F2C47"/>
    <w:rsid w:val="005F3757"/>
    <w:rsid w:val="005F423E"/>
    <w:rsid w:val="005F43B2"/>
    <w:rsid w:val="005F47B7"/>
    <w:rsid w:val="005F493D"/>
    <w:rsid w:val="005F4AAD"/>
    <w:rsid w:val="005F5079"/>
    <w:rsid w:val="005F57E7"/>
    <w:rsid w:val="005F5920"/>
    <w:rsid w:val="005F5E37"/>
    <w:rsid w:val="005F69C0"/>
    <w:rsid w:val="005F766B"/>
    <w:rsid w:val="00600184"/>
    <w:rsid w:val="00601177"/>
    <w:rsid w:val="006026F8"/>
    <w:rsid w:val="00602E7A"/>
    <w:rsid w:val="00603956"/>
    <w:rsid w:val="006042E7"/>
    <w:rsid w:val="006049EE"/>
    <w:rsid w:val="00605B30"/>
    <w:rsid w:val="00605F09"/>
    <w:rsid w:val="0060713D"/>
    <w:rsid w:val="00607BE6"/>
    <w:rsid w:val="00607C48"/>
    <w:rsid w:val="00610E6C"/>
    <w:rsid w:val="00611AD3"/>
    <w:rsid w:val="00612146"/>
    <w:rsid w:val="0061216F"/>
    <w:rsid w:val="006121D4"/>
    <w:rsid w:val="0061375F"/>
    <w:rsid w:val="00613848"/>
    <w:rsid w:val="006140B8"/>
    <w:rsid w:val="00614210"/>
    <w:rsid w:val="006147A5"/>
    <w:rsid w:val="00614835"/>
    <w:rsid w:val="0061581B"/>
    <w:rsid w:val="0061588C"/>
    <w:rsid w:val="00615BC9"/>
    <w:rsid w:val="00615C81"/>
    <w:rsid w:val="00615DC1"/>
    <w:rsid w:val="006163E5"/>
    <w:rsid w:val="0061675A"/>
    <w:rsid w:val="00617672"/>
    <w:rsid w:val="006176B8"/>
    <w:rsid w:val="006179CD"/>
    <w:rsid w:val="00617ADC"/>
    <w:rsid w:val="00617D14"/>
    <w:rsid w:val="0062012B"/>
    <w:rsid w:val="006203EA"/>
    <w:rsid w:val="006204CC"/>
    <w:rsid w:val="006222EF"/>
    <w:rsid w:val="00622991"/>
    <w:rsid w:val="00623175"/>
    <w:rsid w:val="006236A4"/>
    <w:rsid w:val="006237F8"/>
    <w:rsid w:val="00624679"/>
    <w:rsid w:val="00624898"/>
    <w:rsid w:val="006248CB"/>
    <w:rsid w:val="00624DFE"/>
    <w:rsid w:val="00626103"/>
    <w:rsid w:val="0062682F"/>
    <w:rsid w:val="00630FF7"/>
    <w:rsid w:val="0063151F"/>
    <w:rsid w:val="00631870"/>
    <w:rsid w:val="00631DF0"/>
    <w:rsid w:val="00632644"/>
    <w:rsid w:val="006326CC"/>
    <w:rsid w:val="00632798"/>
    <w:rsid w:val="00632B7B"/>
    <w:rsid w:val="00632CB0"/>
    <w:rsid w:val="00632D66"/>
    <w:rsid w:val="00633B10"/>
    <w:rsid w:val="00634030"/>
    <w:rsid w:val="00634433"/>
    <w:rsid w:val="00634936"/>
    <w:rsid w:val="006362D6"/>
    <w:rsid w:val="006369E2"/>
    <w:rsid w:val="00636A4A"/>
    <w:rsid w:val="00636D6F"/>
    <w:rsid w:val="006370BE"/>
    <w:rsid w:val="006372AB"/>
    <w:rsid w:val="00637C16"/>
    <w:rsid w:val="00637ECB"/>
    <w:rsid w:val="00637F15"/>
    <w:rsid w:val="00640005"/>
    <w:rsid w:val="006404C4"/>
    <w:rsid w:val="00640F5E"/>
    <w:rsid w:val="00641764"/>
    <w:rsid w:val="00641859"/>
    <w:rsid w:val="00641BE8"/>
    <w:rsid w:val="0064366A"/>
    <w:rsid w:val="00643731"/>
    <w:rsid w:val="00643C9B"/>
    <w:rsid w:val="0064474F"/>
    <w:rsid w:val="0064650F"/>
    <w:rsid w:val="00646CE4"/>
    <w:rsid w:val="006473B3"/>
    <w:rsid w:val="006479B3"/>
    <w:rsid w:val="00647D99"/>
    <w:rsid w:val="00647FC0"/>
    <w:rsid w:val="006501A2"/>
    <w:rsid w:val="00650970"/>
    <w:rsid w:val="00650ED3"/>
    <w:rsid w:val="00651045"/>
    <w:rsid w:val="00651334"/>
    <w:rsid w:val="00651524"/>
    <w:rsid w:val="00652231"/>
    <w:rsid w:val="00652242"/>
    <w:rsid w:val="006525C2"/>
    <w:rsid w:val="00652B36"/>
    <w:rsid w:val="006533D4"/>
    <w:rsid w:val="00653636"/>
    <w:rsid w:val="0065366C"/>
    <w:rsid w:val="006537D6"/>
    <w:rsid w:val="00653A32"/>
    <w:rsid w:val="00655803"/>
    <w:rsid w:val="00655A1E"/>
    <w:rsid w:val="00656118"/>
    <w:rsid w:val="00656F03"/>
    <w:rsid w:val="00657CF1"/>
    <w:rsid w:val="00657DDC"/>
    <w:rsid w:val="006603AC"/>
    <w:rsid w:val="006608D4"/>
    <w:rsid w:val="00660954"/>
    <w:rsid w:val="00662466"/>
    <w:rsid w:val="006625AC"/>
    <w:rsid w:val="0066298A"/>
    <w:rsid w:val="00662C85"/>
    <w:rsid w:val="006632AC"/>
    <w:rsid w:val="00663407"/>
    <w:rsid w:val="00663B72"/>
    <w:rsid w:val="00663DCF"/>
    <w:rsid w:val="006642BB"/>
    <w:rsid w:val="006642F5"/>
    <w:rsid w:val="00664489"/>
    <w:rsid w:val="00664A58"/>
    <w:rsid w:val="00664F82"/>
    <w:rsid w:val="00665951"/>
    <w:rsid w:val="006662C5"/>
    <w:rsid w:val="006666A9"/>
    <w:rsid w:val="00666867"/>
    <w:rsid w:val="00666A47"/>
    <w:rsid w:val="00670CB5"/>
    <w:rsid w:val="00670CBD"/>
    <w:rsid w:val="00670CE4"/>
    <w:rsid w:val="00672BE3"/>
    <w:rsid w:val="00672C34"/>
    <w:rsid w:val="00672F5A"/>
    <w:rsid w:val="0067368F"/>
    <w:rsid w:val="00673E96"/>
    <w:rsid w:val="006743B7"/>
    <w:rsid w:val="0067511C"/>
    <w:rsid w:val="00676314"/>
    <w:rsid w:val="00677ADA"/>
    <w:rsid w:val="00677B01"/>
    <w:rsid w:val="0068026F"/>
    <w:rsid w:val="0068195B"/>
    <w:rsid w:val="0068281C"/>
    <w:rsid w:val="00684004"/>
    <w:rsid w:val="0068405E"/>
    <w:rsid w:val="006847E4"/>
    <w:rsid w:val="006850DD"/>
    <w:rsid w:val="0068557B"/>
    <w:rsid w:val="00686C1B"/>
    <w:rsid w:val="006908CD"/>
    <w:rsid w:val="00690B90"/>
    <w:rsid w:val="00691E7E"/>
    <w:rsid w:val="006927A5"/>
    <w:rsid w:val="00692A2C"/>
    <w:rsid w:val="006934A7"/>
    <w:rsid w:val="00693BF3"/>
    <w:rsid w:val="00694315"/>
    <w:rsid w:val="00694ABC"/>
    <w:rsid w:val="00694C16"/>
    <w:rsid w:val="00694C54"/>
    <w:rsid w:val="00694C8E"/>
    <w:rsid w:val="00695005"/>
    <w:rsid w:val="0069612A"/>
    <w:rsid w:val="00696746"/>
    <w:rsid w:val="00696979"/>
    <w:rsid w:val="00697E35"/>
    <w:rsid w:val="006A03AB"/>
    <w:rsid w:val="006A145D"/>
    <w:rsid w:val="006A164A"/>
    <w:rsid w:val="006A2040"/>
    <w:rsid w:val="006A204B"/>
    <w:rsid w:val="006A22DD"/>
    <w:rsid w:val="006A305E"/>
    <w:rsid w:val="006A37A7"/>
    <w:rsid w:val="006A3AEF"/>
    <w:rsid w:val="006A3F3C"/>
    <w:rsid w:val="006A4C22"/>
    <w:rsid w:val="006A5D49"/>
    <w:rsid w:val="006A7099"/>
    <w:rsid w:val="006A7F61"/>
    <w:rsid w:val="006B0B88"/>
    <w:rsid w:val="006B0D74"/>
    <w:rsid w:val="006B1CCB"/>
    <w:rsid w:val="006B344A"/>
    <w:rsid w:val="006B3522"/>
    <w:rsid w:val="006B365C"/>
    <w:rsid w:val="006B3B7F"/>
    <w:rsid w:val="006B4376"/>
    <w:rsid w:val="006B627D"/>
    <w:rsid w:val="006B6E29"/>
    <w:rsid w:val="006B7129"/>
    <w:rsid w:val="006B75AC"/>
    <w:rsid w:val="006B77FA"/>
    <w:rsid w:val="006C08D3"/>
    <w:rsid w:val="006C142C"/>
    <w:rsid w:val="006C147D"/>
    <w:rsid w:val="006C178A"/>
    <w:rsid w:val="006C1992"/>
    <w:rsid w:val="006C1AB3"/>
    <w:rsid w:val="006C2126"/>
    <w:rsid w:val="006C2782"/>
    <w:rsid w:val="006C2933"/>
    <w:rsid w:val="006C2BF6"/>
    <w:rsid w:val="006C2FDF"/>
    <w:rsid w:val="006C322E"/>
    <w:rsid w:val="006C3678"/>
    <w:rsid w:val="006C3703"/>
    <w:rsid w:val="006C45F4"/>
    <w:rsid w:val="006C515D"/>
    <w:rsid w:val="006C7761"/>
    <w:rsid w:val="006C78E5"/>
    <w:rsid w:val="006C79D4"/>
    <w:rsid w:val="006D0DB7"/>
    <w:rsid w:val="006D1931"/>
    <w:rsid w:val="006D20F2"/>
    <w:rsid w:val="006D26E1"/>
    <w:rsid w:val="006D2CEA"/>
    <w:rsid w:val="006D2D8B"/>
    <w:rsid w:val="006D2E9D"/>
    <w:rsid w:val="006D32F4"/>
    <w:rsid w:val="006D3C23"/>
    <w:rsid w:val="006D4E18"/>
    <w:rsid w:val="006D4FE3"/>
    <w:rsid w:val="006D60A3"/>
    <w:rsid w:val="006D67CC"/>
    <w:rsid w:val="006D6A4B"/>
    <w:rsid w:val="006D749A"/>
    <w:rsid w:val="006D7865"/>
    <w:rsid w:val="006D7CA8"/>
    <w:rsid w:val="006E14AA"/>
    <w:rsid w:val="006E1DA9"/>
    <w:rsid w:val="006E1DF1"/>
    <w:rsid w:val="006E201D"/>
    <w:rsid w:val="006E2AC2"/>
    <w:rsid w:val="006E2BA6"/>
    <w:rsid w:val="006E2BC3"/>
    <w:rsid w:val="006E2D9D"/>
    <w:rsid w:val="006E2DDC"/>
    <w:rsid w:val="006E2E12"/>
    <w:rsid w:val="006E34DC"/>
    <w:rsid w:val="006E4065"/>
    <w:rsid w:val="006E4555"/>
    <w:rsid w:val="006E4E9A"/>
    <w:rsid w:val="006E4EC3"/>
    <w:rsid w:val="006E5F58"/>
    <w:rsid w:val="006E6EF5"/>
    <w:rsid w:val="006E6F88"/>
    <w:rsid w:val="006E759D"/>
    <w:rsid w:val="006F0419"/>
    <w:rsid w:val="006F05AA"/>
    <w:rsid w:val="006F0750"/>
    <w:rsid w:val="006F1B45"/>
    <w:rsid w:val="006F1E1A"/>
    <w:rsid w:val="006F2768"/>
    <w:rsid w:val="006F3DD6"/>
    <w:rsid w:val="006F4447"/>
    <w:rsid w:val="006F46F1"/>
    <w:rsid w:val="006F5548"/>
    <w:rsid w:val="006F58B0"/>
    <w:rsid w:val="006F5A3D"/>
    <w:rsid w:val="006F626D"/>
    <w:rsid w:val="006F6446"/>
    <w:rsid w:val="006F6B3E"/>
    <w:rsid w:val="006F7494"/>
    <w:rsid w:val="006F7DB6"/>
    <w:rsid w:val="00701FEB"/>
    <w:rsid w:val="007044C6"/>
    <w:rsid w:val="00705146"/>
    <w:rsid w:val="00705A25"/>
    <w:rsid w:val="00705BEA"/>
    <w:rsid w:val="00706165"/>
    <w:rsid w:val="00707895"/>
    <w:rsid w:val="00707C7F"/>
    <w:rsid w:val="00710276"/>
    <w:rsid w:val="00710506"/>
    <w:rsid w:val="00710899"/>
    <w:rsid w:val="00710B07"/>
    <w:rsid w:val="00710CF6"/>
    <w:rsid w:val="007111CC"/>
    <w:rsid w:val="00711B02"/>
    <w:rsid w:val="0071234A"/>
    <w:rsid w:val="0071252F"/>
    <w:rsid w:val="007126C0"/>
    <w:rsid w:val="0071308F"/>
    <w:rsid w:val="0071337F"/>
    <w:rsid w:val="007135C5"/>
    <w:rsid w:val="00713E29"/>
    <w:rsid w:val="007145F8"/>
    <w:rsid w:val="00714C4E"/>
    <w:rsid w:val="00715C90"/>
    <w:rsid w:val="00715CA2"/>
    <w:rsid w:val="00715F55"/>
    <w:rsid w:val="00716422"/>
    <w:rsid w:val="00716676"/>
    <w:rsid w:val="00716FA6"/>
    <w:rsid w:val="00717415"/>
    <w:rsid w:val="007176F0"/>
    <w:rsid w:val="0072059E"/>
    <w:rsid w:val="00720639"/>
    <w:rsid w:val="00721048"/>
    <w:rsid w:val="00721D49"/>
    <w:rsid w:val="007230A4"/>
    <w:rsid w:val="007237EA"/>
    <w:rsid w:val="007243DC"/>
    <w:rsid w:val="00724FE4"/>
    <w:rsid w:val="00725AE5"/>
    <w:rsid w:val="00726EE0"/>
    <w:rsid w:val="00727126"/>
    <w:rsid w:val="007273EF"/>
    <w:rsid w:val="007275D3"/>
    <w:rsid w:val="00727B91"/>
    <w:rsid w:val="00730711"/>
    <w:rsid w:val="00731284"/>
    <w:rsid w:val="00731555"/>
    <w:rsid w:val="0073276E"/>
    <w:rsid w:val="007328D1"/>
    <w:rsid w:val="00732E1A"/>
    <w:rsid w:val="00733177"/>
    <w:rsid w:val="007334AB"/>
    <w:rsid w:val="00733C9C"/>
    <w:rsid w:val="00733EC8"/>
    <w:rsid w:val="00733EDF"/>
    <w:rsid w:val="00734C40"/>
    <w:rsid w:val="007355A6"/>
    <w:rsid w:val="00735B0D"/>
    <w:rsid w:val="00736022"/>
    <w:rsid w:val="00736B4B"/>
    <w:rsid w:val="00736C14"/>
    <w:rsid w:val="00737DCD"/>
    <w:rsid w:val="007403B2"/>
    <w:rsid w:val="00741566"/>
    <w:rsid w:val="00741703"/>
    <w:rsid w:val="00741B18"/>
    <w:rsid w:val="00741B46"/>
    <w:rsid w:val="00742773"/>
    <w:rsid w:val="007433AC"/>
    <w:rsid w:val="00743F51"/>
    <w:rsid w:val="00745607"/>
    <w:rsid w:val="007459B0"/>
    <w:rsid w:val="00745BD1"/>
    <w:rsid w:val="00745D53"/>
    <w:rsid w:val="00746998"/>
    <w:rsid w:val="00746D21"/>
    <w:rsid w:val="0074714C"/>
    <w:rsid w:val="00747B61"/>
    <w:rsid w:val="00750B6D"/>
    <w:rsid w:val="0075139D"/>
    <w:rsid w:val="0075163A"/>
    <w:rsid w:val="00751D3E"/>
    <w:rsid w:val="00752906"/>
    <w:rsid w:val="00752DD8"/>
    <w:rsid w:val="00753317"/>
    <w:rsid w:val="00753DEA"/>
    <w:rsid w:val="00753E57"/>
    <w:rsid w:val="00754FB8"/>
    <w:rsid w:val="007553D7"/>
    <w:rsid w:val="00755427"/>
    <w:rsid w:val="00756894"/>
    <w:rsid w:val="007575B8"/>
    <w:rsid w:val="00757965"/>
    <w:rsid w:val="00757CE0"/>
    <w:rsid w:val="00760751"/>
    <w:rsid w:val="00760CD8"/>
    <w:rsid w:val="00760FA9"/>
    <w:rsid w:val="0076144A"/>
    <w:rsid w:val="007627B7"/>
    <w:rsid w:val="00763128"/>
    <w:rsid w:val="007631BC"/>
    <w:rsid w:val="007633D4"/>
    <w:rsid w:val="007634C0"/>
    <w:rsid w:val="00763956"/>
    <w:rsid w:val="00764162"/>
    <w:rsid w:val="0076453A"/>
    <w:rsid w:val="0076460C"/>
    <w:rsid w:val="00764772"/>
    <w:rsid w:val="007649D3"/>
    <w:rsid w:val="00765343"/>
    <w:rsid w:val="007654A2"/>
    <w:rsid w:val="007654DA"/>
    <w:rsid w:val="00765C16"/>
    <w:rsid w:val="007663B3"/>
    <w:rsid w:val="00766C89"/>
    <w:rsid w:val="007672F4"/>
    <w:rsid w:val="007700E8"/>
    <w:rsid w:val="007702E4"/>
    <w:rsid w:val="00770441"/>
    <w:rsid w:val="00770468"/>
    <w:rsid w:val="00770A60"/>
    <w:rsid w:val="007713D9"/>
    <w:rsid w:val="007726C7"/>
    <w:rsid w:val="00774250"/>
    <w:rsid w:val="00775180"/>
    <w:rsid w:val="00775550"/>
    <w:rsid w:val="007756ED"/>
    <w:rsid w:val="00775DC3"/>
    <w:rsid w:val="00776FE3"/>
    <w:rsid w:val="00777916"/>
    <w:rsid w:val="00777B99"/>
    <w:rsid w:val="0078021F"/>
    <w:rsid w:val="00781526"/>
    <w:rsid w:val="007825E9"/>
    <w:rsid w:val="00782610"/>
    <w:rsid w:val="00782A95"/>
    <w:rsid w:val="00782F7C"/>
    <w:rsid w:val="007831C1"/>
    <w:rsid w:val="00783670"/>
    <w:rsid w:val="00783A99"/>
    <w:rsid w:val="00784341"/>
    <w:rsid w:val="00784AC9"/>
    <w:rsid w:val="00784E4D"/>
    <w:rsid w:val="007869FF"/>
    <w:rsid w:val="00790569"/>
    <w:rsid w:val="00790AC7"/>
    <w:rsid w:val="00790EA2"/>
    <w:rsid w:val="007917C5"/>
    <w:rsid w:val="00791E54"/>
    <w:rsid w:val="0079301A"/>
    <w:rsid w:val="007936A8"/>
    <w:rsid w:val="00793A6D"/>
    <w:rsid w:val="00793BD4"/>
    <w:rsid w:val="00793D2F"/>
    <w:rsid w:val="00793FA3"/>
    <w:rsid w:val="007945DD"/>
    <w:rsid w:val="00794F6E"/>
    <w:rsid w:val="00795D4B"/>
    <w:rsid w:val="00796514"/>
    <w:rsid w:val="00796744"/>
    <w:rsid w:val="00796F41"/>
    <w:rsid w:val="00797493"/>
    <w:rsid w:val="00797AB7"/>
    <w:rsid w:val="007A01BF"/>
    <w:rsid w:val="007A0D05"/>
    <w:rsid w:val="007A2B0B"/>
    <w:rsid w:val="007A2D20"/>
    <w:rsid w:val="007A3E8B"/>
    <w:rsid w:val="007A4810"/>
    <w:rsid w:val="007A4C12"/>
    <w:rsid w:val="007A5044"/>
    <w:rsid w:val="007A602C"/>
    <w:rsid w:val="007A6242"/>
    <w:rsid w:val="007A69F8"/>
    <w:rsid w:val="007A6C37"/>
    <w:rsid w:val="007A6E24"/>
    <w:rsid w:val="007A7FFB"/>
    <w:rsid w:val="007B0611"/>
    <w:rsid w:val="007B0A1A"/>
    <w:rsid w:val="007B1735"/>
    <w:rsid w:val="007B1C55"/>
    <w:rsid w:val="007B2AD3"/>
    <w:rsid w:val="007B2B6D"/>
    <w:rsid w:val="007B2CD4"/>
    <w:rsid w:val="007B33B7"/>
    <w:rsid w:val="007B36FD"/>
    <w:rsid w:val="007B398D"/>
    <w:rsid w:val="007B43CC"/>
    <w:rsid w:val="007B4655"/>
    <w:rsid w:val="007B5BBD"/>
    <w:rsid w:val="007B682B"/>
    <w:rsid w:val="007B6DAF"/>
    <w:rsid w:val="007C1124"/>
    <w:rsid w:val="007C11CB"/>
    <w:rsid w:val="007C16E7"/>
    <w:rsid w:val="007C1D27"/>
    <w:rsid w:val="007C22C2"/>
    <w:rsid w:val="007C27F4"/>
    <w:rsid w:val="007C4150"/>
    <w:rsid w:val="007C4320"/>
    <w:rsid w:val="007C4ED4"/>
    <w:rsid w:val="007C52BF"/>
    <w:rsid w:val="007C5375"/>
    <w:rsid w:val="007C5961"/>
    <w:rsid w:val="007C59CB"/>
    <w:rsid w:val="007C6181"/>
    <w:rsid w:val="007C6E4D"/>
    <w:rsid w:val="007C7630"/>
    <w:rsid w:val="007C7E75"/>
    <w:rsid w:val="007D03C2"/>
    <w:rsid w:val="007D0AAB"/>
    <w:rsid w:val="007D101B"/>
    <w:rsid w:val="007D10E0"/>
    <w:rsid w:val="007D1633"/>
    <w:rsid w:val="007D1A69"/>
    <w:rsid w:val="007D2352"/>
    <w:rsid w:val="007D2680"/>
    <w:rsid w:val="007D29FD"/>
    <w:rsid w:val="007D2BB8"/>
    <w:rsid w:val="007D2CB1"/>
    <w:rsid w:val="007D3167"/>
    <w:rsid w:val="007D3363"/>
    <w:rsid w:val="007D47A3"/>
    <w:rsid w:val="007D50FA"/>
    <w:rsid w:val="007D5A05"/>
    <w:rsid w:val="007D5F8C"/>
    <w:rsid w:val="007D70D0"/>
    <w:rsid w:val="007D79B3"/>
    <w:rsid w:val="007E07AE"/>
    <w:rsid w:val="007E0A27"/>
    <w:rsid w:val="007E1912"/>
    <w:rsid w:val="007E1AAC"/>
    <w:rsid w:val="007E1E21"/>
    <w:rsid w:val="007E1F3B"/>
    <w:rsid w:val="007E2283"/>
    <w:rsid w:val="007E2586"/>
    <w:rsid w:val="007E2E6E"/>
    <w:rsid w:val="007E30D5"/>
    <w:rsid w:val="007E34D2"/>
    <w:rsid w:val="007E3BE5"/>
    <w:rsid w:val="007E3D23"/>
    <w:rsid w:val="007E445B"/>
    <w:rsid w:val="007E4710"/>
    <w:rsid w:val="007E4775"/>
    <w:rsid w:val="007E4F0F"/>
    <w:rsid w:val="007E5441"/>
    <w:rsid w:val="007E5D35"/>
    <w:rsid w:val="007E61A7"/>
    <w:rsid w:val="007E629F"/>
    <w:rsid w:val="007E73DE"/>
    <w:rsid w:val="007E79D7"/>
    <w:rsid w:val="007F1012"/>
    <w:rsid w:val="007F139F"/>
    <w:rsid w:val="007F1BAD"/>
    <w:rsid w:val="007F1FA7"/>
    <w:rsid w:val="007F2079"/>
    <w:rsid w:val="007F368C"/>
    <w:rsid w:val="007F391B"/>
    <w:rsid w:val="007F4CB5"/>
    <w:rsid w:val="007F4E31"/>
    <w:rsid w:val="007F4EC6"/>
    <w:rsid w:val="007F5B75"/>
    <w:rsid w:val="007F6B7E"/>
    <w:rsid w:val="007F6C2C"/>
    <w:rsid w:val="007F6D39"/>
    <w:rsid w:val="007F79CD"/>
    <w:rsid w:val="007F79F1"/>
    <w:rsid w:val="007F7AC7"/>
    <w:rsid w:val="008002F6"/>
    <w:rsid w:val="008005C0"/>
    <w:rsid w:val="00801062"/>
    <w:rsid w:val="00801454"/>
    <w:rsid w:val="00801B23"/>
    <w:rsid w:val="00801F3C"/>
    <w:rsid w:val="008020E7"/>
    <w:rsid w:val="00802B83"/>
    <w:rsid w:val="00803E96"/>
    <w:rsid w:val="0080409E"/>
    <w:rsid w:val="0080443D"/>
    <w:rsid w:val="008049CF"/>
    <w:rsid w:val="0080523E"/>
    <w:rsid w:val="008061EC"/>
    <w:rsid w:val="00806579"/>
    <w:rsid w:val="00811174"/>
    <w:rsid w:val="008119C5"/>
    <w:rsid w:val="00811B49"/>
    <w:rsid w:val="00811CBC"/>
    <w:rsid w:val="00812023"/>
    <w:rsid w:val="008127B8"/>
    <w:rsid w:val="008134AE"/>
    <w:rsid w:val="00813661"/>
    <w:rsid w:val="00813DD6"/>
    <w:rsid w:val="00813F9F"/>
    <w:rsid w:val="00814786"/>
    <w:rsid w:val="00814DCC"/>
    <w:rsid w:val="00815D0F"/>
    <w:rsid w:val="00815E48"/>
    <w:rsid w:val="008160C8"/>
    <w:rsid w:val="0081624D"/>
    <w:rsid w:val="008163F2"/>
    <w:rsid w:val="00816811"/>
    <w:rsid w:val="00820300"/>
    <w:rsid w:val="00821434"/>
    <w:rsid w:val="00822041"/>
    <w:rsid w:val="00822759"/>
    <w:rsid w:val="00824DF6"/>
    <w:rsid w:val="0082558A"/>
    <w:rsid w:val="00825C99"/>
    <w:rsid w:val="00827B8E"/>
    <w:rsid w:val="0083203D"/>
    <w:rsid w:val="008327BE"/>
    <w:rsid w:val="0083354D"/>
    <w:rsid w:val="00833A0A"/>
    <w:rsid w:val="00833D33"/>
    <w:rsid w:val="00836403"/>
    <w:rsid w:val="00836563"/>
    <w:rsid w:val="0083661E"/>
    <w:rsid w:val="00836759"/>
    <w:rsid w:val="008376AB"/>
    <w:rsid w:val="00837F1E"/>
    <w:rsid w:val="00840EBB"/>
    <w:rsid w:val="008416D6"/>
    <w:rsid w:val="0084280A"/>
    <w:rsid w:val="0084299B"/>
    <w:rsid w:val="00842C8F"/>
    <w:rsid w:val="008434F4"/>
    <w:rsid w:val="008436F7"/>
    <w:rsid w:val="00843C5C"/>
    <w:rsid w:val="008444B0"/>
    <w:rsid w:val="00844619"/>
    <w:rsid w:val="00844B03"/>
    <w:rsid w:val="008456D9"/>
    <w:rsid w:val="0084571A"/>
    <w:rsid w:val="00845A3F"/>
    <w:rsid w:val="00845D3F"/>
    <w:rsid w:val="00846200"/>
    <w:rsid w:val="008463FF"/>
    <w:rsid w:val="0084641B"/>
    <w:rsid w:val="0084665B"/>
    <w:rsid w:val="00846966"/>
    <w:rsid w:val="0085003A"/>
    <w:rsid w:val="008502AF"/>
    <w:rsid w:val="00851CCD"/>
    <w:rsid w:val="0085291E"/>
    <w:rsid w:val="00852C4B"/>
    <w:rsid w:val="00854918"/>
    <w:rsid w:val="0085491E"/>
    <w:rsid w:val="008551BE"/>
    <w:rsid w:val="008552D6"/>
    <w:rsid w:val="00855694"/>
    <w:rsid w:val="0085655A"/>
    <w:rsid w:val="008568BE"/>
    <w:rsid w:val="008574A0"/>
    <w:rsid w:val="00857AB0"/>
    <w:rsid w:val="008602F0"/>
    <w:rsid w:val="00860D87"/>
    <w:rsid w:val="00860EFA"/>
    <w:rsid w:val="008610FE"/>
    <w:rsid w:val="008617F3"/>
    <w:rsid w:val="00861A3B"/>
    <w:rsid w:val="00863261"/>
    <w:rsid w:val="00864639"/>
    <w:rsid w:val="008663EB"/>
    <w:rsid w:val="0086656A"/>
    <w:rsid w:val="008665CF"/>
    <w:rsid w:val="00866738"/>
    <w:rsid w:val="00866C02"/>
    <w:rsid w:val="00867307"/>
    <w:rsid w:val="008673F0"/>
    <w:rsid w:val="00867620"/>
    <w:rsid w:val="00867F5D"/>
    <w:rsid w:val="008703FF"/>
    <w:rsid w:val="00870881"/>
    <w:rsid w:val="0087125A"/>
    <w:rsid w:val="00871650"/>
    <w:rsid w:val="00872355"/>
    <w:rsid w:val="0087236F"/>
    <w:rsid w:val="00872CB5"/>
    <w:rsid w:val="008731C5"/>
    <w:rsid w:val="008738A0"/>
    <w:rsid w:val="008740CE"/>
    <w:rsid w:val="00874C62"/>
    <w:rsid w:val="00874C6D"/>
    <w:rsid w:val="00875B0E"/>
    <w:rsid w:val="00875CFB"/>
    <w:rsid w:val="00875ED5"/>
    <w:rsid w:val="00876CA0"/>
    <w:rsid w:val="00877372"/>
    <w:rsid w:val="008777DB"/>
    <w:rsid w:val="008807AE"/>
    <w:rsid w:val="0088094C"/>
    <w:rsid w:val="00880B59"/>
    <w:rsid w:val="00880B5D"/>
    <w:rsid w:val="00880C14"/>
    <w:rsid w:val="0088142A"/>
    <w:rsid w:val="00881788"/>
    <w:rsid w:val="008823A3"/>
    <w:rsid w:val="0088256B"/>
    <w:rsid w:val="008828C6"/>
    <w:rsid w:val="008828FB"/>
    <w:rsid w:val="00883915"/>
    <w:rsid w:val="00884B82"/>
    <w:rsid w:val="00885CF3"/>
    <w:rsid w:val="00885D48"/>
    <w:rsid w:val="00885FFC"/>
    <w:rsid w:val="008864FB"/>
    <w:rsid w:val="008866A2"/>
    <w:rsid w:val="008867EF"/>
    <w:rsid w:val="00887401"/>
    <w:rsid w:val="00890638"/>
    <w:rsid w:val="00890898"/>
    <w:rsid w:val="00891337"/>
    <w:rsid w:val="00891DCD"/>
    <w:rsid w:val="008927DE"/>
    <w:rsid w:val="008943CE"/>
    <w:rsid w:val="008947F5"/>
    <w:rsid w:val="008948AD"/>
    <w:rsid w:val="00894BA6"/>
    <w:rsid w:val="00894C91"/>
    <w:rsid w:val="0089751D"/>
    <w:rsid w:val="008A00D7"/>
    <w:rsid w:val="008A0975"/>
    <w:rsid w:val="008A1064"/>
    <w:rsid w:val="008A1771"/>
    <w:rsid w:val="008A19F3"/>
    <w:rsid w:val="008A1ACA"/>
    <w:rsid w:val="008A2274"/>
    <w:rsid w:val="008A228F"/>
    <w:rsid w:val="008A297F"/>
    <w:rsid w:val="008A299E"/>
    <w:rsid w:val="008A2D98"/>
    <w:rsid w:val="008A3887"/>
    <w:rsid w:val="008A3B8C"/>
    <w:rsid w:val="008A44E1"/>
    <w:rsid w:val="008A5F85"/>
    <w:rsid w:val="008A6515"/>
    <w:rsid w:val="008A68D1"/>
    <w:rsid w:val="008A6C7F"/>
    <w:rsid w:val="008A7927"/>
    <w:rsid w:val="008A7B7E"/>
    <w:rsid w:val="008B0CE2"/>
    <w:rsid w:val="008B1464"/>
    <w:rsid w:val="008B15D8"/>
    <w:rsid w:val="008B1D8F"/>
    <w:rsid w:val="008B22E8"/>
    <w:rsid w:val="008B2AAF"/>
    <w:rsid w:val="008B33A7"/>
    <w:rsid w:val="008B3468"/>
    <w:rsid w:val="008B3B5E"/>
    <w:rsid w:val="008B3E08"/>
    <w:rsid w:val="008B4CFE"/>
    <w:rsid w:val="008B58B8"/>
    <w:rsid w:val="008B58F8"/>
    <w:rsid w:val="008B5F68"/>
    <w:rsid w:val="008B625F"/>
    <w:rsid w:val="008B7B4B"/>
    <w:rsid w:val="008C0406"/>
    <w:rsid w:val="008C05C3"/>
    <w:rsid w:val="008C1196"/>
    <w:rsid w:val="008C1577"/>
    <w:rsid w:val="008C1A88"/>
    <w:rsid w:val="008C1B1B"/>
    <w:rsid w:val="008C1F7C"/>
    <w:rsid w:val="008C20AE"/>
    <w:rsid w:val="008C27CE"/>
    <w:rsid w:val="008C4763"/>
    <w:rsid w:val="008C5BE0"/>
    <w:rsid w:val="008C5E4E"/>
    <w:rsid w:val="008C626F"/>
    <w:rsid w:val="008C677D"/>
    <w:rsid w:val="008C684A"/>
    <w:rsid w:val="008C6E0A"/>
    <w:rsid w:val="008C7A58"/>
    <w:rsid w:val="008D00D2"/>
    <w:rsid w:val="008D21DE"/>
    <w:rsid w:val="008D22CA"/>
    <w:rsid w:val="008D2843"/>
    <w:rsid w:val="008D2E90"/>
    <w:rsid w:val="008D351A"/>
    <w:rsid w:val="008D395A"/>
    <w:rsid w:val="008D3A27"/>
    <w:rsid w:val="008D3CA5"/>
    <w:rsid w:val="008D5B8B"/>
    <w:rsid w:val="008D5FB8"/>
    <w:rsid w:val="008D6312"/>
    <w:rsid w:val="008D6B31"/>
    <w:rsid w:val="008D799E"/>
    <w:rsid w:val="008D7A1D"/>
    <w:rsid w:val="008D7A28"/>
    <w:rsid w:val="008D7B00"/>
    <w:rsid w:val="008E0517"/>
    <w:rsid w:val="008E1A1B"/>
    <w:rsid w:val="008E1CD0"/>
    <w:rsid w:val="008E2689"/>
    <w:rsid w:val="008E304D"/>
    <w:rsid w:val="008E33A1"/>
    <w:rsid w:val="008E3E46"/>
    <w:rsid w:val="008E4092"/>
    <w:rsid w:val="008E4B12"/>
    <w:rsid w:val="008E50A0"/>
    <w:rsid w:val="008E68B1"/>
    <w:rsid w:val="008E7049"/>
    <w:rsid w:val="008F022F"/>
    <w:rsid w:val="008F039D"/>
    <w:rsid w:val="008F04B0"/>
    <w:rsid w:val="008F0A73"/>
    <w:rsid w:val="008F11C8"/>
    <w:rsid w:val="008F2195"/>
    <w:rsid w:val="008F284F"/>
    <w:rsid w:val="008F29A1"/>
    <w:rsid w:val="008F2AB2"/>
    <w:rsid w:val="008F3730"/>
    <w:rsid w:val="008F3DF3"/>
    <w:rsid w:val="008F41E1"/>
    <w:rsid w:val="008F4EDC"/>
    <w:rsid w:val="008F66E7"/>
    <w:rsid w:val="008F76A3"/>
    <w:rsid w:val="00900B1E"/>
    <w:rsid w:val="0090300F"/>
    <w:rsid w:val="00903588"/>
    <w:rsid w:val="009039F1"/>
    <w:rsid w:val="00903B7D"/>
    <w:rsid w:val="00903DE5"/>
    <w:rsid w:val="00904498"/>
    <w:rsid w:val="00905176"/>
    <w:rsid w:val="009057D9"/>
    <w:rsid w:val="00905FCC"/>
    <w:rsid w:val="009061FE"/>
    <w:rsid w:val="00906BDB"/>
    <w:rsid w:val="00906FB7"/>
    <w:rsid w:val="00907463"/>
    <w:rsid w:val="00907D11"/>
    <w:rsid w:val="00910EAA"/>
    <w:rsid w:val="00910F5F"/>
    <w:rsid w:val="0091168C"/>
    <w:rsid w:val="00911864"/>
    <w:rsid w:val="00912454"/>
    <w:rsid w:val="009129F1"/>
    <w:rsid w:val="00913182"/>
    <w:rsid w:val="00913ACC"/>
    <w:rsid w:val="00913BEB"/>
    <w:rsid w:val="00913E30"/>
    <w:rsid w:val="00914317"/>
    <w:rsid w:val="00914EEE"/>
    <w:rsid w:val="009152C6"/>
    <w:rsid w:val="00916DF2"/>
    <w:rsid w:val="00920965"/>
    <w:rsid w:val="00921171"/>
    <w:rsid w:val="009216B6"/>
    <w:rsid w:val="00922A53"/>
    <w:rsid w:val="0092307C"/>
    <w:rsid w:val="009231D3"/>
    <w:rsid w:val="0092344C"/>
    <w:rsid w:val="00924945"/>
    <w:rsid w:val="00924D28"/>
    <w:rsid w:val="00924D62"/>
    <w:rsid w:val="0092593F"/>
    <w:rsid w:val="009260B9"/>
    <w:rsid w:val="009269C8"/>
    <w:rsid w:val="00927D5F"/>
    <w:rsid w:val="00930098"/>
    <w:rsid w:val="00930D8E"/>
    <w:rsid w:val="00931C11"/>
    <w:rsid w:val="0093219B"/>
    <w:rsid w:val="009322D3"/>
    <w:rsid w:val="009326A6"/>
    <w:rsid w:val="00932D7B"/>
    <w:rsid w:val="00932E57"/>
    <w:rsid w:val="009332D3"/>
    <w:rsid w:val="00933FD7"/>
    <w:rsid w:val="009341DB"/>
    <w:rsid w:val="0093429F"/>
    <w:rsid w:val="009346D0"/>
    <w:rsid w:val="00935100"/>
    <w:rsid w:val="00935328"/>
    <w:rsid w:val="00935401"/>
    <w:rsid w:val="009362CC"/>
    <w:rsid w:val="00936B4D"/>
    <w:rsid w:val="00936BBD"/>
    <w:rsid w:val="00936C2E"/>
    <w:rsid w:val="00936D85"/>
    <w:rsid w:val="00937D72"/>
    <w:rsid w:val="009403CB"/>
    <w:rsid w:val="00940E5B"/>
    <w:rsid w:val="00941445"/>
    <w:rsid w:val="009427FE"/>
    <w:rsid w:val="00942B70"/>
    <w:rsid w:val="00942F02"/>
    <w:rsid w:val="00944092"/>
    <w:rsid w:val="009450D2"/>
    <w:rsid w:val="009454D3"/>
    <w:rsid w:val="00945FC3"/>
    <w:rsid w:val="00945FDF"/>
    <w:rsid w:val="00946299"/>
    <w:rsid w:val="0094638F"/>
    <w:rsid w:val="009466A4"/>
    <w:rsid w:val="00946F06"/>
    <w:rsid w:val="00946F37"/>
    <w:rsid w:val="00947096"/>
    <w:rsid w:val="00947330"/>
    <w:rsid w:val="00947865"/>
    <w:rsid w:val="00947B4E"/>
    <w:rsid w:val="00950BAE"/>
    <w:rsid w:val="009516EB"/>
    <w:rsid w:val="00951CAA"/>
    <w:rsid w:val="00952462"/>
    <w:rsid w:val="0095311B"/>
    <w:rsid w:val="00953D24"/>
    <w:rsid w:val="00955021"/>
    <w:rsid w:val="0095508A"/>
    <w:rsid w:val="00955123"/>
    <w:rsid w:val="00955B70"/>
    <w:rsid w:val="009562A0"/>
    <w:rsid w:val="0095662D"/>
    <w:rsid w:val="00957769"/>
    <w:rsid w:val="00957E32"/>
    <w:rsid w:val="00957FD4"/>
    <w:rsid w:val="0096086B"/>
    <w:rsid w:val="00960BCD"/>
    <w:rsid w:val="00960D54"/>
    <w:rsid w:val="00960FEE"/>
    <w:rsid w:val="00961084"/>
    <w:rsid w:val="009615E6"/>
    <w:rsid w:val="0096190C"/>
    <w:rsid w:val="00961D34"/>
    <w:rsid w:val="00962F4F"/>
    <w:rsid w:val="009630F6"/>
    <w:rsid w:val="009643C6"/>
    <w:rsid w:val="00966416"/>
    <w:rsid w:val="0096654A"/>
    <w:rsid w:val="009670AB"/>
    <w:rsid w:val="00967927"/>
    <w:rsid w:val="00970EC3"/>
    <w:rsid w:val="00971726"/>
    <w:rsid w:val="00971802"/>
    <w:rsid w:val="00971D6F"/>
    <w:rsid w:val="009726A7"/>
    <w:rsid w:val="00972DD8"/>
    <w:rsid w:val="00973EE1"/>
    <w:rsid w:val="00974518"/>
    <w:rsid w:val="0097494A"/>
    <w:rsid w:val="00975A2D"/>
    <w:rsid w:val="00975FC3"/>
    <w:rsid w:val="009762C3"/>
    <w:rsid w:val="00977496"/>
    <w:rsid w:val="009775C7"/>
    <w:rsid w:val="0097785F"/>
    <w:rsid w:val="00977923"/>
    <w:rsid w:val="00977E03"/>
    <w:rsid w:val="009809FC"/>
    <w:rsid w:val="00980BB4"/>
    <w:rsid w:val="00981E1A"/>
    <w:rsid w:val="0098244A"/>
    <w:rsid w:val="0098299E"/>
    <w:rsid w:val="00982AA4"/>
    <w:rsid w:val="00982C0A"/>
    <w:rsid w:val="00982E58"/>
    <w:rsid w:val="00982FBA"/>
    <w:rsid w:val="00983763"/>
    <w:rsid w:val="00984496"/>
    <w:rsid w:val="0098487C"/>
    <w:rsid w:val="00984930"/>
    <w:rsid w:val="00984C2B"/>
    <w:rsid w:val="00984FFB"/>
    <w:rsid w:val="009851D2"/>
    <w:rsid w:val="00985E6B"/>
    <w:rsid w:val="00985F02"/>
    <w:rsid w:val="00986267"/>
    <w:rsid w:val="00986C25"/>
    <w:rsid w:val="0098713B"/>
    <w:rsid w:val="0098799E"/>
    <w:rsid w:val="0099024A"/>
    <w:rsid w:val="00990312"/>
    <w:rsid w:val="009905F1"/>
    <w:rsid w:val="00990A83"/>
    <w:rsid w:val="00991024"/>
    <w:rsid w:val="00991D73"/>
    <w:rsid w:val="00991EFB"/>
    <w:rsid w:val="00992766"/>
    <w:rsid w:val="00992960"/>
    <w:rsid w:val="00992CAE"/>
    <w:rsid w:val="00992CF1"/>
    <w:rsid w:val="00993209"/>
    <w:rsid w:val="00993472"/>
    <w:rsid w:val="00993DFA"/>
    <w:rsid w:val="00993E22"/>
    <w:rsid w:val="00994E84"/>
    <w:rsid w:val="00996B6E"/>
    <w:rsid w:val="009972A4"/>
    <w:rsid w:val="00997C03"/>
    <w:rsid w:val="00997E70"/>
    <w:rsid w:val="009A1C72"/>
    <w:rsid w:val="009A1DFB"/>
    <w:rsid w:val="009A1E61"/>
    <w:rsid w:val="009A2286"/>
    <w:rsid w:val="009A25F3"/>
    <w:rsid w:val="009A3154"/>
    <w:rsid w:val="009A341F"/>
    <w:rsid w:val="009A34E5"/>
    <w:rsid w:val="009A389D"/>
    <w:rsid w:val="009A3BFF"/>
    <w:rsid w:val="009A4229"/>
    <w:rsid w:val="009A4F94"/>
    <w:rsid w:val="009A505C"/>
    <w:rsid w:val="009A5F9F"/>
    <w:rsid w:val="009A647E"/>
    <w:rsid w:val="009A6621"/>
    <w:rsid w:val="009A6947"/>
    <w:rsid w:val="009A79D2"/>
    <w:rsid w:val="009B067C"/>
    <w:rsid w:val="009B13A0"/>
    <w:rsid w:val="009B286F"/>
    <w:rsid w:val="009B2C8D"/>
    <w:rsid w:val="009B2F08"/>
    <w:rsid w:val="009B371B"/>
    <w:rsid w:val="009B4B46"/>
    <w:rsid w:val="009B563A"/>
    <w:rsid w:val="009B5DA0"/>
    <w:rsid w:val="009B6252"/>
    <w:rsid w:val="009B71E8"/>
    <w:rsid w:val="009B7C08"/>
    <w:rsid w:val="009B7CBC"/>
    <w:rsid w:val="009B7DFF"/>
    <w:rsid w:val="009C0E68"/>
    <w:rsid w:val="009C0F77"/>
    <w:rsid w:val="009C1CD8"/>
    <w:rsid w:val="009C2E47"/>
    <w:rsid w:val="009C32CB"/>
    <w:rsid w:val="009C36F3"/>
    <w:rsid w:val="009C41D8"/>
    <w:rsid w:val="009C44C5"/>
    <w:rsid w:val="009C468E"/>
    <w:rsid w:val="009C48C9"/>
    <w:rsid w:val="009C4904"/>
    <w:rsid w:val="009C7A93"/>
    <w:rsid w:val="009D052A"/>
    <w:rsid w:val="009D0C36"/>
    <w:rsid w:val="009D1699"/>
    <w:rsid w:val="009D2A6C"/>
    <w:rsid w:val="009D348E"/>
    <w:rsid w:val="009D4A03"/>
    <w:rsid w:val="009D4FEE"/>
    <w:rsid w:val="009D560A"/>
    <w:rsid w:val="009D710A"/>
    <w:rsid w:val="009D726A"/>
    <w:rsid w:val="009D74BC"/>
    <w:rsid w:val="009E0CAE"/>
    <w:rsid w:val="009E269C"/>
    <w:rsid w:val="009E2750"/>
    <w:rsid w:val="009E27B4"/>
    <w:rsid w:val="009E40E3"/>
    <w:rsid w:val="009E41F3"/>
    <w:rsid w:val="009E42F7"/>
    <w:rsid w:val="009E4CC9"/>
    <w:rsid w:val="009E53C6"/>
    <w:rsid w:val="009E6B01"/>
    <w:rsid w:val="009E6CF1"/>
    <w:rsid w:val="009E7E3F"/>
    <w:rsid w:val="009F0FD6"/>
    <w:rsid w:val="009F18AC"/>
    <w:rsid w:val="009F31F4"/>
    <w:rsid w:val="009F33ED"/>
    <w:rsid w:val="009F4D03"/>
    <w:rsid w:val="009F5279"/>
    <w:rsid w:val="009F5E07"/>
    <w:rsid w:val="009F5E5D"/>
    <w:rsid w:val="009F5E8D"/>
    <w:rsid w:val="009F73FD"/>
    <w:rsid w:val="009F764A"/>
    <w:rsid w:val="009F7725"/>
    <w:rsid w:val="009F77A2"/>
    <w:rsid w:val="00A00F54"/>
    <w:rsid w:val="00A014E1"/>
    <w:rsid w:val="00A01528"/>
    <w:rsid w:val="00A02710"/>
    <w:rsid w:val="00A02B6E"/>
    <w:rsid w:val="00A02FE6"/>
    <w:rsid w:val="00A03998"/>
    <w:rsid w:val="00A03AAC"/>
    <w:rsid w:val="00A03F9C"/>
    <w:rsid w:val="00A0466D"/>
    <w:rsid w:val="00A047C6"/>
    <w:rsid w:val="00A058D9"/>
    <w:rsid w:val="00A06A84"/>
    <w:rsid w:val="00A06C04"/>
    <w:rsid w:val="00A06D49"/>
    <w:rsid w:val="00A07987"/>
    <w:rsid w:val="00A10167"/>
    <w:rsid w:val="00A108BA"/>
    <w:rsid w:val="00A110EF"/>
    <w:rsid w:val="00A1291F"/>
    <w:rsid w:val="00A12C1B"/>
    <w:rsid w:val="00A12ECD"/>
    <w:rsid w:val="00A13012"/>
    <w:rsid w:val="00A13133"/>
    <w:rsid w:val="00A13153"/>
    <w:rsid w:val="00A1387C"/>
    <w:rsid w:val="00A13A12"/>
    <w:rsid w:val="00A13AE3"/>
    <w:rsid w:val="00A13EAB"/>
    <w:rsid w:val="00A13F38"/>
    <w:rsid w:val="00A14CE0"/>
    <w:rsid w:val="00A15056"/>
    <w:rsid w:val="00A150BB"/>
    <w:rsid w:val="00A15244"/>
    <w:rsid w:val="00A153C5"/>
    <w:rsid w:val="00A15BB4"/>
    <w:rsid w:val="00A160F0"/>
    <w:rsid w:val="00A16713"/>
    <w:rsid w:val="00A16BE4"/>
    <w:rsid w:val="00A16EF0"/>
    <w:rsid w:val="00A1731E"/>
    <w:rsid w:val="00A17AAF"/>
    <w:rsid w:val="00A20EFA"/>
    <w:rsid w:val="00A22D49"/>
    <w:rsid w:val="00A230BC"/>
    <w:rsid w:val="00A23E61"/>
    <w:rsid w:val="00A24D7C"/>
    <w:rsid w:val="00A25280"/>
    <w:rsid w:val="00A25891"/>
    <w:rsid w:val="00A25D04"/>
    <w:rsid w:val="00A263C6"/>
    <w:rsid w:val="00A269CF"/>
    <w:rsid w:val="00A26D24"/>
    <w:rsid w:val="00A303CB"/>
    <w:rsid w:val="00A303F6"/>
    <w:rsid w:val="00A30596"/>
    <w:rsid w:val="00A3065C"/>
    <w:rsid w:val="00A306BD"/>
    <w:rsid w:val="00A314DD"/>
    <w:rsid w:val="00A321C6"/>
    <w:rsid w:val="00A32AD4"/>
    <w:rsid w:val="00A3302D"/>
    <w:rsid w:val="00A33529"/>
    <w:rsid w:val="00A33BE7"/>
    <w:rsid w:val="00A33F59"/>
    <w:rsid w:val="00A346DD"/>
    <w:rsid w:val="00A359A1"/>
    <w:rsid w:val="00A36909"/>
    <w:rsid w:val="00A3777A"/>
    <w:rsid w:val="00A37905"/>
    <w:rsid w:val="00A37F61"/>
    <w:rsid w:val="00A40F01"/>
    <w:rsid w:val="00A42390"/>
    <w:rsid w:val="00A4253C"/>
    <w:rsid w:val="00A42754"/>
    <w:rsid w:val="00A438B3"/>
    <w:rsid w:val="00A43AD7"/>
    <w:rsid w:val="00A44550"/>
    <w:rsid w:val="00A44B67"/>
    <w:rsid w:val="00A44EAA"/>
    <w:rsid w:val="00A44EAC"/>
    <w:rsid w:val="00A45C23"/>
    <w:rsid w:val="00A46150"/>
    <w:rsid w:val="00A462EE"/>
    <w:rsid w:val="00A46611"/>
    <w:rsid w:val="00A46946"/>
    <w:rsid w:val="00A46CEC"/>
    <w:rsid w:val="00A46E1B"/>
    <w:rsid w:val="00A46F1D"/>
    <w:rsid w:val="00A47155"/>
    <w:rsid w:val="00A474BF"/>
    <w:rsid w:val="00A47542"/>
    <w:rsid w:val="00A50579"/>
    <w:rsid w:val="00A5060E"/>
    <w:rsid w:val="00A5083C"/>
    <w:rsid w:val="00A50F88"/>
    <w:rsid w:val="00A51B01"/>
    <w:rsid w:val="00A51CC9"/>
    <w:rsid w:val="00A51DC5"/>
    <w:rsid w:val="00A525F7"/>
    <w:rsid w:val="00A52BDE"/>
    <w:rsid w:val="00A52D83"/>
    <w:rsid w:val="00A5313A"/>
    <w:rsid w:val="00A53412"/>
    <w:rsid w:val="00A53C37"/>
    <w:rsid w:val="00A54479"/>
    <w:rsid w:val="00A553F8"/>
    <w:rsid w:val="00A554EF"/>
    <w:rsid w:val="00A5573C"/>
    <w:rsid w:val="00A5586E"/>
    <w:rsid w:val="00A564F2"/>
    <w:rsid w:val="00A56ABF"/>
    <w:rsid w:val="00A56D3A"/>
    <w:rsid w:val="00A57606"/>
    <w:rsid w:val="00A576FD"/>
    <w:rsid w:val="00A5775A"/>
    <w:rsid w:val="00A5799D"/>
    <w:rsid w:val="00A57B1C"/>
    <w:rsid w:val="00A57B6F"/>
    <w:rsid w:val="00A60B78"/>
    <w:rsid w:val="00A60D85"/>
    <w:rsid w:val="00A61C84"/>
    <w:rsid w:val="00A62994"/>
    <w:rsid w:val="00A64725"/>
    <w:rsid w:val="00A64E2A"/>
    <w:rsid w:val="00A64FB3"/>
    <w:rsid w:val="00A65245"/>
    <w:rsid w:val="00A65462"/>
    <w:rsid w:val="00A6754C"/>
    <w:rsid w:val="00A700EF"/>
    <w:rsid w:val="00A701A5"/>
    <w:rsid w:val="00A702A7"/>
    <w:rsid w:val="00A703E5"/>
    <w:rsid w:val="00A7130A"/>
    <w:rsid w:val="00A72492"/>
    <w:rsid w:val="00A73635"/>
    <w:rsid w:val="00A74C39"/>
    <w:rsid w:val="00A75312"/>
    <w:rsid w:val="00A75868"/>
    <w:rsid w:val="00A76391"/>
    <w:rsid w:val="00A76666"/>
    <w:rsid w:val="00A76E11"/>
    <w:rsid w:val="00A77605"/>
    <w:rsid w:val="00A7772E"/>
    <w:rsid w:val="00A77BBF"/>
    <w:rsid w:val="00A77EC1"/>
    <w:rsid w:val="00A77F9A"/>
    <w:rsid w:val="00A80B27"/>
    <w:rsid w:val="00A818EE"/>
    <w:rsid w:val="00A81E2A"/>
    <w:rsid w:val="00A8223F"/>
    <w:rsid w:val="00A84014"/>
    <w:rsid w:val="00A8444F"/>
    <w:rsid w:val="00A846D6"/>
    <w:rsid w:val="00A85051"/>
    <w:rsid w:val="00A864F4"/>
    <w:rsid w:val="00A86B88"/>
    <w:rsid w:val="00A86CE3"/>
    <w:rsid w:val="00A8700B"/>
    <w:rsid w:val="00A87AF2"/>
    <w:rsid w:val="00A90702"/>
    <w:rsid w:val="00A90A08"/>
    <w:rsid w:val="00A914AC"/>
    <w:rsid w:val="00A91D76"/>
    <w:rsid w:val="00A94175"/>
    <w:rsid w:val="00A941CA"/>
    <w:rsid w:val="00A94F9E"/>
    <w:rsid w:val="00A951A4"/>
    <w:rsid w:val="00AA006A"/>
    <w:rsid w:val="00AA00FA"/>
    <w:rsid w:val="00AA014E"/>
    <w:rsid w:val="00AA044F"/>
    <w:rsid w:val="00AA0600"/>
    <w:rsid w:val="00AA118D"/>
    <w:rsid w:val="00AA149F"/>
    <w:rsid w:val="00AA1561"/>
    <w:rsid w:val="00AA1E07"/>
    <w:rsid w:val="00AA20B8"/>
    <w:rsid w:val="00AA212C"/>
    <w:rsid w:val="00AA33DA"/>
    <w:rsid w:val="00AA3622"/>
    <w:rsid w:val="00AA3B0A"/>
    <w:rsid w:val="00AA3F44"/>
    <w:rsid w:val="00AA4374"/>
    <w:rsid w:val="00AA58B0"/>
    <w:rsid w:val="00AA6389"/>
    <w:rsid w:val="00AA64E5"/>
    <w:rsid w:val="00AA686E"/>
    <w:rsid w:val="00AA6C06"/>
    <w:rsid w:val="00AA70A1"/>
    <w:rsid w:val="00AA7725"/>
    <w:rsid w:val="00AA7784"/>
    <w:rsid w:val="00AA7D8D"/>
    <w:rsid w:val="00AB009D"/>
    <w:rsid w:val="00AB0C65"/>
    <w:rsid w:val="00AB1094"/>
    <w:rsid w:val="00AB1454"/>
    <w:rsid w:val="00AB1727"/>
    <w:rsid w:val="00AB1BD7"/>
    <w:rsid w:val="00AB2290"/>
    <w:rsid w:val="00AB2BE7"/>
    <w:rsid w:val="00AB3133"/>
    <w:rsid w:val="00AB4E9F"/>
    <w:rsid w:val="00AB6121"/>
    <w:rsid w:val="00AB62F8"/>
    <w:rsid w:val="00AC04E9"/>
    <w:rsid w:val="00AC0C0A"/>
    <w:rsid w:val="00AC1587"/>
    <w:rsid w:val="00AC1851"/>
    <w:rsid w:val="00AC1A43"/>
    <w:rsid w:val="00AC1B85"/>
    <w:rsid w:val="00AC1C9A"/>
    <w:rsid w:val="00AC22AB"/>
    <w:rsid w:val="00AC2737"/>
    <w:rsid w:val="00AC2A01"/>
    <w:rsid w:val="00AC2B7E"/>
    <w:rsid w:val="00AC2D32"/>
    <w:rsid w:val="00AC2F43"/>
    <w:rsid w:val="00AC32E6"/>
    <w:rsid w:val="00AC32F3"/>
    <w:rsid w:val="00AC337B"/>
    <w:rsid w:val="00AC37CB"/>
    <w:rsid w:val="00AC451C"/>
    <w:rsid w:val="00AC516D"/>
    <w:rsid w:val="00AC5AEE"/>
    <w:rsid w:val="00AC62A8"/>
    <w:rsid w:val="00AC6CE2"/>
    <w:rsid w:val="00AD0D1E"/>
    <w:rsid w:val="00AD1316"/>
    <w:rsid w:val="00AD1DD0"/>
    <w:rsid w:val="00AD1E10"/>
    <w:rsid w:val="00AD2CBB"/>
    <w:rsid w:val="00AD2EF1"/>
    <w:rsid w:val="00AD46ED"/>
    <w:rsid w:val="00AD4BCC"/>
    <w:rsid w:val="00AD4F13"/>
    <w:rsid w:val="00AD55CB"/>
    <w:rsid w:val="00AD55D2"/>
    <w:rsid w:val="00AD5A55"/>
    <w:rsid w:val="00AD5A92"/>
    <w:rsid w:val="00AD5B7E"/>
    <w:rsid w:val="00AD5CBB"/>
    <w:rsid w:val="00AD7144"/>
    <w:rsid w:val="00AD7568"/>
    <w:rsid w:val="00AE02A2"/>
    <w:rsid w:val="00AE0B11"/>
    <w:rsid w:val="00AE152F"/>
    <w:rsid w:val="00AE1959"/>
    <w:rsid w:val="00AE1BD7"/>
    <w:rsid w:val="00AE2266"/>
    <w:rsid w:val="00AE2767"/>
    <w:rsid w:val="00AE3036"/>
    <w:rsid w:val="00AE3042"/>
    <w:rsid w:val="00AE340B"/>
    <w:rsid w:val="00AE3BDB"/>
    <w:rsid w:val="00AE3EC3"/>
    <w:rsid w:val="00AE41A0"/>
    <w:rsid w:val="00AE4F91"/>
    <w:rsid w:val="00AE54C6"/>
    <w:rsid w:val="00AE5586"/>
    <w:rsid w:val="00AE5B4A"/>
    <w:rsid w:val="00AE5F52"/>
    <w:rsid w:val="00AE61EF"/>
    <w:rsid w:val="00AE6245"/>
    <w:rsid w:val="00AE6A72"/>
    <w:rsid w:val="00AE7D92"/>
    <w:rsid w:val="00AF0139"/>
    <w:rsid w:val="00AF0411"/>
    <w:rsid w:val="00AF08E9"/>
    <w:rsid w:val="00AF0F8E"/>
    <w:rsid w:val="00AF1020"/>
    <w:rsid w:val="00AF12C3"/>
    <w:rsid w:val="00AF16A2"/>
    <w:rsid w:val="00AF1AC2"/>
    <w:rsid w:val="00AF20A2"/>
    <w:rsid w:val="00AF2C65"/>
    <w:rsid w:val="00AF30DA"/>
    <w:rsid w:val="00AF32CC"/>
    <w:rsid w:val="00AF398B"/>
    <w:rsid w:val="00AF3E34"/>
    <w:rsid w:val="00AF3F59"/>
    <w:rsid w:val="00AF40DE"/>
    <w:rsid w:val="00AF47DF"/>
    <w:rsid w:val="00AF5D96"/>
    <w:rsid w:val="00AF6AB2"/>
    <w:rsid w:val="00AF6DD7"/>
    <w:rsid w:val="00AF7B6E"/>
    <w:rsid w:val="00B00C4C"/>
    <w:rsid w:val="00B00E7E"/>
    <w:rsid w:val="00B00F13"/>
    <w:rsid w:val="00B018B9"/>
    <w:rsid w:val="00B01FE0"/>
    <w:rsid w:val="00B02719"/>
    <w:rsid w:val="00B03E87"/>
    <w:rsid w:val="00B03FFD"/>
    <w:rsid w:val="00B0473F"/>
    <w:rsid w:val="00B04959"/>
    <w:rsid w:val="00B05121"/>
    <w:rsid w:val="00B063E2"/>
    <w:rsid w:val="00B06841"/>
    <w:rsid w:val="00B06EDB"/>
    <w:rsid w:val="00B07331"/>
    <w:rsid w:val="00B07EF4"/>
    <w:rsid w:val="00B10419"/>
    <w:rsid w:val="00B11517"/>
    <w:rsid w:val="00B12111"/>
    <w:rsid w:val="00B128AE"/>
    <w:rsid w:val="00B12B0E"/>
    <w:rsid w:val="00B12B5D"/>
    <w:rsid w:val="00B132E7"/>
    <w:rsid w:val="00B1353C"/>
    <w:rsid w:val="00B137B8"/>
    <w:rsid w:val="00B13FB6"/>
    <w:rsid w:val="00B140FC"/>
    <w:rsid w:val="00B14D76"/>
    <w:rsid w:val="00B14DCD"/>
    <w:rsid w:val="00B153B3"/>
    <w:rsid w:val="00B157BD"/>
    <w:rsid w:val="00B16FB1"/>
    <w:rsid w:val="00B17440"/>
    <w:rsid w:val="00B17820"/>
    <w:rsid w:val="00B17958"/>
    <w:rsid w:val="00B17F0A"/>
    <w:rsid w:val="00B243A0"/>
    <w:rsid w:val="00B24DAE"/>
    <w:rsid w:val="00B25129"/>
    <w:rsid w:val="00B254AD"/>
    <w:rsid w:val="00B25A89"/>
    <w:rsid w:val="00B261CF"/>
    <w:rsid w:val="00B26205"/>
    <w:rsid w:val="00B26784"/>
    <w:rsid w:val="00B278E3"/>
    <w:rsid w:val="00B305F0"/>
    <w:rsid w:val="00B30901"/>
    <w:rsid w:val="00B30C5E"/>
    <w:rsid w:val="00B31DC3"/>
    <w:rsid w:val="00B32455"/>
    <w:rsid w:val="00B324DC"/>
    <w:rsid w:val="00B32A3E"/>
    <w:rsid w:val="00B339C4"/>
    <w:rsid w:val="00B33C4C"/>
    <w:rsid w:val="00B33EDF"/>
    <w:rsid w:val="00B34124"/>
    <w:rsid w:val="00B34469"/>
    <w:rsid w:val="00B34C35"/>
    <w:rsid w:val="00B34E04"/>
    <w:rsid w:val="00B34EC0"/>
    <w:rsid w:val="00B35A90"/>
    <w:rsid w:val="00B35AE0"/>
    <w:rsid w:val="00B36516"/>
    <w:rsid w:val="00B40E79"/>
    <w:rsid w:val="00B4181F"/>
    <w:rsid w:val="00B41A4F"/>
    <w:rsid w:val="00B41C7F"/>
    <w:rsid w:val="00B41F6B"/>
    <w:rsid w:val="00B4215E"/>
    <w:rsid w:val="00B4242D"/>
    <w:rsid w:val="00B428BA"/>
    <w:rsid w:val="00B42E1B"/>
    <w:rsid w:val="00B42E4C"/>
    <w:rsid w:val="00B43A83"/>
    <w:rsid w:val="00B46108"/>
    <w:rsid w:val="00B4610A"/>
    <w:rsid w:val="00B4655D"/>
    <w:rsid w:val="00B46AEB"/>
    <w:rsid w:val="00B46C56"/>
    <w:rsid w:val="00B46E4C"/>
    <w:rsid w:val="00B46F5D"/>
    <w:rsid w:val="00B47135"/>
    <w:rsid w:val="00B47552"/>
    <w:rsid w:val="00B47865"/>
    <w:rsid w:val="00B50183"/>
    <w:rsid w:val="00B51419"/>
    <w:rsid w:val="00B514EF"/>
    <w:rsid w:val="00B51B74"/>
    <w:rsid w:val="00B520C2"/>
    <w:rsid w:val="00B52247"/>
    <w:rsid w:val="00B52AF9"/>
    <w:rsid w:val="00B53CEF"/>
    <w:rsid w:val="00B54301"/>
    <w:rsid w:val="00B544B1"/>
    <w:rsid w:val="00B54FC9"/>
    <w:rsid w:val="00B561D7"/>
    <w:rsid w:val="00B56876"/>
    <w:rsid w:val="00B570A6"/>
    <w:rsid w:val="00B60BF7"/>
    <w:rsid w:val="00B61E79"/>
    <w:rsid w:val="00B6203D"/>
    <w:rsid w:val="00B620E7"/>
    <w:rsid w:val="00B635A4"/>
    <w:rsid w:val="00B64004"/>
    <w:rsid w:val="00B649F9"/>
    <w:rsid w:val="00B655B5"/>
    <w:rsid w:val="00B66203"/>
    <w:rsid w:val="00B667E8"/>
    <w:rsid w:val="00B668A8"/>
    <w:rsid w:val="00B672EA"/>
    <w:rsid w:val="00B67538"/>
    <w:rsid w:val="00B67F5D"/>
    <w:rsid w:val="00B70699"/>
    <w:rsid w:val="00B70759"/>
    <w:rsid w:val="00B7174B"/>
    <w:rsid w:val="00B7198E"/>
    <w:rsid w:val="00B71C79"/>
    <w:rsid w:val="00B7201F"/>
    <w:rsid w:val="00B7225F"/>
    <w:rsid w:val="00B72828"/>
    <w:rsid w:val="00B7322A"/>
    <w:rsid w:val="00B740D8"/>
    <w:rsid w:val="00B7494F"/>
    <w:rsid w:val="00B74CE2"/>
    <w:rsid w:val="00B74EC4"/>
    <w:rsid w:val="00B74FCA"/>
    <w:rsid w:val="00B75A29"/>
    <w:rsid w:val="00B75A9C"/>
    <w:rsid w:val="00B7657B"/>
    <w:rsid w:val="00B77E16"/>
    <w:rsid w:val="00B802E1"/>
    <w:rsid w:val="00B806DD"/>
    <w:rsid w:val="00B80C2A"/>
    <w:rsid w:val="00B80EAA"/>
    <w:rsid w:val="00B81071"/>
    <w:rsid w:val="00B813D5"/>
    <w:rsid w:val="00B8174F"/>
    <w:rsid w:val="00B81B08"/>
    <w:rsid w:val="00B82920"/>
    <w:rsid w:val="00B8321C"/>
    <w:rsid w:val="00B8370F"/>
    <w:rsid w:val="00B83727"/>
    <w:rsid w:val="00B842A4"/>
    <w:rsid w:val="00B85577"/>
    <w:rsid w:val="00B85EBA"/>
    <w:rsid w:val="00B85EE3"/>
    <w:rsid w:val="00B869A2"/>
    <w:rsid w:val="00B86D74"/>
    <w:rsid w:val="00B86D95"/>
    <w:rsid w:val="00B86DE1"/>
    <w:rsid w:val="00B87C59"/>
    <w:rsid w:val="00B87F5E"/>
    <w:rsid w:val="00B90481"/>
    <w:rsid w:val="00B90BF4"/>
    <w:rsid w:val="00B90D08"/>
    <w:rsid w:val="00B91091"/>
    <w:rsid w:val="00B91A74"/>
    <w:rsid w:val="00B91F2F"/>
    <w:rsid w:val="00B91F34"/>
    <w:rsid w:val="00B922F0"/>
    <w:rsid w:val="00B92843"/>
    <w:rsid w:val="00B92911"/>
    <w:rsid w:val="00B92CB4"/>
    <w:rsid w:val="00B935C1"/>
    <w:rsid w:val="00B94292"/>
    <w:rsid w:val="00B9485B"/>
    <w:rsid w:val="00B9495B"/>
    <w:rsid w:val="00B950D8"/>
    <w:rsid w:val="00B951CE"/>
    <w:rsid w:val="00B951EB"/>
    <w:rsid w:val="00B952E3"/>
    <w:rsid w:val="00B95D69"/>
    <w:rsid w:val="00B97239"/>
    <w:rsid w:val="00BA0010"/>
    <w:rsid w:val="00BA058F"/>
    <w:rsid w:val="00BA061F"/>
    <w:rsid w:val="00BA0BFE"/>
    <w:rsid w:val="00BA0E9E"/>
    <w:rsid w:val="00BA184B"/>
    <w:rsid w:val="00BA1894"/>
    <w:rsid w:val="00BA19EE"/>
    <w:rsid w:val="00BA213A"/>
    <w:rsid w:val="00BA21DB"/>
    <w:rsid w:val="00BA2557"/>
    <w:rsid w:val="00BA25F4"/>
    <w:rsid w:val="00BA26D5"/>
    <w:rsid w:val="00BA34FE"/>
    <w:rsid w:val="00BA37C0"/>
    <w:rsid w:val="00BA43D6"/>
    <w:rsid w:val="00BA4618"/>
    <w:rsid w:val="00BA51F3"/>
    <w:rsid w:val="00BA58BF"/>
    <w:rsid w:val="00BA64F7"/>
    <w:rsid w:val="00BA66B2"/>
    <w:rsid w:val="00BA7ED4"/>
    <w:rsid w:val="00BB04A6"/>
    <w:rsid w:val="00BB07D7"/>
    <w:rsid w:val="00BB07E0"/>
    <w:rsid w:val="00BB0B64"/>
    <w:rsid w:val="00BB0DCF"/>
    <w:rsid w:val="00BB0F9F"/>
    <w:rsid w:val="00BB16C6"/>
    <w:rsid w:val="00BB1851"/>
    <w:rsid w:val="00BB2DA8"/>
    <w:rsid w:val="00BB36DE"/>
    <w:rsid w:val="00BB383A"/>
    <w:rsid w:val="00BB4E1A"/>
    <w:rsid w:val="00BB5F01"/>
    <w:rsid w:val="00BB60A5"/>
    <w:rsid w:val="00BB793E"/>
    <w:rsid w:val="00BC0336"/>
    <w:rsid w:val="00BC0433"/>
    <w:rsid w:val="00BC0D4D"/>
    <w:rsid w:val="00BC1FCA"/>
    <w:rsid w:val="00BC2423"/>
    <w:rsid w:val="00BC2E90"/>
    <w:rsid w:val="00BC307C"/>
    <w:rsid w:val="00BC338E"/>
    <w:rsid w:val="00BC33D8"/>
    <w:rsid w:val="00BC3557"/>
    <w:rsid w:val="00BC432F"/>
    <w:rsid w:val="00BC4CC8"/>
    <w:rsid w:val="00BC4D3E"/>
    <w:rsid w:val="00BC660B"/>
    <w:rsid w:val="00BC71E8"/>
    <w:rsid w:val="00BC73B6"/>
    <w:rsid w:val="00BC759D"/>
    <w:rsid w:val="00BC7745"/>
    <w:rsid w:val="00BC78FF"/>
    <w:rsid w:val="00BC7AB6"/>
    <w:rsid w:val="00BC7EC5"/>
    <w:rsid w:val="00BD0408"/>
    <w:rsid w:val="00BD0977"/>
    <w:rsid w:val="00BD0D3E"/>
    <w:rsid w:val="00BD0FD5"/>
    <w:rsid w:val="00BD1202"/>
    <w:rsid w:val="00BD17DF"/>
    <w:rsid w:val="00BD1F43"/>
    <w:rsid w:val="00BD2319"/>
    <w:rsid w:val="00BD2355"/>
    <w:rsid w:val="00BD2487"/>
    <w:rsid w:val="00BD27F8"/>
    <w:rsid w:val="00BD3048"/>
    <w:rsid w:val="00BD30B2"/>
    <w:rsid w:val="00BD36AF"/>
    <w:rsid w:val="00BD3F2E"/>
    <w:rsid w:val="00BD4719"/>
    <w:rsid w:val="00BD4CEC"/>
    <w:rsid w:val="00BD4F61"/>
    <w:rsid w:val="00BD5050"/>
    <w:rsid w:val="00BD50D0"/>
    <w:rsid w:val="00BD58A3"/>
    <w:rsid w:val="00BD6745"/>
    <w:rsid w:val="00BD67DE"/>
    <w:rsid w:val="00BD684B"/>
    <w:rsid w:val="00BD6AC0"/>
    <w:rsid w:val="00BD7112"/>
    <w:rsid w:val="00BD7ADC"/>
    <w:rsid w:val="00BD7DAB"/>
    <w:rsid w:val="00BE0225"/>
    <w:rsid w:val="00BE0E22"/>
    <w:rsid w:val="00BE1761"/>
    <w:rsid w:val="00BE26B2"/>
    <w:rsid w:val="00BE32A5"/>
    <w:rsid w:val="00BE3414"/>
    <w:rsid w:val="00BE3893"/>
    <w:rsid w:val="00BE3A2F"/>
    <w:rsid w:val="00BE3F28"/>
    <w:rsid w:val="00BE3F2B"/>
    <w:rsid w:val="00BE4240"/>
    <w:rsid w:val="00BE4C36"/>
    <w:rsid w:val="00BE5078"/>
    <w:rsid w:val="00BE5310"/>
    <w:rsid w:val="00BE533A"/>
    <w:rsid w:val="00BE5A42"/>
    <w:rsid w:val="00BE6B62"/>
    <w:rsid w:val="00BE73DF"/>
    <w:rsid w:val="00BE75C3"/>
    <w:rsid w:val="00BE774D"/>
    <w:rsid w:val="00BF05A8"/>
    <w:rsid w:val="00BF12A8"/>
    <w:rsid w:val="00BF1551"/>
    <w:rsid w:val="00BF186E"/>
    <w:rsid w:val="00BF270D"/>
    <w:rsid w:val="00BF2A6C"/>
    <w:rsid w:val="00BF36B3"/>
    <w:rsid w:val="00BF3A91"/>
    <w:rsid w:val="00BF3EA8"/>
    <w:rsid w:val="00BF469C"/>
    <w:rsid w:val="00BF55B6"/>
    <w:rsid w:val="00BF5C23"/>
    <w:rsid w:val="00BF670A"/>
    <w:rsid w:val="00BF6782"/>
    <w:rsid w:val="00BF7794"/>
    <w:rsid w:val="00BF7A2F"/>
    <w:rsid w:val="00C001FD"/>
    <w:rsid w:val="00C00927"/>
    <w:rsid w:val="00C00CFE"/>
    <w:rsid w:val="00C02CEF"/>
    <w:rsid w:val="00C02E02"/>
    <w:rsid w:val="00C03625"/>
    <w:rsid w:val="00C0383E"/>
    <w:rsid w:val="00C045B2"/>
    <w:rsid w:val="00C049FB"/>
    <w:rsid w:val="00C04A14"/>
    <w:rsid w:val="00C07B82"/>
    <w:rsid w:val="00C10293"/>
    <w:rsid w:val="00C10469"/>
    <w:rsid w:val="00C10693"/>
    <w:rsid w:val="00C11059"/>
    <w:rsid w:val="00C1172E"/>
    <w:rsid w:val="00C12AB9"/>
    <w:rsid w:val="00C13A5D"/>
    <w:rsid w:val="00C13A66"/>
    <w:rsid w:val="00C13AFF"/>
    <w:rsid w:val="00C14970"/>
    <w:rsid w:val="00C15A30"/>
    <w:rsid w:val="00C15EAF"/>
    <w:rsid w:val="00C15F87"/>
    <w:rsid w:val="00C16995"/>
    <w:rsid w:val="00C174AA"/>
    <w:rsid w:val="00C20D17"/>
    <w:rsid w:val="00C20D68"/>
    <w:rsid w:val="00C2160C"/>
    <w:rsid w:val="00C21A63"/>
    <w:rsid w:val="00C222DE"/>
    <w:rsid w:val="00C22774"/>
    <w:rsid w:val="00C22D98"/>
    <w:rsid w:val="00C23202"/>
    <w:rsid w:val="00C23477"/>
    <w:rsid w:val="00C235D7"/>
    <w:rsid w:val="00C2456C"/>
    <w:rsid w:val="00C24A58"/>
    <w:rsid w:val="00C24DC9"/>
    <w:rsid w:val="00C252AC"/>
    <w:rsid w:val="00C2588C"/>
    <w:rsid w:val="00C25CCC"/>
    <w:rsid w:val="00C2652A"/>
    <w:rsid w:val="00C265DE"/>
    <w:rsid w:val="00C268DD"/>
    <w:rsid w:val="00C269F1"/>
    <w:rsid w:val="00C26E1B"/>
    <w:rsid w:val="00C26E40"/>
    <w:rsid w:val="00C26FE5"/>
    <w:rsid w:val="00C27708"/>
    <w:rsid w:val="00C27C15"/>
    <w:rsid w:val="00C27E98"/>
    <w:rsid w:val="00C27FC5"/>
    <w:rsid w:val="00C30159"/>
    <w:rsid w:val="00C30958"/>
    <w:rsid w:val="00C30D3B"/>
    <w:rsid w:val="00C31543"/>
    <w:rsid w:val="00C31A2B"/>
    <w:rsid w:val="00C31A5D"/>
    <w:rsid w:val="00C320D6"/>
    <w:rsid w:val="00C32134"/>
    <w:rsid w:val="00C325CC"/>
    <w:rsid w:val="00C33493"/>
    <w:rsid w:val="00C33661"/>
    <w:rsid w:val="00C33DF4"/>
    <w:rsid w:val="00C34550"/>
    <w:rsid w:val="00C35270"/>
    <w:rsid w:val="00C356F9"/>
    <w:rsid w:val="00C359C9"/>
    <w:rsid w:val="00C36726"/>
    <w:rsid w:val="00C3740F"/>
    <w:rsid w:val="00C40581"/>
    <w:rsid w:val="00C40A92"/>
    <w:rsid w:val="00C41089"/>
    <w:rsid w:val="00C41B42"/>
    <w:rsid w:val="00C42751"/>
    <w:rsid w:val="00C4313A"/>
    <w:rsid w:val="00C43985"/>
    <w:rsid w:val="00C43BFF"/>
    <w:rsid w:val="00C44288"/>
    <w:rsid w:val="00C4440A"/>
    <w:rsid w:val="00C44F88"/>
    <w:rsid w:val="00C45B48"/>
    <w:rsid w:val="00C45FA1"/>
    <w:rsid w:val="00C464DA"/>
    <w:rsid w:val="00C465BC"/>
    <w:rsid w:val="00C46A82"/>
    <w:rsid w:val="00C46FF1"/>
    <w:rsid w:val="00C47A07"/>
    <w:rsid w:val="00C50B1C"/>
    <w:rsid w:val="00C50BD9"/>
    <w:rsid w:val="00C510AB"/>
    <w:rsid w:val="00C51990"/>
    <w:rsid w:val="00C52085"/>
    <w:rsid w:val="00C5216E"/>
    <w:rsid w:val="00C523BD"/>
    <w:rsid w:val="00C526A6"/>
    <w:rsid w:val="00C5279E"/>
    <w:rsid w:val="00C534E1"/>
    <w:rsid w:val="00C53812"/>
    <w:rsid w:val="00C54017"/>
    <w:rsid w:val="00C5474A"/>
    <w:rsid w:val="00C54E12"/>
    <w:rsid w:val="00C54FAD"/>
    <w:rsid w:val="00C550FD"/>
    <w:rsid w:val="00C559EC"/>
    <w:rsid w:val="00C5672F"/>
    <w:rsid w:val="00C569D7"/>
    <w:rsid w:val="00C56CEA"/>
    <w:rsid w:val="00C5723E"/>
    <w:rsid w:val="00C57BD2"/>
    <w:rsid w:val="00C60299"/>
    <w:rsid w:val="00C60722"/>
    <w:rsid w:val="00C6096C"/>
    <w:rsid w:val="00C61A51"/>
    <w:rsid w:val="00C61D81"/>
    <w:rsid w:val="00C6227B"/>
    <w:rsid w:val="00C6239E"/>
    <w:rsid w:val="00C62BE4"/>
    <w:rsid w:val="00C63099"/>
    <w:rsid w:val="00C6367C"/>
    <w:rsid w:val="00C63886"/>
    <w:rsid w:val="00C64286"/>
    <w:rsid w:val="00C644BF"/>
    <w:rsid w:val="00C64A91"/>
    <w:rsid w:val="00C65468"/>
    <w:rsid w:val="00C6598C"/>
    <w:rsid w:val="00C6603F"/>
    <w:rsid w:val="00C6624D"/>
    <w:rsid w:val="00C66BFE"/>
    <w:rsid w:val="00C66C47"/>
    <w:rsid w:val="00C678EB"/>
    <w:rsid w:val="00C67DF9"/>
    <w:rsid w:val="00C70295"/>
    <w:rsid w:val="00C702F9"/>
    <w:rsid w:val="00C706E5"/>
    <w:rsid w:val="00C71231"/>
    <w:rsid w:val="00C718CD"/>
    <w:rsid w:val="00C71BE9"/>
    <w:rsid w:val="00C73150"/>
    <w:rsid w:val="00C744C9"/>
    <w:rsid w:val="00C75102"/>
    <w:rsid w:val="00C75EC4"/>
    <w:rsid w:val="00C760F3"/>
    <w:rsid w:val="00C761A9"/>
    <w:rsid w:val="00C76A43"/>
    <w:rsid w:val="00C808C1"/>
    <w:rsid w:val="00C8158C"/>
    <w:rsid w:val="00C817D6"/>
    <w:rsid w:val="00C81A82"/>
    <w:rsid w:val="00C8230F"/>
    <w:rsid w:val="00C82D0C"/>
    <w:rsid w:val="00C83164"/>
    <w:rsid w:val="00C83D13"/>
    <w:rsid w:val="00C84407"/>
    <w:rsid w:val="00C847B4"/>
    <w:rsid w:val="00C84C0B"/>
    <w:rsid w:val="00C85275"/>
    <w:rsid w:val="00C85367"/>
    <w:rsid w:val="00C853CC"/>
    <w:rsid w:val="00C85A8F"/>
    <w:rsid w:val="00C86339"/>
    <w:rsid w:val="00C86A59"/>
    <w:rsid w:val="00C87919"/>
    <w:rsid w:val="00C879F1"/>
    <w:rsid w:val="00C87C75"/>
    <w:rsid w:val="00C90441"/>
    <w:rsid w:val="00C90548"/>
    <w:rsid w:val="00C90A20"/>
    <w:rsid w:val="00C90B7F"/>
    <w:rsid w:val="00C90F39"/>
    <w:rsid w:val="00C91686"/>
    <w:rsid w:val="00C91DE7"/>
    <w:rsid w:val="00C92095"/>
    <w:rsid w:val="00C92515"/>
    <w:rsid w:val="00C92FCC"/>
    <w:rsid w:val="00C94E2D"/>
    <w:rsid w:val="00C95AC9"/>
    <w:rsid w:val="00C95BCB"/>
    <w:rsid w:val="00C95BFF"/>
    <w:rsid w:val="00C971AD"/>
    <w:rsid w:val="00C9732C"/>
    <w:rsid w:val="00C97388"/>
    <w:rsid w:val="00C974D4"/>
    <w:rsid w:val="00C976DA"/>
    <w:rsid w:val="00CA0901"/>
    <w:rsid w:val="00CA1A31"/>
    <w:rsid w:val="00CA225A"/>
    <w:rsid w:val="00CA5C35"/>
    <w:rsid w:val="00CA6ACC"/>
    <w:rsid w:val="00CA73D7"/>
    <w:rsid w:val="00CA7733"/>
    <w:rsid w:val="00CA7ACB"/>
    <w:rsid w:val="00CB0E1E"/>
    <w:rsid w:val="00CB10D7"/>
    <w:rsid w:val="00CB1ED3"/>
    <w:rsid w:val="00CB20B0"/>
    <w:rsid w:val="00CB2555"/>
    <w:rsid w:val="00CB2C68"/>
    <w:rsid w:val="00CB3727"/>
    <w:rsid w:val="00CB3BD4"/>
    <w:rsid w:val="00CB49DD"/>
    <w:rsid w:val="00CB5AF4"/>
    <w:rsid w:val="00CB5C32"/>
    <w:rsid w:val="00CB5CD3"/>
    <w:rsid w:val="00CB5E57"/>
    <w:rsid w:val="00CB6568"/>
    <w:rsid w:val="00CB68D9"/>
    <w:rsid w:val="00CB6D19"/>
    <w:rsid w:val="00CB7A6F"/>
    <w:rsid w:val="00CB7AA3"/>
    <w:rsid w:val="00CC0AB4"/>
    <w:rsid w:val="00CC0DB4"/>
    <w:rsid w:val="00CC2FB5"/>
    <w:rsid w:val="00CC3450"/>
    <w:rsid w:val="00CC4CA6"/>
    <w:rsid w:val="00CC5144"/>
    <w:rsid w:val="00CC5691"/>
    <w:rsid w:val="00CC5999"/>
    <w:rsid w:val="00CC620E"/>
    <w:rsid w:val="00CC6E57"/>
    <w:rsid w:val="00CC6E95"/>
    <w:rsid w:val="00CC723C"/>
    <w:rsid w:val="00CC75F9"/>
    <w:rsid w:val="00CC7750"/>
    <w:rsid w:val="00CC7A39"/>
    <w:rsid w:val="00CD03D4"/>
    <w:rsid w:val="00CD0695"/>
    <w:rsid w:val="00CD06DE"/>
    <w:rsid w:val="00CD09A4"/>
    <w:rsid w:val="00CD0E65"/>
    <w:rsid w:val="00CD10F7"/>
    <w:rsid w:val="00CD1D53"/>
    <w:rsid w:val="00CD2020"/>
    <w:rsid w:val="00CD2389"/>
    <w:rsid w:val="00CD29D5"/>
    <w:rsid w:val="00CD2BF7"/>
    <w:rsid w:val="00CD3191"/>
    <w:rsid w:val="00CD4019"/>
    <w:rsid w:val="00CD409D"/>
    <w:rsid w:val="00CD4775"/>
    <w:rsid w:val="00CD4AE6"/>
    <w:rsid w:val="00CD4B38"/>
    <w:rsid w:val="00CD534A"/>
    <w:rsid w:val="00CD53ED"/>
    <w:rsid w:val="00CD5819"/>
    <w:rsid w:val="00CD582C"/>
    <w:rsid w:val="00CD5A84"/>
    <w:rsid w:val="00CD68DE"/>
    <w:rsid w:val="00CD74C7"/>
    <w:rsid w:val="00CD7610"/>
    <w:rsid w:val="00CD774A"/>
    <w:rsid w:val="00CD7845"/>
    <w:rsid w:val="00CE09E6"/>
    <w:rsid w:val="00CE0F85"/>
    <w:rsid w:val="00CE119C"/>
    <w:rsid w:val="00CE26B3"/>
    <w:rsid w:val="00CE3EAA"/>
    <w:rsid w:val="00CE4B95"/>
    <w:rsid w:val="00CE52BD"/>
    <w:rsid w:val="00CE547E"/>
    <w:rsid w:val="00CE577D"/>
    <w:rsid w:val="00CE58E8"/>
    <w:rsid w:val="00CE5B08"/>
    <w:rsid w:val="00CE670D"/>
    <w:rsid w:val="00CE71A8"/>
    <w:rsid w:val="00CE72C7"/>
    <w:rsid w:val="00CF02D1"/>
    <w:rsid w:val="00CF062A"/>
    <w:rsid w:val="00CF11B3"/>
    <w:rsid w:val="00CF2295"/>
    <w:rsid w:val="00CF2721"/>
    <w:rsid w:val="00CF2C69"/>
    <w:rsid w:val="00CF3AB6"/>
    <w:rsid w:val="00CF456C"/>
    <w:rsid w:val="00CF5475"/>
    <w:rsid w:val="00CF55FA"/>
    <w:rsid w:val="00CF5DEB"/>
    <w:rsid w:val="00CF68DE"/>
    <w:rsid w:val="00CF72E9"/>
    <w:rsid w:val="00CF74E2"/>
    <w:rsid w:val="00D001BF"/>
    <w:rsid w:val="00D00D7E"/>
    <w:rsid w:val="00D00E9B"/>
    <w:rsid w:val="00D0129C"/>
    <w:rsid w:val="00D013D0"/>
    <w:rsid w:val="00D01A49"/>
    <w:rsid w:val="00D01B87"/>
    <w:rsid w:val="00D022C4"/>
    <w:rsid w:val="00D02798"/>
    <w:rsid w:val="00D0282D"/>
    <w:rsid w:val="00D02D5E"/>
    <w:rsid w:val="00D02FFA"/>
    <w:rsid w:val="00D03026"/>
    <w:rsid w:val="00D0315E"/>
    <w:rsid w:val="00D0330D"/>
    <w:rsid w:val="00D0379C"/>
    <w:rsid w:val="00D03965"/>
    <w:rsid w:val="00D03C0F"/>
    <w:rsid w:val="00D04E11"/>
    <w:rsid w:val="00D067F0"/>
    <w:rsid w:val="00D06F8F"/>
    <w:rsid w:val="00D076D7"/>
    <w:rsid w:val="00D078B4"/>
    <w:rsid w:val="00D07DCA"/>
    <w:rsid w:val="00D07F4C"/>
    <w:rsid w:val="00D1010A"/>
    <w:rsid w:val="00D11146"/>
    <w:rsid w:val="00D126A3"/>
    <w:rsid w:val="00D12939"/>
    <w:rsid w:val="00D1391B"/>
    <w:rsid w:val="00D139E9"/>
    <w:rsid w:val="00D14AB1"/>
    <w:rsid w:val="00D1563D"/>
    <w:rsid w:val="00D15B52"/>
    <w:rsid w:val="00D1624F"/>
    <w:rsid w:val="00D162C6"/>
    <w:rsid w:val="00D16975"/>
    <w:rsid w:val="00D16E7A"/>
    <w:rsid w:val="00D17415"/>
    <w:rsid w:val="00D175C4"/>
    <w:rsid w:val="00D203E1"/>
    <w:rsid w:val="00D20A66"/>
    <w:rsid w:val="00D21777"/>
    <w:rsid w:val="00D21D64"/>
    <w:rsid w:val="00D225B0"/>
    <w:rsid w:val="00D22854"/>
    <w:rsid w:val="00D22D28"/>
    <w:rsid w:val="00D23836"/>
    <w:rsid w:val="00D241E2"/>
    <w:rsid w:val="00D2445C"/>
    <w:rsid w:val="00D24941"/>
    <w:rsid w:val="00D25531"/>
    <w:rsid w:val="00D257A4"/>
    <w:rsid w:val="00D25F6D"/>
    <w:rsid w:val="00D2625C"/>
    <w:rsid w:val="00D26A8F"/>
    <w:rsid w:val="00D30329"/>
    <w:rsid w:val="00D304E2"/>
    <w:rsid w:val="00D3059A"/>
    <w:rsid w:val="00D30930"/>
    <w:rsid w:val="00D30B78"/>
    <w:rsid w:val="00D325D0"/>
    <w:rsid w:val="00D33951"/>
    <w:rsid w:val="00D34004"/>
    <w:rsid w:val="00D34302"/>
    <w:rsid w:val="00D3433F"/>
    <w:rsid w:val="00D34C6A"/>
    <w:rsid w:val="00D34DF9"/>
    <w:rsid w:val="00D3512D"/>
    <w:rsid w:val="00D353C6"/>
    <w:rsid w:val="00D35DA8"/>
    <w:rsid w:val="00D36B44"/>
    <w:rsid w:val="00D379DD"/>
    <w:rsid w:val="00D37DB1"/>
    <w:rsid w:val="00D405FC"/>
    <w:rsid w:val="00D4139A"/>
    <w:rsid w:val="00D41BA2"/>
    <w:rsid w:val="00D42384"/>
    <w:rsid w:val="00D42875"/>
    <w:rsid w:val="00D42AAE"/>
    <w:rsid w:val="00D43896"/>
    <w:rsid w:val="00D44FB8"/>
    <w:rsid w:val="00D45C5F"/>
    <w:rsid w:val="00D4626F"/>
    <w:rsid w:val="00D462EF"/>
    <w:rsid w:val="00D46B30"/>
    <w:rsid w:val="00D47306"/>
    <w:rsid w:val="00D476FE"/>
    <w:rsid w:val="00D50EF0"/>
    <w:rsid w:val="00D50EF2"/>
    <w:rsid w:val="00D50FC1"/>
    <w:rsid w:val="00D511EF"/>
    <w:rsid w:val="00D513E3"/>
    <w:rsid w:val="00D51D9F"/>
    <w:rsid w:val="00D5251A"/>
    <w:rsid w:val="00D538B5"/>
    <w:rsid w:val="00D540E6"/>
    <w:rsid w:val="00D5452F"/>
    <w:rsid w:val="00D54B4A"/>
    <w:rsid w:val="00D55046"/>
    <w:rsid w:val="00D557BC"/>
    <w:rsid w:val="00D55C02"/>
    <w:rsid w:val="00D563B4"/>
    <w:rsid w:val="00D56BB9"/>
    <w:rsid w:val="00D5785E"/>
    <w:rsid w:val="00D57ED4"/>
    <w:rsid w:val="00D6037C"/>
    <w:rsid w:val="00D614C6"/>
    <w:rsid w:val="00D614D3"/>
    <w:rsid w:val="00D61941"/>
    <w:rsid w:val="00D61C25"/>
    <w:rsid w:val="00D62A37"/>
    <w:rsid w:val="00D62CC9"/>
    <w:rsid w:val="00D62D11"/>
    <w:rsid w:val="00D6336F"/>
    <w:rsid w:val="00D63707"/>
    <w:rsid w:val="00D63D7A"/>
    <w:rsid w:val="00D645E9"/>
    <w:rsid w:val="00D64DEC"/>
    <w:rsid w:val="00D65B96"/>
    <w:rsid w:val="00D6645A"/>
    <w:rsid w:val="00D66677"/>
    <w:rsid w:val="00D6718E"/>
    <w:rsid w:val="00D707B3"/>
    <w:rsid w:val="00D718F5"/>
    <w:rsid w:val="00D71F7F"/>
    <w:rsid w:val="00D722CE"/>
    <w:rsid w:val="00D72919"/>
    <w:rsid w:val="00D729A6"/>
    <w:rsid w:val="00D73279"/>
    <w:rsid w:val="00D744AC"/>
    <w:rsid w:val="00D74F90"/>
    <w:rsid w:val="00D75179"/>
    <w:rsid w:val="00D757EC"/>
    <w:rsid w:val="00D758FA"/>
    <w:rsid w:val="00D76765"/>
    <w:rsid w:val="00D7724D"/>
    <w:rsid w:val="00D77446"/>
    <w:rsid w:val="00D7796E"/>
    <w:rsid w:val="00D77BFB"/>
    <w:rsid w:val="00D77EAE"/>
    <w:rsid w:val="00D80DD9"/>
    <w:rsid w:val="00D8144D"/>
    <w:rsid w:val="00D82264"/>
    <w:rsid w:val="00D8240D"/>
    <w:rsid w:val="00D828A0"/>
    <w:rsid w:val="00D82F01"/>
    <w:rsid w:val="00D82FAF"/>
    <w:rsid w:val="00D83353"/>
    <w:rsid w:val="00D8437D"/>
    <w:rsid w:val="00D84781"/>
    <w:rsid w:val="00D84790"/>
    <w:rsid w:val="00D8485D"/>
    <w:rsid w:val="00D8565C"/>
    <w:rsid w:val="00D87040"/>
    <w:rsid w:val="00D8764F"/>
    <w:rsid w:val="00D91289"/>
    <w:rsid w:val="00D9230D"/>
    <w:rsid w:val="00D9300D"/>
    <w:rsid w:val="00D930B4"/>
    <w:rsid w:val="00D936AC"/>
    <w:rsid w:val="00D93F71"/>
    <w:rsid w:val="00D93FAE"/>
    <w:rsid w:val="00D943DC"/>
    <w:rsid w:val="00D94910"/>
    <w:rsid w:val="00D94FF1"/>
    <w:rsid w:val="00D9517B"/>
    <w:rsid w:val="00D952E7"/>
    <w:rsid w:val="00D956D2"/>
    <w:rsid w:val="00D95AF5"/>
    <w:rsid w:val="00D96EF3"/>
    <w:rsid w:val="00D97820"/>
    <w:rsid w:val="00DA02A0"/>
    <w:rsid w:val="00DA0EE7"/>
    <w:rsid w:val="00DA1178"/>
    <w:rsid w:val="00DA133A"/>
    <w:rsid w:val="00DA1853"/>
    <w:rsid w:val="00DA1A9D"/>
    <w:rsid w:val="00DA2B04"/>
    <w:rsid w:val="00DA2B4C"/>
    <w:rsid w:val="00DA33DB"/>
    <w:rsid w:val="00DA3756"/>
    <w:rsid w:val="00DA39C5"/>
    <w:rsid w:val="00DA4BC9"/>
    <w:rsid w:val="00DA54C8"/>
    <w:rsid w:val="00DA5AD4"/>
    <w:rsid w:val="00DA5F07"/>
    <w:rsid w:val="00DA672A"/>
    <w:rsid w:val="00DA708A"/>
    <w:rsid w:val="00DA7117"/>
    <w:rsid w:val="00DA7CCE"/>
    <w:rsid w:val="00DB1167"/>
    <w:rsid w:val="00DB1360"/>
    <w:rsid w:val="00DB21EC"/>
    <w:rsid w:val="00DB26FB"/>
    <w:rsid w:val="00DB2CEA"/>
    <w:rsid w:val="00DB2DC0"/>
    <w:rsid w:val="00DB3A64"/>
    <w:rsid w:val="00DB436B"/>
    <w:rsid w:val="00DB51B3"/>
    <w:rsid w:val="00DB5E0F"/>
    <w:rsid w:val="00DB6A15"/>
    <w:rsid w:val="00DB70BE"/>
    <w:rsid w:val="00DB7EB6"/>
    <w:rsid w:val="00DC0FBB"/>
    <w:rsid w:val="00DC12BC"/>
    <w:rsid w:val="00DC12E1"/>
    <w:rsid w:val="00DC15CF"/>
    <w:rsid w:val="00DC15ED"/>
    <w:rsid w:val="00DC2299"/>
    <w:rsid w:val="00DC23FC"/>
    <w:rsid w:val="00DC25D6"/>
    <w:rsid w:val="00DC2764"/>
    <w:rsid w:val="00DC27B0"/>
    <w:rsid w:val="00DC2E6E"/>
    <w:rsid w:val="00DC2EB9"/>
    <w:rsid w:val="00DC2FD8"/>
    <w:rsid w:val="00DC31F1"/>
    <w:rsid w:val="00DC3419"/>
    <w:rsid w:val="00DC34CB"/>
    <w:rsid w:val="00DC3704"/>
    <w:rsid w:val="00DC3CB4"/>
    <w:rsid w:val="00DC4350"/>
    <w:rsid w:val="00DC4862"/>
    <w:rsid w:val="00DC513A"/>
    <w:rsid w:val="00DC6175"/>
    <w:rsid w:val="00DC637B"/>
    <w:rsid w:val="00DC6EA0"/>
    <w:rsid w:val="00DC770C"/>
    <w:rsid w:val="00DD0F99"/>
    <w:rsid w:val="00DD1090"/>
    <w:rsid w:val="00DD132F"/>
    <w:rsid w:val="00DD2ADA"/>
    <w:rsid w:val="00DD30B2"/>
    <w:rsid w:val="00DD3438"/>
    <w:rsid w:val="00DD3D7F"/>
    <w:rsid w:val="00DD5C2C"/>
    <w:rsid w:val="00DD62D9"/>
    <w:rsid w:val="00DD6C04"/>
    <w:rsid w:val="00DD6DE7"/>
    <w:rsid w:val="00DD6E0E"/>
    <w:rsid w:val="00DD73D5"/>
    <w:rsid w:val="00DD78C8"/>
    <w:rsid w:val="00DE0043"/>
    <w:rsid w:val="00DE0343"/>
    <w:rsid w:val="00DE0545"/>
    <w:rsid w:val="00DE0652"/>
    <w:rsid w:val="00DE0A4B"/>
    <w:rsid w:val="00DE0ED8"/>
    <w:rsid w:val="00DE15D2"/>
    <w:rsid w:val="00DE17EB"/>
    <w:rsid w:val="00DE1E6A"/>
    <w:rsid w:val="00DE279D"/>
    <w:rsid w:val="00DE2DDF"/>
    <w:rsid w:val="00DE3995"/>
    <w:rsid w:val="00DE4D9C"/>
    <w:rsid w:val="00DE6192"/>
    <w:rsid w:val="00DE68D8"/>
    <w:rsid w:val="00DE6EE2"/>
    <w:rsid w:val="00DE7474"/>
    <w:rsid w:val="00DE7E8F"/>
    <w:rsid w:val="00DF0BC0"/>
    <w:rsid w:val="00DF0EB0"/>
    <w:rsid w:val="00DF2577"/>
    <w:rsid w:val="00DF2815"/>
    <w:rsid w:val="00DF2939"/>
    <w:rsid w:val="00DF2A02"/>
    <w:rsid w:val="00DF2E7F"/>
    <w:rsid w:val="00DF2EAF"/>
    <w:rsid w:val="00DF30EE"/>
    <w:rsid w:val="00DF3FAB"/>
    <w:rsid w:val="00DF56AC"/>
    <w:rsid w:val="00DF5ABC"/>
    <w:rsid w:val="00DF6AE7"/>
    <w:rsid w:val="00DF6FFD"/>
    <w:rsid w:val="00DF7F37"/>
    <w:rsid w:val="00E00F2C"/>
    <w:rsid w:val="00E02403"/>
    <w:rsid w:val="00E027E8"/>
    <w:rsid w:val="00E03BC7"/>
    <w:rsid w:val="00E04F3B"/>
    <w:rsid w:val="00E05220"/>
    <w:rsid w:val="00E0525E"/>
    <w:rsid w:val="00E05B8E"/>
    <w:rsid w:val="00E05E3E"/>
    <w:rsid w:val="00E05F83"/>
    <w:rsid w:val="00E060C7"/>
    <w:rsid w:val="00E06511"/>
    <w:rsid w:val="00E06871"/>
    <w:rsid w:val="00E06B09"/>
    <w:rsid w:val="00E07201"/>
    <w:rsid w:val="00E075CE"/>
    <w:rsid w:val="00E0776D"/>
    <w:rsid w:val="00E1041B"/>
    <w:rsid w:val="00E10CD6"/>
    <w:rsid w:val="00E10DC3"/>
    <w:rsid w:val="00E11711"/>
    <w:rsid w:val="00E1175A"/>
    <w:rsid w:val="00E1203B"/>
    <w:rsid w:val="00E129D4"/>
    <w:rsid w:val="00E12A5F"/>
    <w:rsid w:val="00E131AB"/>
    <w:rsid w:val="00E13512"/>
    <w:rsid w:val="00E146CB"/>
    <w:rsid w:val="00E154C3"/>
    <w:rsid w:val="00E16035"/>
    <w:rsid w:val="00E168E8"/>
    <w:rsid w:val="00E17C28"/>
    <w:rsid w:val="00E20002"/>
    <w:rsid w:val="00E2010C"/>
    <w:rsid w:val="00E2042C"/>
    <w:rsid w:val="00E20806"/>
    <w:rsid w:val="00E2195C"/>
    <w:rsid w:val="00E21BD0"/>
    <w:rsid w:val="00E21E4A"/>
    <w:rsid w:val="00E2256F"/>
    <w:rsid w:val="00E22C11"/>
    <w:rsid w:val="00E23CF9"/>
    <w:rsid w:val="00E23DC3"/>
    <w:rsid w:val="00E2532F"/>
    <w:rsid w:val="00E25A51"/>
    <w:rsid w:val="00E26273"/>
    <w:rsid w:val="00E263B1"/>
    <w:rsid w:val="00E26609"/>
    <w:rsid w:val="00E27C46"/>
    <w:rsid w:val="00E300F1"/>
    <w:rsid w:val="00E3038F"/>
    <w:rsid w:val="00E30B7A"/>
    <w:rsid w:val="00E31DD1"/>
    <w:rsid w:val="00E32D9C"/>
    <w:rsid w:val="00E33122"/>
    <w:rsid w:val="00E33744"/>
    <w:rsid w:val="00E33CA9"/>
    <w:rsid w:val="00E355FA"/>
    <w:rsid w:val="00E35A73"/>
    <w:rsid w:val="00E36ACB"/>
    <w:rsid w:val="00E3714A"/>
    <w:rsid w:val="00E37174"/>
    <w:rsid w:val="00E3785F"/>
    <w:rsid w:val="00E37C1C"/>
    <w:rsid w:val="00E404D6"/>
    <w:rsid w:val="00E40793"/>
    <w:rsid w:val="00E40B90"/>
    <w:rsid w:val="00E41153"/>
    <w:rsid w:val="00E41162"/>
    <w:rsid w:val="00E412E8"/>
    <w:rsid w:val="00E41394"/>
    <w:rsid w:val="00E413A6"/>
    <w:rsid w:val="00E41677"/>
    <w:rsid w:val="00E41FA0"/>
    <w:rsid w:val="00E41FA3"/>
    <w:rsid w:val="00E420D8"/>
    <w:rsid w:val="00E423A8"/>
    <w:rsid w:val="00E42527"/>
    <w:rsid w:val="00E430A3"/>
    <w:rsid w:val="00E43198"/>
    <w:rsid w:val="00E43550"/>
    <w:rsid w:val="00E438D5"/>
    <w:rsid w:val="00E44399"/>
    <w:rsid w:val="00E4461A"/>
    <w:rsid w:val="00E45DCE"/>
    <w:rsid w:val="00E46480"/>
    <w:rsid w:val="00E466E5"/>
    <w:rsid w:val="00E467E8"/>
    <w:rsid w:val="00E47A88"/>
    <w:rsid w:val="00E47D74"/>
    <w:rsid w:val="00E50207"/>
    <w:rsid w:val="00E5035B"/>
    <w:rsid w:val="00E50967"/>
    <w:rsid w:val="00E50DB3"/>
    <w:rsid w:val="00E52C1A"/>
    <w:rsid w:val="00E538CF"/>
    <w:rsid w:val="00E53DB8"/>
    <w:rsid w:val="00E54306"/>
    <w:rsid w:val="00E558D4"/>
    <w:rsid w:val="00E558E4"/>
    <w:rsid w:val="00E569DA"/>
    <w:rsid w:val="00E56B15"/>
    <w:rsid w:val="00E56B56"/>
    <w:rsid w:val="00E5730C"/>
    <w:rsid w:val="00E600E6"/>
    <w:rsid w:val="00E605BC"/>
    <w:rsid w:val="00E60808"/>
    <w:rsid w:val="00E6094F"/>
    <w:rsid w:val="00E61434"/>
    <w:rsid w:val="00E614AA"/>
    <w:rsid w:val="00E618D5"/>
    <w:rsid w:val="00E61A10"/>
    <w:rsid w:val="00E62318"/>
    <w:rsid w:val="00E6298B"/>
    <w:rsid w:val="00E62D7E"/>
    <w:rsid w:val="00E630AC"/>
    <w:rsid w:val="00E6329F"/>
    <w:rsid w:val="00E635AF"/>
    <w:rsid w:val="00E64086"/>
    <w:rsid w:val="00E640D2"/>
    <w:rsid w:val="00E6449F"/>
    <w:rsid w:val="00E64C44"/>
    <w:rsid w:val="00E667AD"/>
    <w:rsid w:val="00E66A25"/>
    <w:rsid w:val="00E66BE3"/>
    <w:rsid w:val="00E6700B"/>
    <w:rsid w:val="00E679F1"/>
    <w:rsid w:val="00E67F80"/>
    <w:rsid w:val="00E71798"/>
    <w:rsid w:val="00E7186A"/>
    <w:rsid w:val="00E71B51"/>
    <w:rsid w:val="00E71BC7"/>
    <w:rsid w:val="00E71FFF"/>
    <w:rsid w:val="00E73ECC"/>
    <w:rsid w:val="00E74240"/>
    <w:rsid w:val="00E7471F"/>
    <w:rsid w:val="00E749D4"/>
    <w:rsid w:val="00E74DC4"/>
    <w:rsid w:val="00E74E91"/>
    <w:rsid w:val="00E74FB2"/>
    <w:rsid w:val="00E758A1"/>
    <w:rsid w:val="00E765CD"/>
    <w:rsid w:val="00E7681F"/>
    <w:rsid w:val="00E76C33"/>
    <w:rsid w:val="00E76D8A"/>
    <w:rsid w:val="00E7721C"/>
    <w:rsid w:val="00E77426"/>
    <w:rsid w:val="00E77B0B"/>
    <w:rsid w:val="00E800DE"/>
    <w:rsid w:val="00E802A1"/>
    <w:rsid w:val="00E80699"/>
    <w:rsid w:val="00E80725"/>
    <w:rsid w:val="00E81FD3"/>
    <w:rsid w:val="00E82446"/>
    <w:rsid w:val="00E82708"/>
    <w:rsid w:val="00E82977"/>
    <w:rsid w:val="00E82C39"/>
    <w:rsid w:val="00E83335"/>
    <w:rsid w:val="00E83634"/>
    <w:rsid w:val="00E83882"/>
    <w:rsid w:val="00E838BE"/>
    <w:rsid w:val="00E84324"/>
    <w:rsid w:val="00E85820"/>
    <w:rsid w:val="00E858E0"/>
    <w:rsid w:val="00E85B74"/>
    <w:rsid w:val="00E8692F"/>
    <w:rsid w:val="00E86BBB"/>
    <w:rsid w:val="00E912AE"/>
    <w:rsid w:val="00E914EB"/>
    <w:rsid w:val="00E91DC0"/>
    <w:rsid w:val="00E926BB"/>
    <w:rsid w:val="00E9315C"/>
    <w:rsid w:val="00E93B9A"/>
    <w:rsid w:val="00E93DFD"/>
    <w:rsid w:val="00E94BC6"/>
    <w:rsid w:val="00E953D1"/>
    <w:rsid w:val="00E9541D"/>
    <w:rsid w:val="00E97680"/>
    <w:rsid w:val="00E97CA3"/>
    <w:rsid w:val="00EA03F3"/>
    <w:rsid w:val="00EA05C9"/>
    <w:rsid w:val="00EA0787"/>
    <w:rsid w:val="00EA0841"/>
    <w:rsid w:val="00EA10DD"/>
    <w:rsid w:val="00EA11BD"/>
    <w:rsid w:val="00EA1361"/>
    <w:rsid w:val="00EA24C3"/>
    <w:rsid w:val="00EA3B7C"/>
    <w:rsid w:val="00EA3E2C"/>
    <w:rsid w:val="00EA4155"/>
    <w:rsid w:val="00EA429E"/>
    <w:rsid w:val="00EA484E"/>
    <w:rsid w:val="00EA4C24"/>
    <w:rsid w:val="00EA50E2"/>
    <w:rsid w:val="00EA5BB5"/>
    <w:rsid w:val="00EA6AE2"/>
    <w:rsid w:val="00EB034D"/>
    <w:rsid w:val="00EB040E"/>
    <w:rsid w:val="00EB1389"/>
    <w:rsid w:val="00EB16CF"/>
    <w:rsid w:val="00EB21C9"/>
    <w:rsid w:val="00EB2EE9"/>
    <w:rsid w:val="00EB3216"/>
    <w:rsid w:val="00EB3A2B"/>
    <w:rsid w:val="00EB493D"/>
    <w:rsid w:val="00EB5BE2"/>
    <w:rsid w:val="00EB63CA"/>
    <w:rsid w:val="00EB6539"/>
    <w:rsid w:val="00EB6697"/>
    <w:rsid w:val="00EB7E3F"/>
    <w:rsid w:val="00EC0339"/>
    <w:rsid w:val="00EC03A5"/>
    <w:rsid w:val="00EC05B7"/>
    <w:rsid w:val="00EC06E2"/>
    <w:rsid w:val="00EC0703"/>
    <w:rsid w:val="00EC1864"/>
    <w:rsid w:val="00EC2B72"/>
    <w:rsid w:val="00EC401B"/>
    <w:rsid w:val="00EC49A0"/>
    <w:rsid w:val="00EC4CC2"/>
    <w:rsid w:val="00EC4E64"/>
    <w:rsid w:val="00EC5819"/>
    <w:rsid w:val="00EC5B15"/>
    <w:rsid w:val="00EC5F03"/>
    <w:rsid w:val="00ED14DB"/>
    <w:rsid w:val="00ED17DB"/>
    <w:rsid w:val="00ED24DE"/>
    <w:rsid w:val="00ED316F"/>
    <w:rsid w:val="00ED402E"/>
    <w:rsid w:val="00ED4606"/>
    <w:rsid w:val="00ED47EC"/>
    <w:rsid w:val="00ED48D3"/>
    <w:rsid w:val="00ED52C8"/>
    <w:rsid w:val="00ED6992"/>
    <w:rsid w:val="00ED69DE"/>
    <w:rsid w:val="00ED709C"/>
    <w:rsid w:val="00ED7456"/>
    <w:rsid w:val="00ED74BA"/>
    <w:rsid w:val="00ED7B5B"/>
    <w:rsid w:val="00ED7F42"/>
    <w:rsid w:val="00EE0C19"/>
    <w:rsid w:val="00EE1262"/>
    <w:rsid w:val="00EE1385"/>
    <w:rsid w:val="00EE265E"/>
    <w:rsid w:val="00EE280D"/>
    <w:rsid w:val="00EE2EC9"/>
    <w:rsid w:val="00EE385A"/>
    <w:rsid w:val="00EE3E16"/>
    <w:rsid w:val="00EE417D"/>
    <w:rsid w:val="00EE489D"/>
    <w:rsid w:val="00EE5241"/>
    <w:rsid w:val="00EE53A4"/>
    <w:rsid w:val="00EE55C6"/>
    <w:rsid w:val="00EE5687"/>
    <w:rsid w:val="00EE5E14"/>
    <w:rsid w:val="00EE6330"/>
    <w:rsid w:val="00EE6829"/>
    <w:rsid w:val="00EE6872"/>
    <w:rsid w:val="00EE6E27"/>
    <w:rsid w:val="00EE6E7C"/>
    <w:rsid w:val="00EE782D"/>
    <w:rsid w:val="00EE7BA6"/>
    <w:rsid w:val="00EF0408"/>
    <w:rsid w:val="00EF05E9"/>
    <w:rsid w:val="00EF0A5F"/>
    <w:rsid w:val="00EF0C71"/>
    <w:rsid w:val="00EF166A"/>
    <w:rsid w:val="00EF2175"/>
    <w:rsid w:val="00EF28EE"/>
    <w:rsid w:val="00EF2F72"/>
    <w:rsid w:val="00EF2FDC"/>
    <w:rsid w:val="00EF4A8B"/>
    <w:rsid w:val="00EF64BE"/>
    <w:rsid w:val="00EF6C6E"/>
    <w:rsid w:val="00EF6CF6"/>
    <w:rsid w:val="00EF6DC3"/>
    <w:rsid w:val="00F00978"/>
    <w:rsid w:val="00F01E45"/>
    <w:rsid w:val="00F02206"/>
    <w:rsid w:val="00F02A69"/>
    <w:rsid w:val="00F02B02"/>
    <w:rsid w:val="00F03DC7"/>
    <w:rsid w:val="00F04192"/>
    <w:rsid w:val="00F04383"/>
    <w:rsid w:val="00F047AA"/>
    <w:rsid w:val="00F0509D"/>
    <w:rsid w:val="00F0538C"/>
    <w:rsid w:val="00F05E94"/>
    <w:rsid w:val="00F072BC"/>
    <w:rsid w:val="00F07317"/>
    <w:rsid w:val="00F07D28"/>
    <w:rsid w:val="00F101DD"/>
    <w:rsid w:val="00F106B7"/>
    <w:rsid w:val="00F10F26"/>
    <w:rsid w:val="00F112A8"/>
    <w:rsid w:val="00F117F4"/>
    <w:rsid w:val="00F119C3"/>
    <w:rsid w:val="00F11D93"/>
    <w:rsid w:val="00F12077"/>
    <w:rsid w:val="00F122C0"/>
    <w:rsid w:val="00F123D5"/>
    <w:rsid w:val="00F12951"/>
    <w:rsid w:val="00F134C8"/>
    <w:rsid w:val="00F134D7"/>
    <w:rsid w:val="00F13603"/>
    <w:rsid w:val="00F13AD1"/>
    <w:rsid w:val="00F13BC9"/>
    <w:rsid w:val="00F14A72"/>
    <w:rsid w:val="00F15458"/>
    <w:rsid w:val="00F1592D"/>
    <w:rsid w:val="00F15C76"/>
    <w:rsid w:val="00F15D70"/>
    <w:rsid w:val="00F17918"/>
    <w:rsid w:val="00F17D4C"/>
    <w:rsid w:val="00F20059"/>
    <w:rsid w:val="00F20F9C"/>
    <w:rsid w:val="00F2127F"/>
    <w:rsid w:val="00F21976"/>
    <w:rsid w:val="00F228E3"/>
    <w:rsid w:val="00F22EF9"/>
    <w:rsid w:val="00F23616"/>
    <w:rsid w:val="00F23D8B"/>
    <w:rsid w:val="00F23E06"/>
    <w:rsid w:val="00F250B2"/>
    <w:rsid w:val="00F26897"/>
    <w:rsid w:val="00F26C68"/>
    <w:rsid w:val="00F2750E"/>
    <w:rsid w:val="00F27836"/>
    <w:rsid w:val="00F27B62"/>
    <w:rsid w:val="00F27FC0"/>
    <w:rsid w:val="00F304F2"/>
    <w:rsid w:val="00F305D9"/>
    <w:rsid w:val="00F317C1"/>
    <w:rsid w:val="00F31B40"/>
    <w:rsid w:val="00F3221C"/>
    <w:rsid w:val="00F32FC8"/>
    <w:rsid w:val="00F3347A"/>
    <w:rsid w:val="00F34894"/>
    <w:rsid w:val="00F36D90"/>
    <w:rsid w:val="00F4004D"/>
    <w:rsid w:val="00F407F6"/>
    <w:rsid w:val="00F40FCE"/>
    <w:rsid w:val="00F416BF"/>
    <w:rsid w:val="00F41F65"/>
    <w:rsid w:val="00F420D4"/>
    <w:rsid w:val="00F43424"/>
    <w:rsid w:val="00F43DFC"/>
    <w:rsid w:val="00F43FE9"/>
    <w:rsid w:val="00F441F1"/>
    <w:rsid w:val="00F44541"/>
    <w:rsid w:val="00F44AE4"/>
    <w:rsid w:val="00F454DA"/>
    <w:rsid w:val="00F45600"/>
    <w:rsid w:val="00F458BE"/>
    <w:rsid w:val="00F45A03"/>
    <w:rsid w:val="00F463B8"/>
    <w:rsid w:val="00F470D4"/>
    <w:rsid w:val="00F47218"/>
    <w:rsid w:val="00F4754E"/>
    <w:rsid w:val="00F510E2"/>
    <w:rsid w:val="00F51467"/>
    <w:rsid w:val="00F519BE"/>
    <w:rsid w:val="00F51F39"/>
    <w:rsid w:val="00F52330"/>
    <w:rsid w:val="00F529F2"/>
    <w:rsid w:val="00F52DDA"/>
    <w:rsid w:val="00F54086"/>
    <w:rsid w:val="00F54427"/>
    <w:rsid w:val="00F54572"/>
    <w:rsid w:val="00F546D2"/>
    <w:rsid w:val="00F551FA"/>
    <w:rsid w:val="00F55396"/>
    <w:rsid w:val="00F553EF"/>
    <w:rsid w:val="00F555F0"/>
    <w:rsid w:val="00F55CE8"/>
    <w:rsid w:val="00F5685E"/>
    <w:rsid w:val="00F56C0A"/>
    <w:rsid w:val="00F5709F"/>
    <w:rsid w:val="00F575A4"/>
    <w:rsid w:val="00F577C1"/>
    <w:rsid w:val="00F604BA"/>
    <w:rsid w:val="00F606BE"/>
    <w:rsid w:val="00F614A1"/>
    <w:rsid w:val="00F61968"/>
    <w:rsid w:val="00F627CD"/>
    <w:rsid w:val="00F62E1B"/>
    <w:rsid w:val="00F63151"/>
    <w:rsid w:val="00F645D0"/>
    <w:rsid w:val="00F64834"/>
    <w:rsid w:val="00F64A4A"/>
    <w:rsid w:val="00F64E93"/>
    <w:rsid w:val="00F65203"/>
    <w:rsid w:val="00F65592"/>
    <w:rsid w:val="00F663F8"/>
    <w:rsid w:val="00F66EB5"/>
    <w:rsid w:val="00F66FC8"/>
    <w:rsid w:val="00F678B6"/>
    <w:rsid w:val="00F706DD"/>
    <w:rsid w:val="00F7077A"/>
    <w:rsid w:val="00F720D8"/>
    <w:rsid w:val="00F72194"/>
    <w:rsid w:val="00F72734"/>
    <w:rsid w:val="00F72B0C"/>
    <w:rsid w:val="00F72F2D"/>
    <w:rsid w:val="00F72FD4"/>
    <w:rsid w:val="00F7332F"/>
    <w:rsid w:val="00F7357D"/>
    <w:rsid w:val="00F73BB8"/>
    <w:rsid w:val="00F7419D"/>
    <w:rsid w:val="00F746B2"/>
    <w:rsid w:val="00F74E2C"/>
    <w:rsid w:val="00F7555E"/>
    <w:rsid w:val="00F75859"/>
    <w:rsid w:val="00F75938"/>
    <w:rsid w:val="00F75BEE"/>
    <w:rsid w:val="00F75D8A"/>
    <w:rsid w:val="00F75FCC"/>
    <w:rsid w:val="00F760AC"/>
    <w:rsid w:val="00F76A6A"/>
    <w:rsid w:val="00F7703E"/>
    <w:rsid w:val="00F772F5"/>
    <w:rsid w:val="00F77D1F"/>
    <w:rsid w:val="00F77DC0"/>
    <w:rsid w:val="00F809CD"/>
    <w:rsid w:val="00F8233A"/>
    <w:rsid w:val="00F825E1"/>
    <w:rsid w:val="00F8276A"/>
    <w:rsid w:val="00F82848"/>
    <w:rsid w:val="00F8294C"/>
    <w:rsid w:val="00F83402"/>
    <w:rsid w:val="00F83B09"/>
    <w:rsid w:val="00F86251"/>
    <w:rsid w:val="00F86BDB"/>
    <w:rsid w:val="00F9180B"/>
    <w:rsid w:val="00F91968"/>
    <w:rsid w:val="00F92CFC"/>
    <w:rsid w:val="00F930A7"/>
    <w:rsid w:val="00F93CAD"/>
    <w:rsid w:val="00F93D56"/>
    <w:rsid w:val="00F93DAF"/>
    <w:rsid w:val="00F9470A"/>
    <w:rsid w:val="00F94CF7"/>
    <w:rsid w:val="00F95688"/>
    <w:rsid w:val="00F96518"/>
    <w:rsid w:val="00F97056"/>
    <w:rsid w:val="00F97074"/>
    <w:rsid w:val="00F970BE"/>
    <w:rsid w:val="00F97375"/>
    <w:rsid w:val="00FA0A87"/>
    <w:rsid w:val="00FA2822"/>
    <w:rsid w:val="00FA2E1B"/>
    <w:rsid w:val="00FA34F5"/>
    <w:rsid w:val="00FA3628"/>
    <w:rsid w:val="00FA3CF5"/>
    <w:rsid w:val="00FA3F2B"/>
    <w:rsid w:val="00FA3FEB"/>
    <w:rsid w:val="00FA4212"/>
    <w:rsid w:val="00FA4320"/>
    <w:rsid w:val="00FA445A"/>
    <w:rsid w:val="00FA5053"/>
    <w:rsid w:val="00FA59F5"/>
    <w:rsid w:val="00FA709B"/>
    <w:rsid w:val="00FA791F"/>
    <w:rsid w:val="00FA79F8"/>
    <w:rsid w:val="00FB08AE"/>
    <w:rsid w:val="00FB0E8B"/>
    <w:rsid w:val="00FB15D0"/>
    <w:rsid w:val="00FB22A4"/>
    <w:rsid w:val="00FB26BC"/>
    <w:rsid w:val="00FB396D"/>
    <w:rsid w:val="00FB3D6E"/>
    <w:rsid w:val="00FB3FE9"/>
    <w:rsid w:val="00FB4235"/>
    <w:rsid w:val="00FB4258"/>
    <w:rsid w:val="00FB4A67"/>
    <w:rsid w:val="00FB518D"/>
    <w:rsid w:val="00FB53E2"/>
    <w:rsid w:val="00FB5D63"/>
    <w:rsid w:val="00FB606D"/>
    <w:rsid w:val="00FB6128"/>
    <w:rsid w:val="00FB7CD8"/>
    <w:rsid w:val="00FC083B"/>
    <w:rsid w:val="00FC0FA2"/>
    <w:rsid w:val="00FC11B7"/>
    <w:rsid w:val="00FC1222"/>
    <w:rsid w:val="00FC2693"/>
    <w:rsid w:val="00FC2717"/>
    <w:rsid w:val="00FC2984"/>
    <w:rsid w:val="00FC29A4"/>
    <w:rsid w:val="00FC42D8"/>
    <w:rsid w:val="00FC5534"/>
    <w:rsid w:val="00FC5A8C"/>
    <w:rsid w:val="00FC63A1"/>
    <w:rsid w:val="00FC64DD"/>
    <w:rsid w:val="00FC6F9A"/>
    <w:rsid w:val="00FC7FD9"/>
    <w:rsid w:val="00FD03FA"/>
    <w:rsid w:val="00FD0462"/>
    <w:rsid w:val="00FD07CB"/>
    <w:rsid w:val="00FD0889"/>
    <w:rsid w:val="00FD0D93"/>
    <w:rsid w:val="00FD1441"/>
    <w:rsid w:val="00FD15C5"/>
    <w:rsid w:val="00FD1924"/>
    <w:rsid w:val="00FD2D0B"/>
    <w:rsid w:val="00FD3A41"/>
    <w:rsid w:val="00FD4012"/>
    <w:rsid w:val="00FD4218"/>
    <w:rsid w:val="00FD53C6"/>
    <w:rsid w:val="00FD5775"/>
    <w:rsid w:val="00FD5BEE"/>
    <w:rsid w:val="00FD6AEE"/>
    <w:rsid w:val="00FD6C11"/>
    <w:rsid w:val="00FD6E2A"/>
    <w:rsid w:val="00FD7913"/>
    <w:rsid w:val="00FE099F"/>
    <w:rsid w:val="00FE1310"/>
    <w:rsid w:val="00FE1CCB"/>
    <w:rsid w:val="00FE2956"/>
    <w:rsid w:val="00FE2CC8"/>
    <w:rsid w:val="00FE2F96"/>
    <w:rsid w:val="00FE452F"/>
    <w:rsid w:val="00FE45DD"/>
    <w:rsid w:val="00FE462E"/>
    <w:rsid w:val="00FE4714"/>
    <w:rsid w:val="00FE50E9"/>
    <w:rsid w:val="00FE60CA"/>
    <w:rsid w:val="00FE61B8"/>
    <w:rsid w:val="00FE6A95"/>
    <w:rsid w:val="00FE71F0"/>
    <w:rsid w:val="00FE751E"/>
    <w:rsid w:val="00FE754C"/>
    <w:rsid w:val="00FE7E64"/>
    <w:rsid w:val="00FF0A58"/>
    <w:rsid w:val="00FF0F83"/>
    <w:rsid w:val="00FF138C"/>
    <w:rsid w:val="00FF1F55"/>
    <w:rsid w:val="00FF200B"/>
    <w:rsid w:val="00FF2418"/>
    <w:rsid w:val="00FF2742"/>
    <w:rsid w:val="00FF2D69"/>
    <w:rsid w:val="00FF32D9"/>
    <w:rsid w:val="00FF4047"/>
    <w:rsid w:val="00FF42E8"/>
    <w:rsid w:val="00FF4B84"/>
    <w:rsid w:val="00FF504D"/>
    <w:rsid w:val="00FF5664"/>
    <w:rsid w:val="00FF69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3005A"/>
  <w15:docId w15:val="{F45B8AB8-E56E-4EFD-9F82-027595C4F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rsid w:val="009516EB"/>
    <w:pPr>
      <w:spacing w:after="160" w:line="259" w:lineRule="auto"/>
    </w:pPr>
    <w:rPr>
      <w:rFonts w:ascii="Calibri" w:hAnsi="Calibri" w:cs="Arial Unicode MS"/>
      <w:color w:val="000000"/>
      <w:sz w:val="22"/>
      <w:szCs w:val="22"/>
      <w:u w:color="000000"/>
    </w:rPr>
  </w:style>
  <w:style w:type="paragraph" w:styleId="Titolo3">
    <w:name w:val="heading 3"/>
    <w:basedOn w:val="Normale"/>
    <w:link w:val="Titolo3Carattere"/>
    <w:uiPriority w:val="9"/>
    <w:qFormat/>
    <w:rsid w:val="00426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Stileimportato2">
    <w:name w:val="Stile importato 2"/>
    <w:pPr>
      <w:numPr>
        <w:numId w:val="2"/>
      </w:numPr>
    </w:p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alibri" w:eastAsia="Calibri" w:hAnsi="Calibri" w:cs="Calibri"/>
      <w:i/>
      <w:iCs/>
      <w:color w:val="0563C1"/>
      <w:u w:val="single" w:color="0563C1"/>
      <w14:textOutline w14:w="0" w14:cap="rnd" w14:cmpd="sng" w14:algn="ctr">
        <w14:noFill/>
        <w14:prstDash w14:val="solid"/>
        <w14:bevel/>
      </w14:textOutline>
    </w:rPr>
  </w:style>
  <w:style w:type="character" w:customStyle="1" w:styleId="Hyperlink1">
    <w:name w:val="Hyperlink.1"/>
    <w:basedOn w:val="Link"/>
    <w:rPr>
      <w:rFonts w:ascii="Calibri" w:eastAsia="Calibri" w:hAnsi="Calibri" w:cs="Calibri"/>
      <w:color w:val="0563C1"/>
      <w:sz w:val="20"/>
      <w:szCs w:val="20"/>
      <w:u w:val="single" w:color="0563C1"/>
      <w14:textOutline w14:w="0" w14:cap="rnd" w14:cmpd="sng" w14:algn="ctr">
        <w14:noFill/>
        <w14:prstDash w14:val="solid"/>
        <w14:bevel/>
      </w14:textOutline>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Calibri" w:hAnsi="Calibri" w:cs="Arial Unicode MS"/>
      <w:color w:val="000000"/>
      <w:u w:color="00000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 w:type="character" w:customStyle="1" w:styleId="highlight">
    <w:name w:val="highlight"/>
    <w:basedOn w:val="Carpredefinitoparagrafo"/>
    <w:rsid w:val="006B0D74"/>
  </w:style>
  <w:style w:type="character" w:customStyle="1" w:styleId="Titolo3Carattere">
    <w:name w:val="Titolo 3 Carattere"/>
    <w:basedOn w:val="Carpredefinitoparagrafo"/>
    <w:link w:val="Titolo3"/>
    <w:uiPriority w:val="9"/>
    <w:rsid w:val="00426290"/>
    <w:rPr>
      <w:rFonts w:eastAsia="Times New Roman"/>
      <w:b/>
      <w:bCs/>
      <w:sz w:val="27"/>
      <w:szCs w:val="27"/>
      <w:u w:color="000000"/>
      <w:bdr w:val="none" w:sz="0" w:space="0" w:color="auto"/>
    </w:rPr>
  </w:style>
  <w:style w:type="character" w:customStyle="1" w:styleId="Menzionenonrisolta10">
    <w:name w:val="Menzione non risolta10"/>
    <w:basedOn w:val="Carpredefinitoparagrafo"/>
    <w:uiPriority w:val="99"/>
    <w:semiHidden/>
    <w:unhideWhenUsed/>
    <w:rsid w:val="00041719"/>
    <w:rPr>
      <w:color w:val="605E5C"/>
      <w:shd w:val="clear" w:color="auto" w:fill="E1DFDD"/>
    </w:rPr>
  </w:style>
  <w:style w:type="paragraph" w:customStyle="1" w:styleId="xmsonormal">
    <w:name w:val="x_msonormal"/>
    <w:basedOn w:val="Normale"/>
    <w:rsid w:val="00945FDF"/>
    <w:pPr>
      <w:pBdr>
        <w:top w:val="none" w:sz="0" w:space="0" w:color="auto"/>
        <w:left w:val="none" w:sz="0" w:space="0" w:color="auto"/>
        <w:bottom w:val="none" w:sz="0" w:space="0" w:color="auto"/>
        <w:right w:val="none" w:sz="0" w:space="0" w:color="auto"/>
        <w:between w:val="none" w:sz="0" w:space="0" w:color="auto"/>
        <w:bar w:val="none" w:sz="0" w:color="auto"/>
      </w:pBdr>
      <w:spacing w:line="252" w:lineRule="auto"/>
    </w:pPr>
    <w:rPr>
      <w:rFonts w:eastAsiaTheme="minorHAnsi" w:cs="Calibri"/>
      <w:bdr w:val="none" w:sz="0" w:space="0" w:color="auto"/>
    </w:rPr>
  </w:style>
  <w:style w:type="character" w:customStyle="1" w:styleId="Menzionenonrisolta11">
    <w:name w:val="Menzione non risolta11"/>
    <w:basedOn w:val="Carpredefinitoparagrafo"/>
    <w:uiPriority w:val="99"/>
    <w:semiHidden/>
    <w:unhideWhenUsed/>
    <w:rsid w:val="004B16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87119953">
      <w:bodyDiv w:val="1"/>
      <w:marLeft w:val="0"/>
      <w:marRight w:val="0"/>
      <w:marTop w:val="0"/>
      <w:marBottom w:val="0"/>
      <w:divBdr>
        <w:top w:val="none" w:sz="0" w:space="0" w:color="auto"/>
        <w:left w:val="none" w:sz="0" w:space="0" w:color="auto"/>
        <w:bottom w:val="none" w:sz="0" w:space="0" w:color="auto"/>
        <w:right w:val="none" w:sz="0" w:space="0" w:color="auto"/>
      </w:divBdr>
    </w:div>
    <w:div w:id="92553283">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41234577">
      <w:bodyDiv w:val="1"/>
      <w:marLeft w:val="0"/>
      <w:marRight w:val="0"/>
      <w:marTop w:val="0"/>
      <w:marBottom w:val="0"/>
      <w:divBdr>
        <w:top w:val="none" w:sz="0" w:space="0" w:color="auto"/>
        <w:left w:val="none" w:sz="0" w:space="0" w:color="auto"/>
        <w:bottom w:val="none" w:sz="0" w:space="0" w:color="auto"/>
        <w:right w:val="none" w:sz="0" w:space="0" w:color="auto"/>
      </w:divBdr>
    </w:div>
    <w:div w:id="146365525">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3303822">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92812847">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05066426">
      <w:bodyDiv w:val="1"/>
      <w:marLeft w:val="0"/>
      <w:marRight w:val="0"/>
      <w:marTop w:val="0"/>
      <w:marBottom w:val="0"/>
      <w:divBdr>
        <w:top w:val="none" w:sz="0" w:space="0" w:color="auto"/>
        <w:left w:val="none" w:sz="0" w:space="0" w:color="auto"/>
        <w:bottom w:val="none" w:sz="0" w:space="0" w:color="auto"/>
        <w:right w:val="none" w:sz="0" w:space="0" w:color="auto"/>
      </w:divBdr>
    </w:div>
    <w:div w:id="259720207">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316804640">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23627700">
      <w:bodyDiv w:val="1"/>
      <w:marLeft w:val="0"/>
      <w:marRight w:val="0"/>
      <w:marTop w:val="0"/>
      <w:marBottom w:val="0"/>
      <w:divBdr>
        <w:top w:val="none" w:sz="0" w:space="0" w:color="auto"/>
        <w:left w:val="none" w:sz="0" w:space="0" w:color="auto"/>
        <w:bottom w:val="none" w:sz="0" w:space="0" w:color="auto"/>
        <w:right w:val="none" w:sz="0" w:space="0" w:color="auto"/>
      </w:divBdr>
    </w:div>
    <w:div w:id="326590472">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56583821">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383870680">
      <w:bodyDiv w:val="1"/>
      <w:marLeft w:val="0"/>
      <w:marRight w:val="0"/>
      <w:marTop w:val="0"/>
      <w:marBottom w:val="0"/>
      <w:divBdr>
        <w:top w:val="none" w:sz="0" w:space="0" w:color="auto"/>
        <w:left w:val="none" w:sz="0" w:space="0" w:color="auto"/>
        <w:bottom w:val="none" w:sz="0" w:space="0" w:color="auto"/>
        <w:right w:val="none" w:sz="0" w:space="0" w:color="auto"/>
      </w:divBdr>
    </w:div>
    <w:div w:id="393046029">
      <w:bodyDiv w:val="1"/>
      <w:marLeft w:val="0"/>
      <w:marRight w:val="0"/>
      <w:marTop w:val="0"/>
      <w:marBottom w:val="0"/>
      <w:divBdr>
        <w:top w:val="none" w:sz="0" w:space="0" w:color="auto"/>
        <w:left w:val="none" w:sz="0" w:space="0" w:color="auto"/>
        <w:bottom w:val="none" w:sz="0" w:space="0" w:color="auto"/>
        <w:right w:val="none" w:sz="0" w:space="0" w:color="auto"/>
      </w:divBdr>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4057265">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0271744">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10333804">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43044923">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6445640">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695734857">
      <w:bodyDiv w:val="1"/>
      <w:marLeft w:val="0"/>
      <w:marRight w:val="0"/>
      <w:marTop w:val="0"/>
      <w:marBottom w:val="0"/>
      <w:divBdr>
        <w:top w:val="none" w:sz="0" w:space="0" w:color="auto"/>
        <w:left w:val="none" w:sz="0" w:space="0" w:color="auto"/>
        <w:bottom w:val="none" w:sz="0" w:space="0" w:color="auto"/>
        <w:right w:val="none" w:sz="0" w:space="0" w:color="auto"/>
      </w:divBdr>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16440968">
      <w:bodyDiv w:val="1"/>
      <w:marLeft w:val="0"/>
      <w:marRight w:val="0"/>
      <w:marTop w:val="0"/>
      <w:marBottom w:val="0"/>
      <w:divBdr>
        <w:top w:val="none" w:sz="0" w:space="0" w:color="auto"/>
        <w:left w:val="none" w:sz="0" w:space="0" w:color="auto"/>
        <w:bottom w:val="none" w:sz="0" w:space="0" w:color="auto"/>
        <w:right w:val="none" w:sz="0" w:space="0" w:color="auto"/>
      </w:divBdr>
    </w:div>
    <w:div w:id="752750091">
      <w:bodyDiv w:val="1"/>
      <w:marLeft w:val="0"/>
      <w:marRight w:val="0"/>
      <w:marTop w:val="0"/>
      <w:marBottom w:val="0"/>
      <w:divBdr>
        <w:top w:val="none" w:sz="0" w:space="0" w:color="auto"/>
        <w:left w:val="none" w:sz="0" w:space="0" w:color="auto"/>
        <w:bottom w:val="none" w:sz="0" w:space="0" w:color="auto"/>
        <w:right w:val="none" w:sz="0" w:space="0" w:color="auto"/>
      </w:divBdr>
    </w:div>
    <w:div w:id="764958774">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865405078">
      <w:bodyDiv w:val="1"/>
      <w:marLeft w:val="0"/>
      <w:marRight w:val="0"/>
      <w:marTop w:val="0"/>
      <w:marBottom w:val="0"/>
      <w:divBdr>
        <w:top w:val="none" w:sz="0" w:space="0" w:color="auto"/>
        <w:left w:val="none" w:sz="0" w:space="0" w:color="auto"/>
        <w:bottom w:val="none" w:sz="0" w:space="0" w:color="auto"/>
        <w:right w:val="none" w:sz="0" w:space="0" w:color="auto"/>
      </w:divBdr>
      <w:divsChild>
        <w:div w:id="1442339210">
          <w:marLeft w:val="0"/>
          <w:marRight w:val="0"/>
          <w:marTop w:val="0"/>
          <w:marBottom w:val="75"/>
          <w:divBdr>
            <w:top w:val="none" w:sz="0" w:space="0" w:color="auto"/>
            <w:left w:val="none" w:sz="0" w:space="0" w:color="auto"/>
            <w:bottom w:val="none" w:sz="0" w:space="0" w:color="auto"/>
            <w:right w:val="none" w:sz="0" w:space="0" w:color="auto"/>
          </w:divBdr>
        </w:div>
      </w:divsChild>
    </w:div>
    <w:div w:id="877819956">
      <w:bodyDiv w:val="1"/>
      <w:marLeft w:val="0"/>
      <w:marRight w:val="0"/>
      <w:marTop w:val="0"/>
      <w:marBottom w:val="0"/>
      <w:divBdr>
        <w:top w:val="none" w:sz="0" w:space="0" w:color="auto"/>
        <w:left w:val="none" w:sz="0" w:space="0" w:color="auto"/>
        <w:bottom w:val="none" w:sz="0" w:space="0" w:color="auto"/>
        <w:right w:val="none" w:sz="0" w:space="0" w:color="auto"/>
      </w:divBdr>
    </w:div>
    <w:div w:id="882060831">
      <w:bodyDiv w:val="1"/>
      <w:marLeft w:val="0"/>
      <w:marRight w:val="0"/>
      <w:marTop w:val="0"/>
      <w:marBottom w:val="0"/>
      <w:divBdr>
        <w:top w:val="none" w:sz="0" w:space="0" w:color="auto"/>
        <w:left w:val="none" w:sz="0" w:space="0" w:color="auto"/>
        <w:bottom w:val="none" w:sz="0" w:space="0" w:color="auto"/>
        <w:right w:val="none" w:sz="0" w:space="0" w:color="auto"/>
      </w:divBdr>
    </w:div>
    <w:div w:id="940256705">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60764067">
      <w:bodyDiv w:val="1"/>
      <w:marLeft w:val="0"/>
      <w:marRight w:val="0"/>
      <w:marTop w:val="0"/>
      <w:marBottom w:val="0"/>
      <w:divBdr>
        <w:top w:val="none" w:sz="0" w:space="0" w:color="auto"/>
        <w:left w:val="none" w:sz="0" w:space="0" w:color="auto"/>
        <w:bottom w:val="none" w:sz="0" w:space="0" w:color="auto"/>
        <w:right w:val="none" w:sz="0" w:space="0" w:color="auto"/>
      </w:divBdr>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28605887">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082215216">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42769290">
      <w:bodyDiv w:val="1"/>
      <w:marLeft w:val="0"/>
      <w:marRight w:val="0"/>
      <w:marTop w:val="0"/>
      <w:marBottom w:val="0"/>
      <w:divBdr>
        <w:top w:val="none" w:sz="0" w:space="0" w:color="auto"/>
        <w:left w:val="none" w:sz="0" w:space="0" w:color="auto"/>
        <w:bottom w:val="none" w:sz="0" w:space="0" w:color="auto"/>
        <w:right w:val="none" w:sz="0" w:space="0" w:color="auto"/>
      </w:divBdr>
    </w:div>
    <w:div w:id="1148593684">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59808338">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47422234">
      <w:bodyDiv w:val="1"/>
      <w:marLeft w:val="0"/>
      <w:marRight w:val="0"/>
      <w:marTop w:val="0"/>
      <w:marBottom w:val="0"/>
      <w:divBdr>
        <w:top w:val="none" w:sz="0" w:space="0" w:color="auto"/>
        <w:left w:val="none" w:sz="0" w:space="0" w:color="auto"/>
        <w:bottom w:val="none" w:sz="0" w:space="0" w:color="auto"/>
        <w:right w:val="none" w:sz="0" w:space="0" w:color="auto"/>
      </w:divBdr>
    </w:div>
    <w:div w:id="1257520813">
      <w:bodyDiv w:val="1"/>
      <w:marLeft w:val="0"/>
      <w:marRight w:val="0"/>
      <w:marTop w:val="0"/>
      <w:marBottom w:val="0"/>
      <w:divBdr>
        <w:top w:val="none" w:sz="0" w:space="0" w:color="auto"/>
        <w:left w:val="none" w:sz="0" w:space="0" w:color="auto"/>
        <w:bottom w:val="none" w:sz="0" w:space="0" w:color="auto"/>
        <w:right w:val="none" w:sz="0" w:space="0" w:color="auto"/>
      </w:divBdr>
    </w:div>
    <w:div w:id="1264535129">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30122388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20885309">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384449781">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459107849">
      <w:bodyDiv w:val="1"/>
      <w:marLeft w:val="0"/>
      <w:marRight w:val="0"/>
      <w:marTop w:val="0"/>
      <w:marBottom w:val="0"/>
      <w:divBdr>
        <w:top w:val="none" w:sz="0" w:space="0" w:color="auto"/>
        <w:left w:val="none" w:sz="0" w:space="0" w:color="auto"/>
        <w:bottom w:val="none" w:sz="0" w:space="0" w:color="auto"/>
        <w:right w:val="none" w:sz="0" w:space="0" w:color="auto"/>
      </w:divBdr>
    </w:div>
    <w:div w:id="1491216301">
      <w:bodyDiv w:val="1"/>
      <w:marLeft w:val="0"/>
      <w:marRight w:val="0"/>
      <w:marTop w:val="0"/>
      <w:marBottom w:val="0"/>
      <w:divBdr>
        <w:top w:val="none" w:sz="0" w:space="0" w:color="auto"/>
        <w:left w:val="none" w:sz="0" w:space="0" w:color="auto"/>
        <w:bottom w:val="none" w:sz="0" w:space="0" w:color="auto"/>
        <w:right w:val="none" w:sz="0" w:space="0" w:color="auto"/>
      </w:divBdr>
    </w:div>
    <w:div w:id="1522430620">
      <w:bodyDiv w:val="1"/>
      <w:marLeft w:val="0"/>
      <w:marRight w:val="0"/>
      <w:marTop w:val="0"/>
      <w:marBottom w:val="0"/>
      <w:divBdr>
        <w:top w:val="none" w:sz="0" w:space="0" w:color="auto"/>
        <w:left w:val="none" w:sz="0" w:space="0" w:color="auto"/>
        <w:bottom w:val="none" w:sz="0" w:space="0" w:color="auto"/>
        <w:right w:val="none" w:sz="0" w:space="0" w:color="auto"/>
      </w:divBdr>
    </w:div>
    <w:div w:id="1531190186">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65869373">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586306652">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32662300">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2633739">
      <w:bodyDiv w:val="1"/>
      <w:marLeft w:val="0"/>
      <w:marRight w:val="0"/>
      <w:marTop w:val="0"/>
      <w:marBottom w:val="0"/>
      <w:divBdr>
        <w:top w:val="none" w:sz="0" w:space="0" w:color="auto"/>
        <w:left w:val="none" w:sz="0" w:space="0" w:color="auto"/>
        <w:bottom w:val="none" w:sz="0" w:space="0" w:color="auto"/>
        <w:right w:val="none" w:sz="0" w:space="0" w:color="auto"/>
      </w:divBdr>
    </w:div>
    <w:div w:id="1674144074">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685744314">
      <w:bodyDiv w:val="1"/>
      <w:marLeft w:val="0"/>
      <w:marRight w:val="0"/>
      <w:marTop w:val="0"/>
      <w:marBottom w:val="0"/>
      <w:divBdr>
        <w:top w:val="none" w:sz="0" w:space="0" w:color="auto"/>
        <w:left w:val="none" w:sz="0" w:space="0" w:color="auto"/>
        <w:bottom w:val="none" w:sz="0" w:space="0" w:color="auto"/>
        <w:right w:val="none" w:sz="0" w:space="0" w:color="auto"/>
      </w:divBdr>
    </w:div>
    <w:div w:id="168875423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54744048">
      <w:bodyDiv w:val="1"/>
      <w:marLeft w:val="0"/>
      <w:marRight w:val="0"/>
      <w:marTop w:val="0"/>
      <w:marBottom w:val="0"/>
      <w:divBdr>
        <w:top w:val="none" w:sz="0" w:space="0" w:color="auto"/>
        <w:left w:val="none" w:sz="0" w:space="0" w:color="auto"/>
        <w:bottom w:val="none" w:sz="0" w:space="0" w:color="auto"/>
        <w:right w:val="none" w:sz="0" w:space="0" w:color="auto"/>
      </w:divBdr>
      <w:divsChild>
        <w:div w:id="963660183">
          <w:marLeft w:val="0"/>
          <w:marRight w:val="0"/>
          <w:marTop w:val="0"/>
          <w:marBottom w:val="0"/>
          <w:divBdr>
            <w:top w:val="none" w:sz="0" w:space="0" w:color="auto"/>
            <w:left w:val="none" w:sz="0" w:space="0" w:color="auto"/>
            <w:bottom w:val="none" w:sz="0" w:space="0" w:color="auto"/>
            <w:right w:val="none" w:sz="0" w:space="0" w:color="auto"/>
          </w:divBdr>
        </w:div>
        <w:div w:id="1008631579">
          <w:marLeft w:val="0"/>
          <w:marRight w:val="0"/>
          <w:marTop w:val="0"/>
          <w:marBottom w:val="0"/>
          <w:divBdr>
            <w:top w:val="none" w:sz="0" w:space="0" w:color="auto"/>
            <w:left w:val="none" w:sz="0" w:space="0" w:color="auto"/>
            <w:bottom w:val="none" w:sz="0" w:space="0" w:color="auto"/>
            <w:right w:val="none" w:sz="0" w:space="0" w:color="auto"/>
          </w:divBdr>
        </w:div>
      </w:divsChild>
    </w:div>
    <w:div w:id="1763604581">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3502331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38350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892188091">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26265132">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11368227">
      <w:bodyDiv w:val="1"/>
      <w:marLeft w:val="0"/>
      <w:marRight w:val="0"/>
      <w:marTop w:val="0"/>
      <w:marBottom w:val="0"/>
      <w:divBdr>
        <w:top w:val="none" w:sz="0" w:space="0" w:color="auto"/>
        <w:left w:val="none" w:sz="0" w:space="0" w:color="auto"/>
        <w:bottom w:val="none" w:sz="0" w:space="0" w:color="auto"/>
        <w:right w:val="none" w:sz="0" w:space="0" w:color="auto"/>
      </w:divBdr>
    </w:div>
    <w:div w:id="2014339025">
      <w:bodyDiv w:val="1"/>
      <w:marLeft w:val="0"/>
      <w:marRight w:val="0"/>
      <w:marTop w:val="0"/>
      <w:marBottom w:val="0"/>
      <w:divBdr>
        <w:top w:val="none" w:sz="0" w:space="0" w:color="auto"/>
        <w:left w:val="none" w:sz="0" w:space="0" w:color="auto"/>
        <w:bottom w:val="none" w:sz="0" w:space="0" w:color="auto"/>
        <w:right w:val="none" w:sz="0" w:space="0" w:color="auto"/>
      </w:divBdr>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091582578">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italia/covid19-opendata-vaccini/blob/master/dati/platea-booster-immunocompromessi.csv" TargetMode="Externa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s://github.com/italia/covid19-opendata-vaccini/blob/master/dati/platea-dose-addizionale-booster.csv"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mailto:ufficio.stampa@gimbe.org"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ifa.gov.it/documents/20142/1626083/report_n.7_monitoraggio_antivirali_25.03.2022.pdf" TargetMode="External"/><Relationship Id="rId24" Type="http://schemas.openxmlformats.org/officeDocument/2006/relationships/image" Target="media/image10.png"/><Relationship Id="rId32" Type="http://schemas.openxmlformats.org/officeDocument/2006/relationships/image" Target="media/image18.png"/><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coronavirus.gimbe.org"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www.epicentro.iss.it/coronavirus/bollettino/Bollettino-sorveglianza-integrata-COVID-19_30-marzo-2022.pdf" TargetMode="External"/><Relationship Id="rId14" Type="http://schemas.openxmlformats.org/officeDocument/2006/relationships/hyperlink" Target="https://www.epicentro.iss.it/coronavirus/bollettino/Bollettino-sorveglianza-integrata-COVID-19_30-marzo-2022.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13483-350D-47D1-9FF9-526917FF7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3260</Words>
  <Characters>18587</Characters>
  <Application>Microsoft Office Word</Application>
  <DocSecurity>0</DocSecurity>
  <Lines>154</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Cartabellotta</dc:creator>
  <cp:lastModifiedBy>Luca Bellusci</cp:lastModifiedBy>
  <cp:revision>5</cp:revision>
  <cp:lastPrinted>2022-04-06T12:36:00Z</cp:lastPrinted>
  <dcterms:created xsi:type="dcterms:W3CDTF">2022-04-06T14:01:00Z</dcterms:created>
  <dcterms:modified xsi:type="dcterms:W3CDTF">2022-04-07T08:06:00Z</dcterms:modified>
</cp:coreProperties>
</file>