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64" w:rsidRPr="00BF1EEA" w:rsidRDefault="00115E64" w:rsidP="00115E64">
      <w:pPr>
        <w:jc w:val="center"/>
        <w:rPr>
          <w:b/>
          <w:bCs/>
          <w:sz w:val="36"/>
          <w:szCs w:val="36"/>
        </w:rPr>
      </w:pPr>
      <w:r w:rsidRPr="00BF1EEA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FA2FF3" w:rsidRPr="00B6049D" w:rsidRDefault="00244ADB" w:rsidP="00244AD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CORONAVIRUS: CONTAGI STABILI </w:t>
      </w:r>
      <w:r w:rsidRPr="00244ADB">
        <w:rPr>
          <w:b/>
          <w:sz w:val="32"/>
          <w:szCs w:val="32"/>
        </w:rPr>
        <w:t>MA INCOMBONO LE VARIANTI, SPIE ROSSE IN 17 PROVINCE.</w:t>
      </w:r>
      <w:r w:rsidR="0085279C" w:rsidRPr="00B6049D">
        <w:rPr>
          <w:b/>
          <w:sz w:val="32"/>
          <w:szCs w:val="32"/>
        </w:rPr>
        <w:br/>
      </w:r>
      <w:r w:rsidR="00464A4C" w:rsidRPr="00B6049D">
        <w:rPr>
          <w:b/>
          <w:sz w:val="32"/>
          <w:szCs w:val="32"/>
        </w:rPr>
        <w:t xml:space="preserve">VACCINI: </w:t>
      </w:r>
      <w:r w:rsidR="008F1086">
        <w:rPr>
          <w:b/>
          <w:sz w:val="32"/>
          <w:szCs w:val="32"/>
        </w:rPr>
        <w:t xml:space="preserve">CROLLANO I CONTAGI TRA GLI </w:t>
      </w:r>
      <w:r w:rsidR="00F727FC">
        <w:rPr>
          <w:b/>
          <w:sz w:val="32"/>
          <w:szCs w:val="32"/>
        </w:rPr>
        <w:t>OPERATORI SANITARI</w:t>
      </w:r>
      <w:r w:rsidR="008F1086">
        <w:rPr>
          <w:b/>
          <w:sz w:val="32"/>
          <w:szCs w:val="32"/>
        </w:rPr>
        <w:t xml:space="preserve"> (-64%)</w:t>
      </w:r>
    </w:p>
    <w:p w:rsidR="00115E64" w:rsidRPr="006B499B" w:rsidRDefault="00115E64" w:rsidP="00115E64">
      <w:pPr>
        <w:spacing w:after="120"/>
        <w:jc w:val="both"/>
        <w:rPr>
          <w:b/>
          <w:color w:val="FF0000"/>
          <w:sz w:val="23"/>
          <w:szCs w:val="23"/>
        </w:rPr>
      </w:pPr>
      <w:r w:rsidRPr="00467211">
        <w:rPr>
          <w:b/>
          <w:sz w:val="23"/>
          <w:szCs w:val="23"/>
        </w:rPr>
        <w:t>IL MONITORAGGIO DELLA FO</w:t>
      </w:r>
      <w:bookmarkStart w:id="0" w:name="_GoBack"/>
      <w:bookmarkEnd w:id="0"/>
      <w:r w:rsidRPr="00467211">
        <w:rPr>
          <w:b/>
          <w:sz w:val="23"/>
          <w:szCs w:val="23"/>
        </w:rPr>
        <w:t xml:space="preserve">NDAZIONE GIMBE </w:t>
      </w:r>
      <w:r w:rsidR="00FF71B3">
        <w:rPr>
          <w:b/>
          <w:sz w:val="23"/>
          <w:szCs w:val="23"/>
        </w:rPr>
        <w:t>CONFERMA</w:t>
      </w:r>
      <w:r w:rsidR="00CF09B0" w:rsidRPr="00467211">
        <w:rPr>
          <w:b/>
          <w:sz w:val="23"/>
          <w:szCs w:val="23"/>
        </w:rPr>
        <w:t xml:space="preserve"> </w:t>
      </w:r>
      <w:r w:rsidRPr="00467211">
        <w:rPr>
          <w:b/>
          <w:sz w:val="23"/>
          <w:szCs w:val="23"/>
        </w:rPr>
        <w:t xml:space="preserve">NELLA SETTIMANA </w:t>
      </w:r>
      <w:r w:rsidR="00467211" w:rsidRPr="00467211">
        <w:rPr>
          <w:b/>
          <w:sz w:val="23"/>
          <w:szCs w:val="23"/>
        </w:rPr>
        <w:t>3-9</w:t>
      </w:r>
      <w:r w:rsidR="008049E8" w:rsidRPr="00467211">
        <w:rPr>
          <w:b/>
          <w:sz w:val="23"/>
          <w:szCs w:val="23"/>
        </w:rPr>
        <w:t xml:space="preserve"> FEBBRAIO </w:t>
      </w:r>
      <w:r w:rsidR="0085279C" w:rsidRPr="00FF71B3">
        <w:rPr>
          <w:b/>
          <w:sz w:val="23"/>
          <w:szCs w:val="23"/>
        </w:rPr>
        <w:t>LA</w:t>
      </w:r>
      <w:r w:rsidR="00D75C76" w:rsidRPr="00FF71B3">
        <w:rPr>
          <w:b/>
          <w:sz w:val="23"/>
          <w:szCs w:val="23"/>
        </w:rPr>
        <w:t xml:space="preserve"> STABILIZZAZIONE </w:t>
      </w:r>
      <w:r w:rsidR="00834942" w:rsidRPr="00FF71B3">
        <w:rPr>
          <w:b/>
          <w:sz w:val="23"/>
          <w:szCs w:val="23"/>
        </w:rPr>
        <w:t>D</w:t>
      </w:r>
      <w:r w:rsidR="00D75C76" w:rsidRPr="00FF71B3">
        <w:rPr>
          <w:b/>
          <w:sz w:val="23"/>
          <w:szCs w:val="23"/>
        </w:rPr>
        <w:t>E</w:t>
      </w:r>
      <w:r w:rsidR="00834942" w:rsidRPr="00FF71B3">
        <w:rPr>
          <w:b/>
          <w:sz w:val="23"/>
          <w:szCs w:val="23"/>
        </w:rPr>
        <w:t>I NUOVI CASI</w:t>
      </w:r>
      <w:r w:rsidR="00322C4E">
        <w:rPr>
          <w:b/>
          <w:sz w:val="23"/>
          <w:szCs w:val="23"/>
        </w:rPr>
        <w:t xml:space="preserve"> A LIVELLO NAZIONALE</w:t>
      </w:r>
      <w:r w:rsidR="00393475">
        <w:rPr>
          <w:b/>
          <w:sz w:val="23"/>
          <w:szCs w:val="23"/>
        </w:rPr>
        <w:t xml:space="preserve">, ANCHE </w:t>
      </w:r>
      <w:r w:rsidR="00393475" w:rsidRPr="002806D4">
        <w:rPr>
          <w:b/>
          <w:sz w:val="23"/>
          <w:szCs w:val="23"/>
        </w:rPr>
        <w:t>SE</w:t>
      </w:r>
      <w:r w:rsidR="00322C4E" w:rsidRPr="002806D4">
        <w:rPr>
          <w:b/>
          <w:sz w:val="23"/>
          <w:szCs w:val="23"/>
        </w:rPr>
        <w:t xml:space="preserve"> </w:t>
      </w:r>
      <w:r w:rsidR="00C3224E">
        <w:rPr>
          <w:b/>
          <w:sz w:val="23"/>
          <w:szCs w:val="23"/>
        </w:rPr>
        <w:t>DESTA</w:t>
      </w:r>
      <w:r w:rsidR="00587992">
        <w:rPr>
          <w:b/>
          <w:sz w:val="23"/>
          <w:szCs w:val="23"/>
        </w:rPr>
        <w:t xml:space="preserve">NO PREOCCUPAZIONE </w:t>
      </w:r>
      <w:r w:rsidR="007810F4">
        <w:rPr>
          <w:b/>
          <w:sz w:val="23"/>
          <w:szCs w:val="23"/>
        </w:rPr>
        <w:t>L</w:t>
      </w:r>
      <w:r w:rsidR="0085279C" w:rsidRPr="002806D4">
        <w:rPr>
          <w:b/>
          <w:sz w:val="23"/>
          <w:szCs w:val="23"/>
        </w:rPr>
        <w:t xml:space="preserve">’INVERSIONE DI TENDENZA </w:t>
      </w:r>
      <w:r w:rsidR="00277F11">
        <w:rPr>
          <w:b/>
          <w:sz w:val="23"/>
          <w:szCs w:val="23"/>
        </w:rPr>
        <w:t>IN</w:t>
      </w:r>
      <w:r w:rsidR="0085279C" w:rsidRPr="002806D4">
        <w:rPr>
          <w:b/>
          <w:sz w:val="23"/>
          <w:szCs w:val="23"/>
        </w:rPr>
        <w:t xml:space="preserve"> </w:t>
      </w:r>
      <w:r w:rsidR="00C3224E">
        <w:rPr>
          <w:b/>
          <w:sz w:val="23"/>
          <w:szCs w:val="23"/>
        </w:rPr>
        <w:t xml:space="preserve">METÀ DELLE </w:t>
      </w:r>
      <w:r w:rsidR="0085279C" w:rsidRPr="002806D4">
        <w:rPr>
          <w:b/>
          <w:sz w:val="23"/>
          <w:szCs w:val="23"/>
        </w:rPr>
        <w:t>REGIONI</w:t>
      </w:r>
      <w:r w:rsidR="00ED6EEA" w:rsidRPr="002806D4">
        <w:rPr>
          <w:b/>
          <w:sz w:val="23"/>
          <w:szCs w:val="23"/>
        </w:rPr>
        <w:t xml:space="preserve"> </w:t>
      </w:r>
      <w:r w:rsidR="00277F11">
        <w:rPr>
          <w:b/>
          <w:sz w:val="23"/>
          <w:szCs w:val="23"/>
        </w:rPr>
        <w:t xml:space="preserve">E </w:t>
      </w:r>
      <w:r w:rsidR="008254C0">
        <w:rPr>
          <w:b/>
          <w:sz w:val="23"/>
          <w:szCs w:val="23"/>
        </w:rPr>
        <w:t xml:space="preserve">L’INCREMENTO PERCENTUALE </w:t>
      </w:r>
      <w:r w:rsidR="000B5683">
        <w:rPr>
          <w:b/>
          <w:sz w:val="23"/>
          <w:szCs w:val="23"/>
        </w:rPr>
        <w:t xml:space="preserve">DEI NUOVI CASI </w:t>
      </w:r>
      <w:r w:rsidR="00587992">
        <w:rPr>
          <w:b/>
          <w:sz w:val="23"/>
          <w:szCs w:val="23"/>
        </w:rPr>
        <w:t>CHE SUPERA IL</w:t>
      </w:r>
      <w:r w:rsidR="00277F11">
        <w:rPr>
          <w:b/>
          <w:sz w:val="23"/>
          <w:szCs w:val="23"/>
        </w:rPr>
        <w:t xml:space="preserve"> 5% IN </w:t>
      </w:r>
      <w:r w:rsidR="00BD325C">
        <w:rPr>
          <w:b/>
          <w:sz w:val="23"/>
          <w:szCs w:val="23"/>
        </w:rPr>
        <w:t>17</w:t>
      </w:r>
      <w:r w:rsidR="00277F11">
        <w:rPr>
          <w:b/>
          <w:sz w:val="23"/>
          <w:szCs w:val="23"/>
        </w:rPr>
        <w:t xml:space="preserve"> PROVINCE</w:t>
      </w:r>
      <w:r w:rsidR="002D0E17" w:rsidRPr="00FF71B3">
        <w:rPr>
          <w:b/>
          <w:sz w:val="23"/>
          <w:szCs w:val="23"/>
        </w:rPr>
        <w:t>.</w:t>
      </w:r>
      <w:r w:rsidR="006B6251" w:rsidRPr="00FF71B3">
        <w:rPr>
          <w:b/>
          <w:sz w:val="23"/>
          <w:szCs w:val="23"/>
        </w:rPr>
        <w:t xml:space="preserve"> </w:t>
      </w:r>
      <w:r w:rsidR="00F727FC">
        <w:rPr>
          <w:b/>
          <w:sz w:val="23"/>
          <w:szCs w:val="23"/>
        </w:rPr>
        <w:t xml:space="preserve">PRIMI RISULTATI </w:t>
      </w:r>
      <w:r w:rsidR="000B5683">
        <w:rPr>
          <w:b/>
          <w:sz w:val="23"/>
          <w:szCs w:val="23"/>
        </w:rPr>
        <w:t xml:space="preserve">SUL FRONTE </w:t>
      </w:r>
      <w:r w:rsidR="00F727FC">
        <w:rPr>
          <w:b/>
          <w:sz w:val="23"/>
          <w:szCs w:val="23"/>
        </w:rPr>
        <w:t>VACCINAZIONI:</w:t>
      </w:r>
      <w:r w:rsidR="00587992">
        <w:rPr>
          <w:b/>
          <w:sz w:val="23"/>
          <w:szCs w:val="23"/>
        </w:rPr>
        <w:t xml:space="preserve"> DALL’</w:t>
      </w:r>
      <w:r w:rsidR="00C3224E">
        <w:rPr>
          <w:b/>
          <w:sz w:val="23"/>
          <w:szCs w:val="23"/>
        </w:rPr>
        <w:t xml:space="preserve">ANALISI PRELIMINARE </w:t>
      </w:r>
      <w:r w:rsidR="008254C0">
        <w:rPr>
          <w:b/>
          <w:sz w:val="23"/>
          <w:szCs w:val="23"/>
        </w:rPr>
        <w:t xml:space="preserve">GIMBE </w:t>
      </w:r>
      <w:r w:rsidR="00F727FC">
        <w:rPr>
          <w:b/>
          <w:sz w:val="23"/>
          <w:szCs w:val="23"/>
        </w:rPr>
        <w:t>CONTAGI</w:t>
      </w:r>
      <w:r w:rsidR="00587992" w:rsidRPr="00587992">
        <w:rPr>
          <w:b/>
          <w:sz w:val="23"/>
          <w:szCs w:val="23"/>
        </w:rPr>
        <w:t xml:space="preserve"> </w:t>
      </w:r>
      <w:r w:rsidR="00587992">
        <w:rPr>
          <w:b/>
          <w:sz w:val="23"/>
          <w:szCs w:val="23"/>
        </w:rPr>
        <w:t>RIDOTTI DEL 64</w:t>
      </w:r>
      <w:r w:rsidR="00B919AE">
        <w:rPr>
          <w:b/>
          <w:sz w:val="23"/>
          <w:szCs w:val="23"/>
        </w:rPr>
        <w:t>%</w:t>
      </w:r>
      <w:r w:rsidR="00F727FC">
        <w:rPr>
          <w:b/>
          <w:sz w:val="23"/>
          <w:szCs w:val="23"/>
        </w:rPr>
        <w:t xml:space="preserve"> TRA GLI OPERATORI SANITARI</w:t>
      </w:r>
      <w:r w:rsidR="00B919AE">
        <w:rPr>
          <w:b/>
          <w:sz w:val="23"/>
          <w:szCs w:val="23"/>
        </w:rPr>
        <w:t xml:space="preserve">. </w:t>
      </w:r>
      <w:r w:rsidR="0064353A">
        <w:rPr>
          <w:b/>
          <w:sz w:val="23"/>
          <w:szCs w:val="23"/>
        </w:rPr>
        <w:t xml:space="preserve">UN’ITALIA “IN GIALLO” INADEGUATA A </w:t>
      </w:r>
      <w:r w:rsidR="00B919AE">
        <w:rPr>
          <w:b/>
          <w:sz w:val="23"/>
          <w:szCs w:val="23"/>
        </w:rPr>
        <w:t>PREVENIRE</w:t>
      </w:r>
      <w:r w:rsidR="0064353A">
        <w:rPr>
          <w:b/>
          <w:sz w:val="23"/>
          <w:szCs w:val="23"/>
        </w:rPr>
        <w:t xml:space="preserve"> IMPENNATE DA VARIANTI E SATURAZIONE DEGLI OSPEDALI: </w:t>
      </w:r>
      <w:r w:rsidR="00BD0873">
        <w:rPr>
          <w:b/>
          <w:sz w:val="23"/>
          <w:szCs w:val="23"/>
        </w:rPr>
        <w:t xml:space="preserve">GOVERNO </w:t>
      </w:r>
      <w:r w:rsidR="008254C0">
        <w:rPr>
          <w:b/>
          <w:sz w:val="23"/>
          <w:szCs w:val="23"/>
        </w:rPr>
        <w:t xml:space="preserve">DRAGHI </w:t>
      </w:r>
      <w:r w:rsidR="0064353A">
        <w:rPr>
          <w:b/>
          <w:sz w:val="23"/>
          <w:szCs w:val="23"/>
        </w:rPr>
        <w:t xml:space="preserve">CHIAMATO A </w:t>
      </w:r>
      <w:r w:rsidR="00A4621C">
        <w:rPr>
          <w:b/>
          <w:sz w:val="23"/>
          <w:szCs w:val="23"/>
        </w:rPr>
        <w:t>DECISIONI CRUCIALI E TEMPESTIVE</w:t>
      </w:r>
      <w:r w:rsidR="008B7559">
        <w:rPr>
          <w:b/>
          <w:sz w:val="23"/>
          <w:szCs w:val="23"/>
        </w:rPr>
        <w:t xml:space="preserve"> SU VACCINI E </w:t>
      </w:r>
      <w:r w:rsidR="00A4621C">
        <w:rPr>
          <w:b/>
          <w:sz w:val="23"/>
          <w:szCs w:val="23"/>
        </w:rPr>
        <w:t>STRATEGIE DI CONTENIMENTO DELLA PANDEMIA.</w:t>
      </w:r>
    </w:p>
    <w:p w:rsidR="00115E64" w:rsidRPr="008049E8" w:rsidRDefault="00C44E61" w:rsidP="00115E64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11</w:t>
      </w:r>
      <w:r w:rsidR="008049E8" w:rsidRPr="008049E8">
        <w:rPr>
          <w:rFonts w:ascii="Calibri" w:eastAsia="Calibri" w:hAnsi="Calibri" w:cs="Times New Roman"/>
          <w:b/>
          <w:bCs/>
          <w:sz w:val="24"/>
          <w:szCs w:val="24"/>
        </w:rPr>
        <w:t xml:space="preserve"> febbraio </w:t>
      </w:r>
      <w:r w:rsidR="00115E64" w:rsidRPr="008049E8">
        <w:rPr>
          <w:rFonts w:ascii="Calibri" w:eastAsia="Calibri" w:hAnsi="Calibri" w:cs="Times New Roman"/>
          <w:b/>
          <w:bCs/>
          <w:sz w:val="24"/>
          <w:szCs w:val="24"/>
        </w:rPr>
        <w:t>2021 - Fondazione GIMBE, Bologna</w:t>
      </w:r>
    </w:p>
    <w:p w:rsidR="00115E64" w:rsidRPr="00467211" w:rsidRDefault="00115E64" w:rsidP="00943563">
      <w:pPr>
        <w:spacing w:line="276" w:lineRule="auto"/>
        <w:jc w:val="both"/>
      </w:pPr>
      <w:r w:rsidRPr="00467211">
        <w:t>Il monitoraggio indipendente della Fondazione GIMBE</w:t>
      </w:r>
      <w:r w:rsidR="00B57E54" w:rsidRPr="00467211">
        <w:t xml:space="preserve"> </w:t>
      </w:r>
      <w:r w:rsidR="005B4B6D">
        <w:t>conferma</w:t>
      </w:r>
      <w:r w:rsidRPr="00467211">
        <w:t xml:space="preserve"> nella settimana </w:t>
      </w:r>
      <w:r w:rsidR="008C268D" w:rsidRPr="00467211">
        <w:t>3-9</w:t>
      </w:r>
      <w:r w:rsidR="008049E8" w:rsidRPr="00467211">
        <w:t xml:space="preserve"> febbraio</w:t>
      </w:r>
      <w:r w:rsidRPr="00467211">
        <w:t xml:space="preserve"> 2021, rispetto alla precedente, </w:t>
      </w:r>
      <w:r w:rsidR="00213C28" w:rsidRPr="00467211">
        <w:t>un</w:t>
      </w:r>
      <w:r w:rsidR="00BD325C">
        <w:t xml:space="preserve"> </w:t>
      </w:r>
      <w:r w:rsidR="007919D2" w:rsidRPr="00467211">
        <w:t>numero</w:t>
      </w:r>
      <w:r w:rsidRPr="00467211">
        <w:t xml:space="preserve"> </w:t>
      </w:r>
      <w:r w:rsidR="00BD325C">
        <w:t xml:space="preserve">stabile </w:t>
      </w:r>
      <w:r w:rsidRPr="00467211">
        <w:t>dei nuovi casi (</w:t>
      </w:r>
      <w:r w:rsidR="00467211" w:rsidRPr="00467211">
        <w:t xml:space="preserve">84.711 vs </w:t>
      </w:r>
      <w:r w:rsidR="007919D2" w:rsidRPr="00467211">
        <w:t>84.652</w:t>
      </w:r>
      <w:r w:rsidRPr="00467211">
        <w:t>)</w:t>
      </w:r>
      <w:r w:rsidR="001A0514">
        <w:t xml:space="preserve"> (</w:t>
      </w:r>
      <w:r w:rsidR="001A0514" w:rsidRPr="001A0514">
        <w:rPr>
          <w:highlight w:val="yellow"/>
        </w:rPr>
        <w:t>figura 1</w:t>
      </w:r>
      <w:r w:rsidR="001A0514">
        <w:t>)</w:t>
      </w:r>
      <w:r w:rsidRPr="00467211">
        <w:t xml:space="preserve">. </w:t>
      </w:r>
      <w:r w:rsidR="00624752">
        <w:t xml:space="preserve">Scendono </w:t>
      </w:r>
      <w:r w:rsidR="007919D2" w:rsidRPr="00467211">
        <w:t>i</w:t>
      </w:r>
      <w:r w:rsidR="00855C4B" w:rsidRPr="00467211">
        <w:t xml:space="preserve"> </w:t>
      </w:r>
      <w:r w:rsidRPr="00467211">
        <w:t>casi attualmente positivi (</w:t>
      </w:r>
      <w:r w:rsidR="00467211" w:rsidRPr="00467211">
        <w:t xml:space="preserve">413.967 vs </w:t>
      </w:r>
      <w:r w:rsidR="007919D2" w:rsidRPr="00467211">
        <w:t>437.765</w:t>
      </w:r>
      <w:r w:rsidRPr="00467211">
        <w:t>)</w:t>
      </w:r>
      <w:r w:rsidR="00B33749" w:rsidRPr="00467211">
        <w:t>,</w:t>
      </w:r>
      <w:r w:rsidRPr="00467211">
        <w:t xml:space="preserve"> </w:t>
      </w:r>
      <w:r w:rsidR="001A0514">
        <w:t>le persone in isolamento domiciliare (</w:t>
      </w:r>
      <w:r w:rsidR="00827B14" w:rsidRPr="001A0514">
        <w:t>392.312</w:t>
      </w:r>
      <w:r w:rsidR="00827B14">
        <w:t xml:space="preserve"> vs </w:t>
      </w:r>
      <w:r w:rsidR="001A0514">
        <w:t>415.234</w:t>
      </w:r>
      <w:r w:rsidR="00827B14">
        <w:t>)</w:t>
      </w:r>
      <w:r w:rsidR="001A0514">
        <w:t xml:space="preserve">, </w:t>
      </w:r>
      <w:r w:rsidR="0085279C" w:rsidRPr="00467211">
        <w:t xml:space="preserve">i </w:t>
      </w:r>
      <w:r w:rsidRPr="00467211">
        <w:t>ricover</w:t>
      </w:r>
      <w:r w:rsidR="00900787" w:rsidRPr="00467211">
        <w:t xml:space="preserve">i </w:t>
      </w:r>
      <w:r w:rsidRPr="00467211">
        <w:t>con sintomi (</w:t>
      </w:r>
      <w:r w:rsidR="00467211" w:rsidRPr="00467211">
        <w:t xml:space="preserve">19.512 vs </w:t>
      </w:r>
      <w:r w:rsidR="007919D2" w:rsidRPr="00467211">
        <w:t>20.317)</w:t>
      </w:r>
      <w:r w:rsidR="001A0514">
        <w:t xml:space="preserve"> e</w:t>
      </w:r>
      <w:r w:rsidR="007919D2" w:rsidRPr="00467211">
        <w:t xml:space="preserve"> </w:t>
      </w:r>
      <w:r w:rsidR="0085279C" w:rsidRPr="00467211">
        <w:t xml:space="preserve">le </w:t>
      </w:r>
      <w:r w:rsidRPr="00467211">
        <w:t>terapie intensive (</w:t>
      </w:r>
      <w:r w:rsidR="00467211" w:rsidRPr="00467211">
        <w:t xml:space="preserve">2.143 vs </w:t>
      </w:r>
      <w:r w:rsidR="007919D2" w:rsidRPr="00467211">
        <w:t xml:space="preserve">2.214) </w:t>
      </w:r>
      <w:r w:rsidR="001A0514" w:rsidRPr="00467211">
        <w:t>(</w:t>
      </w:r>
      <w:r w:rsidR="001A0514" w:rsidRPr="00467211">
        <w:rPr>
          <w:highlight w:val="yellow"/>
        </w:rPr>
        <w:t>figura</w:t>
      </w:r>
      <w:r w:rsidR="001A0514" w:rsidRPr="001A0514">
        <w:rPr>
          <w:highlight w:val="yellow"/>
        </w:rPr>
        <w:t xml:space="preserve"> 2</w:t>
      </w:r>
      <w:r w:rsidR="001A0514" w:rsidRPr="00467211">
        <w:t>)</w:t>
      </w:r>
      <w:r w:rsidR="001A0514">
        <w:t xml:space="preserve">. </w:t>
      </w:r>
      <w:r w:rsidR="0082729C">
        <w:t xml:space="preserve">Diminuiscono </w:t>
      </w:r>
      <w:r w:rsidR="001A0514">
        <w:t>anche</w:t>
      </w:r>
      <w:r w:rsidR="007919D2" w:rsidRPr="00467211">
        <w:t xml:space="preserve"> </w:t>
      </w:r>
      <w:r w:rsidR="0085279C" w:rsidRPr="00467211">
        <w:t xml:space="preserve">i </w:t>
      </w:r>
      <w:r w:rsidR="007919D2" w:rsidRPr="00467211">
        <w:t>decessi (</w:t>
      </w:r>
      <w:r w:rsidR="00467211" w:rsidRPr="00467211">
        <w:t xml:space="preserve">2.658 vs </w:t>
      </w:r>
      <w:r w:rsidR="007919D2" w:rsidRPr="00467211">
        <w:t>2.922</w:t>
      </w:r>
      <w:r w:rsidRPr="00467211">
        <w:t>)</w:t>
      </w:r>
      <w:r w:rsidR="00B33749" w:rsidRPr="00467211">
        <w:t xml:space="preserve">. </w:t>
      </w:r>
      <w:r w:rsidRPr="00467211">
        <w:t>In dettaglio, rispetto alla settimana precedente, si registrano le seguenti variazioni:</w:t>
      </w:r>
    </w:p>
    <w:p w:rsidR="00115E64" w:rsidRPr="00467211" w:rsidRDefault="007919D2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467211">
        <w:t>Decessi: 2</w:t>
      </w:r>
      <w:r w:rsidR="00115E64" w:rsidRPr="00467211">
        <w:t>.</w:t>
      </w:r>
      <w:r w:rsidR="00467211" w:rsidRPr="00467211">
        <w:t>658</w:t>
      </w:r>
      <w:r w:rsidR="00115E64" w:rsidRPr="00467211">
        <w:t xml:space="preserve"> (-</w:t>
      </w:r>
      <w:r w:rsidR="00467211" w:rsidRPr="00467211">
        <w:t>9</w:t>
      </w:r>
      <w:r w:rsidR="00115E64" w:rsidRPr="00467211">
        <w:t>%)</w:t>
      </w:r>
    </w:p>
    <w:p w:rsidR="00115E64" w:rsidRPr="00467211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467211">
        <w:t>Terapia intensiva: -</w:t>
      </w:r>
      <w:r w:rsidR="00467211" w:rsidRPr="00467211">
        <w:t>71</w:t>
      </w:r>
      <w:r w:rsidR="00467211">
        <w:t xml:space="preserve"> </w:t>
      </w:r>
      <w:r w:rsidRPr="00467211">
        <w:t>(-</w:t>
      </w:r>
      <w:r w:rsidR="00467211" w:rsidRPr="00467211">
        <w:t>3</w:t>
      </w:r>
      <w:r w:rsidRPr="00467211">
        <w:t>,</w:t>
      </w:r>
      <w:r w:rsidR="00467211" w:rsidRPr="00467211">
        <w:t>2</w:t>
      </w:r>
      <w:r w:rsidRPr="00467211">
        <w:t>%)</w:t>
      </w:r>
    </w:p>
    <w:p w:rsidR="00115E64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467211">
        <w:t xml:space="preserve">Ricoverati con sintomi: </w:t>
      </w:r>
      <w:r w:rsidR="00467211" w:rsidRPr="00467211">
        <w:t>-805</w:t>
      </w:r>
      <w:r w:rsidRPr="00467211">
        <w:t xml:space="preserve"> (-</w:t>
      </w:r>
      <w:r w:rsidR="007919D2" w:rsidRPr="00467211">
        <w:t>4</w:t>
      </w:r>
      <w:r w:rsidRPr="00467211">
        <w:t>%)</w:t>
      </w:r>
    </w:p>
    <w:p w:rsidR="001A0514" w:rsidRPr="00467211" w:rsidRDefault="001A0514" w:rsidP="001A0514">
      <w:pPr>
        <w:pStyle w:val="Paragrafoelenco"/>
        <w:numPr>
          <w:ilvl w:val="0"/>
          <w:numId w:val="5"/>
        </w:numPr>
        <w:spacing w:after="120" w:line="276" w:lineRule="auto"/>
        <w:jc w:val="both"/>
      </w:pPr>
      <w:r>
        <w:t xml:space="preserve">Isolamento domiciliare: </w:t>
      </w:r>
      <w:r w:rsidRPr="001A0514">
        <w:t>-22.922</w:t>
      </w:r>
      <w:r>
        <w:t xml:space="preserve"> (-</w:t>
      </w:r>
      <w:r w:rsidRPr="001A0514">
        <w:t>5,5%</w:t>
      </w:r>
      <w:r>
        <w:t>)</w:t>
      </w:r>
    </w:p>
    <w:p w:rsidR="00115E64" w:rsidRPr="00467211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467211">
        <w:t xml:space="preserve">Nuovi casi: </w:t>
      </w:r>
      <w:r w:rsidR="007919D2" w:rsidRPr="00467211">
        <w:t>84.</w:t>
      </w:r>
      <w:r w:rsidR="00467211" w:rsidRPr="00467211">
        <w:t>711 (+</w:t>
      </w:r>
      <w:r w:rsidR="007919D2" w:rsidRPr="00467211">
        <w:t>0,</w:t>
      </w:r>
      <w:r w:rsidR="00467211" w:rsidRPr="00467211">
        <w:t>1</w:t>
      </w:r>
      <w:r w:rsidR="007919D2" w:rsidRPr="00467211">
        <w:t>%)</w:t>
      </w:r>
    </w:p>
    <w:p w:rsidR="00115E64" w:rsidRPr="00467211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467211">
        <w:t>Casi attualmente positivi: -</w:t>
      </w:r>
      <w:r w:rsidR="00467211" w:rsidRPr="00467211">
        <w:t>23.798</w:t>
      </w:r>
      <w:r w:rsidRPr="00467211">
        <w:t xml:space="preserve"> (-</w:t>
      </w:r>
      <w:r w:rsidR="00467211" w:rsidRPr="00467211">
        <w:t>5,4</w:t>
      </w:r>
      <w:r w:rsidRPr="00467211">
        <w:t>%)</w:t>
      </w:r>
    </w:p>
    <w:p w:rsidR="00740AE2" w:rsidRDefault="00115E64" w:rsidP="00CE3AF1">
      <w:pPr>
        <w:spacing w:line="276" w:lineRule="auto"/>
        <w:jc w:val="both"/>
      </w:pPr>
      <w:r w:rsidRPr="007919D2">
        <w:t>«</w:t>
      </w:r>
      <w:r w:rsidR="008C268D">
        <w:t>Anche questa settimana</w:t>
      </w:r>
      <w:r w:rsidR="0033163F">
        <w:t xml:space="preserve"> </w:t>
      </w:r>
      <w:r w:rsidR="008E7D1D" w:rsidRPr="007919D2">
        <w:t>– afferma Nino Cartabellotta, Presidente della Fondazione GIMBE –</w:t>
      </w:r>
      <w:r w:rsidR="008468ED">
        <w:t xml:space="preserve"> a livello nazionale</w:t>
      </w:r>
      <w:r w:rsidR="008C268D">
        <w:t xml:space="preserve"> </w:t>
      </w:r>
      <w:r w:rsidR="00DF638B">
        <w:t xml:space="preserve">i nuovi casi </w:t>
      </w:r>
      <w:r w:rsidR="00394A3D">
        <w:t>s</w:t>
      </w:r>
      <w:r w:rsidR="00624752">
        <w:t xml:space="preserve">ono </w:t>
      </w:r>
      <w:r w:rsidR="008C268D">
        <w:t>stabili rispetto alla precedente</w:t>
      </w:r>
      <w:r w:rsidR="00CE3AF1">
        <w:t>,</w:t>
      </w:r>
      <w:r w:rsidR="00305CBE">
        <w:t xml:space="preserve"> </w:t>
      </w:r>
      <w:r w:rsidR="00CE3AF1">
        <w:t xml:space="preserve">una </w:t>
      </w:r>
      <w:r w:rsidR="00BD325C">
        <w:t>calma piatta</w:t>
      </w:r>
      <w:r w:rsidR="00CE3AF1">
        <w:t xml:space="preserve"> </w:t>
      </w:r>
      <w:r w:rsidR="00D22FF2">
        <w:t xml:space="preserve">purtroppo </w:t>
      </w:r>
      <w:r w:rsidR="00CE3AF1">
        <w:t xml:space="preserve">solo </w:t>
      </w:r>
      <w:r w:rsidR="00D22FF2">
        <w:t>apparente</w:t>
      </w:r>
      <w:r w:rsidR="00CE3AF1">
        <w:t>»</w:t>
      </w:r>
      <w:r w:rsidR="008C268D">
        <w:t>.</w:t>
      </w:r>
      <w:r w:rsidR="007805E4">
        <w:t xml:space="preserve"> </w:t>
      </w:r>
      <w:r w:rsidR="00CE3AF1">
        <w:t>Infatti, s</w:t>
      </w:r>
      <w:r w:rsidR="00CE3AF1" w:rsidRPr="00CE3AF1">
        <w:t xml:space="preserve">pacchettando il dato nazionale, in 10 Regioni </w:t>
      </w:r>
      <w:r w:rsidR="000C26B7">
        <w:t xml:space="preserve">si rileva un </w:t>
      </w:r>
      <w:r w:rsidR="00CE3AF1" w:rsidRPr="00CE3AF1">
        <w:t>incremento percentuale dei nuovi casi e in 9 Regioni aumentano i casi attualmente</w:t>
      </w:r>
      <w:r w:rsidR="00CE3AF1">
        <w:t xml:space="preserve"> positivi per 100.000 abitanti</w:t>
      </w:r>
      <w:r w:rsidR="009607B9">
        <w:t xml:space="preserve"> </w:t>
      </w:r>
      <w:r w:rsidR="00CE3AF1" w:rsidRPr="00C44E61">
        <w:t>(</w:t>
      </w:r>
      <w:r w:rsidR="00CE3AF1" w:rsidRPr="00C44E61">
        <w:rPr>
          <w:highlight w:val="yellow"/>
        </w:rPr>
        <w:t>tabell</w:t>
      </w:r>
      <w:r w:rsidR="00277F11">
        <w:rPr>
          <w:highlight w:val="yellow"/>
        </w:rPr>
        <w:t>a 1</w:t>
      </w:r>
      <w:r w:rsidR="009607B9" w:rsidRPr="00C44E61">
        <w:t>)</w:t>
      </w:r>
      <w:r w:rsidR="00502A36">
        <w:t xml:space="preserve">, </w:t>
      </w:r>
      <w:r w:rsidR="00624752">
        <w:t xml:space="preserve">ma </w:t>
      </w:r>
      <w:r w:rsidR="009607B9">
        <w:t xml:space="preserve">i </w:t>
      </w:r>
      <w:r w:rsidR="002806D4">
        <w:t xml:space="preserve">numeri </w:t>
      </w:r>
      <w:r w:rsidR="006222F6">
        <w:t xml:space="preserve">per ora </w:t>
      </w:r>
      <w:r w:rsidR="00502A36">
        <w:t xml:space="preserve">non </w:t>
      </w:r>
      <w:r w:rsidR="00D22FF2">
        <w:t xml:space="preserve">impattano </w:t>
      </w:r>
      <w:r w:rsidR="009607B9">
        <w:t xml:space="preserve">sulle curve nazionali perché </w:t>
      </w:r>
      <w:r w:rsidR="00BD325C">
        <w:t xml:space="preserve">si tratta </w:t>
      </w:r>
      <w:r w:rsidR="0089761A">
        <w:t xml:space="preserve">principalmente </w:t>
      </w:r>
      <w:r w:rsidR="00BD325C">
        <w:t xml:space="preserve">di </w:t>
      </w:r>
      <w:r w:rsidR="00CE3AF1">
        <w:t xml:space="preserve">Regioni </w:t>
      </w:r>
      <w:r w:rsidR="009607B9">
        <w:t>di piccole dimensioni.</w:t>
      </w:r>
      <w:r w:rsidR="00664B80">
        <w:t xml:space="preserve"> </w:t>
      </w:r>
      <w:r w:rsidR="000C26B7" w:rsidRPr="007919D2">
        <w:t>«</w:t>
      </w:r>
      <w:r w:rsidR="00916D33">
        <w:t>Situazioni</w:t>
      </w:r>
      <w:r w:rsidR="00B72F58">
        <w:t xml:space="preserve"> </w:t>
      </w:r>
      <w:r w:rsidR="002806D4">
        <w:t xml:space="preserve">molto </w:t>
      </w:r>
      <w:r w:rsidR="00B72F58">
        <w:t>critiche come quelle del</w:t>
      </w:r>
      <w:r w:rsidR="00B72F58" w:rsidRPr="00CE3AF1">
        <w:t>l’Umbria</w:t>
      </w:r>
      <w:r w:rsidR="002806D4">
        <w:t xml:space="preserve"> </w:t>
      </w:r>
      <w:r w:rsidR="000C26B7">
        <w:t xml:space="preserve">– spiega </w:t>
      </w:r>
      <w:r w:rsidR="008B65D5">
        <w:t>Cartabellotta</w:t>
      </w:r>
      <w:r w:rsidR="000C26B7">
        <w:t xml:space="preserve"> –</w:t>
      </w:r>
      <w:r w:rsidR="00A24D2A">
        <w:t xml:space="preserve"> </w:t>
      </w:r>
      <w:r w:rsidR="002806D4">
        <w:t>dove le</w:t>
      </w:r>
      <w:r w:rsidR="000C26B7">
        <w:t xml:space="preserve"> </w:t>
      </w:r>
      <w:r w:rsidR="00CE3AF1" w:rsidRPr="00CE3AF1">
        <w:t xml:space="preserve">nuove varianti </w:t>
      </w:r>
      <w:r w:rsidR="00624752">
        <w:t>hanno determinato rapidamente un</w:t>
      </w:r>
      <w:r w:rsidR="002806D4">
        <w:t>’</w:t>
      </w:r>
      <w:r w:rsidR="000C26B7">
        <w:t>impennata dei casi e la saturazione di ospedali e terapie intensive</w:t>
      </w:r>
      <w:r w:rsidR="00D024D6">
        <w:t xml:space="preserve"> </w:t>
      </w:r>
      <w:r w:rsidR="00502A36">
        <w:t xml:space="preserve">potrebbero </w:t>
      </w:r>
      <w:r w:rsidR="001B114E">
        <w:t xml:space="preserve">improvvisamente </w:t>
      </w:r>
      <w:r w:rsidR="00B72F58" w:rsidRPr="00502A36">
        <w:t xml:space="preserve">esplodere </w:t>
      </w:r>
      <w:r w:rsidR="002806D4">
        <w:t xml:space="preserve">ovunque, visto che </w:t>
      </w:r>
      <w:r w:rsidR="00CE3AF1" w:rsidRPr="00502A36">
        <w:t xml:space="preserve">le varianti </w:t>
      </w:r>
      <w:r w:rsidR="00664B80">
        <w:t xml:space="preserve">del virus </w:t>
      </w:r>
      <w:r w:rsidR="00916D33">
        <w:t xml:space="preserve">circolano </w:t>
      </w:r>
      <w:r w:rsidR="0047605F">
        <w:t>orma</w:t>
      </w:r>
      <w:r w:rsidR="002720C2">
        <w:t>i</w:t>
      </w:r>
      <w:r w:rsidR="0047605F">
        <w:t xml:space="preserve"> in tutto il Paese</w:t>
      </w:r>
      <w:r w:rsidR="000C26B7">
        <w:t>».</w:t>
      </w:r>
      <w:r w:rsidR="00740AE2">
        <w:t xml:space="preserve"> </w:t>
      </w:r>
      <w:r w:rsidR="00BD325C">
        <w:t xml:space="preserve">Ecco perché </w:t>
      </w:r>
      <w:r w:rsidR="00740AE2">
        <w:t>è</w:t>
      </w:r>
      <w:r w:rsidR="001B114E">
        <w:t xml:space="preserve"> </w:t>
      </w:r>
      <w:r w:rsidR="00740AE2">
        <w:t xml:space="preserve">fondamentale monitorare </w:t>
      </w:r>
      <w:r w:rsidR="00BD325C">
        <w:t xml:space="preserve">tutte le </w:t>
      </w:r>
      <w:r w:rsidR="00740AE2">
        <w:t xml:space="preserve">“spie rosse” </w:t>
      </w:r>
      <w:r w:rsidR="00F7492A">
        <w:t xml:space="preserve">per attuare tempestive </w:t>
      </w:r>
      <w:r w:rsidR="00624752">
        <w:t>strategie</w:t>
      </w:r>
      <w:r w:rsidR="00F7492A">
        <w:t xml:space="preserve"> di contenimento</w:t>
      </w:r>
      <w:r w:rsidR="00740AE2">
        <w:t>:</w:t>
      </w:r>
      <w:r w:rsidR="00BD325C">
        <w:t xml:space="preserve"> </w:t>
      </w:r>
      <w:r w:rsidR="007810F4">
        <w:t xml:space="preserve">in </w:t>
      </w:r>
      <w:r w:rsidR="00BD325C">
        <w:t>17</w:t>
      </w:r>
      <w:r w:rsidR="00740AE2" w:rsidRPr="00740AE2">
        <w:t xml:space="preserve"> Province </w:t>
      </w:r>
      <w:r w:rsidR="00D9305A">
        <w:t>l’</w:t>
      </w:r>
      <w:r w:rsidR="00740AE2" w:rsidRPr="00740AE2">
        <w:t xml:space="preserve">incremento percentuale dei nuovi casi </w:t>
      </w:r>
      <w:r w:rsidR="00D9305A">
        <w:t xml:space="preserve">negli ultimi 7 giorni supera il </w:t>
      </w:r>
      <w:r w:rsidR="00740AE2" w:rsidRPr="00740AE2">
        <w:t>5%</w:t>
      </w:r>
      <w:r w:rsidR="00277F11">
        <w:t xml:space="preserve"> </w:t>
      </w:r>
      <w:r w:rsidR="00277F11" w:rsidRPr="00C44E61">
        <w:t>(</w:t>
      </w:r>
      <w:r w:rsidR="00277F11" w:rsidRPr="00C44E61">
        <w:rPr>
          <w:highlight w:val="yellow"/>
        </w:rPr>
        <w:t>tabell</w:t>
      </w:r>
      <w:r w:rsidR="00277F11">
        <w:rPr>
          <w:highlight w:val="yellow"/>
        </w:rPr>
        <w:t>a 2</w:t>
      </w:r>
      <w:r w:rsidR="00277F11" w:rsidRPr="00C44E61">
        <w:t>)</w:t>
      </w:r>
      <w:r w:rsidR="00F7492A">
        <w:t>.</w:t>
      </w:r>
    </w:p>
    <w:p w:rsidR="00D024D6" w:rsidRDefault="008C268D" w:rsidP="00943563">
      <w:pPr>
        <w:spacing w:line="276" w:lineRule="auto"/>
        <w:jc w:val="both"/>
      </w:pPr>
      <w:r>
        <w:t xml:space="preserve">Sul fronte ospedaliero, </w:t>
      </w:r>
      <w:r w:rsidRPr="00C702FB">
        <w:t xml:space="preserve">l’occupazione da parte di pazienti COVID supera </w:t>
      </w:r>
      <w:r w:rsidRPr="00CE3AF1">
        <w:t xml:space="preserve">in </w:t>
      </w:r>
      <w:r w:rsidR="006A42BE" w:rsidRPr="00CE3AF1">
        <w:t xml:space="preserve">3 </w:t>
      </w:r>
      <w:r w:rsidRPr="00CE3AF1">
        <w:t xml:space="preserve">Regioni la soglia del 40% in area medica e in </w:t>
      </w:r>
      <w:r w:rsidR="006A42BE" w:rsidRPr="00CE3AF1">
        <w:t xml:space="preserve">4 </w:t>
      </w:r>
      <w:r w:rsidRPr="00CE3AF1">
        <w:t>Regio</w:t>
      </w:r>
      <w:r w:rsidRPr="00C702FB">
        <w:t xml:space="preserve">ni quella </w:t>
      </w:r>
      <w:r>
        <w:t>del 30% delle terapie intensive.</w:t>
      </w:r>
      <w:r w:rsidR="00CE3AF1">
        <w:t xml:space="preserve"> </w:t>
      </w:r>
      <w:r w:rsidR="00A47649">
        <w:t xml:space="preserve">Tuttavia, </w:t>
      </w:r>
      <w:r w:rsidR="00CE3AF1">
        <w:t xml:space="preserve">nonostante la </w:t>
      </w:r>
      <w:r w:rsidR="00D024D6">
        <w:t xml:space="preserve">riduzione della </w:t>
      </w:r>
      <w:r w:rsidR="00CE3AF1">
        <w:t>pressione sugli ospedali</w:t>
      </w:r>
      <w:r w:rsidR="00A47649">
        <w:t>,</w:t>
      </w:r>
      <w:r w:rsidR="00CE3AF1">
        <w:t xml:space="preserve"> </w:t>
      </w:r>
      <w:r w:rsidR="00722B56">
        <w:t xml:space="preserve">il numero dei </w:t>
      </w:r>
      <w:r w:rsidR="005A590D">
        <w:t>decessi</w:t>
      </w:r>
      <w:r w:rsidR="00D024D6">
        <w:t xml:space="preserve"> </w:t>
      </w:r>
      <w:r w:rsidR="00624752">
        <w:t xml:space="preserve">rimane </w:t>
      </w:r>
      <w:r w:rsidR="00722B56">
        <w:t xml:space="preserve">molto </w:t>
      </w:r>
      <w:r w:rsidR="00E55508">
        <w:t>elevato</w:t>
      </w:r>
      <w:r w:rsidR="00664B80">
        <w:t>,</w:t>
      </w:r>
      <w:r w:rsidR="00D024D6">
        <w:t xml:space="preserve"> </w:t>
      </w:r>
      <w:r w:rsidR="00A47649">
        <w:t xml:space="preserve">seppur in </w:t>
      </w:r>
      <w:r w:rsidR="00A47649" w:rsidRPr="00D024D6">
        <w:t>lieve calo ris</w:t>
      </w:r>
      <w:r w:rsidR="00A47649">
        <w:t>petto alle settimane precedenti</w:t>
      </w:r>
      <w:r w:rsidR="00A47649" w:rsidRPr="001A0514">
        <w:t xml:space="preserve"> </w:t>
      </w:r>
      <w:r w:rsidR="00D024D6">
        <w:rPr>
          <w:highlight w:val="yellow"/>
        </w:rPr>
        <w:t>(</w:t>
      </w:r>
      <w:r w:rsidR="00D024D6" w:rsidRPr="00CE3AF1">
        <w:rPr>
          <w:highlight w:val="yellow"/>
        </w:rPr>
        <w:t>figur</w:t>
      </w:r>
      <w:r w:rsidR="00D024D6" w:rsidRPr="001A0514">
        <w:rPr>
          <w:highlight w:val="yellow"/>
        </w:rPr>
        <w:t xml:space="preserve">a </w:t>
      </w:r>
      <w:r w:rsidR="001A0514" w:rsidRPr="001A0514">
        <w:rPr>
          <w:highlight w:val="yellow"/>
        </w:rPr>
        <w:t>3</w:t>
      </w:r>
      <w:r w:rsidR="00D024D6">
        <w:t>)</w:t>
      </w:r>
      <w:r w:rsidR="00D024D6" w:rsidRPr="00D024D6">
        <w:t xml:space="preserve">. </w:t>
      </w:r>
    </w:p>
    <w:p w:rsidR="00707A47" w:rsidRDefault="00707A47" w:rsidP="00707A47">
      <w:pPr>
        <w:spacing w:line="276" w:lineRule="auto"/>
        <w:jc w:val="both"/>
      </w:pPr>
      <w:r w:rsidRPr="002D16D8">
        <w:rPr>
          <w:b/>
        </w:rPr>
        <w:t>Vaccini: somministrazioni.</w:t>
      </w:r>
      <w:r>
        <w:t xml:space="preserve"> </w:t>
      </w:r>
      <w:r w:rsidRPr="002D16D8">
        <w:t xml:space="preserve">Al </w:t>
      </w:r>
      <w:r>
        <w:t>10</w:t>
      </w:r>
      <w:r w:rsidRPr="002D16D8">
        <w:t xml:space="preserve"> febbraio (aggiornamento ore </w:t>
      </w:r>
      <w:r w:rsidR="00B36E29">
        <w:t>0</w:t>
      </w:r>
      <w:r>
        <w:t>7</w:t>
      </w:r>
      <w:r w:rsidR="00B36E29">
        <w:t>.</w:t>
      </w:r>
      <w:r>
        <w:t>30</w:t>
      </w:r>
      <w:r w:rsidRPr="002D16D8">
        <w:t xml:space="preserve">) hanno completato il ciclo vaccinale con la seconda dose </w:t>
      </w:r>
      <w:r w:rsidRPr="00D77351">
        <w:t>1.214.139</w:t>
      </w:r>
      <w:r w:rsidRPr="002D16D8">
        <w:t xml:space="preserve"> persone (</w:t>
      </w:r>
      <w:r>
        <w:t>2,04</w:t>
      </w:r>
      <w:r w:rsidRPr="002D16D8">
        <w:t xml:space="preserve">% della popolazione), con marcate differenze regionali: dal </w:t>
      </w:r>
      <w:r w:rsidR="00E459D8">
        <w:t>1,38</w:t>
      </w:r>
      <w:r w:rsidR="00E459D8" w:rsidRPr="002D16D8">
        <w:t xml:space="preserve">% </w:t>
      </w:r>
      <w:r w:rsidR="00E459D8">
        <w:t>della Calabria</w:t>
      </w:r>
      <w:r w:rsidR="00E459D8" w:rsidRPr="002D16D8">
        <w:t xml:space="preserve"> </w:t>
      </w:r>
      <w:r w:rsidR="00E459D8">
        <w:t xml:space="preserve">al </w:t>
      </w:r>
      <w:r>
        <w:t>3,58</w:t>
      </w:r>
      <w:r w:rsidRPr="002D16D8">
        <w:t xml:space="preserve">% della </w:t>
      </w:r>
      <w:r>
        <w:t>P</w:t>
      </w:r>
      <w:r w:rsidR="008B1E0C">
        <w:t xml:space="preserve">rovincia </w:t>
      </w:r>
      <w:r>
        <w:t>A</w:t>
      </w:r>
      <w:r w:rsidR="008B1E0C">
        <w:t>utonoma di</w:t>
      </w:r>
      <w:r>
        <w:t xml:space="preserve"> Bolzano</w:t>
      </w:r>
      <w:r w:rsidR="00E459D8">
        <w:t xml:space="preserve"> </w:t>
      </w:r>
      <w:r w:rsidRPr="000E29C4">
        <w:t>(</w:t>
      </w:r>
      <w:r w:rsidRPr="000E29C4">
        <w:rPr>
          <w:highlight w:val="yellow"/>
        </w:rPr>
        <w:t xml:space="preserve">figura </w:t>
      </w:r>
      <w:r w:rsidR="001A0514">
        <w:rPr>
          <w:highlight w:val="yellow"/>
        </w:rPr>
        <w:t>4</w:t>
      </w:r>
      <w:r w:rsidR="00D03ABB">
        <w:t>)</w:t>
      </w:r>
      <w:r w:rsidR="004C33D3">
        <w:t xml:space="preserve">. </w:t>
      </w:r>
      <w:r w:rsidR="004C33D3" w:rsidRPr="007919D2">
        <w:t>«</w:t>
      </w:r>
      <w:r w:rsidR="00277F11">
        <w:t xml:space="preserve">In generale </w:t>
      </w:r>
      <w:r w:rsidR="004C33D3">
        <w:t xml:space="preserve">– afferma Renata Gili, </w:t>
      </w:r>
      <w:r w:rsidR="004C33D3" w:rsidRPr="004C33D3">
        <w:t>responsabile Ricerca sui Servizi Sanitari della Fondazione GIMBE</w:t>
      </w:r>
      <w:r w:rsidR="00277F11">
        <w:t xml:space="preserve"> – se </w:t>
      </w:r>
      <w:r w:rsidR="004C33D3">
        <w:t>d</w:t>
      </w:r>
      <w:r>
        <w:t xml:space="preserve">a un lato i </w:t>
      </w:r>
      <w:r w:rsidR="00C70B26">
        <w:t>ritardi d</w:t>
      </w:r>
      <w:r>
        <w:t xml:space="preserve">elle forniture </w:t>
      </w:r>
      <w:r w:rsidR="00277F11">
        <w:lastRenderedPageBreak/>
        <w:t>i</w:t>
      </w:r>
      <w:r w:rsidR="00563E25">
        <w:t>nteressan</w:t>
      </w:r>
      <w:r w:rsidR="00277F11">
        <w:t>o</w:t>
      </w:r>
      <w:r w:rsidR="002F2004">
        <w:t xml:space="preserve"> l’intero</w:t>
      </w:r>
      <w:r>
        <w:t xml:space="preserve"> primo trimestre</w:t>
      </w:r>
      <w:r w:rsidR="00C70B26">
        <w:t xml:space="preserve"> con</w:t>
      </w:r>
      <w:r w:rsidR="00D03ABB">
        <w:t xml:space="preserve"> inevitabile rallentamento dell</w:t>
      </w:r>
      <w:r>
        <w:t>a campagna vaccinale</w:t>
      </w:r>
      <w:r w:rsidR="00277F11">
        <w:t xml:space="preserve">, </w:t>
      </w:r>
      <w:r>
        <w:t xml:space="preserve">dall’altro </w:t>
      </w:r>
      <w:r w:rsidR="004C33D3">
        <w:t>le Regioni</w:t>
      </w:r>
      <w:r>
        <w:t xml:space="preserve"> </w:t>
      </w:r>
      <w:r w:rsidR="002F2004">
        <w:t>stanno gestendo</w:t>
      </w:r>
      <w:r w:rsidR="00C70B26">
        <w:t xml:space="preserve"> correttamente le dosi, completando il ciclo vaccinale </w:t>
      </w:r>
      <w:r w:rsidR="004C33D3">
        <w:t>nei tempi corretti</w:t>
      </w:r>
      <w:r w:rsidR="004C33D3" w:rsidRPr="00C44E61">
        <w:t>».</w:t>
      </w:r>
    </w:p>
    <w:p w:rsidR="00CF744D" w:rsidRDefault="00CF744D" w:rsidP="00FF5B51">
      <w:pPr>
        <w:spacing w:line="276" w:lineRule="auto"/>
        <w:jc w:val="both"/>
      </w:pPr>
      <w:r w:rsidRPr="004D5F43">
        <w:t>«</w:t>
      </w:r>
      <w:r w:rsidR="00365B9F">
        <w:t>Rispetto alle categorie di persone vaccinate</w:t>
      </w:r>
      <w:r>
        <w:t xml:space="preserve"> </w:t>
      </w:r>
      <w:r w:rsidRPr="007919D2">
        <w:t>–</w:t>
      </w:r>
      <w:r>
        <w:t xml:space="preserve"> spiega Gili </w:t>
      </w:r>
      <w:r w:rsidRPr="007919D2">
        <w:t>–</w:t>
      </w:r>
      <w:r>
        <w:t xml:space="preserve"> </w:t>
      </w:r>
      <w:r w:rsidR="00473644" w:rsidRPr="002D16D8">
        <w:t xml:space="preserve">il </w:t>
      </w:r>
      <w:r w:rsidR="00FF5B51">
        <w:t>70</w:t>
      </w:r>
      <w:r w:rsidR="00C65ED7" w:rsidRPr="002D16D8">
        <w:t xml:space="preserve">% delle dosi sono state </w:t>
      </w:r>
      <w:r w:rsidR="006272E8" w:rsidRPr="002D16D8">
        <w:t xml:space="preserve">destinate </w:t>
      </w:r>
      <w:r w:rsidR="00C65ED7" w:rsidRPr="002D16D8">
        <w:t xml:space="preserve">a “operatori sanitari e sociosanitari”, </w:t>
      </w:r>
      <w:r w:rsidR="00A74534" w:rsidRPr="002D16D8">
        <w:t xml:space="preserve">il </w:t>
      </w:r>
      <w:r w:rsidR="00FF5B51">
        <w:t>18</w:t>
      </w:r>
      <w:r w:rsidR="00A74534" w:rsidRPr="002D16D8">
        <w:t xml:space="preserve">% a “personale non sanitario”, </w:t>
      </w:r>
      <w:r w:rsidR="001D5CA7">
        <w:t>l’</w:t>
      </w:r>
      <w:r w:rsidR="00FF5B51">
        <w:t>11</w:t>
      </w:r>
      <w:r w:rsidR="00A74534" w:rsidRPr="002D16D8">
        <w:t xml:space="preserve">% a “personale ed ospiti delle RSA” e </w:t>
      </w:r>
      <w:r w:rsidR="00FA3CD2">
        <w:t>meno dell’</w:t>
      </w:r>
      <w:r w:rsidR="00FF5B51">
        <w:t>1</w:t>
      </w:r>
      <w:r w:rsidR="00FB4D5D" w:rsidRPr="002D16D8">
        <w:t>% a “persone di età ≥80 anni”</w:t>
      </w:r>
      <w:r>
        <w:t>, con notevoli differenze regionali</w:t>
      </w:r>
      <w:r w:rsidR="00502656" w:rsidRPr="00C44E61">
        <w:t>»</w:t>
      </w:r>
      <w:r>
        <w:t xml:space="preserve"> (</w:t>
      </w:r>
      <w:r w:rsidRPr="00CF744D">
        <w:rPr>
          <w:highlight w:val="yellow"/>
        </w:rPr>
        <w:t>figura 5</w:t>
      </w:r>
      <w:r>
        <w:t>)</w:t>
      </w:r>
      <w:r w:rsidRPr="00C44E61">
        <w:t>.</w:t>
      </w:r>
      <w:r w:rsidR="00FF5B51">
        <w:t xml:space="preserve"> </w:t>
      </w:r>
      <w:r w:rsidR="007810F4">
        <w:t xml:space="preserve">Purtroppo, </w:t>
      </w:r>
      <w:r>
        <w:t>solo il 3,6% (n</w:t>
      </w:r>
      <w:r w:rsidRPr="00CF744D">
        <w:t>. 158.805) degli over 80 ha ricevuto almeno una do</w:t>
      </w:r>
      <w:r>
        <w:t xml:space="preserve">se di vaccino, e </w:t>
      </w:r>
      <w:r w:rsidR="00502656">
        <w:t xml:space="preserve">solo </w:t>
      </w:r>
      <w:r>
        <w:t>il 2,2% (n</w:t>
      </w:r>
      <w:r w:rsidRPr="00CF744D">
        <w:t>. 96.503) h</w:t>
      </w:r>
      <w:r>
        <w:t>a</w:t>
      </w:r>
      <w:r w:rsidR="00E80F5B">
        <w:t xml:space="preserve"> completato il ciclo vaccinale, </w:t>
      </w:r>
      <w:r>
        <w:t>percentuali molto lontane dal target di copertura raccomandato dalla Commissione Europea per questa fascia di età: 80% entro il 31 marzo</w:t>
      </w:r>
      <w:r w:rsidR="00042777">
        <w:t xml:space="preserve"> 2021</w:t>
      </w:r>
      <w:r w:rsidRPr="00C44E61">
        <w:t>.</w:t>
      </w:r>
    </w:p>
    <w:p w:rsidR="00FF5B51" w:rsidRDefault="00FF5B51" w:rsidP="00943563">
      <w:pPr>
        <w:spacing w:line="276" w:lineRule="auto"/>
        <w:jc w:val="both"/>
      </w:pPr>
      <w:r w:rsidRPr="00FF5B51">
        <w:rPr>
          <w:b/>
        </w:rPr>
        <w:t>Vaccini: efficacia</w:t>
      </w:r>
      <w:r>
        <w:t xml:space="preserve">. </w:t>
      </w:r>
      <w:r w:rsidR="00E902FA">
        <w:t>Sulla base de</w:t>
      </w:r>
      <w:r w:rsidR="00F165A1">
        <w:t xml:space="preserve">i dati pubblicamente disponibili </w:t>
      </w:r>
      <w:r w:rsidR="00152CEF">
        <w:t xml:space="preserve">al momento </w:t>
      </w:r>
      <w:r w:rsidR="00CF744D">
        <w:t xml:space="preserve">è possibile valutare </w:t>
      </w:r>
      <w:r w:rsidR="00E902FA">
        <w:t xml:space="preserve">l’efficacia della vaccinazione </w:t>
      </w:r>
      <w:r w:rsidR="00F165A1">
        <w:t xml:space="preserve">solo sugli </w:t>
      </w:r>
      <w:r>
        <w:t xml:space="preserve">operatori sanitari, i cui contagi </w:t>
      </w:r>
      <w:r w:rsidR="00D52BB6">
        <w:t xml:space="preserve">vengono </w:t>
      </w:r>
      <w:r>
        <w:t xml:space="preserve">monitorati </w:t>
      </w:r>
      <w:r w:rsidR="007810F4">
        <w:t xml:space="preserve">regolarmente </w:t>
      </w:r>
      <w:r>
        <w:t xml:space="preserve">dall’Istituto Superiore di Sanità. </w:t>
      </w:r>
      <w:r w:rsidR="008F1086">
        <w:t xml:space="preserve">Se i nuovi casi nella popolazione generale sono stabili da </w:t>
      </w:r>
      <w:r w:rsidR="007D7A65">
        <w:t>3 settimane</w:t>
      </w:r>
      <w:r w:rsidR="00B6049D">
        <w:t xml:space="preserve">, </w:t>
      </w:r>
      <w:r w:rsidR="008F1086">
        <w:t xml:space="preserve">tra </w:t>
      </w:r>
      <w:r w:rsidR="007D7A65">
        <w:t xml:space="preserve">gli operatori sanitari </w:t>
      </w:r>
      <w:r w:rsidR="00762BD6">
        <w:t xml:space="preserve">si sono ridotti del </w:t>
      </w:r>
      <w:r w:rsidR="0038317C">
        <w:t>64,2%</w:t>
      </w:r>
      <w:r w:rsidR="00762BD6" w:rsidRPr="0038317C">
        <w:t>:</w:t>
      </w:r>
      <w:r w:rsidR="00762BD6" w:rsidRPr="00E80F5B">
        <w:rPr>
          <w:color w:val="FF0000"/>
        </w:rPr>
        <w:t xml:space="preserve"> </w:t>
      </w:r>
      <w:r w:rsidR="00B6049D">
        <w:t>da</w:t>
      </w:r>
      <w:r w:rsidR="00FA3CD2">
        <w:t xml:space="preserve">i </w:t>
      </w:r>
      <w:r w:rsidR="008010D0" w:rsidRPr="00502A36">
        <w:t xml:space="preserve">4.382 </w:t>
      </w:r>
      <w:r w:rsidR="008010D0">
        <w:t>rilevati nel</w:t>
      </w:r>
      <w:r w:rsidR="00762BD6">
        <w:t>la</w:t>
      </w:r>
      <w:r w:rsidR="008010D0">
        <w:t xml:space="preserve"> </w:t>
      </w:r>
      <w:r w:rsidR="00762BD6">
        <w:t xml:space="preserve">settimana </w:t>
      </w:r>
      <w:r w:rsidR="00F165A1">
        <w:t xml:space="preserve">13-19 gennaio, quando </w:t>
      </w:r>
      <w:r w:rsidR="00B6049D">
        <w:t>è stata avviata la somm</w:t>
      </w:r>
      <w:r w:rsidR="00FA3CD2">
        <w:t>inistrazione delle seconde dosi</w:t>
      </w:r>
      <w:r w:rsidR="0038317C">
        <w:t>,</w:t>
      </w:r>
      <w:r w:rsidR="00762BD6">
        <w:t xml:space="preserve"> ai 1.570 della settimana 3-9 febbraio</w:t>
      </w:r>
      <w:r w:rsidR="00FA3CD2" w:rsidRPr="00FA3CD2">
        <w:t>.</w:t>
      </w:r>
    </w:p>
    <w:p w:rsidR="00FF5B51" w:rsidRDefault="008F1086" w:rsidP="00FF5B51">
      <w:pPr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2FBC9296" wp14:editId="7050557D">
            <wp:extent cx="5760000" cy="28401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4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395" w:rsidRDefault="00774CEB" w:rsidP="00943563">
      <w:pPr>
        <w:spacing w:line="276" w:lineRule="auto"/>
        <w:jc w:val="both"/>
      </w:pPr>
      <w:r w:rsidRPr="004D5F43">
        <w:t>«</w:t>
      </w:r>
      <w:r w:rsidR="00700F4A">
        <w:t>Presupponendo che le modalità di screening periodico degli operatori sanitari non siano state modificate</w:t>
      </w:r>
      <w:r w:rsidR="00700F4A" w:rsidDel="00700F4A">
        <w:t xml:space="preserve"> </w:t>
      </w:r>
      <w:r>
        <w:t xml:space="preserve">– spiega Cartabellotta – </w:t>
      </w:r>
      <w:r w:rsidR="008F1086">
        <w:t>questa net</w:t>
      </w:r>
      <w:r w:rsidR="00DE03E4">
        <w:t xml:space="preserve">ta riduzione è verosimilmente </w:t>
      </w:r>
      <w:r w:rsidR="008F1086">
        <w:t xml:space="preserve">effetto della </w:t>
      </w:r>
      <w:r w:rsidR="003B3399">
        <w:t>somministrazione di</w:t>
      </w:r>
      <w:r w:rsidR="00DA0FEC">
        <w:t xml:space="preserve"> </w:t>
      </w:r>
      <w:r w:rsidR="0045033A">
        <w:t xml:space="preserve">circa </w:t>
      </w:r>
      <w:r w:rsidR="00EE56AE">
        <w:t>1,9 milioni di dosi di vaccino</w:t>
      </w:r>
      <w:r w:rsidR="00762BD6">
        <w:t xml:space="preserve"> in questa categoria di popolazione</w:t>
      </w:r>
      <w:r w:rsidRPr="00422F0E">
        <w:t>»</w:t>
      </w:r>
      <w:r w:rsidR="00B3587D">
        <w:t>.</w:t>
      </w:r>
    </w:p>
    <w:p w:rsidR="006F17C1" w:rsidRDefault="004D5F43" w:rsidP="006F17C1">
      <w:pPr>
        <w:spacing w:line="276" w:lineRule="auto"/>
        <w:jc w:val="both"/>
      </w:pPr>
      <w:r w:rsidRPr="004D5F43">
        <w:t>«</w:t>
      </w:r>
      <w:r w:rsidR="003B3399">
        <w:t xml:space="preserve">Il nascente Governo </w:t>
      </w:r>
      <w:r w:rsidR="003B3399" w:rsidRPr="004D5F43">
        <w:t>–</w:t>
      </w:r>
      <w:r w:rsidR="003B3399">
        <w:t xml:space="preserve"> </w:t>
      </w:r>
      <w:r w:rsidRPr="004D5F43">
        <w:t>conclude Cartabellotta –</w:t>
      </w:r>
      <w:r w:rsidR="003B3399">
        <w:t xml:space="preserve"> </w:t>
      </w:r>
      <w:r w:rsidR="00F67A73">
        <w:t xml:space="preserve">dovrà </w:t>
      </w:r>
      <w:r w:rsidR="00C3224E">
        <w:t xml:space="preserve">affrontare </w:t>
      </w:r>
      <w:r w:rsidR="00473D7C">
        <w:t xml:space="preserve">immediatamente </w:t>
      </w:r>
      <w:r w:rsidR="00C3224E">
        <w:t xml:space="preserve">questioni chiave per la gestione della pandemia. </w:t>
      </w:r>
      <w:r w:rsidR="00A41A3A">
        <w:t>O</w:t>
      </w:r>
      <w:r w:rsidR="00F67A73">
        <w:t xml:space="preserve">ltre alla necessità </w:t>
      </w:r>
      <w:r w:rsidR="00CF7D97">
        <w:t xml:space="preserve">di </w:t>
      </w:r>
      <w:r w:rsidR="00F165A1">
        <w:t xml:space="preserve">accelerare le </w:t>
      </w:r>
      <w:r w:rsidR="00F67A73">
        <w:t xml:space="preserve">forniture vaccinali </w:t>
      </w:r>
      <w:r w:rsidR="00F165A1">
        <w:t xml:space="preserve">per </w:t>
      </w:r>
      <w:r w:rsidR="00F67A73">
        <w:t xml:space="preserve">mettere al sicuro </w:t>
      </w:r>
      <w:r w:rsidR="00F165A1">
        <w:t xml:space="preserve">persone </w:t>
      </w:r>
      <w:r w:rsidR="00967599">
        <w:t xml:space="preserve">anziane </w:t>
      </w:r>
      <w:r w:rsidR="00F165A1">
        <w:t>e fragili</w:t>
      </w:r>
      <w:r w:rsidR="00F67A73">
        <w:t xml:space="preserve">, occorrerà </w:t>
      </w:r>
      <w:r w:rsidR="00F165A1">
        <w:t xml:space="preserve">arginare la circolazione delle </w:t>
      </w:r>
      <w:r w:rsidR="00F67A73">
        <w:t>nuove varianti</w:t>
      </w:r>
      <w:r w:rsidR="00F165A1">
        <w:t xml:space="preserve">. </w:t>
      </w:r>
      <w:r w:rsidR="00A41A3A">
        <w:t>In tal senso,</w:t>
      </w:r>
      <w:r w:rsidR="00BD0873">
        <w:t xml:space="preserve"> con</w:t>
      </w:r>
      <w:r w:rsidR="00A41A3A">
        <w:t xml:space="preserve"> l</w:t>
      </w:r>
      <w:r w:rsidR="00F165A1">
        <w:t xml:space="preserve">a riapertura dei confini regionali prevista per il prossimo 15 febbraio </w:t>
      </w:r>
      <w:r w:rsidR="007810F4">
        <w:t xml:space="preserve">e </w:t>
      </w:r>
      <w:r w:rsidR="00BD0873">
        <w:t>un</w:t>
      </w:r>
      <w:r w:rsidR="007810F4">
        <w:t>’</w:t>
      </w:r>
      <w:r w:rsidR="00967599">
        <w:t xml:space="preserve">Italia </w:t>
      </w:r>
      <w:r w:rsidR="00F165A1">
        <w:t xml:space="preserve">quasi tutta gialla </w:t>
      </w:r>
      <w:r w:rsidR="008F1086">
        <w:t xml:space="preserve">rischiamo </w:t>
      </w:r>
      <w:r w:rsidR="00BD0873">
        <w:t>un’</w:t>
      </w:r>
      <w:r w:rsidR="00F165A1">
        <w:t xml:space="preserve">impennata dei contagi </w:t>
      </w:r>
      <w:r w:rsidR="00BD0873">
        <w:t xml:space="preserve">con </w:t>
      </w:r>
      <w:r w:rsidR="002720C2">
        <w:t xml:space="preserve">conseguente </w:t>
      </w:r>
      <w:r w:rsidR="00E80F5B">
        <w:t xml:space="preserve">saturazione degli ospedali, </w:t>
      </w:r>
      <w:r w:rsidR="007810F4">
        <w:t xml:space="preserve">nonostante il </w:t>
      </w:r>
      <w:r w:rsidR="00F165A1">
        <w:t xml:space="preserve">potenziamento del sequenziamento virale e </w:t>
      </w:r>
      <w:r w:rsidR="007810F4">
        <w:t>i</w:t>
      </w:r>
      <w:r w:rsidR="00F165A1">
        <w:t xml:space="preserve"> </w:t>
      </w:r>
      <w:r w:rsidR="00E80F5B">
        <w:t xml:space="preserve">lockdown mirati. Servono decisioni tempestive perché </w:t>
      </w:r>
      <w:r w:rsidR="00FC5F1F">
        <w:t xml:space="preserve">la corsa del </w:t>
      </w:r>
      <w:r w:rsidR="00E80F5B">
        <w:t xml:space="preserve">virus e </w:t>
      </w:r>
      <w:r w:rsidR="00FC5F1F">
        <w:t>del</w:t>
      </w:r>
      <w:r w:rsidR="00E80F5B">
        <w:t>le sue varianti</w:t>
      </w:r>
      <w:r w:rsidR="00FC5F1F">
        <w:t xml:space="preserve"> </w:t>
      </w:r>
      <w:r w:rsidR="00E80F5B">
        <w:t>non rallenta</w:t>
      </w:r>
      <w:r w:rsidR="00FC5F1F">
        <w:t xml:space="preserve"> certo per una</w:t>
      </w:r>
      <w:r w:rsidR="00E80F5B">
        <w:t xml:space="preserve"> crisi di Governo</w:t>
      </w:r>
      <w:r w:rsidR="00F063A9" w:rsidRPr="004D5F43">
        <w:t>»</w:t>
      </w:r>
      <w:r w:rsidR="00F063A9">
        <w:t xml:space="preserve">. </w:t>
      </w:r>
    </w:p>
    <w:p w:rsidR="00115E64" w:rsidRPr="00625E38" w:rsidRDefault="00115E64" w:rsidP="00943563">
      <w:pPr>
        <w:spacing w:after="120" w:line="276" w:lineRule="auto"/>
        <w:rPr>
          <w:rFonts w:cstheme="minorHAnsi"/>
          <w:i/>
          <w:u w:val="single"/>
        </w:rPr>
      </w:pPr>
      <w:r w:rsidRPr="00497C09">
        <w:rPr>
          <w:rFonts w:cstheme="minorHAnsi"/>
          <w:i/>
        </w:rPr>
        <w:t xml:space="preserve">Il monitoraggio GIMBE dell'epidemia di COVID-19 è disponibile a: </w:t>
      </w:r>
      <w:hyperlink r:id="rId9" w:history="1">
        <w:r w:rsidRPr="00497C09">
          <w:rPr>
            <w:rStyle w:val="Collegamentoipertestuale"/>
            <w:rFonts w:cstheme="minorHAnsi"/>
            <w:i/>
          </w:rPr>
          <w:t>https://coronavirus.gimbe.org</w:t>
        </w:r>
      </w:hyperlink>
    </w:p>
    <w:p w:rsidR="001D225C" w:rsidRPr="00F94BB5" w:rsidRDefault="00115E64" w:rsidP="00F94BB5">
      <w:pPr>
        <w:spacing w:after="120"/>
        <w:rPr>
          <w:rFonts w:ascii="Calibri" w:eastAsia="Calibri" w:hAnsi="Calibri" w:cs="Times New Roman"/>
          <w:color w:val="0563C1" w:themeColor="hyperlink"/>
          <w:sz w:val="20"/>
          <w:u w:val="single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</w:rPr>
        <w:br/>
      </w:r>
      <w:r w:rsidRPr="00A24080">
        <w:rPr>
          <w:b/>
        </w:rPr>
        <w:t>Fondazione GIMBE</w:t>
      </w:r>
      <w:r>
        <w:rPr>
          <w:rFonts w:cstheme="minorHAnsi"/>
          <w:i/>
          <w:color w:val="0563C1" w:themeColor="hyperlink"/>
          <w:u w:val="single"/>
        </w:rPr>
        <w:br/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0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D86DE6" w:rsidRDefault="00D86DE6" w:rsidP="00FF5B51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Figura 1</w:t>
      </w:r>
      <w:r w:rsidR="00BC5C13">
        <w:rPr>
          <w:b/>
          <w:color w:val="00457D"/>
          <w:sz w:val="24"/>
        </w:rPr>
        <w:t xml:space="preserve"> </w:t>
      </w:r>
      <w:r w:rsidR="00AD7AF9">
        <w:rPr>
          <w:b/>
          <w:color w:val="00457D"/>
          <w:sz w:val="24"/>
        </w:rPr>
        <w:br/>
      </w:r>
      <w:r w:rsidR="00891F25">
        <w:rPr>
          <w:noProof/>
          <w:lang w:eastAsia="it-IT"/>
        </w:rPr>
        <w:drawing>
          <wp:inline distT="0" distB="0" distL="0" distR="0" wp14:anchorId="54EC83CF" wp14:editId="10898F84">
            <wp:extent cx="6120130" cy="330126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E6" w:rsidRDefault="00D86DE6" w:rsidP="00891F25">
      <w:pPr>
        <w:rPr>
          <w:b/>
          <w:color w:val="00457D"/>
          <w:sz w:val="24"/>
        </w:rPr>
      </w:pPr>
    </w:p>
    <w:p w:rsidR="003F2406" w:rsidRDefault="003F2406" w:rsidP="003F2406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br/>
      </w:r>
      <w:r w:rsidR="00891F25">
        <w:rPr>
          <w:b/>
          <w:color w:val="00457D"/>
          <w:sz w:val="24"/>
        </w:rPr>
        <w:t>Figura 3</w:t>
      </w:r>
      <w:r w:rsidRPr="00BC5C13">
        <w:rPr>
          <w:b/>
          <w:color w:val="00457D"/>
          <w:sz w:val="24"/>
        </w:rPr>
        <w:t xml:space="preserve"> </w:t>
      </w:r>
      <w:r>
        <w:rPr>
          <w:b/>
          <w:color w:val="00457D"/>
          <w:sz w:val="24"/>
        </w:rPr>
        <w:br/>
      </w:r>
      <w:r w:rsidR="00891F25">
        <w:rPr>
          <w:noProof/>
          <w:lang w:eastAsia="it-IT"/>
        </w:rPr>
        <w:drawing>
          <wp:inline distT="0" distB="0" distL="0" distR="0" wp14:anchorId="08538356" wp14:editId="06E23F8E">
            <wp:extent cx="6120130" cy="3282236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06" w:rsidRDefault="003F2406" w:rsidP="003F2406">
      <w:pPr>
        <w:jc w:val="center"/>
        <w:rPr>
          <w:b/>
          <w:color w:val="00457D"/>
          <w:sz w:val="24"/>
        </w:rPr>
      </w:pPr>
    </w:p>
    <w:p w:rsidR="003F2406" w:rsidRDefault="003F2406" w:rsidP="003F2406">
      <w:pPr>
        <w:jc w:val="center"/>
        <w:rPr>
          <w:b/>
          <w:color w:val="00457D"/>
          <w:sz w:val="24"/>
        </w:rPr>
      </w:pPr>
    </w:p>
    <w:p w:rsidR="003F2406" w:rsidRDefault="003F2406" w:rsidP="003F2406">
      <w:pPr>
        <w:jc w:val="center"/>
        <w:rPr>
          <w:b/>
          <w:color w:val="00457D"/>
          <w:sz w:val="24"/>
        </w:rPr>
        <w:sectPr w:rsidR="003F2406" w:rsidSect="00115E64">
          <w:headerReference w:type="default" r:id="rId13"/>
          <w:footnotePr>
            <w:numFmt w:val="chicago"/>
          </w:footnotePr>
          <w:pgSz w:w="11906" w:h="16838"/>
          <w:pgMar w:top="993" w:right="1134" w:bottom="709" w:left="1134" w:header="709" w:footer="836" w:gutter="0"/>
          <w:cols w:space="708"/>
          <w:docGrid w:linePitch="360"/>
        </w:sectPr>
      </w:pPr>
    </w:p>
    <w:p w:rsidR="001A0514" w:rsidRPr="00891F25" w:rsidRDefault="00BF6DF7" w:rsidP="00891F25">
      <w:pPr>
        <w:spacing w:after="0" w:line="36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 xml:space="preserve">Figura </w:t>
      </w:r>
      <w:r w:rsidR="001A0514">
        <w:rPr>
          <w:b/>
          <w:color w:val="00457D"/>
          <w:sz w:val="24"/>
        </w:rPr>
        <w:t>2</w:t>
      </w:r>
      <w:r w:rsidR="00A53D93">
        <w:rPr>
          <w:b/>
          <w:color w:val="00457D"/>
          <w:sz w:val="24"/>
        </w:rPr>
        <w:t xml:space="preserve"> </w:t>
      </w:r>
    </w:p>
    <w:p w:rsidR="00891F25" w:rsidRPr="00080306" w:rsidRDefault="00891F25" w:rsidP="00080306">
      <w:pPr>
        <w:spacing w:after="0" w:line="360" w:lineRule="auto"/>
        <w:jc w:val="center"/>
        <w:rPr>
          <w:b/>
          <w:color w:val="FF0000"/>
          <w:sz w:val="24"/>
        </w:rPr>
        <w:sectPr w:rsidR="00891F25" w:rsidRPr="00080306" w:rsidSect="00B76C0E">
          <w:footnotePr>
            <w:numFmt w:val="chicago"/>
          </w:footnotePr>
          <w:pgSz w:w="16838" w:h="11906" w:orient="landscape"/>
          <w:pgMar w:top="1134" w:right="709" w:bottom="1134" w:left="992" w:header="709" w:footer="833" w:gutter="0"/>
          <w:cols w:space="708"/>
          <w:docGrid w:linePitch="360"/>
        </w:sectPr>
      </w:pPr>
      <w:r>
        <w:rPr>
          <w:noProof/>
          <w:lang w:eastAsia="it-IT"/>
        </w:rPr>
        <w:drawing>
          <wp:inline distT="0" distB="0" distL="0" distR="0" wp14:anchorId="30ACDEBD" wp14:editId="72E9BC51">
            <wp:extent cx="9360000" cy="490903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490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14" w:rsidRDefault="001A0514" w:rsidP="0065595A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Figura 4</w:t>
      </w:r>
      <w:r w:rsidR="00BC5C13">
        <w:rPr>
          <w:b/>
          <w:color w:val="00457D"/>
          <w:sz w:val="24"/>
        </w:rPr>
        <w:t xml:space="preserve"> </w:t>
      </w:r>
      <w:r w:rsidR="0065595A">
        <w:rPr>
          <w:b/>
          <w:color w:val="00457D"/>
          <w:sz w:val="24"/>
        </w:rPr>
        <w:br/>
      </w:r>
      <w:r w:rsidR="00891F25">
        <w:rPr>
          <w:noProof/>
          <w:lang w:eastAsia="it-IT"/>
        </w:rPr>
        <w:drawing>
          <wp:inline distT="0" distB="0" distL="0" distR="0" wp14:anchorId="0BEA7075" wp14:editId="3BE8E3E3">
            <wp:extent cx="6120130" cy="5132636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3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14" w:rsidRDefault="001A0514" w:rsidP="001A0514">
      <w:pPr>
        <w:spacing w:line="240" w:lineRule="auto"/>
        <w:jc w:val="center"/>
        <w:rPr>
          <w:b/>
          <w:color w:val="00457D"/>
          <w:sz w:val="24"/>
        </w:rPr>
      </w:pPr>
    </w:p>
    <w:p w:rsidR="001A0514" w:rsidRPr="00010725" w:rsidRDefault="002D16D8">
      <w:pPr>
        <w:rPr>
          <w:b/>
          <w:color w:val="00457D"/>
          <w:sz w:val="24"/>
        </w:rPr>
        <w:sectPr w:rsidR="001A0514" w:rsidRPr="00010725" w:rsidSect="001A0514">
          <w:footnotePr>
            <w:numFmt w:val="chicago"/>
          </w:footnotePr>
          <w:pgSz w:w="11906" w:h="16838"/>
          <w:pgMar w:top="709" w:right="1134" w:bottom="992" w:left="1134" w:header="709" w:footer="833" w:gutter="0"/>
          <w:cols w:space="708"/>
          <w:docGrid w:linePitch="360"/>
        </w:sectPr>
      </w:pPr>
      <w:r>
        <w:rPr>
          <w:b/>
          <w:sz w:val="24"/>
        </w:rPr>
        <w:br w:type="page"/>
      </w:r>
    </w:p>
    <w:p w:rsidR="0099708D" w:rsidRPr="00D54A93" w:rsidRDefault="001A0514" w:rsidP="0099708D">
      <w:pPr>
        <w:spacing w:after="0" w:line="276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T</w:t>
      </w:r>
      <w:r w:rsidR="0099708D" w:rsidRPr="00D54A93">
        <w:rPr>
          <w:b/>
          <w:color w:val="00457D"/>
          <w:sz w:val="24"/>
        </w:rPr>
        <w:t>abella</w:t>
      </w:r>
      <w:r w:rsidR="00080306">
        <w:rPr>
          <w:b/>
          <w:color w:val="00457D"/>
          <w:sz w:val="24"/>
        </w:rPr>
        <w:t xml:space="preserve"> 1</w:t>
      </w:r>
      <w:r w:rsidR="0099708D" w:rsidRPr="00D54A93">
        <w:rPr>
          <w:b/>
          <w:color w:val="00457D"/>
          <w:sz w:val="24"/>
        </w:rPr>
        <w:t xml:space="preserve">. Indicatori regionali: settimana 3-9 febbraio 2021 </w:t>
      </w:r>
    </w:p>
    <w:tbl>
      <w:tblPr>
        <w:tblW w:w="5000" w:type="pct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518"/>
        <w:gridCol w:w="1980"/>
        <w:gridCol w:w="2368"/>
        <w:gridCol w:w="2695"/>
        <w:gridCol w:w="2695"/>
      </w:tblGrid>
      <w:tr w:rsidR="001A0514" w:rsidRPr="008F5DF5" w:rsidTr="001A0514">
        <w:trPr>
          <w:trHeight w:val="850"/>
        </w:trPr>
        <w:tc>
          <w:tcPr>
            <w:tcW w:w="989" w:type="pct"/>
            <w:tcBorders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</w:t>
            </w:r>
            <w:r w:rsidRPr="008462D0">
              <w:rPr>
                <w:rFonts w:ascii="Calibri" w:eastAsia="Times New Roman" w:hAnsi="Calibri" w:cs="Calibri"/>
                <w:b/>
                <w:bCs/>
                <w:color w:val="FFFFFF"/>
              </w:rPr>
              <w:t>egione</w:t>
            </w:r>
          </w:p>
        </w:tc>
        <w:tc>
          <w:tcPr>
            <w:tcW w:w="8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>Casi attualmente positivi per 100.000 abitanti</w:t>
            </w:r>
          </w:p>
        </w:tc>
        <w:tc>
          <w:tcPr>
            <w:tcW w:w="6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Incremento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 casi</w:t>
            </w:r>
          </w:p>
        </w:tc>
        <w:tc>
          <w:tcPr>
            <w:tcW w:w="7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1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Persone testate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>per 100.000 abitanti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osti letto in area medica occupati da pazienti COVID−19</w:t>
            </w:r>
          </w:p>
        </w:tc>
        <w:tc>
          <w:tcPr>
            <w:tcW w:w="882" w:type="pct"/>
            <w:tcBorders>
              <w:lef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osti letto in terapia intensiva occupati da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br/>
              <w:t>pazienti COVID−19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831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6,1%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2.988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33%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27%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595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3,8%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653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20%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381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4,3%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885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27%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16%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1.144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4,7%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3.263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35%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18%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Emilia Romagna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961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3,9%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705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32%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24%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874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3,8%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1.510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39%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38%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817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3,4%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2.158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35%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28%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310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3,1%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868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34%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29%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469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2,2%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589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34%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30%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503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4,6%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1.304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46%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32%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451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6,3%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1.680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31%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26%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280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2,2%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774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35%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24%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Prov. Aut. Bolzano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1.062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10,5%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882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44%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30%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Prov. Aut. Trento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472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5,0%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351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25%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32%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1.228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4,8%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628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40%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29%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893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2,4%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864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23%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18%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790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3,6%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780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29%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21%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291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3,2%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1.353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14%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20%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824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824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7,1%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1.047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55%</w:t>
            </w:r>
          </w:p>
        </w:tc>
        <w:tc>
          <w:tcPr>
            <w:tcW w:w="882" w:type="pct"/>
            <w:shd w:val="clear" w:color="000000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61%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124</w:t>
            </w:r>
          </w:p>
        </w:tc>
        <w:tc>
          <w:tcPr>
            <w:tcW w:w="648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0,8%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417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8%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15%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540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1,5%</w:t>
            </w:r>
          </w:p>
        </w:tc>
        <w:tc>
          <w:tcPr>
            <w:tcW w:w="775" w:type="pct"/>
            <w:shd w:val="clear" w:color="auto" w:fill="FFC7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9C0006"/>
                <w:lang w:eastAsia="it-IT"/>
              </w:rPr>
              <w:t>365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19%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color w:val="006100"/>
                <w:lang w:eastAsia="it-IT"/>
              </w:rPr>
              <w:t>15%</w:t>
            </w:r>
          </w:p>
        </w:tc>
      </w:tr>
      <w:tr w:rsidR="001A0514" w:rsidRPr="008F5DF5" w:rsidTr="001A0514">
        <w:trPr>
          <w:trHeight w:val="329"/>
        </w:trPr>
        <w:tc>
          <w:tcPr>
            <w:tcW w:w="989" w:type="pct"/>
            <w:shd w:val="clear" w:color="auto" w:fill="00457D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824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  <w:t>694</w:t>
            </w:r>
          </w:p>
        </w:tc>
        <w:tc>
          <w:tcPr>
            <w:tcW w:w="648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  <w:t>3,3%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bCs/>
                <w:color w:val="006100"/>
                <w:lang w:eastAsia="it-IT"/>
              </w:rPr>
              <w:t>1.191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color w:val="006100"/>
                <w:lang w:eastAsia="it-IT"/>
              </w:rPr>
              <w:t>31%</w:t>
            </w:r>
          </w:p>
        </w:tc>
        <w:tc>
          <w:tcPr>
            <w:tcW w:w="882" w:type="pct"/>
            <w:shd w:val="clear" w:color="000000" w:fill="C6EFCE"/>
            <w:noWrap/>
            <w:vAlign w:val="center"/>
            <w:hideMark/>
          </w:tcPr>
          <w:p w:rsidR="001A0514" w:rsidRPr="008F5DF5" w:rsidRDefault="001A0514" w:rsidP="00B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it-IT"/>
              </w:rPr>
            </w:pPr>
            <w:r w:rsidRPr="008F5DF5">
              <w:rPr>
                <w:rFonts w:ascii="Calibri" w:eastAsia="Times New Roman" w:hAnsi="Calibri" w:cs="Calibri"/>
                <w:b/>
                <w:color w:val="006100"/>
                <w:lang w:eastAsia="it-IT"/>
              </w:rPr>
              <w:t>24%</w:t>
            </w:r>
          </w:p>
        </w:tc>
      </w:tr>
      <w:tr w:rsidR="001A0514" w:rsidRPr="00F240C0" w:rsidTr="00B42707">
        <w:tblPrEx>
          <w:tblBorders>
            <w:top w:val="single" w:sz="8" w:space="0" w:color="00457D"/>
            <w:left w:val="single" w:sz="8" w:space="0" w:color="00457D"/>
            <w:bottom w:val="single" w:sz="8" w:space="0" w:color="00457D"/>
            <w:right w:val="single" w:sz="8" w:space="0" w:color="00457D"/>
            <w:insideH w:val="single" w:sz="8" w:space="0" w:color="00457D"/>
            <w:insideV w:val="single" w:sz="8" w:space="0" w:color="00457D"/>
          </w:tblBorders>
        </w:tblPrEx>
        <w:trPr>
          <w:trHeight w:val="624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1A0514" w:rsidRPr="008B078E" w:rsidRDefault="001A0514" w:rsidP="00B4270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1"/>
              </w:rPr>
            </w:pP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Nota: nelle prime 4 colonne rosso e verde indicano rispettivamente una performance regionale in peggioramento, o in miglioramento, risp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etto alla settimana precedente.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br/>
              <w:t>N</w:t>
            </w: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elle ultime 2 colonne rosso e verde indicano il superamento, o meno, della soglia di saturazione del 40% per l’area medica e del 30% per le terapie intensive (dati Agenas).</w:t>
            </w:r>
          </w:p>
        </w:tc>
      </w:tr>
    </w:tbl>
    <w:p w:rsidR="007919D2" w:rsidRDefault="007919D2" w:rsidP="001A0514">
      <w:pPr>
        <w:spacing w:after="0" w:line="240" w:lineRule="auto"/>
        <w:rPr>
          <w:b/>
          <w:sz w:val="24"/>
        </w:rPr>
        <w:sectPr w:rsidR="007919D2" w:rsidSect="001A0514">
          <w:footnotePr>
            <w:numFmt w:val="chicago"/>
          </w:footnotePr>
          <w:pgSz w:w="16838" w:h="11906" w:orient="landscape"/>
          <w:pgMar w:top="1134" w:right="709" w:bottom="1134" w:left="992" w:header="709" w:footer="833" w:gutter="0"/>
          <w:cols w:space="708"/>
          <w:docGrid w:linePitch="360"/>
        </w:sectPr>
      </w:pPr>
    </w:p>
    <w:p w:rsidR="0065595A" w:rsidRDefault="0065595A" w:rsidP="0065595A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Figura 5</w:t>
      </w:r>
      <w:r>
        <w:rPr>
          <w:b/>
          <w:color w:val="00457D"/>
          <w:sz w:val="24"/>
        </w:rPr>
        <w:br/>
      </w:r>
      <w:r w:rsidR="00A77CA5">
        <w:rPr>
          <w:noProof/>
          <w:lang w:eastAsia="it-IT"/>
        </w:rPr>
        <w:drawing>
          <wp:inline distT="0" distB="0" distL="0" distR="0" wp14:anchorId="707B5BD2" wp14:editId="477E77C2">
            <wp:extent cx="6120130" cy="42132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4C" w:rsidRDefault="00464A4C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</w:p>
    <w:p w:rsidR="007C0280" w:rsidRDefault="007C0280" w:rsidP="00A77CA5">
      <w:pPr>
        <w:spacing w:after="0" w:line="240" w:lineRule="auto"/>
        <w:rPr>
          <w:b/>
          <w:color w:val="00457D"/>
          <w:sz w:val="2"/>
          <w:szCs w:val="2"/>
        </w:rPr>
      </w:pPr>
    </w:p>
    <w:p w:rsidR="007C0280" w:rsidRDefault="007C0280" w:rsidP="00BC5C81">
      <w:pPr>
        <w:spacing w:after="0" w:line="240" w:lineRule="auto"/>
        <w:rPr>
          <w:b/>
          <w:color w:val="00457D"/>
          <w:sz w:val="2"/>
          <w:szCs w:val="2"/>
        </w:rPr>
      </w:pPr>
    </w:p>
    <w:p w:rsidR="007C0280" w:rsidRDefault="007C0280" w:rsidP="0065595A">
      <w:pPr>
        <w:spacing w:after="0" w:line="240" w:lineRule="auto"/>
        <w:jc w:val="center"/>
        <w:rPr>
          <w:b/>
          <w:color w:val="00457D"/>
          <w:sz w:val="2"/>
          <w:szCs w:val="2"/>
        </w:rPr>
      </w:pPr>
      <w:r>
        <w:rPr>
          <w:b/>
          <w:color w:val="00457D"/>
          <w:sz w:val="24"/>
        </w:rPr>
        <w:t>Tabella 2</w:t>
      </w:r>
      <w:r>
        <w:rPr>
          <w:b/>
          <w:color w:val="00457D"/>
          <w:sz w:val="24"/>
        </w:rPr>
        <w:br/>
      </w:r>
      <w:r w:rsidR="00BC5C81">
        <w:rPr>
          <w:noProof/>
          <w:lang w:eastAsia="it-IT"/>
        </w:rPr>
        <w:drawing>
          <wp:inline distT="0" distB="0" distL="0" distR="0" wp14:anchorId="59C519AD" wp14:editId="7976F7A2">
            <wp:extent cx="5292000" cy="4104315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41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3F" w:rsidRDefault="00A1093F" w:rsidP="00A77CA5">
      <w:pPr>
        <w:spacing w:after="0" w:line="240" w:lineRule="auto"/>
        <w:rPr>
          <w:b/>
          <w:color w:val="00457D"/>
          <w:sz w:val="2"/>
          <w:szCs w:val="2"/>
        </w:rPr>
      </w:pPr>
    </w:p>
    <w:sectPr w:rsidR="00A1093F" w:rsidSect="009616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A9" w:rsidRDefault="006D09A9">
      <w:pPr>
        <w:spacing w:after="0" w:line="240" w:lineRule="auto"/>
      </w:pPr>
      <w:r>
        <w:separator/>
      </w:r>
    </w:p>
  </w:endnote>
  <w:endnote w:type="continuationSeparator" w:id="0">
    <w:p w:rsidR="006D09A9" w:rsidRDefault="006D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A9" w:rsidRDefault="006D09A9">
      <w:pPr>
        <w:spacing w:after="0" w:line="240" w:lineRule="auto"/>
      </w:pPr>
      <w:r>
        <w:separator/>
      </w:r>
    </w:p>
  </w:footnote>
  <w:footnote w:type="continuationSeparator" w:id="0">
    <w:p w:rsidR="006D09A9" w:rsidRDefault="006D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07" w:rsidRPr="001A0514" w:rsidRDefault="00B42707" w:rsidP="00464A4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13F"/>
    <w:multiLevelType w:val="hybridMultilevel"/>
    <w:tmpl w:val="6FBA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8AB"/>
    <w:multiLevelType w:val="hybridMultilevel"/>
    <w:tmpl w:val="CDD4D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13AB3"/>
    <w:multiLevelType w:val="hybridMultilevel"/>
    <w:tmpl w:val="16E0E5BE"/>
    <w:lvl w:ilvl="0" w:tplc="BA0E2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45FF"/>
    <w:multiLevelType w:val="hybridMultilevel"/>
    <w:tmpl w:val="6F84A354"/>
    <w:lvl w:ilvl="0" w:tplc="3A3EC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F44"/>
    <w:multiLevelType w:val="hybridMultilevel"/>
    <w:tmpl w:val="9D9C0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119EF"/>
    <w:multiLevelType w:val="hybridMultilevel"/>
    <w:tmpl w:val="580C5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23CF"/>
    <w:multiLevelType w:val="hybridMultilevel"/>
    <w:tmpl w:val="EFDC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5987"/>
    <w:multiLevelType w:val="hybridMultilevel"/>
    <w:tmpl w:val="D79637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C0E7D"/>
    <w:multiLevelType w:val="hybridMultilevel"/>
    <w:tmpl w:val="F5C0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4CFA"/>
    <w:multiLevelType w:val="hybridMultilevel"/>
    <w:tmpl w:val="A85683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BDE"/>
    <w:multiLevelType w:val="hybridMultilevel"/>
    <w:tmpl w:val="9C54C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C0"/>
    <w:multiLevelType w:val="multilevel"/>
    <w:tmpl w:val="F08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01F8F"/>
    <w:multiLevelType w:val="hybridMultilevel"/>
    <w:tmpl w:val="AC084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6F346F"/>
    <w:multiLevelType w:val="hybridMultilevel"/>
    <w:tmpl w:val="FFB6875A"/>
    <w:lvl w:ilvl="0" w:tplc="C242DA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B7EAA"/>
    <w:multiLevelType w:val="hybridMultilevel"/>
    <w:tmpl w:val="3DC2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715"/>
    <w:multiLevelType w:val="hybridMultilevel"/>
    <w:tmpl w:val="51B0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8"/>
  </w:num>
  <w:num w:numId="7">
    <w:abstractNumId w:val="0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4"/>
    <w:rsid w:val="0000756B"/>
    <w:rsid w:val="00010725"/>
    <w:rsid w:val="00014416"/>
    <w:rsid w:val="000149BF"/>
    <w:rsid w:val="00014DD9"/>
    <w:rsid w:val="00015381"/>
    <w:rsid w:val="00015FA4"/>
    <w:rsid w:val="00016A93"/>
    <w:rsid w:val="000215A2"/>
    <w:rsid w:val="0002277E"/>
    <w:rsid w:val="000265B1"/>
    <w:rsid w:val="00027266"/>
    <w:rsid w:val="00030315"/>
    <w:rsid w:val="00030E3E"/>
    <w:rsid w:val="00037345"/>
    <w:rsid w:val="00042777"/>
    <w:rsid w:val="00044EEF"/>
    <w:rsid w:val="00050361"/>
    <w:rsid w:val="00056307"/>
    <w:rsid w:val="00074190"/>
    <w:rsid w:val="000751E0"/>
    <w:rsid w:val="00077F18"/>
    <w:rsid w:val="00080306"/>
    <w:rsid w:val="000847A3"/>
    <w:rsid w:val="00090386"/>
    <w:rsid w:val="0009326E"/>
    <w:rsid w:val="000A3147"/>
    <w:rsid w:val="000A3435"/>
    <w:rsid w:val="000A3B30"/>
    <w:rsid w:val="000A3B5F"/>
    <w:rsid w:val="000A6134"/>
    <w:rsid w:val="000B0D4B"/>
    <w:rsid w:val="000B1EE4"/>
    <w:rsid w:val="000B5683"/>
    <w:rsid w:val="000C1E61"/>
    <w:rsid w:val="000C1F3E"/>
    <w:rsid w:val="000C26B7"/>
    <w:rsid w:val="000C27FD"/>
    <w:rsid w:val="000C4771"/>
    <w:rsid w:val="000C6FC9"/>
    <w:rsid w:val="000C7991"/>
    <w:rsid w:val="000D3317"/>
    <w:rsid w:val="000E29C4"/>
    <w:rsid w:val="000E3ED7"/>
    <w:rsid w:val="000F0F04"/>
    <w:rsid w:val="000F27A9"/>
    <w:rsid w:val="000F6D92"/>
    <w:rsid w:val="000F76E4"/>
    <w:rsid w:val="001019D5"/>
    <w:rsid w:val="001023EE"/>
    <w:rsid w:val="00104433"/>
    <w:rsid w:val="00112674"/>
    <w:rsid w:val="00115E64"/>
    <w:rsid w:val="0011670E"/>
    <w:rsid w:val="00121465"/>
    <w:rsid w:val="0012563F"/>
    <w:rsid w:val="001264C0"/>
    <w:rsid w:val="00136B5E"/>
    <w:rsid w:val="00143250"/>
    <w:rsid w:val="00152CEF"/>
    <w:rsid w:val="00157C36"/>
    <w:rsid w:val="0016690B"/>
    <w:rsid w:val="0017044E"/>
    <w:rsid w:val="001719D3"/>
    <w:rsid w:val="001719F9"/>
    <w:rsid w:val="00171BE9"/>
    <w:rsid w:val="00172E8A"/>
    <w:rsid w:val="00182A0F"/>
    <w:rsid w:val="0018536B"/>
    <w:rsid w:val="00185C94"/>
    <w:rsid w:val="00186BD2"/>
    <w:rsid w:val="00190DBF"/>
    <w:rsid w:val="001A0514"/>
    <w:rsid w:val="001A0EAB"/>
    <w:rsid w:val="001A54DB"/>
    <w:rsid w:val="001A6875"/>
    <w:rsid w:val="001B05A8"/>
    <w:rsid w:val="001B114E"/>
    <w:rsid w:val="001B3B86"/>
    <w:rsid w:val="001C22D9"/>
    <w:rsid w:val="001C4EB4"/>
    <w:rsid w:val="001D0F3D"/>
    <w:rsid w:val="001D1CBC"/>
    <w:rsid w:val="001D225C"/>
    <w:rsid w:val="001D32D2"/>
    <w:rsid w:val="001D5CA7"/>
    <w:rsid w:val="001D7EEB"/>
    <w:rsid w:val="001E053F"/>
    <w:rsid w:val="001E1552"/>
    <w:rsid w:val="001E1E0B"/>
    <w:rsid w:val="001E2B2E"/>
    <w:rsid w:val="001E3154"/>
    <w:rsid w:val="001F0B30"/>
    <w:rsid w:val="001F0EED"/>
    <w:rsid w:val="001F44B5"/>
    <w:rsid w:val="001F583F"/>
    <w:rsid w:val="001F5B4B"/>
    <w:rsid w:val="0020023F"/>
    <w:rsid w:val="00202C99"/>
    <w:rsid w:val="00207C8C"/>
    <w:rsid w:val="002107F1"/>
    <w:rsid w:val="0021161E"/>
    <w:rsid w:val="002123FE"/>
    <w:rsid w:val="00213C28"/>
    <w:rsid w:val="00222503"/>
    <w:rsid w:val="0022493F"/>
    <w:rsid w:val="00225D6F"/>
    <w:rsid w:val="002274EF"/>
    <w:rsid w:val="002336AE"/>
    <w:rsid w:val="002337E8"/>
    <w:rsid w:val="002377AB"/>
    <w:rsid w:val="002405B2"/>
    <w:rsid w:val="00244408"/>
    <w:rsid w:val="00244ADB"/>
    <w:rsid w:val="0024541B"/>
    <w:rsid w:val="00246D6A"/>
    <w:rsid w:val="00246F91"/>
    <w:rsid w:val="002479F5"/>
    <w:rsid w:val="00252C1E"/>
    <w:rsid w:val="00256270"/>
    <w:rsid w:val="002720C2"/>
    <w:rsid w:val="00277F11"/>
    <w:rsid w:val="002806D4"/>
    <w:rsid w:val="0028108C"/>
    <w:rsid w:val="0028299B"/>
    <w:rsid w:val="00282B9A"/>
    <w:rsid w:val="00284459"/>
    <w:rsid w:val="002A0983"/>
    <w:rsid w:val="002A1295"/>
    <w:rsid w:val="002A6E9D"/>
    <w:rsid w:val="002B1493"/>
    <w:rsid w:val="002B3E89"/>
    <w:rsid w:val="002B4579"/>
    <w:rsid w:val="002B461E"/>
    <w:rsid w:val="002B491F"/>
    <w:rsid w:val="002B4D30"/>
    <w:rsid w:val="002B6BDD"/>
    <w:rsid w:val="002C3478"/>
    <w:rsid w:val="002C43EA"/>
    <w:rsid w:val="002C55AE"/>
    <w:rsid w:val="002D0E17"/>
    <w:rsid w:val="002D16D8"/>
    <w:rsid w:val="002D208F"/>
    <w:rsid w:val="002D3E5C"/>
    <w:rsid w:val="002E101F"/>
    <w:rsid w:val="002E4784"/>
    <w:rsid w:val="002E4E66"/>
    <w:rsid w:val="002E4F15"/>
    <w:rsid w:val="002E66BD"/>
    <w:rsid w:val="002E7EA4"/>
    <w:rsid w:val="002F1115"/>
    <w:rsid w:val="002F2004"/>
    <w:rsid w:val="002F4912"/>
    <w:rsid w:val="002F59ED"/>
    <w:rsid w:val="003026F8"/>
    <w:rsid w:val="00302764"/>
    <w:rsid w:val="00305CBE"/>
    <w:rsid w:val="00320D88"/>
    <w:rsid w:val="00322977"/>
    <w:rsid w:val="00322C4E"/>
    <w:rsid w:val="00325E11"/>
    <w:rsid w:val="0033163F"/>
    <w:rsid w:val="00345891"/>
    <w:rsid w:val="003460F8"/>
    <w:rsid w:val="003526D2"/>
    <w:rsid w:val="003616D7"/>
    <w:rsid w:val="003658BF"/>
    <w:rsid w:val="00365B9F"/>
    <w:rsid w:val="00372037"/>
    <w:rsid w:val="00372416"/>
    <w:rsid w:val="0037525D"/>
    <w:rsid w:val="00377C28"/>
    <w:rsid w:val="00380880"/>
    <w:rsid w:val="00380E8F"/>
    <w:rsid w:val="0038317C"/>
    <w:rsid w:val="00383627"/>
    <w:rsid w:val="00384F5E"/>
    <w:rsid w:val="003850E9"/>
    <w:rsid w:val="00391963"/>
    <w:rsid w:val="00393475"/>
    <w:rsid w:val="00394A3D"/>
    <w:rsid w:val="00395926"/>
    <w:rsid w:val="003A1196"/>
    <w:rsid w:val="003A1EC2"/>
    <w:rsid w:val="003A6723"/>
    <w:rsid w:val="003A7C0B"/>
    <w:rsid w:val="003B3399"/>
    <w:rsid w:val="003C3FCF"/>
    <w:rsid w:val="003C7E31"/>
    <w:rsid w:val="003E2FDF"/>
    <w:rsid w:val="003F2406"/>
    <w:rsid w:val="0040065C"/>
    <w:rsid w:val="004033F4"/>
    <w:rsid w:val="00404F0C"/>
    <w:rsid w:val="0041287E"/>
    <w:rsid w:val="0041299C"/>
    <w:rsid w:val="0041465A"/>
    <w:rsid w:val="004225D1"/>
    <w:rsid w:val="00422F0E"/>
    <w:rsid w:val="004268AE"/>
    <w:rsid w:val="00433F24"/>
    <w:rsid w:val="00434436"/>
    <w:rsid w:val="00434F8A"/>
    <w:rsid w:val="0044116C"/>
    <w:rsid w:val="0044406E"/>
    <w:rsid w:val="00444F16"/>
    <w:rsid w:val="004465B8"/>
    <w:rsid w:val="004475DF"/>
    <w:rsid w:val="0045033A"/>
    <w:rsid w:val="00451CFC"/>
    <w:rsid w:val="004548A4"/>
    <w:rsid w:val="004557A4"/>
    <w:rsid w:val="00464713"/>
    <w:rsid w:val="00464A4C"/>
    <w:rsid w:val="004671F7"/>
    <w:rsid w:val="00467211"/>
    <w:rsid w:val="00473644"/>
    <w:rsid w:val="00473D7C"/>
    <w:rsid w:val="0047605F"/>
    <w:rsid w:val="0047675C"/>
    <w:rsid w:val="00481B3A"/>
    <w:rsid w:val="004852ED"/>
    <w:rsid w:val="004877CE"/>
    <w:rsid w:val="00490150"/>
    <w:rsid w:val="00492777"/>
    <w:rsid w:val="004974B5"/>
    <w:rsid w:val="004A097F"/>
    <w:rsid w:val="004A25EE"/>
    <w:rsid w:val="004A4A67"/>
    <w:rsid w:val="004B0F5C"/>
    <w:rsid w:val="004B2760"/>
    <w:rsid w:val="004B5575"/>
    <w:rsid w:val="004B6C4E"/>
    <w:rsid w:val="004C17D9"/>
    <w:rsid w:val="004C2A48"/>
    <w:rsid w:val="004C33D3"/>
    <w:rsid w:val="004D45D4"/>
    <w:rsid w:val="004D5541"/>
    <w:rsid w:val="004D5F43"/>
    <w:rsid w:val="004E2D62"/>
    <w:rsid w:val="004E3B9A"/>
    <w:rsid w:val="004E494D"/>
    <w:rsid w:val="004E6116"/>
    <w:rsid w:val="004F08CA"/>
    <w:rsid w:val="004F34CC"/>
    <w:rsid w:val="004F4B00"/>
    <w:rsid w:val="004F651C"/>
    <w:rsid w:val="00502656"/>
    <w:rsid w:val="00502A36"/>
    <w:rsid w:val="00503A30"/>
    <w:rsid w:val="00510B45"/>
    <w:rsid w:val="00514010"/>
    <w:rsid w:val="005171B5"/>
    <w:rsid w:val="00520B96"/>
    <w:rsid w:val="00530D1B"/>
    <w:rsid w:val="0053593D"/>
    <w:rsid w:val="00535C52"/>
    <w:rsid w:val="00541B2E"/>
    <w:rsid w:val="00542950"/>
    <w:rsid w:val="00545801"/>
    <w:rsid w:val="005475BC"/>
    <w:rsid w:val="00551058"/>
    <w:rsid w:val="0055213D"/>
    <w:rsid w:val="00553D46"/>
    <w:rsid w:val="0055490E"/>
    <w:rsid w:val="005561C3"/>
    <w:rsid w:val="005606E0"/>
    <w:rsid w:val="00563E25"/>
    <w:rsid w:val="00576D1E"/>
    <w:rsid w:val="00576FD6"/>
    <w:rsid w:val="00584859"/>
    <w:rsid w:val="00585010"/>
    <w:rsid w:val="00587789"/>
    <w:rsid w:val="00587992"/>
    <w:rsid w:val="005A0B2B"/>
    <w:rsid w:val="005A1D1C"/>
    <w:rsid w:val="005A590D"/>
    <w:rsid w:val="005A6508"/>
    <w:rsid w:val="005B3931"/>
    <w:rsid w:val="005B4B6D"/>
    <w:rsid w:val="005C0BA8"/>
    <w:rsid w:val="005C15C2"/>
    <w:rsid w:val="005C3A01"/>
    <w:rsid w:val="005C3ED7"/>
    <w:rsid w:val="005C4301"/>
    <w:rsid w:val="005C745E"/>
    <w:rsid w:val="005C7641"/>
    <w:rsid w:val="005C7C7D"/>
    <w:rsid w:val="005D37C7"/>
    <w:rsid w:val="005D7ACF"/>
    <w:rsid w:val="005E3640"/>
    <w:rsid w:val="005E63FE"/>
    <w:rsid w:val="005F039B"/>
    <w:rsid w:val="005F21F2"/>
    <w:rsid w:val="0060580B"/>
    <w:rsid w:val="0061156D"/>
    <w:rsid w:val="00614B6A"/>
    <w:rsid w:val="006175B2"/>
    <w:rsid w:val="006222F6"/>
    <w:rsid w:val="00624752"/>
    <w:rsid w:val="006272E8"/>
    <w:rsid w:val="00632E17"/>
    <w:rsid w:val="006346C9"/>
    <w:rsid w:val="006420E1"/>
    <w:rsid w:val="0064353A"/>
    <w:rsid w:val="0065183A"/>
    <w:rsid w:val="0065201B"/>
    <w:rsid w:val="0065204D"/>
    <w:rsid w:val="00652384"/>
    <w:rsid w:val="006553CF"/>
    <w:rsid w:val="0065595A"/>
    <w:rsid w:val="00656359"/>
    <w:rsid w:val="00660864"/>
    <w:rsid w:val="00661A34"/>
    <w:rsid w:val="00662090"/>
    <w:rsid w:val="00662B0B"/>
    <w:rsid w:val="00664B80"/>
    <w:rsid w:val="00665201"/>
    <w:rsid w:val="00673282"/>
    <w:rsid w:val="00676890"/>
    <w:rsid w:val="00676CA2"/>
    <w:rsid w:val="0067739A"/>
    <w:rsid w:val="006800DF"/>
    <w:rsid w:val="00680605"/>
    <w:rsid w:val="00683296"/>
    <w:rsid w:val="00691FD4"/>
    <w:rsid w:val="006A0C4B"/>
    <w:rsid w:val="006A42BE"/>
    <w:rsid w:val="006A48C8"/>
    <w:rsid w:val="006A4D37"/>
    <w:rsid w:val="006A7064"/>
    <w:rsid w:val="006B499B"/>
    <w:rsid w:val="006B6251"/>
    <w:rsid w:val="006C208A"/>
    <w:rsid w:val="006C413A"/>
    <w:rsid w:val="006D09A9"/>
    <w:rsid w:val="006D138E"/>
    <w:rsid w:val="006D37D5"/>
    <w:rsid w:val="006D64ED"/>
    <w:rsid w:val="006D6999"/>
    <w:rsid w:val="006D69BF"/>
    <w:rsid w:val="006E5825"/>
    <w:rsid w:val="006F03EA"/>
    <w:rsid w:val="006F17C1"/>
    <w:rsid w:val="006F2324"/>
    <w:rsid w:val="006F385D"/>
    <w:rsid w:val="006F6C3C"/>
    <w:rsid w:val="007000C2"/>
    <w:rsid w:val="00700F4A"/>
    <w:rsid w:val="0070462C"/>
    <w:rsid w:val="00706D0C"/>
    <w:rsid w:val="00707A47"/>
    <w:rsid w:val="007114CD"/>
    <w:rsid w:val="0071584F"/>
    <w:rsid w:val="00717E0A"/>
    <w:rsid w:val="00720648"/>
    <w:rsid w:val="00722B56"/>
    <w:rsid w:val="00724582"/>
    <w:rsid w:val="0072508E"/>
    <w:rsid w:val="00726A50"/>
    <w:rsid w:val="007275BA"/>
    <w:rsid w:val="007328C0"/>
    <w:rsid w:val="00740AE2"/>
    <w:rsid w:val="0074108E"/>
    <w:rsid w:val="00742994"/>
    <w:rsid w:val="00755FD2"/>
    <w:rsid w:val="00762BD6"/>
    <w:rsid w:val="00763E2F"/>
    <w:rsid w:val="00764154"/>
    <w:rsid w:val="0076690C"/>
    <w:rsid w:val="007669D6"/>
    <w:rsid w:val="00774CEB"/>
    <w:rsid w:val="007805E4"/>
    <w:rsid w:val="007810F4"/>
    <w:rsid w:val="0078235D"/>
    <w:rsid w:val="007919D2"/>
    <w:rsid w:val="007A0C8D"/>
    <w:rsid w:val="007A46FF"/>
    <w:rsid w:val="007B0F7C"/>
    <w:rsid w:val="007B2AFA"/>
    <w:rsid w:val="007B4631"/>
    <w:rsid w:val="007B7159"/>
    <w:rsid w:val="007C0280"/>
    <w:rsid w:val="007C6B20"/>
    <w:rsid w:val="007D1484"/>
    <w:rsid w:val="007D1821"/>
    <w:rsid w:val="007D4088"/>
    <w:rsid w:val="007D478D"/>
    <w:rsid w:val="007D719B"/>
    <w:rsid w:val="007D7A65"/>
    <w:rsid w:val="007E2BC9"/>
    <w:rsid w:val="007E3126"/>
    <w:rsid w:val="007E3CDD"/>
    <w:rsid w:val="007F352C"/>
    <w:rsid w:val="007F356B"/>
    <w:rsid w:val="007F38A0"/>
    <w:rsid w:val="007F4250"/>
    <w:rsid w:val="007F5E48"/>
    <w:rsid w:val="007F7064"/>
    <w:rsid w:val="007F7694"/>
    <w:rsid w:val="007F7ECD"/>
    <w:rsid w:val="008010D0"/>
    <w:rsid w:val="008049E8"/>
    <w:rsid w:val="008062DC"/>
    <w:rsid w:val="00810D75"/>
    <w:rsid w:val="0081358E"/>
    <w:rsid w:val="008164C5"/>
    <w:rsid w:val="0081707B"/>
    <w:rsid w:val="008208C4"/>
    <w:rsid w:val="008254C0"/>
    <w:rsid w:val="0082729C"/>
    <w:rsid w:val="00827B14"/>
    <w:rsid w:val="00834942"/>
    <w:rsid w:val="0084235D"/>
    <w:rsid w:val="00842B0C"/>
    <w:rsid w:val="008449E6"/>
    <w:rsid w:val="008468ED"/>
    <w:rsid w:val="00846B3A"/>
    <w:rsid w:val="00851D72"/>
    <w:rsid w:val="0085279C"/>
    <w:rsid w:val="00855C4B"/>
    <w:rsid w:val="00856349"/>
    <w:rsid w:val="00856537"/>
    <w:rsid w:val="00856EB0"/>
    <w:rsid w:val="0085762E"/>
    <w:rsid w:val="00860E57"/>
    <w:rsid w:val="00861EDC"/>
    <w:rsid w:val="00864360"/>
    <w:rsid w:val="00865051"/>
    <w:rsid w:val="00880E0F"/>
    <w:rsid w:val="0088105A"/>
    <w:rsid w:val="0088378C"/>
    <w:rsid w:val="008859D4"/>
    <w:rsid w:val="008868CF"/>
    <w:rsid w:val="00891920"/>
    <w:rsid w:val="00891F25"/>
    <w:rsid w:val="008923F9"/>
    <w:rsid w:val="00895F6B"/>
    <w:rsid w:val="008962C0"/>
    <w:rsid w:val="0089761A"/>
    <w:rsid w:val="008A0F94"/>
    <w:rsid w:val="008A49DB"/>
    <w:rsid w:val="008A7867"/>
    <w:rsid w:val="008A7D99"/>
    <w:rsid w:val="008B1E0C"/>
    <w:rsid w:val="008B2BF2"/>
    <w:rsid w:val="008B65D5"/>
    <w:rsid w:val="008B7559"/>
    <w:rsid w:val="008B777E"/>
    <w:rsid w:val="008C18F8"/>
    <w:rsid w:val="008C268D"/>
    <w:rsid w:val="008C4B89"/>
    <w:rsid w:val="008D0F92"/>
    <w:rsid w:val="008D1428"/>
    <w:rsid w:val="008D2A81"/>
    <w:rsid w:val="008D7D40"/>
    <w:rsid w:val="008E5395"/>
    <w:rsid w:val="008E7D1D"/>
    <w:rsid w:val="008F1086"/>
    <w:rsid w:val="008F1189"/>
    <w:rsid w:val="008F4ECB"/>
    <w:rsid w:val="00900787"/>
    <w:rsid w:val="00901CED"/>
    <w:rsid w:val="00902F18"/>
    <w:rsid w:val="00912BE2"/>
    <w:rsid w:val="00914624"/>
    <w:rsid w:val="00914E7C"/>
    <w:rsid w:val="0091502A"/>
    <w:rsid w:val="00916D33"/>
    <w:rsid w:val="0091701B"/>
    <w:rsid w:val="00921EF3"/>
    <w:rsid w:val="00930490"/>
    <w:rsid w:val="00930FAE"/>
    <w:rsid w:val="009322CA"/>
    <w:rsid w:val="00937AC4"/>
    <w:rsid w:val="00937CEC"/>
    <w:rsid w:val="00937F52"/>
    <w:rsid w:val="00937FEE"/>
    <w:rsid w:val="00943563"/>
    <w:rsid w:val="0094547C"/>
    <w:rsid w:val="009456F6"/>
    <w:rsid w:val="00947FE2"/>
    <w:rsid w:val="009549DB"/>
    <w:rsid w:val="00956566"/>
    <w:rsid w:val="009607B9"/>
    <w:rsid w:val="00961639"/>
    <w:rsid w:val="009641E5"/>
    <w:rsid w:val="00967586"/>
    <w:rsid w:val="00967599"/>
    <w:rsid w:val="00970677"/>
    <w:rsid w:val="00972F58"/>
    <w:rsid w:val="009757B8"/>
    <w:rsid w:val="0097722F"/>
    <w:rsid w:val="00982042"/>
    <w:rsid w:val="00984D23"/>
    <w:rsid w:val="0099708D"/>
    <w:rsid w:val="00997463"/>
    <w:rsid w:val="00997C35"/>
    <w:rsid w:val="009A1531"/>
    <w:rsid w:val="009B04FA"/>
    <w:rsid w:val="009C33AE"/>
    <w:rsid w:val="009C6060"/>
    <w:rsid w:val="009C7DD5"/>
    <w:rsid w:val="009D18C8"/>
    <w:rsid w:val="009D20E6"/>
    <w:rsid w:val="009D28B1"/>
    <w:rsid w:val="009D502B"/>
    <w:rsid w:val="009D6E34"/>
    <w:rsid w:val="009D6F7A"/>
    <w:rsid w:val="009E1F7B"/>
    <w:rsid w:val="009F1173"/>
    <w:rsid w:val="009F46EE"/>
    <w:rsid w:val="009F6E41"/>
    <w:rsid w:val="009F741A"/>
    <w:rsid w:val="00A01DC5"/>
    <w:rsid w:val="00A0374B"/>
    <w:rsid w:val="00A05641"/>
    <w:rsid w:val="00A06B19"/>
    <w:rsid w:val="00A1093F"/>
    <w:rsid w:val="00A20837"/>
    <w:rsid w:val="00A23FB4"/>
    <w:rsid w:val="00A24D2A"/>
    <w:rsid w:val="00A27B61"/>
    <w:rsid w:val="00A30388"/>
    <w:rsid w:val="00A34964"/>
    <w:rsid w:val="00A34AAC"/>
    <w:rsid w:val="00A41A3A"/>
    <w:rsid w:val="00A41F64"/>
    <w:rsid w:val="00A426F1"/>
    <w:rsid w:val="00A42E47"/>
    <w:rsid w:val="00A4621C"/>
    <w:rsid w:val="00A47649"/>
    <w:rsid w:val="00A504EC"/>
    <w:rsid w:val="00A53D93"/>
    <w:rsid w:val="00A54D11"/>
    <w:rsid w:val="00A624FA"/>
    <w:rsid w:val="00A63BF3"/>
    <w:rsid w:val="00A72A02"/>
    <w:rsid w:val="00A74534"/>
    <w:rsid w:val="00A752A8"/>
    <w:rsid w:val="00A77CA5"/>
    <w:rsid w:val="00A84C9C"/>
    <w:rsid w:val="00A961DF"/>
    <w:rsid w:val="00AA0CD5"/>
    <w:rsid w:val="00AA42AF"/>
    <w:rsid w:val="00AB2A21"/>
    <w:rsid w:val="00AB4771"/>
    <w:rsid w:val="00AB5F4A"/>
    <w:rsid w:val="00AB6578"/>
    <w:rsid w:val="00AB6ED5"/>
    <w:rsid w:val="00AB7C3C"/>
    <w:rsid w:val="00AB7F31"/>
    <w:rsid w:val="00AC16F6"/>
    <w:rsid w:val="00AC3512"/>
    <w:rsid w:val="00AC4DAA"/>
    <w:rsid w:val="00AD0D60"/>
    <w:rsid w:val="00AD0D70"/>
    <w:rsid w:val="00AD3FE4"/>
    <w:rsid w:val="00AD7AF9"/>
    <w:rsid w:val="00AE57BD"/>
    <w:rsid w:val="00AE6F3F"/>
    <w:rsid w:val="00AF36AE"/>
    <w:rsid w:val="00AF5E7F"/>
    <w:rsid w:val="00AF737C"/>
    <w:rsid w:val="00B00EB8"/>
    <w:rsid w:val="00B0266C"/>
    <w:rsid w:val="00B104B9"/>
    <w:rsid w:val="00B130AB"/>
    <w:rsid w:val="00B17BF2"/>
    <w:rsid w:val="00B17ECA"/>
    <w:rsid w:val="00B306EF"/>
    <w:rsid w:val="00B30802"/>
    <w:rsid w:val="00B32191"/>
    <w:rsid w:val="00B33749"/>
    <w:rsid w:val="00B3587D"/>
    <w:rsid w:val="00B36E29"/>
    <w:rsid w:val="00B37F01"/>
    <w:rsid w:val="00B42707"/>
    <w:rsid w:val="00B447D9"/>
    <w:rsid w:val="00B47E22"/>
    <w:rsid w:val="00B47F0C"/>
    <w:rsid w:val="00B57E54"/>
    <w:rsid w:val="00B6049D"/>
    <w:rsid w:val="00B63331"/>
    <w:rsid w:val="00B638CD"/>
    <w:rsid w:val="00B66B9C"/>
    <w:rsid w:val="00B72729"/>
    <w:rsid w:val="00B72F58"/>
    <w:rsid w:val="00B73FB6"/>
    <w:rsid w:val="00B75CC0"/>
    <w:rsid w:val="00B76C0E"/>
    <w:rsid w:val="00B85C7D"/>
    <w:rsid w:val="00B90999"/>
    <w:rsid w:val="00B919AE"/>
    <w:rsid w:val="00B93ECC"/>
    <w:rsid w:val="00B9420B"/>
    <w:rsid w:val="00B94ECD"/>
    <w:rsid w:val="00BA087E"/>
    <w:rsid w:val="00BA3057"/>
    <w:rsid w:val="00BA345A"/>
    <w:rsid w:val="00BA65F0"/>
    <w:rsid w:val="00BB4E0D"/>
    <w:rsid w:val="00BB5A09"/>
    <w:rsid w:val="00BB70C9"/>
    <w:rsid w:val="00BC1DF4"/>
    <w:rsid w:val="00BC2336"/>
    <w:rsid w:val="00BC5BE1"/>
    <w:rsid w:val="00BC5C13"/>
    <w:rsid w:val="00BC5C81"/>
    <w:rsid w:val="00BC640E"/>
    <w:rsid w:val="00BD085B"/>
    <w:rsid w:val="00BD0873"/>
    <w:rsid w:val="00BD325C"/>
    <w:rsid w:val="00BF06D4"/>
    <w:rsid w:val="00BF0F19"/>
    <w:rsid w:val="00BF6DF7"/>
    <w:rsid w:val="00C068EB"/>
    <w:rsid w:val="00C21406"/>
    <w:rsid w:val="00C2348A"/>
    <w:rsid w:val="00C25572"/>
    <w:rsid w:val="00C258FD"/>
    <w:rsid w:val="00C3224E"/>
    <w:rsid w:val="00C353BD"/>
    <w:rsid w:val="00C37637"/>
    <w:rsid w:val="00C40B1D"/>
    <w:rsid w:val="00C40B5B"/>
    <w:rsid w:val="00C44E61"/>
    <w:rsid w:val="00C4562E"/>
    <w:rsid w:val="00C45C0F"/>
    <w:rsid w:val="00C51D73"/>
    <w:rsid w:val="00C54B34"/>
    <w:rsid w:val="00C5668C"/>
    <w:rsid w:val="00C57176"/>
    <w:rsid w:val="00C60F41"/>
    <w:rsid w:val="00C65ED7"/>
    <w:rsid w:val="00C702FB"/>
    <w:rsid w:val="00C70B26"/>
    <w:rsid w:val="00C73FB5"/>
    <w:rsid w:val="00C74555"/>
    <w:rsid w:val="00C75DD0"/>
    <w:rsid w:val="00C7709B"/>
    <w:rsid w:val="00C836EE"/>
    <w:rsid w:val="00C848E3"/>
    <w:rsid w:val="00C84DBD"/>
    <w:rsid w:val="00C92671"/>
    <w:rsid w:val="00C9436D"/>
    <w:rsid w:val="00C96AC2"/>
    <w:rsid w:val="00CA111B"/>
    <w:rsid w:val="00CB27DE"/>
    <w:rsid w:val="00CB3114"/>
    <w:rsid w:val="00CC237C"/>
    <w:rsid w:val="00CC4F46"/>
    <w:rsid w:val="00CC5620"/>
    <w:rsid w:val="00CC7F3C"/>
    <w:rsid w:val="00CE0EEB"/>
    <w:rsid w:val="00CE3AF1"/>
    <w:rsid w:val="00CF09B0"/>
    <w:rsid w:val="00CF25F1"/>
    <w:rsid w:val="00CF4C2E"/>
    <w:rsid w:val="00CF572C"/>
    <w:rsid w:val="00CF5C65"/>
    <w:rsid w:val="00CF744D"/>
    <w:rsid w:val="00CF7D97"/>
    <w:rsid w:val="00D010B9"/>
    <w:rsid w:val="00D024D6"/>
    <w:rsid w:val="00D03ABB"/>
    <w:rsid w:val="00D03B3E"/>
    <w:rsid w:val="00D0444B"/>
    <w:rsid w:val="00D046E8"/>
    <w:rsid w:val="00D05D1A"/>
    <w:rsid w:val="00D07D4C"/>
    <w:rsid w:val="00D1095E"/>
    <w:rsid w:val="00D11FE1"/>
    <w:rsid w:val="00D12520"/>
    <w:rsid w:val="00D13522"/>
    <w:rsid w:val="00D153C5"/>
    <w:rsid w:val="00D200D1"/>
    <w:rsid w:val="00D2275A"/>
    <w:rsid w:val="00D22FF2"/>
    <w:rsid w:val="00D235F5"/>
    <w:rsid w:val="00D32F0B"/>
    <w:rsid w:val="00D34EE3"/>
    <w:rsid w:val="00D4145C"/>
    <w:rsid w:val="00D50606"/>
    <w:rsid w:val="00D50A8D"/>
    <w:rsid w:val="00D52BB6"/>
    <w:rsid w:val="00D544E7"/>
    <w:rsid w:val="00D61815"/>
    <w:rsid w:val="00D64061"/>
    <w:rsid w:val="00D65131"/>
    <w:rsid w:val="00D66A73"/>
    <w:rsid w:val="00D74C4B"/>
    <w:rsid w:val="00D75C76"/>
    <w:rsid w:val="00D83A79"/>
    <w:rsid w:val="00D86DE6"/>
    <w:rsid w:val="00D901E0"/>
    <w:rsid w:val="00D9266D"/>
    <w:rsid w:val="00D9305A"/>
    <w:rsid w:val="00D94A71"/>
    <w:rsid w:val="00D9740E"/>
    <w:rsid w:val="00DA0FEC"/>
    <w:rsid w:val="00DA5834"/>
    <w:rsid w:val="00DB0B67"/>
    <w:rsid w:val="00DB1C2A"/>
    <w:rsid w:val="00DB21D0"/>
    <w:rsid w:val="00DC2605"/>
    <w:rsid w:val="00DC667A"/>
    <w:rsid w:val="00DD10FA"/>
    <w:rsid w:val="00DD2BC5"/>
    <w:rsid w:val="00DD2CA2"/>
    <w:rsid w:val="00DD475B"/>
    <w:rsid w:val="00DD4DA8"/>
    <w:rsid w:val="00DD78E4"/>
    <w:rsid w:val="00DE03E4"/>
    <w:rsid w:val="00DE0778"/>
    <w:rsid w:val="00DE28FA"/>
    <w:rsid w:val="00DE5203"/>
    <w:rsid w:val="00DE5F57"/>
    <w:rsid w:val="00DE605D"/>
    <w:rsid w:val="00DF3835"/>
    <w:rsid w:val="00DF53EB"/>
    <w:rsid w:val="00DF638B"/>
    <w:rsid w:val="00E029E6"/>
    <w:rsid w:val="00E10CFF"/>
    <w:rsid w:val="00E12150"/>
    <w:rsid w:val="00E15715"/>
    <w:rsid w:val="00E159E2"/>
    <w:rsid w:val="00E17B9E"/>
    <w:rsid w:val="00E20F46"/>
    <w:rsid w:val="00E27586"/>
    <w:rsid w:val="00E31390"/>
    <w:rsid w:val="00E33E15"/>
    <w:rsid w:val="00E42262"/>
    <w:rsid w:val="00E4312E"/>
    <w:rsid w:val="00E43640"/>
    <w:rsid w:val="00E43CEF"/>
    <w:rsid w:val="00E44A15"/>
    <w:rsid w:val="00E459D8"/>
    <w:rsid w:val="00E45B36"/>
    <w:rsid w:val="00E50120"/>
    <w:rsid w:val="00E5414B"/>
    <w:rsid w:val="00E55508"/>
    <w:rsid w:val="00E56489"/>
    <w:rsid w:val="00E57F9E"/>
    <w:rsid w:val="00E669F2"/>
    <w:rsid w:val="00E731D1"/>
    <w:rsid w:val="00E805E4"/>
    <w:rsid w:val="00E80F5B"/>
    <w:rsid w:val="00E824EA"/>
    <w:rsid w:val="00E847F5"/>
    <w:rsid w:val="00E902FA"/>
    <w:rsid w:val="00E91FCC"/>
    <w:rsid w:val="00E9245E"/>
    <w:rsid w:val="00E92A4C"/>
    <w:rsid w:val="00EA42E5"/>
    <w:rsid w:val="00EA72B7"/>
    <w:rsid w:val="00EB2F07"/>
    <w:rsid w:val="00EB71F0"/>
    <w:rsid w:val="00EC3D9F"/>
    <w:rsid w:val="00EC5180"/>
    <w:rsid w:val="00EC5313"/>
    <w:rsid w:val="00EC7592"/>
    <w:rsid w:val="00ED1184"/>
    <w:rsid w:val="00ED21FB"/>
    <w:rsid w:val="00ED2B69"/>
    <w:rsid w:val="00ED39CE"/>
    <w:rsid w:val="00ED3A59"/>
    <w:rsid w:val="00ED6EEA"/>
    <w:rsid w:val="00ED7273"/>
    <w:rsid w:val="00EE04AB"/>
    <w:rsid w:val="00EE242C"/>
    <w:rsid w:val="00EE56AE"/>
    <w:rsid w:val="00EF0ADC"/>
    <w:rsid w:val="00F019A8"/>
    <w:rsid w:val="00F063A9"/>
    <w:rsid w:val="00F0717D"/>
    <w:rsid w:val="00F11380"/>
    <w:rsid w:val="00F1269E"/>
    <w:rsid w:val="00F146E9"/>
    <w:rsid w:val="00F14F02"/>
    <w:rsid w:val="00F14F07"/>
    <w:rsid w:val="00F15A96"/>
    <w:rsid w:val="00F165A1"/>
    <w:rsid w:val="00F17853"/>
    <w:rsid w:val="00F17B77"/>
    <w:rsid w:val="00F21DC7"/>
    <w:rsid w:val="00F27ABA"/>
    <w:rsid w:val="00F30354"/>
    <w:rsid w:val="00F33270"/>
    <w:rsid w:val="00F365DB"/>
    <w:rsid w:val="00F437CC"/>
    <w:rsid w:val="00F442EE"/>
    <w:rsid w:val="00F44550"/>
    <w:rsid w:val="00F45DA9"/>
    <w:rsid w:val="00F545E4"/>
    <w:rsid w:val="00F54C87"/>
    <w:rsid w:val="00F61218"/>
    <w:rsid w:val="00F62820"/>
    <w:rsid w:val="00F62E90"/>
    <w:rsid w:val="00F6760C"/>
    <w:rsid w:val="00F67A73"/>
    <w:rsid w:val="00F70189"/>
    <w:rsid w:val="00F727FC"/>
    <w:rsid w:val="00F7292C"/>
    <w:rsid w:val="00F73BE8"/>
    <w:rsid w:val="00F7492A"/>
    <w:rsid w:val="00F91DF0"/>
    <w:rsid w:val="00F92802"/>
    <w:rsid w:val="00F94BB5"/>
    <w:rsid w:val="00F95E29"/>
    <w:rsid w:val="00FA0E1D"/>
    <w:rsid w:val="00FA2FF3"/>
    <w:rsid w:val="00FA3CD2"/>
    <w:rsid w:val="00FA5200"/>
    <w:rsid w:val="00FA678D"/>
    <w:rsid w:val="00FB0974"/>
    <w:rsid w:val="00FB1A70"/>
    <w:rsid w:val="00FB4000"/>
    <w:rsid w:val="00FB4D5D"/>
    <w:rsid w:val="00FC3FE2"/>
    <w:rsid w:val="00FC4E6E"/>
    <w:rsid w:val="00FC510D"/>
    <w:rsid w:val="00FC5F1F"/>
    <w:rsid w:val="00FD1B14"/>
    <w:rsid w:val="00FD4367"/>
    <w:rsid w:val="00FE7212"/>
    <w:rsid w:val="00FE7E95"/>
    <w:rsid w:val="00FF3D28"/>
    <w:rsid w:val="00FF5B09"/>
    <w:rsid w:val="00FF5B51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D62A1-DB13-44BA-AE9C-54DAA2D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B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B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0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40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40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0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08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15E6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15E6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4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3B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2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FF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35C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BF2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D64ED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5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463"/>
    <w:rPr>
      <w:sz w:val="20"/>
      <w:szCs w:val="20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7B7159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62E9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019D5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019D5"/>
    <w:rPr>
      <w:rFonts w:ascii="Calibri" w:hAnsi="Calibri"/>
      <w:color w:val="00457D"/>
      <w:szCs w:val="21"/>
    </w:rPr>
  </w:style>
  <w:style w:type="paragraph" w:styleId="Revisione">
    <w:name w:val="Revision"/>
    <w:hidden/>
    <w:uiPriority w:val="99"/>
    <w:semiHidden/>
    <w:rsid w:val="00101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8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55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6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69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9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0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5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05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5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6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7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4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0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6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1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5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59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7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9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3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4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7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5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7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23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35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14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45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4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8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96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40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87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6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48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99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65895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9" w:color="DFE1E5"/>
                <w:right w:val="none" w:sz="0" w:space="0" w:color="auto"/>
              </w:divBdr>
              <w:divsChild>
                <w:div w:id="1506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60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ufficio.stampa@gimb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ronavirus.gimbe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5F6E-FDA3-4381-BCEF-F67C226E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Gili</dc:creator>
  <cp:lastModifiedBy>Roberto Luceri</cp:lastModifiedBy>
  <cp:revision>11</cp:revision>
  <dcterms:created xsi:type="dcterms:W3CDTF">2021-02-11T07:42:00Z</dcterms:created>
  <dcterms:modified xsi:type="dcterms:W3CDTF">2021-02-11T08:25:00Z</dcterms:modified>
</cp:coreProperties>
</file>