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7C7ED0" w:rsidRDefault="003B42F8" w:rsidP="00DB2FFA">
      <w:pPr>
        <w:spacing w:after="120"/>
        <w:jc w:val="center"/>
        <w:rPr>
          <w:b/>
          <w:sz w:val="32"/>
          <w:szCs w:val="32"/>
          <w:lang w:eastAsia="it-IT"/>
        </w:rPr>
      </w:pPr>
      <w:r w:rsidRPr="007C7ED0">
        <w:rPr>
          <w:b/>
          <w:sz w:val="32"/>
          <w:szCs w:val="32"/>
          <w:lang w:eastAsia="it-IT"/>
        </w:rPr>
        <w:t>CORONAVIRUS:</w:t>
      </w:r>
      <w:r w:rsidR="000466D8" w:rsidRPr="007C7ED0">
        <w:rPr>
          <w:b/>
          <w:sz w:val="32"/>
          <w:szCs w:val="32"/>
          <w:lang w:eastAsia="it-IT"/>
        </w:rPr>
        <w:t xml:space="preserve"> </w:t>
      </w:r>
      <w:r w:rsidR="00685F86" w:rsidRPr="007C7ED0">
        <w:rPr>
          <w:b/>
          <w:sz w:val="32"/>
          <w:szCs w:val="32"/>
          <w:lang w:eastAsia="it-IT"/>
        </w:rPr>
        <w:t>2</w:t>
      </w:r>
      <w:r w:rsidR="00D56884" w:rsidRPr="007C7ED0">
        <w:rPr>
          <w:b/>
          <w:sz w:val="32"/>
          <w:szCs w:val="32"/>
          <w:lang w:eastAsia="it-IT"/>
        </w:rPr>
        <w:t>.</w:t>
      </w:r>
      <w:r w:rsidR="00685F86" w:rsidRPr="007C7ED0">
        <w:rPr>
          <w:b/>
          <w:sz w:val="32"/>
          <w:szCs w:val="32"/>
          <w:lang w:eastAsia="it-IT"/>
        </w:rPr>
        <w:t>9</w:t>
      </w:r>
      <w:r w:rsidR="007C7ED0">
        <w:rPr>
          <w:b/>
          <w:sz w:val="32"/>
          <w:szCs w:val="32"/>
          <w:lang w:eastAsia="it-IT"/>
        </w:rPr>
        <w:t>18</w:t>
      </w:r>
      <w:r w:rsidR="00D56884" w:rsidRPr="007C7ED0">
        <w:rPr>
          <w:b/>
          <w:sz w:val="32"/>
          <w:szCs w:val="32"/>
          <w:lang w:eastAsia="it-IT"/>
        </w:rPr>
        <w:t xml:space="preserve"> DECESSI IN UNA SETTIMANA</w:t>
      </w:r>
      <w:r w:rsidR="0037699E">
        <w:rPr>
          <w:b/>
          <w:sz w:val="32"/>
          <w:szCs w:val="32"/>
          <w:lang w:eastAsia="it-IT"/>
        </w:rPr>
        <w:t>,</w:t>
      </w:r>
      <w:r w:rsidR="00DB2FFA">
        <w:rPr>
          <w:b/>
          <w:sz w:val="32"/>
          <w:szCs w:val="32"/>
          <w:lang w:eastAsia="it-IT"/>
        </w:rPr>
        <w:br/>
        <w:t xml:space="preserve">TERAPIE INTENSIVE SOPRA SOGLIA </w:t>
      </w:r>
      <w:r w:rsidR="00FA2CA8">
        <w:rPr>
          <w:b/>
          <w:sz w:val="32"/>
          <w:szCs w:val="32"/>
          <w:lang w:eastAsia="it-IT"/>
        </w:rPr>
        <w:t xml:space="preserve">DI </w:t>
      </w:r>
      <w:r w:rsidR="00DB2FFA">
        <w:rPr>
          <w:b/>
          <w:sz w:val="32"/>
          <w:szCs w:val="32"/>
          <w:lang w:eastAsia="it-IT"/>
        </w:rPr>
        <w:t>SATURAZIONE</w:t>
      </w:r>
      <w:r w:rsidR="007D1838">
        <w:rPr>
          <w:b/>
          <w:sz w:val="32"/>
          <w:szCs w:val="32"/>
          <w:lang w:eastAsia="it-IT"/>
        </w:rPr>
        <w:t xml:space="preserve"> IN 11 REGIONI</w:t>
      </w:r>
      <w:r w:rsidR="00DB2FFA">
        <w:rPr>
          <w:b/>
          <w:sz w:val="32"/>
          <w:szCs w:val="32"/>
          <w:lang w:eastAsia="it-IT"/>
        </w:rPr>
        <w:t xml:space="preserve">, </w:t>
      </w:r>
      <w:r w:rsidR="00DB2FFA">
        <w:rPr>
          <w:b/>
          <w:sz w:val="32"/>
          <w:szCs w:val="32"/>
          <w:lang w:eastAsia="it-IT"/>
        </w:rPr>
        <w:br/>
      </w:r>
      <w:r w:rsidR="007C7ED0" w:rsidRPr="007C7ED0">
        <w:rPr>
          <w:b/>
          <w:sz w:val="32"/>
          <w:szCs w:val="32"/>
          <w:lang w:eastAsia="it-IT"/>
        </w:rPr>
        <w:t xml:space="preserve">IMPENNATA DI CONTAGI </w:t>
      </w:r>
      <w:r w:rsidR="007C7ED0">
        <w:rPr>
          <w:b/>
          <w:sz w:val="32"/>
          <w:szCs w:val="32"/>
          <w:lang w:eastAsia="it-IT"/>
        </w:rPr>
        <w:t xml:space="preserve">TRA IL </w:t>
      </w:r>
      <w:r w:rsidR="007C7ED0" w:rsidRPr="007C7ED0">
        <w:rPr>
          <w:b/>
          <w:sz w:val="32"/>
          <w:szCs w:val="32"/>
          <w:lang w:eastAsia="it-IT"/>
        </w:rPr>
        <w:t>PERSONALE SANITARIO</w:t>
      </w:r>
      <w:r w:rsidR="00B34F92">
        <w:rPr>
          <w:b/>
          <w:sz w:val="32"/>
          <w:szCs w:val="32"/>
          <w:lang w:eastAsia="it-IT"/>
        </w:rPr>
        <w:t>.</w:t>
      </w:r>
      <w:r w:rsidR="004C2A3A" w:rsidRPr="007C7ED0">
        <w:rPr>
          <w:b/>
          <w:sz w:val="32"/>
          <w:szCs w:val="32"/>
          <w:lang w:eastAsia="it-IT"/>
        </w:rPr>
        <w:br/>
      </w:r>
      <w:r w:rsidR="00716306">
        <w:rPr>
          <w:b/>
          <w:sz w:val="32"/>
          <w:szCs w:val="32"/>
          <w:lang w:eastAsia="it-IT"/>
        </w:rPr>
        <w:t xml:space="preserve">SERVE </w:t>
      </w:r>
      <w:r w:rsidR="004B30DC">
        <w:rPr>
          <w:b/>
          <w:sz w:val="32"/>
          <w:szCs w:val="32"/>
          <w:lang w:eastAsia="it-IT"/>
        </w:rPr>
        <w:t xml:space="preserve">CAMBIO DI ROTTA </w:t>
      </w:r>
      <w:r w:rsidR="00475227">
        <w:rPr>
          <w:b/>
          <w:sz w:val="32"/>
          <w:szCs w:val="32"/>
          <w:lang w:eastAsia="it-IT"/>
        </w:rPr>
        <w:t>SU</w:t>
      </w:r>
      <w:r w:rsidR="0037699E">
        <w:rPr>
          <w:b/>
          <w:sz w:val="32"/>
          <w:szCs w:val="32"/>
          <w:lang w:eastAsia="it-IT"/>
        </w:rPr>
        <w:t xml:space="preserve"> </w:t>
      </w:r>
      <w:r w:rsidR="004C2A3A" w:rsidRPr="007C7ED0">
        <w:rPr>
          <w:b/>
          <w:sz w:val="32"/>
          <w:szCs w:val="32"/>
          <w:lang w:eastAsia="it-IT"/>
        </w:rPr>
        <w:t xml:space="preserve">CRITERI </w:t>
      </w:r>
      <w:r w:rsidR="00181BDC" w:rsidRPr="007C7ED0">
        <w:rPr>
          <w:b/>
          <w:sz w:val="32"/>
          <w:szCs w:val="32"/>
          <w:lang w:eastAsia="it-IT"/>
        </w:rPr>
        <w:t>DI MONITORAGGIO</w:t>
      </w:r>
      <w:r w:rsidR="005D01D3">
        <w:rPr>
          <w:b/>
          <w:sz w:val="32"/>
          <w:szCs w:val="32"/>
          <w:lang w:eastAsia="it-IT"/>
        </w:rPr>
        <w:t xml:space="preserve"> E DATI OPEN</w:t>
      </w:r>
    </w:p>
    <w:p w:rsidR="00AF55A7" w:rsidRDefault="00AF55A7" w:rsidP="00AF55A7">
      <w:pPr>
        <w:spacing w:after="120"/>
        <w:jc w:val="both"/>
        <w:rPr>
          <w:b/>
          <w:sz w:val="23"/>
          <w:szCs w:val="23"/>
          <w:lang w:eastAsia="it-IT"/>
        </w:rPr>
      </w:pPr>
      <w:r w:rsidRPr="0050520B">
        <w:rPr>
          <w:b/>
          <w:sz w:val="23"/>
          <w:szCs w:val="23"/>
          <w:lang w:eastAsia="it-IT"/>
        </w:rPr>
        <w:t xml:space="preserve">IL </w:t>
      </w:r>
      <w:r w:rsidRPr="00671221">
        <w:rPr>
          <w:b/>
          <w:sz w:val="23"/>
          <w:szCs w:val="23"/>
          <w:lang w:eastAsia="it-IT"/>
        </w:rPr>
        <w:t xml:space="preserve">MONITORAGGIO DELLA FONDAZIONE GIMBE RILEVA NELLA SETTIMANA </w:t>
      </w:r>
      <w:r w:rsidR="009C3A7D" w:rsidRPr="00671221">
        <w:rPr>
          <w:b/>
          <w:sz w:val="23"/>
          <w:szCs w:val="23"/>
          <w:lang w:eastAsia="it-IT"/>
        </w:rPr>
        <w:t>4-10</w:t>
      </w:r>
      <w:r w:rsidRPr="00671221">
        <w:rPr>
          <w:b/>
          <w:sz w:val="23"/>
          <w:szCs w:val="23"/>
          <w:lang w:eastAsia="it-IT"/>
        </w:rPr>
        <w:t xml:space="preserve"> NOVEMBRE, RISPETTO ALLA PRECEDENTE, UN AUMENTO </w:t>
      </w:r>
      <w:r w:rsidR="00535D27">
        <w:rPr>
          <w:b/>
          <w:sz w:val="23"/>
          <w:szCs w:val="23"/>
          <w:lang w:eastAsia="it-IT"/>
        </w:rPr>
        <w:t xml:space="preserve">DI </w:t>
      </w:r>
      <w:r w:rsidRPr="00671221">
        <w:rPr>
          <w:b/>
          <w:sz w:val="23"/>
          <w:szCs w:val="23"/>
          <w:lang w:eastAsia="it-IT"/>
        </w:rPr>
        <w:t xml:space="preserve">OLTRE </w:t>
      </w:r>
      <w:r w:rsidR="00671221" w:rsidRPr="00671221">
        <w:rPr>
          <w:b/>
          <w:sz w:val="23"/>
          <w:szCs w:val="23"/>
          <w:lang w:eastAsia="it-IT"/>
        </w:rPr>
        <w:t>235</w:t>
      </w:r>
      <w:r w:rsidRPr="00671221">
        <w:rPr>
          <w:b/>
          <w:sz w:val="23"/>
          <w:szCs w:val="23"/>
          <w:lang w:eastAsia="it-IT"/>
        </w:rPr>
        <w:t xml:space="preserve"> MILA CASI</w:t>
      </w:r>
      <w:r w:rsidR="00535D27">
        <w:rPr>
          <w:b/>
          <w:sz w:val="23"/>
          <w:szCs w:val="23"/>
          <w:lang w:eastAsia="it-IT"/>
        </w:rPr>
        <w:t xml:space="preserve"> E 590 MILA ATTUALMENTE POSITIVI</w:t>
      </w:r>
      <w:r w:rsidRPr="00671221">
        <w:rPr>
          <w:b/>
          <w:sz w:val="23"/>
          <w:szCs w:val="23"/>
          <w:lang w:eastAsia="it-IT"/>
        </w:rPr>
        <w:t xml:space="preserve">. </w:t>
      </w:r>
      <w:r w:rsidR="00D56884">
        <w:rPr>
          <w:b/>
          <w:sz w:val="23"/>
          <w:szCs w:val="23"/>
          <w:lang w:eastAsia="it-IT"/>
        </w:rPr>
        <w:t xml:space="preserve">SALGONO A </w:t>
      </w:r>
      <w:r w:rsidR="00671221" w:rsidRPr="00671221">
        <w:rPr>
          <w:b/>
          <w:sz w:val="23"/>
          <w:szCs w:val="23"/>
          <w:lang w:eastAsia="it-IT"/>
        </w:rPr>
        <w:t>28.633</w:t>
      </w:r>
      <w:r w:rsidRPr="00671221">
        <w:rPr>
          <w:b/>
          <w:sz w:val="23"/>
          <w:szCs w:val="23"/>
          <w:lang w:eastAsia="it-IT"/>
        </w:rPr>
        <w:t xml:space="preserve"> </w:t>
      </w:r>
      <w:r w:rsidR="00D56884">
        <w:rPr>
          <w:b/>
          <w:sz w:val="23"/>
          <w:szCs w:val="23"/>
          <w:lang w:eastAsia="it-IT"/>
        </w:rPr>
        <w:t xml:space="preserve">I </w:t>
      </w:r>
      <w:r w:rsidR="00297057">
        <w:rPr>
          <w:b/>
          <w:sz w:val="23"/>
          <w:szCs w:val="23"/>
          <w:lang w:eastAsia="it-IT"/>
        </w:rPr>
        <w:t xml:space="preserve">PAZIENTI </w:t>
      </w:r>
      <w:r w:rsidR="00FA2CA8">
        <w:rPr>
          <w:b/>
          <w:sz w:val="23"/>
          <w:szCs w:val="23"/>
          <w:lang w:eastAsia="it-IT"/>
        </w:rPr>
        <w:t>RICOVERATI</w:t>
      </w:r>
      <w:r w:rsidR="00FA2CA8" w:rsidRPr="00671221">
        <w:rPr>
          <w:b/>
          <w:sz w:val="23"/>
          <w:szCs w:val="23"/>
          <w:lang w:eastAsia="it-IT"/>
        </w:rPr>
        <w:t xml:space="preserve"> </w:t>
      </w:r>
      <w:r w:rsidR="00D56884">
        <w:rPr>
          <w:b/>
          <w:sz w:val="23"/>
          <w:szCs w:val="23"/>
          <w:lang w:eastAsia="it-IT"/>
        </w:rPr>
        <w:t xml:space="preserve">E A </w:t>
      </w:r>
      <w:r w:rsidRPr="00671221">
        <w:rPr>
          <w:b/>
          <w:sz w:val="23"/>
          <w:szCs w:val="23"/>
          <w:lang w:eastAsia="it-IT"/>
        </w:rPr>
        <w:t>2.</w:t>
      </w:r>
      <w:r w:rsidR="00671221" w:rsidRPr="00671221">
        <w:rPr>
          <w:b/>
          <w:sz w:val="23"/>
          <w:szCs w:val="23"/>
          <w:lang w:eastAsia="it-IT"/>
        </w:rPr>
        <w:t>971</w:t>
      </w:r>
      <w:r w:rsidRPr="00671221">
        <w:rPr>
          <w:b/>
          <w:sz w:val="23"/>
          <w:szCs w:val="23"/>
          <w:lang w:eastAsia="it-IT"/>
        </w:rPr>
        <w:t xml:space="preserve"> </w:t>
      </w:r>
      <w:r w:rsidR="00297057">
        <w:rPr>
          <w:b/>
          <w:sz w:val="23"/>
          <w:szCs w:val="23"/>
          <w:lang w:eastAsia="it-IT"/>
        </w:rPr>
        <w:t>QUELLI IN TERAPIA IN</w:t>
      </w:r>
      <w:bookmarkStart w:id="0" w:name="_GoBack"/>
      <w:bookmarkEnd w:id="0"/>
      <w:r w:rsidR="00297057">
        <w:rPr>
          <w:b/>
          <w:sz w:val="23"/>
          <w:szCs w:val="23"/>
          <w:lang w:eastAsia="it-IT"/>
        </w:rPr>
        <w:t>TENSIVA</w:t>
      </w:r>
      <w:r w:rsidR="00297057" w:rsidRPr="00671221">
        <w:rPr>
          <w:b/>
          <w:sz w:val="23"/>
          <w:szCs w:val="23"/>
          <w:lang w:eastAsia="it-IT"/>
        </w:rPr>
        <w:t xml:space="preserve"> </w:t>
      </w:r>
      <w:r w:rsidR="00D56884">
        <w:rPr>
          <w:b/>
          <w:sz w:val="23"/>
          <w:szCs w:val="23"/>
          <w:lang w:eastAsia="it-IT"/>
        </w:rPr>
        <w:t xml:space="preserve">CON </w:t>
      </w:r>
      <w:r w:rsidRPr="00671221">
        <w:rPr>
          <w:b/>
          <w:sz w:val="23"/>
          <w:szCs w:val="23"/>
          <w:lang w:eastAsia="it-IT"/>
        </w:rPr>
        <w:t>SOGLIE DI SATURAZIONE</w:t>
      </w:r>
      <w:r w:rsidR="00D56884">
        <w:rPr>
          <w:b/>
          <w:sz w:val="23"/>
          <w:szCs w:val="23"/>
          <w:lang w:eastAsia="it-IT"/>
        </w:rPr>
        <w:t xml:space="preserve"> </w:t>
      </w:r>
      <w:r w:rsidR="00716306">
        <w:rPr>
          <w:b/>
          <w:sz w:val="23"/>
          <w:szCs w:val="23"/>
          <w:lang w:eastAsia="it-IT"/>
        </w:rPr>
        <w:t xml:space="preserve">DEGLI OSPEDALI </w:t>
      </w:r>
      <w:r w:rsidR="00D56884">
        <w:rPr>
          <w:b/>
          <w:sz w:val="23"/>
          <w:szCs w:val="23"/>
          <w:lang w:eastAsia="it-IT"/>
        </w:rPr>
        <w:t>SUPERATE</w:t>
      </w:r>
      <w:r w:rsidR="00B67321">
        <w:rPr>
          <w:b/>
          <w:sz w:val="23"/>
          <w:szCs w:val="23"/>
          <w:lang w:eastAsia="it-IT"/>
        </w:rPr>
        <w:t xml:space="preserve"> IN </w:t>
      </w:r>
      <w:r w:rsidR="007D1838">
        <w:rPr>
          <w:b/>
          <w:sz w:val="23"/>
          <w:szCs w:val="23"/>
          <w:lang w:eastAsia="it-IT"/>
        </w:rPr>
        <w:t xml:space="preserve">11 </w:t>
      </w:r>
      <w:r w:rsidR="00D56884">
        <w:rPr>
          <w:b/>
          <w:sz w:val="23"/>
          <w:szCs w:val="23"/>
          <w:lang w:eastAsia="it-IT"/>
        </w:rPr>
        <w:t>REGIONI</w:t>
      </w:r>
      <w:r w:rsidRPr="00671221">
        <w:rPr>
          <w:b/>
          <w:sz w:val="23"/>
          <w:szCs w:val="23"/>
          <w:lang w:eastAsia="it-IT"/>
        </w:rPr>
        <w:t>.</w:t>
      </w:r>
      <w:r w:rsidRPr="009C3A7D">
        <w:rPr>
          <w:b/>
          <w:sz w:val="23"/>
          <w:szCs w:val="23"/>
          <w:lang w:eastAsia="it-IT"/>
        </w:rPr>
        <w:t xml:space="preserve"> </w:t>
      </w:r>
      <w:r w:rsidR="007C7ED0">
        <w:rPr>
          <w:b/>
          <w:sz w:val="23"/>
          <w:szCs w:val="23"/>
          <w:lang w:eastAsia="it-IT"/>
        </w:rPr>
        <w:t xml:space="preserve">NEGLI ULTIMI 30 GIORNI CONTAGIATI OLTRE 19 MILA OPERATORI SANITARI. </w:t>
      </w:r>
      <w:r w:rsidRPr="001457D9">
        <w:rPr>
          <w:b/>
          <w:sz w:val="23"/>
          <w:szCs w:val="23"/>
          <w:lang w:eastAsia="it-IT"/>
        </w:rPr>
        <w:t>LA FONDAZIONE GIMBE, IN AUDIZIONE AL</w:t>
      </w:r>
      <w:r w:rsidR="00D56884" w:rsidRPr="001457D9">
        <w:rPr>
          <w:b/>
          <w:sz w:val="23"/>
          <w:szCs w:val="23"/>
          <w:lang w:eastAsia="it-IT"/>
        </w:rPr>
        <w:t xml:space="preserve">LA CAMERA, CHIEDE </w:t>
      </w:r>
      <w:r w:rsidR="006C21F7">
        <w:rPr>
          <w:b/>
          <w:sz w:val="23"/>
          <w:szCs w:val="23"/>
          <w:lang w:eastAsia="it-IT"/>
        </w:rPr>
        <w:t>L</w:t>
      </w:r>
      <w:r w:rsidR="00714222">
        <w:rPr>
          <w:b/>
          <w:sz w:val="23"/>
          <w:szCs w:val="23"/>
          <w:lang w:eastAsia="it-IT"/>
        </w:rPr>
        <w:t xml:space="preserve">A REVISIONE DEL </w:t>
      </w:r>
      <w:r w:rsidR="00F10F5D" w:rsidRPr="001457D9">
        <w:rPr>
          <w:b/>
          <w:sz w:val="23"/>
          <w:szCs w:val="23"/>
          <w:lang w:eastAsia="it-IT"/>
        </w:rPr>
        <w:t xml:space="preserve">SISTEMA DI MONITORAGGIO </w:t>
      </w:r>
      <w:r w:rsidR="006C21F7">
        <w:rPr>
          <w:b/>
          <w:sz w:val="23"/>
          <w:szCs w:val="23"/>
          <w:lang w:eastAsia="it-IT"/>
        </w:rPr>
        <w:t xml:space="preserve">E RIBADISCE LA NECESSITÀ DI RENDERE ACCESSIBILI TUTTI I DATI </w:t>
      </w:r>
      <w:r w:rsidR="00413344">
        <w:rPr>
          <w:b/>
          <w:sz w:val="23"/>
          <w:szCs w:val="23"/>
          <w:lang w:eastAsia="it-IT"/>
        </w:rPr>
        <w:t xml:space="preserve">DETTAGLIATI E INTEROPERABILI </w:t>
      </w:r>
      <w:r w:rsidR="006C21F7">
        <w:rPr>
          <w:b/>
          <w:sz w:val="23"/>
          <w:szCs w:val="23"/>
          <w:lang w:eastAsia="it-IT"/>
        </w:rPr>
        <w:t>IN FORMATO APERTO.</w:t>
      </w:r>
      <w:r w:rsidR="00413344" w:rsidRPr="00413344">
        <w:rPr>
          <w:b/>
          <w:sz w:val="23"/>
          <w:szCs w:val="23"/>
          <w:lang w:eastAsia="it-IT"/>
        </w:rPr>
        <w:t xml:space="preserve"> </w:t>
      </w:r>
    </w:p>
    <w:p w:rsidR="00B443D8" w:rsidRPr="00734A61" w:rsidRDefault="004C2A3A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12</w:t>
      </w:r>
      <w:r w:rsidR="00CD0D02">
        <w:rPr>
          <w:rFonts w:ascii="Calibri" w:eastAsia="Calibri" w:hAnsi="Calibri" w:cs="Times New Roman"/>
          <w:b/>
          <w:bCs/>
          <w:sz w:val="24"/>
          <w:szCs w:val="24"/>
        </w:rPr>
        <w:t xml:space="preserve"> novembre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D32FD3" w:rsidRDefault="00406DC9" w:rsidP="0050520B">
      <w:pPr>
        <w:jc w:val="both"/>
        <w:rPr>
          <w:lang w:eastAsia="it-IT"/>
        </w:rPr>
      </w:pPr>
      <w:r w:rsidRPr="0050520B">
        <w:rPr>
          <w:lang w:eastAsia="it-IT"/>
        </w:rPr>
        <w:t xml:space="preserve">Il monitoraggio indipendente della Fondazione GIMBE </w:t>
      </w:r>
      <w:r w:rsidR="00F0762F" w:rsidRPr="0050520B">
        <w:t>conferma</w:t>
      </w:r>
      <w:r w:rsidR="00E9357F" w:rsidRPr="0050520B">
        <w:t xml:space="preserve"> </w:t>
      </w:r>
      <w:r w:rsidRPr="0050520B">
        <w:t>n</w:t>
      </w:r>
      <w:r w:rsidR="00DD06F4" w:rsidRPr="0050520B">
        <w:t xml:space="preserve">ella settimana </w:t>
      </w:r>
      <w:r w:rsidR="009C3A7D">
        <w:t>4-10</w:t>
      </w:r>
      <w:r w:rsidR="00CD0D02" w:rsidRPr="0050520B">
        <w:t xml:space="preserve"> novembre</w:t>
      </w:r>
      <w:r w:rsidR="00A73F90" w:rsidRPr="0050520B">
        <w:t xml:space="preserve">, rispetto </w:t>
      </w:r>
      <w:r w:rsidR="00A73F90" w:rsidRPr="00671221">
        <w:t xml:space="preserve">alla precedente, </w:t>
      </w:r>
      <w:r w:rsidR="00F0762F" w:rsidRPr="00671221">
        <w:rPr>
          <w:lang w:eastAsia="it-IT"/>
        </w:rPr>
        <w:t>l’</w:t>
      </w:r>
      <w:r w:rsidR="002D6D5F" w:rsidRPr="00671221">
        <w:rPr>
          <w:lang w:eastAsia="it-IT"/>
        </w:rPr>
        <w:t xml:space="preserve">incremento </w:t>
      </w:r>
      <w:r w:rsidR="00A9533C" w:rsidRPr="00671221">
        <w:rPr>
          <w:lang w:eastAsia="it-IT"/>
        </w:rPr>
        <w:t xml:space="preserve">nel trend </w:t>
      </w:r>
      <w:r w:rsidR="00DD06F4" w:rsidRPr="00671221">
        <w:rPr>
          <w:lang w:eastAsia="it-IT"/>
        </w:rPr>
        <w:t>dei nuovi casi (</w:t>
      </w:r>
      <w:r w:rsidR="00671221" w:rsidRPr="00671221">
        <w:rPr>
          <w:lang w:eastAsia="it-IT"/>
        </w:rPr>
        <w:t xml:space="preserve">235.634 vs </w:t>
      </w:r>
      <w:r w:rsidR="0050520B" w:rsidRPr="00671221">
        <w:rPr>
          <w:lang w:eastAsia="it-IT"/>
        </w:rPr>
        <w:t>195.051</w:t>
      </w:r>
      <w:r w:rsidR="00796E28" w:rsidRPr="00671221">
        <w:rPr>
          <w:lang w:eastAsia="it-IT"/>
        </w:rPr>
        <w:t>)</w:t>
      </w:r>
      <w:r w:rsidR="00F0762F" w:rsidRPr="00671221">
        <w:rPr>
          <w:lang w:eastAsia="it-IT"/>
        </w:rPr>
        <w:t xml:space="preserve">, </w:t>
      </w:r>
      <w:r w:rsidR="007D1838">
        <w:rPr>
          <w:lang w:eastAsia="it-IT"/>
        </w:rPr>
        <w:t xml:space="preserve">sia </w:t>
      </w:r>
      <w:r w:rsidR="00F0762F" w:rsidRPr="00671221">
        <w:rPr>
          <w:lang w:eastAsia="it-IT"/>
        </w:rPr>
        <w:t xml:space="preserve">per </w:t>
      </w:r>
      <w:r w:rsidR="007D1838">
        <w:rPr>
          <w:lang w:eastAsia="it-IT"/>
        </w:rPr>
        <w:t xml:space="preserve">il lieve </w:t>
      </w:r>
      <w:r w:rsidR="00D55B56" w:rsidRPr="00671221">
        <w:rPr>
          <w:lang w:eastAsia="it-IT"/>
        </w:rPr>
        <w:t>aumento</w:t>
      </w:r>
      <w:r w:rsidR="00B92745" w:rsidRPr="00671221">
        <w:rPr>
          <w:lang w:eastAsia="it-IT"/>
        </w:rPr>
        <w:t xml:space="preserve"> </w:t>
      </w:r>
      <w:r w:rsidR="00D55B56" w:rsidRPr="00671221">
        <w:rPr>
          <w:lang w:eastAsia="it-IT"/>
        </w:rPr>
        <w:t xml:space="preserve">dei </w:t>
      </w:r>
      <w:r w:rsidR="006B448E" w:rsidRPr="00671221">
        <w:rPr>
          <w:lang w:eastAsia="it-IT"/>
        </w:rPr>
        <w:t>casi testati (</w:t>
      </w:r>
      <w:r w:rsidR="00671221" w:rsidRPr="00671221">
        <w:rPr>
          <w:lang w:eastAsia="it-IT"/>
        </w:rPr>
        <w:t xml:space="preserve">872.026 vs </w:t>
      </w:r>
      <w:r w:rsidR="0050520B" w:rsidRPr="00671221">
        <w:rPr>
          <w:rFonts w:ascii="Calibri" w:eastAsia="Times New Roman" w:hAnsi="Calibri" w:cs="Times New Roman"/>
          <w:lang w:eastAsia="it-IT"/>
        </w:rPr>
        <w:t>817.717</w:t>
      </w:r>
      <w:r w:rsidR="004D602F" w:rsidRPr="00671221">
        <w:rPr>
          <w:lang w:eastAsia="it-IT"/>
        </w:rPr>
        <w:t>)</w:t>
      </w:r>
      <w:r w:rsidR="000D5B60" w:rsidRPr="00671221">
        <w:rPr>
          <w:lang w:eastAsia="it-IT"/>
        </w:rPr>
        <w:t xml:space="preserve">, </w:t>
      </w:r>
      <w:r w:rsidR="007D1838">
        <w:rPr>
          <w:lang w:eastAsia="it-IT"/>
        </w:rPr>
        <w:t xml:space="preserve">sia </w:t>
      </w:r>
      <w:r w:rsidR="00F0762F" w:rsidRPr="00671221">
        <w:rPr>
          <w:lang w:eastAsia="it-IT"/>
        </w:rPr>
        <w:t xml:space="preserve">per </w:t>
      </w:r>
      <w:r w:rsidR="007D1838">
        <w:rPr>
          <w:lang w:eastAsia="it-IT"/>
        </w:rPr>
        <w:t>l’</w:t>
      </w:r>
      <w:r w:rsidR="00F23A93" w:rsidRPr="00671221">
        <w:rPr>
          <w:lang w:eastAsia="it-IT"/>
        </w:rPr>
        <w:t xml:space="preserve">incremento </w:t>
      </w:r>
      <w:r w:rsidR="00703E54" w:rsidRPr="00671221">
        <w:rPr>
          <w:lang w:eastAsia="it-IT"/>
        </w:rPr>
        <w:t>del rapporto positivi/casi testati (</w:t>
      </w:r>
      <w:r w:rsidR="00671221" w:rsidRPr="00671221">
        <w:rPr>
          <w:lang w:eastAsia="it-IT"/>
        </w:rPr>
        <w:t xml:space="preserve">27% vs </w:t>
      </w:r>
      <w:r w:rsidR="0050520B" w:rsidRPr="00671221">
        <w:rPr>
          <w:lang w:eastAsia="it-IT"/>
        </w:rPr>
        <w:t>23,9%</w:t>
      </w:r>
      <w:r w:rsidR="00703E54" w:rsidRPr="00671221">
        <w:rPr>
          <w:lang w:eastAsia="it-IT"/>
        </w:rPr>
        <w:t>)</w:t>
      </w:r>
      <w:r w:rsidR="003637A1" w:rsidRPr="00671221">
        <w:rPr>
          <w:lang w:eastAsia="it-IT"/>
        </w:rPr>
        <w:t xml:space="preserve"> (</w:t>
      </w:r>
      <w:r w:rsidR="003637A1" w:rsidRPr="00CF7FEB">
        <w:rPr>
          <w:highlight w:val="yellow"/>
          <w:lang w:eastAsia="it-IT"/>
        </w:rPr>
        <w:t>figura 1</w:t>
      </w:r>
      <w:r w:rsidR="003637A1" w:rsidRPr="00671221">
        <w:rPr>
          <w:lang w:eastAsia="it-IT"/>
        </w:rPr>
        <w:t>)</w:t>
      </w:r>
      <w:r w:rsidR="006B448E" w:rsidRPr="00671221">
        <w:rPr>
          <w:lang w:eastAsia="it-IT"/>
        </w:rPr>
        <w:t xml:space="preserve">. </w:t>
      </w:r>
      <w:r w:rsidR="00F0762F" w:rsidRPr="00671221">
        <w:rPr>
          <w:lang w:eastAsia="it-IT"/>
        </w:rPr>
        <w:t>C</w:t>
      </w:r>
      <w:r w:rsidR="00A9533C" w:rsidRPr="00671221">
        <w:rPr>
          <w:lang w:eastAsia="it-IT"/>
        </w:rPr>
        <w:t xml:space="preserve">rescono </w:t>
      </w:r>
      <w:r w:rsidR="0050520B" w:rsidRPr="00671221">
        <w:rPr>
          <w:lang w:eastAsia="it-IT"/>
        </w:rPr>
        <w:t xml:space="preserve">del </w:t>
      </w:r>
      <w:r w:rsidR="00671221" w:rsidRPr="00671221">
        <w:rPr>
          <w:lang w:eastAsia="it-IT"/>
        </w:rPr>
        <w:t>41</w:t>
      </w:r>
      <w:r w:rsidR="0050520B" w:rsidRPr="00671221">
        <w:rPr>
          <w:lang w:eastAsia="it-IT"/>
        </w:rPr>
        <w:t>,</w:t>
      </w:r>
      <w:r w:rsidR="00671221" w:rsidRPr="00671221">
        <w:rPr>
          <w:lang w:eastAsia="it-IT"/>
        </w:rPr>
        <w:t>1</w:t>
      </w:r>
      <w:r w:rsidR="0050520B" w:rsidRPr="00671221">
        <w:rPr>
          <w:lang w:eastAsia="it-IT"/>
        </w:rPr>
        <w:t xml:space="preserve">% </w:t>
      </w:r>
      <w:r w:rsidR="006B448E" w:rsidRPr="00671221">
        <w:rPr>
          <w:lang w:eastAsia="it-IT"/>
        </w:rPr>
        <w:t>i</w:t>
      </w:r>
      <w:r w:rsidR="00D33012" w:rsidRPr="00671221">
        <w:rPr>
          <w:lang w:eastAsia="it-IT"/>
        </w:rPr>
        <w:t xml:space="preserve"> casi attualmente positivi (</w:t>
      </w:r>
      <w:r w:rsidR="00671221" w:rsidRPr="00671221">
        <w:rPr>
          <w:lang w:eastAsia="it-IT"/>
        </w:rPr>
        <w:t xml:space="preserve">590.110 vs </w:t>
      </w:r>
      <w:r w:rsidR="00A96DF7" w:rsidRPr="00671221">
        <w:rPr>
          <w:lang w:eastAsia="it-IT"/>
        </w:rPr>
        <w:t>418.142</w:t>
      </w:r>
      <w:r w:rsidR="00D33012" w:rsidRPr="00671221">
        <w:rPr>
          <w:lang w:eastAsia="it-IT"/>
        </w:rPr>
        <w:t>)</w:t>
      </w:r>
      <w:r w:rsidR="006B448E" w:rsidRPr="00671221">
        <w:rPr>
          <w:lang w:eastAsia="it-IT"/>
        </w:rPr>
        <w:t xml:space="preserve"> e</w:t>
      </w:r>
      <w:r w:rsidR="003F4EAB" w:rsidRPr="00671221">
        <w:rPr>
          <w:lang w:eastAsia="it-IT"/>
        </w:rPr>
        <w:t>,</w:t>
      </w:r>
      <w:r w:rsidR="005B05C3" w:rsidRPr="00671221">
        <w:rPr>
          <w:lang w:eastAsia="it-IT"/>
        </w:rPr>
        <w:t xml:space="preserve"> sul </w:t>
      </w:r>
      <w:r w:rsidR="003F4EAB" w:rsidRPr="00671221">
        <w:rPr>
          <w:lang w:eastAsia="it-IT"/>
        </w:rPr>
        <w:t xml:space="preserve">fronte </w:t>
      </w:r>
      <w:r w:rsidR="006B448E" w:rsidRPr="00671221">
        <w:rPr>
          <w:lang w:eastAsia="it-IT"/>
        </w:rPr>
        <w:t>degli ospedali</w:t>
      </w:r>
      <w:r w:rsidR="00E12F28" w:rsidRPr="00671221">
        <w:rPr>
          <w:lang w:eastAsia="it-IT"/>
        </w:rPr>
        <w:t>,</w:t>
      </w:r>
      <w:r w:rsidR="00F0762F" w:rsidRPr="00671221">
        <w:rPr>
          <w:lang w:eastAsia="it-IT"/>
        </w:rPr>
        <w:t xml:space="preserve"> </w:t>
      </w:r>
      <w:r w:rsidR="00297057">
        <w:rPr>
          <w:lang w:eastAsia="it-IT"/>
        </w:rPr>
        <w:t xml:space="preserve">si registra un </w:t>
      </w:r>
      <w:r w:rsidR="008A2AB7" w:rsidRPr="00671221">
        <w:rPr>
          <w:lang w:eastAsia="it-IT"/>
        </w:rPr>
        <w:t xml:space="preserve">ulteriore </w:t>
      </w:r>
      <w:r w:rsidR="00401D6B" w:rsidRPr="00671221">
        <w:rPr>
          <w:lang w:eastAsia="it-IT"/>
        </w:rPr>
        <w:t xml:space="preserve">aumento </w:t>
      </w:r>
      <w:r w:rsidR="004225BB" w:rsidRPr="00671221">
        <w:rPr>
          <w:lang w:eastAsia="it-IT"/>
        </w:rPr>
        <w:t>dei</w:t>
      </w:r>
      <w:r w:rsidR="006B448E" w:rsidRPr="00671221">
        <w:rPr>
          <w:lang w:eastAsia="it-IT"/>
        </w:rPr>
        <w:t xml:space="preserve"> </w:t>
      </w:r>
      <w:r w:rsidR="0046598E" w:rsidRPr="00671221">
        <w:rPr>
          <w:lang w:eastAsia="it-IT"/>
        </w:rPr>
        <w:t xml:space="preserve">pazienti </w:t>
      </w:r>
      <w:r w:rsidR="008F1BD5" w:rsidRPr="00671221">
        <w:rPr>
          <w:lang w:eastAsia="it-IT"/>
        </w:rPr>
        <w:t>ricoverati con sintomi</w:t>
      </w:r>
      <w:r w:rsidR="00CD1202" w:rsidRPr="00671221">
        <w:rPr>
          <w:lang w:eastAsia="it-IT"/>
        </w:rPr>
        <w:t xml:space="preserve"> </w:t>
      </w:r>
      <w:r w:rsidR="007B4206" w:rsidRPr="00671221">
        <w:rPr>
          <w:lang w:eastAsia="it-IT"/>
        </w:rPr>
        <w:t>(</w:t>
      </w:r>
      <w:r w:rsidR="00671221" w:rsidRPr="00671221">
        <w:rPr>
          <w:lang w:eastAsia="it-IT"/>
        </w:rPr>
        <w:t xml:space="preserve">28.633 vs </w:t>
      </w:r>
      <w:r w:rsidR="008A2AB7" w:rsidRPr="00671221">
        <w:rPr>
          <w:lang w:eastAsia="it-IT"/>
        </w:rPr>
        <w:t>21.114</w:t>
      </w:r>
      <w:r w:rsidR="007B4206" w:rsidRPr="00671221">
        <w:rPr>
          <w:lang w:eastAsia="it-IT"/>
        </w:rPr>
        <w:t>)</w:t>
      </w:r>
      <w:r w:rsidR="006B448E" w:rsidRPr="00671221">
        <w:rPr>
          <w:lang w:eastAsia="it-IT"/>
        </w:rPr>
        <w:t xml:space="preserve"> e </w:t>
      </w:r>
      <w:r w:rsidR="0046598E" w:rsidRPr="00671221">
        <w:rPr>
          <w:lang w:eastAsia="it-IT"/>
        </w:rPr>
        <w:t>in terapia intensiva (</w:t>
      </w:r>
      <w:r w:rsidR="00671221" w:rsidRPr="00671221">
        <w:rPr>
          <w:lang w:eastAsia="it-IT"/>
        </w:rPr>
        <w:t xml:space="preserve">2.971 vs </w:t>
      </w:r>
      <w:r w:rsidR="008A2AB7" w:rsidRPr="00671221">
        <w:rPr>
          <w:lang w:eastAsia="it-IT"/>
        </w:rPr>
        <w:t>2.225</w:t>
      </w:r>
      <w:r w:rsidR="00F469C4" w:rsidRPr="00671221">
        <w:rPr>
          <w:lang w:eastAsia="it-IT"/>
        </w:rPr>
        <w:t>)</w:t>
      </w:r>
      <w:r w:rsidR="00FA2CA8">
        <w:rPr>
          <w:lang w:eastAsia="it-IT"/>
        </w:rPr>
        <w:t>; i</w:t>
      </w:r>
      <w:r w:rsidR="008A2AB7" w:rsidRPr="00671221">
        <w:rPr>
          <w:lang w:eastAsia="it-IT"/>
        </w:rPr>
        <w:t xml:space="preserve">ncrementano </w:t>
      </w:r>
      <w:r w:rsidR="00D86A75" w:rsidRPr="00671221">
        <w:rPr>
          <w:lang w:eastAsia="it-IT"/>
        </w:rPr>
        <w:t>del</w:t>
      </w:r>
      <w:r w:rsidR="008A2AB7" w:rsidRPr="00671221">
        <w:rPr>
          <w:lang w:eastAsia="it-IT"/>
        </w:rPr>
        <w:t xml:space="preserve"> 7</w:t>
      </w:r>
      <w:r w:rsidR="00671221" w:rsidRPr="00671221">
        <w:rPr>
          <w:lang w:eastAsia="it-IT"/>
        </w:rPr>
        <w:t>0</w:t>
      </w:r>
      <w:r w:rsidR="008A2AB7" w:rsidRPr="00671221">
        <w:rPr>
          <w:lang w:eastAsia="it-IT"/>
        </w:rPr>
        <w:t xml:space="preserve">% i </w:t>
      </w:r>
      <w:r w:rsidR="00F469C4" w:rsidRPr="00671221">
        <w:rPr>
          <w:lang w:eastAsia="it-IT"/>
        </w:rPr>
        <w:t>decessi</w:t>
      </w:r>
      <w:r w:rsidR="00BE59CF" w:rsidRPr="00671221">
        <w:rPr>
          <w:lang w:eastAsia="it-IT"/>
        </w:rPr>
        <w:t xml:space="preserve"> (</w:t>
      </w:r>
      <w:r w:rsidR="00671221" w:rsidRPr="00671221">
        <w:rPr>
          <w:lang w:eastAsia="it-IT"/>
        </w:rPr>
        <w:t xml:space="preserve">2.918 vs </w:t>
      </w:r>
      <w:r w:rsidR="008A2AB7" w:rsidRPr="00671221">
        <w:rPr>
          <w:lang w:eastAsia="it-IT"/>
        </w:rPr>
        <w:t>1.712</w:t>
      </w:r>
      <w:r w:rsidR="00BE59CF" w:rsidRPr="00671221">
        <w:rPr>
          <w:lang w:eastAsia="it-IT"/>
        </w:rPr>
        <w:t>)</w:t>
      </w:r>
      <w:r w:rsidR="003637A1" w:rsidRPr="00671221">
        <w:rPr>
          <w:lang w:eastAsia="it-IT"/>
        </w:rPr>
        <w:t xml:space="preserve"> (</w:t>
      </w:r>
      <w:r w:rsidR="003637A1" w:rsidRPr="00CF7FEB">
        <w:rPr>
          <w:highlight w:val="yellow"/>
          <w:lang w:eastAsia="it-IT"/>
        </w:rPr>
        <w:t>figura 2</w:t>
      </w:r>
      <w:r w:rsidR="003637A1" w:rsidRPr="00671221">
        <w:rPr>
          <w:lang w:eastAsia="it-IT"/>
        </w:rPr>
        <w:t>)</w:t>
      </w:r>
      <w:r w:rsidR="0061393A" w:rsidRPr="00671221">
        <w:rPr>
          <w:lang w:eastAsia="it-IT"/>
        </w:rPr>
        <w:t>.</w:t>
      </w:r>
      <w:r w:rsidR="007D1838">
        <w:rPr>
          <w:lang w:eastAsia="it-IT"/>
        </w:rPr>
        <w:t xml:space="preserve"> </w:t>
      </w:r>
      <w:r w:rsidR="0069637C" w:rsidRPr="008A2AB7">
        <w:rPr>
          <w:lang w:eastAsia="it-IT"/>
        </w:rPr>
        <w:t xml:space="preserve">In </w:t>
      </w:r>
      <w:r w:rsidR="00C036E5" w:rsidRPr="008A2AB7">
        <w:rPr>
          <w:lang w:eastAsia="it-IT"/>
        </w:rPr>
        <w:t>dettaglio</w:t>
      </w:r>
      <w:r w:rsidR="003442B9" w:rsidRPr="008A2AB7">
        <w:t xml:space="preserve">, </w:t>
      </w:r>
      <w:r w:rsidR="00BE59CF" w:rsidRPr="008A2AB7">
        <w:t xml:space="preserve">rispetto </w:t>
      </w:r>
      <w:r w:rsidR="00BE59CF" w:rsidRPr="000D2C51">
        <w:t xml:space="preserve">alla settimana precedente, </w:t>
      </w:r>
      <w:r w:rsidR="00742EE2" w:rsidRPr="000D2C51">
        <w:t>si registrano le seguenti variazioni</w:t>
      </w:r>
      <w:r w:rsidR="0069637C" w:rsidRPr="000D2C51">
        <w:rPr>
          <w:lang w:eastAsia="it-IT"/>
        </w:rPr>
        <w:t>:</w:t>
      </w:r>
      <w:r w:rsidR="006842FB" w:rsidRPr="000D2C51">
        <w:rPr>
          <w:lang w:eastAsia="it-IT"/>
        </w:rPr>
        <w:t xml:space="preserve"> </w:t>
      </w:r>
    </w:p>
    <w:p w:rsidR="005E1B70" w:rsidRPr="00671221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71221">
        <w:t>D</w:t>
      </w:r>
      <w:r w:rsidR="005E1B70" w:rsidRPr="00671221">
        <w:t xml:space="preserve">ecessi: </w:t>
      </w:r>
      <w:r w:rsidR="00671221" w:rsidRPr="00671221">
        <w:t>2.918</w:t>
      </w:r>
      <w:r w:rsidR="003442B9" w:rsidRPr="00671221">
        <w:t xml:space="preserve"> (</w:t>
      </w:r>
      <w:r w:rsidR="00F373A1" w:rsidRPr="00671221">
        <w:t>+</w:t>
      </w:r>
      <w:r w:rsidR="008A2AB7" w:rsidRPr="00671221">
        <w:t>7</w:t>
      </w:r>
      <w:r w:rsidR="00671221" w:rsidRPr="00671221">
        <w:t>0</w:t>
      </w:r>
      <w:r w:rsidR="00D55B56" w:rsidRPr="00671221">
        <w:t>,</w:t>
      </w:r>
      <w:r w:rsidR="00671221" w:rsidRPr="00671221">
        <w:t>4</w:t>
      </w:r>
      <w:r w:rsidR="005862D2" w:rsidRPr="00671221">
        <w:t>%)</w:t>
      </w:r>
    </w:p>
    <w:p w:rsidR="005E1B70" w:rsidRPr="00671221" w:rsidRDefault="005E1B70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71221">
        <w:t xml:space="preserve">Terapia intensiva: </w:t>
      </w:r>
      <w:r w:rsidR="003565EE" w:rsidRPr="00671221">
        <w:t>+</w:t>
      </w:r>
      <w:r w:rsidR="00671221" w:rsidRPr="00671221">
        <w:t>746</w:t>
      </w:r>
      <w:r w:rsidR="008A2AB7" w:rsidRPr="00671221">
        <w:t xml:space="preserve"> </w:t>
      </w:r>
      <w:r w:rsidR="005862D2" w:rsidRPr="00671221">
        <w:t>(</w:t>
      </w:r>
      <w:r w:rsidR="000654A3" w:rsidRPr="00671221">
        <w:t>+</w:t>
      </w:r>
      <w:r w:rsidR="00671221" w:rsidRPr="00671221">
        <w:t>33</w:t>
      </w:r>
      <w:r w:rsidR="0088282B" w:rsidRPr="00671221">
        <w:t>,</w:t>
      </w:r>
      <w:r w:rsidR="00671221" w:rsidRPr="00671221">
        <w:t>5</w:t>
      </w:r>
      <w:r w:rsidR="003565EE" w:rsidRPr="00671221">
        <w:t>%</w:t>
      </w:r>
      <w:r w:rsidR="005862D2" w:rsidRPr="00671221">
        <w:t>)</w:t>
      </w:r>
    </w:p>
    <w:p w:rsidR="00DD06F4" w:rsidRPr="00671221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71221">
        <w:t xml:space="preserve">Ricoverati con sintomi: </w:t>
      </w:r>
      <w:r w:rsidR="00C91BCF" w:rsidRPr="00671221">
        <w:t>+</w:t>
      </w:r>
      <w:r w:rsidR="008A2AB7" w:rsidRPr="00671221">
        <w:t>7.</w:t>
      </w:r>
      <w:r w:rsidR="00671221" w:rsidRPr="00671221">
        <w:t>519</w:t>
      </w:r>
      <w:r w:rsidR="00C91BCF" w:rsidRPr="00671221">
        <w:t xml:space="preserve"> (+</w:t>
      </w:r>
      <w:r w:rsidR="00671221" w:rsidRPr="00671221">
        <w:t>35</w:t>
      </w:r>
      <w:r w:rsidR="008A2AB7" w:rsidRPr="00671221">
        <w:t>,</w:t>
      </w:r>
      <w:r w:rsidR="00671221" w:rsidRPr="00671221">
        <w:t>6</w:t>
      </w:r>
      <w:r w:rsidR="003565EE" w:rsidRPr="00671221">
        <w:t>%</w:t>
      </w:r>
      <w:r w:rsidR="005862D2" w:rsidRPr="00671221">
        <w:t>)</w:t>
      </w:r>
    </w:p>
    <w:p w:rsidR="005E1B70" w:rsidRPr="00671221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71221">
        <w:t>Nuovi casi</w:t>
      </w:r>
      <w:r w:rsidR="005E1B70" w:rsidRPr="00671221">
        <w:t>:</w:t>
      </w:r>
      <w:r w:rsidR="00633FE4" w:rsidRPr="00671221">
        <w:t xml:space="preserve"> </w:t>
      </w:r>
      <w:r w:rsidR="00671221" w:rsidRPr="00671221">
        <w:t>235.634</w:t>
      </w:r>
      <w:r w:rsidR="00F54FFA" w:rsidRPr="00671221">
        <w:t xml:space="preserve"> </w:t>
      </w:r>
      <w:r w:rsidR="00924C50" w:rsidRPr="00671221">
        <w:t>(</w:t>
      </w:r>
      <w:r w:rsidR="00F373A1" w:rsidRPr="00671221">
        <w:t>+</w:t>
      </w:r>
      <w:r w:rsidR="00671221" w:rsidRPr="00671221">
        <w:t>31</w:t>
      </w:r>
      <w:r w:rsidR="005862D2" w:rsidRPr="00671221">
        <w:t>%)</w:t>
      </w:r>
    </w:p>
    <w:p w:rsidR="000B6B1F" w:rsidRPr="00671221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71221">
        <w:t xml:space="preserve">Casi </w:t>
      </w:r>
      <w:r w:rsidR="00487E15" w:rsidRPr="00671221">
        <w:t>attualmente positivi</w:t>
      </w:r>
      <w:r w:rsidR="00595785" w:rsidRPr="00671221">
        <w:t xml:space="preserve">: </w:t>
      </w:r>
      <w:r w:rsidR="00F373A1" w:rsidRPr="00671221">
        <w:t>+</w:t>
      </w:r>
      <w:r w:rsidR="00671221" w:rsidRPr="00671221">
        <w:t>171.968</w:t>
      </w:r>
      <w:r w:rsidR="00F54FFA" w:rsidRPr="00671221">
        <w:t xml:space="preserve"> </w:t>
      </w:r>
      <w:r w:rsidR="00F469C4" w:rsidRPr="00671221">
        <w:t>(</w:t>
      </w:r>
      <w:r w:rsidR="006B448E" w:rsidRPr="00671221">
        <w:t>+</w:t>
      </w:r>
      <w:r w:rsidR="00671221" w:rsidRPr="00671221">
        <w:t>41</w:t>
      </w:r>
      <w:r w:rsidR="00F54FFA" w:rsidRPr="00671221">
        <w:t>,</w:t>
      </w:r>
      <w:r w:rsidR="00671221" w:rsidRPr="00671221">
        <w:t>1</w:t>
      </w:r>
      <w:r w:rsidR="00FE10CC" w:rsidRPr="00671221">
        <w:t>%</w:t>
      </w:r>
      <w:r w:rsidRPr="00671221">
        <w:t>)</w:t>
      </w:r>
    </w:p>
    <w:p w:rsidR="00260775" w:rsidRPr="00671221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671221">
        <w:t xml:space="preserve">Casi testati </w:t>
      </w:r>
      <w:r w:rsidR="00671221" w:rsidRPr="00671221">
        <w:t>+54.309</w:t>
      </w:r>
      <w:r w:rsidR="000D2C51" w:rsidRPr="00671221">
        <w:t xml:space="preserve"> </w:t>
      </w:r>
      <w:r w:rsidR="0092337D" w:rsidRPr="00671221">
        <w:t>(</w:t>
      </w:r>
      <w:r w:rsidR="00F373A1" w:rsidRPr="00671221">
        <w:t>+</w:t>
      </w:r>
      <w:r w:rsidR="00671221" w:rsidRPr="00671221">
        <w:t>6</w:t>
      </w:r>
      <w:r w:rsidR="00F54FFA" w:rsidRPr="00671221">
        <w:t>,</w:t>
      </w:r>
      <w:r w:rsidR="00671221" w:rsidRPr="00671221">
        <w:t>6</w:t>
      </w:r>
      <w:r w:rsidR="003565EE" w:rsidRPr="00671221">
        <w:t>%</w:t>
      </w:r>
      <w:r w:rsidR="0092337D" w:rsidRPr="00671221">
        <w:t>)</w:t>
      </w:r>
    </w:p>
    <w:p w:rsidR="00260775" w:rsidRPr="00671221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671221">
        <w:t xml:space="preserve">Tamponi totali: </w:t>
      </w:r>
      <w:r w:rsidR="00734A61" w:rsidRPr="00671221">
        <w:t>+</w:t>
      </w:r>
      <w:r w:rsidR="00671221" w:rsidRPr="00671221">
        <w:t>121.410</w:t>
      </w:r>
      <w:r w:rsidR="000D2C51" w:rsidRPr="00671221">
        <w:t xml:space="preserve"> </w:t>
      </w:r>
      <w:r w:rsidR="00A149F4" w:rsidRPr="00671221">
        <w:t>(</w:t>
      </w:r>
      <w:r w:rsidR="00095DA9" w:rsidRPr="00671221">
        <w:t>+</w:t>
      </w:r>
      <w:r w:rsidR="00671221" w:rsidRPr="00671221">
        <w:t>9,1</w:t>
      </w:r>
      <w:r w:rsidR="00A149F4" w:rsidRPr="00671221">
        <w:t>%</w:t>
      </w:r>
      <w:r w:rsidR="009D6AEE" w:rsidRPr="00671221">
        <w:t>)</w:t>
      </w:r>
    </w:p>
    <w:p w:rsidR="00CE05FB" w:rsidRDefault="00101E1F" w:rsidP="00E3740D">
      <w:pPr>
        <w:spacing w:after="120"/>
        <w:jc w:val="both"/>
      </w:pPr>
      <w:r w:rsidRPr="00671221">
        <w:t>«</w:t>
      </w:r>
      <w:r w:rsidR="00C9114B" w:rsidRPr="00671221">
        <w:t>N</w:t>
      </w:r>
      <w:r w:rsidR="000D5B60" w:rsidRPr="00671221">
        <w:t xml:space="preserve">ell’ultima settimana – </w:t>
      </w:r>
      <w:r w:rsidR="00F818FD" w:rsidRPr="00671221">
        <w:t>afferma</w:t>
      </w:r>
      <w:r w:rsidR="000D5B60" w:rsidRPr="00671221">
        <w:t xml:space="preserve"> Nino Cartabellotta, Presidente della Fondazione GIMBE – </w:t>
      </w:r>
      <w:r w:rsidR="00C9114B" w:rsidRPr="00671221">
        <w:t xml:space="preserve">si conferma l’incremento di oltre il </w:t>
      </w:r>
      <w:r w:rsidR="00671221" w:rsidRPr="00671221">
        <w:t>40</w:t>
      </w:r>
      <w:r w:rsidR="00C9114B" w:rsidRPr="00671221">
        <w:t xml:space="preserve">% dei casi attualmente positivi che si riflette </w:t>
      </w:r>
      <w:r w:rsidR="00956E92" w:rsidRPr="00671221">
        <w:t>sul</w:t>
      </w:r>
      <w:r w:rsidR="00C9114B" w:rsidRPr="00671221">
        <w:t xml:space="preserve"> numero dei pazienti ricoverati con sintomi e in terapia intensiva</w:t>
      </w:r>
      <w:r w:rsidR="00913B7F" w:rsidRPr="00671221">
        <w:t xml:space="preserve">, </w:t>
      </w:r>
      <w:r w:rsidR="005B6BDE">
        <w:t xml:space="preserve">con </w:t>
      </w:r>
      <w:r w:rsidR="00956E92" w:rsidRPr="00671221">
        <w:t>gli ospedali</w:t>
      </w:r>
      <w:r w:rsidR="00181BDC">
        <w:t xml:space="preserve"> sempre più vicini alla saturazione</w:t>
      </w:r>
      <w:r w:rsidR="00605898">
        <w:t>, oltre che</w:t>
      </w:r>
      <w:r w:rsidR="001457D9">
        <w:t xml:space="preserve"> </w:t>
      </w:r>
      <w:r w:rsidR="00C9114B" w:rsidRPr="00671221">
        <w:t xml:space="preserve">sul numero di decessi, </w:t>
      </w:r>
      <w:r w:rsidR="001457D9">
        <w:t xml:space="preserve">che </w:t>
      </w:r>
      <w:r w:rsidR="005C0442" w:rsidRPr="00671221">
        <w:t>nell’ultima settimana ha</w:t>
      </w:r>
      <w:r w:rsidR="001457D9">
        <w:t>nno</w:t>
      </w:r>
      <w:r w:rsidR="005C0442" w:rsidRPr="00671221">
        <w:t xml:space="preserve"> superato quota </w:t>
      </w:r>
      <w:r w:rsidR="00671221" w:rsidRPr="00671221">
        <w:t>2.900</w:t>
      </w:r>
      <w:r w:rsidR="00892FE5" w:rsidRPr="00671221">
        <w:rPr>
          <w:rFonts w:cstheme="minorHAnsi"/>
        </w:rPr>
        <w:t>»</w:t>
      </w:r>
      <w:r w:rsidR="00C9114B" w:rsidRPr="00671221">
        <w:t>.</w:t>
      </w:r>
      <w:r w:rsidR="00F041DE">
        <w:t xml:space="preserve"> </w:t>
      </w:r>
    </w:p>
    <w:p w:rsidR="00E3740D" w:rsidRPr="009E7657" w:rsidRDefault="00CE05FB" w:rsidP="00E3740D">
      <w:pPr>
        <w:spacing w:after="120"/>
        <w:jc w:val="both"/>
      </w:pPr>
      <w:r>
        <w:t xml:space="preserve">Rispetto alla </w:t>
      </w:r>
      <w:r w:rsidR="009E7657">
        <w:t xml:space="preserve">settimana precedente in quasi tutte le </w:t>
      </w:r>
      <w:r w:rsidR="009E7657" w:rsidRPr="009E7657">
        <w:t xml:space="preserve">Regioni si </w:t>
      </w:r>
      <w:r>
        <w:t>rileva</w:t>
      </w:r>
      <w:r w:rsidR="009E7657" w:rsidRPr="009E7657">
        <w:t xml:space="preserve"> un lieve rallentamento dell'</w:t>
      </w:r>
      <w:r w:rsidR="009E7657">
        <w:t xml:space="preserve">incremento percentuale dei casi </w:t>
      </w:r>
      <w:r w:rsidR="00FA2CA8">
        <w:t>che potrebbe dipendere sia dall’</w:t>
      </w:r>
      <w:r w:rsidR="009E7657">
        <w:t xml:space="preserve">effetto </w:t>
      </w:r>
      <w:r w:rsidR="00FA2CA8">
        <w:t xml:space="preserve">delle </w:t>
      </w:r>
      <w:r w:rsidR="009E7657">
        <w:t xml:space="preserve">misure di contenimento </w:t>
      </w:r>
      <w:r w:rsidR="00FA2CA8">
        <w:t>introdotte a fine ottobre</w:t>
      </w:r>
      <w:r w:rsidR="002B3135">
        <w:t>,</w:t>
      </w:r>
      <w:r w:rsidR="00FA2CA8">
        <w:t xml:space="preserve"> sia dalla </w:t>
      </w:r>
      <w:r w:rsidR="009E7657">
        <w:t xml:space="preserve">saturazione </w:t>
      </w:r>
      <w:r w:rsidR="00FA2CA8">
        <w:t xml:space="preserve">della capacità di </w:t>
      </w:r>
      <w:r w:rsidR="009E7657">
        <w:t xml:space="preserve">testing, </w:t>
      </w:r>
      <w:r>
        <w:t xml:space="preserve">visto che </w:t>
      </w:r>
      <w:r w:rsidR="009E7657">
        <w:t xml:space="preserve">i casi </w:t>
      </w:r>
      <w:r w:rsidR="009E7657" w:rsidRPr="009E7657">
        <w:t xml:space="preserve">attualmente positivi </w:t>
      </w:r>
      <w:r w:rsidR="00297057">
        <w:t xml:space="preserve">continuano ad aumentare </w:t>
      </w:r>
      <w:r w:rsidR="009E7657">
        <w:t>ovunque. D</w:t>
      </w:r>
      <w:r w:rsidR="00F041DE">
        <w:t xml:space="preserve">estano particolare preoccupazione </w:t>
      </w:r>
      <w:r w:rsidR="00E3740D">
        <w:t xml:space="preserve">i tassi di occupazione </w:t>
      </w:r>
      <w:r>
        <w:t xml:space="preserve">ospedalieri: </w:t>
      </w:r>
      <w:r w:rsidR="007C7ED0">
        <w:t xml:space="preserve">in </w:t>
      </w:r>
      <w:r w:rsidR="00B67321">
        <w:t>11</w:t>
      </w:r>
      <w:r w:rsidR="007D1838">
        <w:t xml:space="preserve"> </w:t>
      </w:r>
      <w:r w:rsidR="00E3740D" w:rsidRPr="00E3740D">
        <w:t xml:space="preserve">Regioni </w:t>
      </w:r>
      <w:r w:rsidR="00FA2CA8">
        <w:t xml:space="preserve">è stata </w:t>
      </w:r>
      <w:r w:rsidR="007C7ED0">
        <w:t xml:space="preserve">superata la soglia </w:t>
      </w:r>
      <w:r w:rsidR="00E3740D" w:rsidRPr="00E3740D">
        <w:t>di saturazione</w:t>
      </w:r>
      <w:r w:rsidR="007C7ED0">
        <w:t xml:space="preserve"> del 40% dei post</w:t>
      </w:r>
      <w:r>
        <w:t xml:space="preserve">i letto in area medica e in </w:t>
      </w:r>
      <w:r w:rsidR="00B67321">
        <w:t xml:space="preserve">altre </w:t>
      </w:r>
      <w:r>
        <w:t>11 R</w:t>
      </w:r>
      <w:r w:rsidR="007C7ED0">
        <w:t xml:space="preserve">egioni quella del 30% per le terapie </w:t>
      </w:r>
      <w:r w:rsidR="007C7ED0" w:rsidRPr="00E3740D">
        <w:t>intensive</w:t>
      </w:r>
      <w:r>
        <w:t xml:space="preserve"> (</w:t>
      </w:r>
      <w:r w:rsidRPr="00F041DE">
        <w:rPr>
          <w:rFonts w:cstheme="minorHAnsi"/>
          <w:highlight w:val="yellow"/>
        </w:rPr>
        <w:t>tabella</w:t>
      </w:r>
      <w:r>
        <w:rPr>
          <w:rFonts w:cstheme="minorHAnsi"/>
        </w:rPr>
        <w:t>)</w:t>
      </w:r>
      <w:r w:rsidRPr="000078D5">
        <w:t>.</w:t>
      </w:r>
    </w:p>
    <w:p w:rsidR="007C7ED0" w:rsidRDefault="007C7ED0" w:rsidP="009E7657">
      <w:pPr>
        <w:spacing w:after="160"/>
        <w:jc w:val="both"/>
      </w:pPr>
      <w:r>
        <w:t>A</w:t>
      </w:r>
      <w:r w:rsidR="00D32FD3">
        <w:t xml:space="preserve">ltro dato </w:t>
      </w:r>
      <w:r w:rsidR="009E7657">
        <w:t xml:space="preserve">critico </w:t>
      </w:r>
      <w:r w:rsidR="00D32FD3">
        <w:t xml:space="preserve">sulla gestione e sull’evoluzione dell’epidemia è il numero degli operatori sanitari contagiati </w:t>
      </w:r>
      <w:r w:rsidR="0096117F">
        <w:t xml:space="preserve">dal momento </w:t>
      </w:r>
      <w:r w:rsidR="00D32FD3">
        <w:t>che «</w:t>
      </w:r>
      <w:r>
        <w:t>n</w:t>
      </w:r>
      <w:r w:rsidR="00D32FD3">
        <w:t>egli ultimi 30 giorni – spiega il Presidente –</w:t>
      </w:r>
      <w:r w:rsidR="00E3740D">
        <w:t xml:space="preserve"> </w:t>
      </w:r>
      <w:r w:rsidR="00D32FD3">
        <w:t>si sono verif</w:t>
      </w:r>
      <w:r w:rsidR="00D32FD3" w:rsidRPr="00942106">
        <w:t xml:space="preserve">icati 19.217 contagi, rispetto ai </w:t>
      </w:r>
      <w:r w:rsidR="00D32FD3" w:rsidRPr="00942106">
        <w:lastRenderedPageBreak/>
        <w:t>1.650 dei 30 giorni precedenti</w:t>
      </w:r>
      <w:r w:rsidR="00D32FD3">
        <w:t xml:space="preserve">. </w:t>
      </w:r>
      <w:r w:rsidR="00E3740D">
        <w:t xml:space="preserve">Oltre al </w:t>
      </w:r>
      <w:r w:rsidR="00D32FD3" w:rsidRPr="000140C3">
        <w:t xml:space="preserve">rischio di focolai ospedalieri, in RSA e in ambienti protetti, </w:t>
      </w:r>
      <w:r w:rsidR="00E3740D">
        <w:t xml:space="preserve">preoccupa </w:t>
      </w:r>
      <w:r w:rsidR="00D32FD3" w:rsidRPr="000140C3">
        <w:t>l’impatto sul</w:t>
      </w:r>
      <w:r w:rsidR="00D32FD3">
        <w:t xml:space="preserve"> </w:t>
      </w:r>
      <w:r w:rsidR="00D32FD3" w:rsidRPr="000140C3">
        <w:t xml:space="preserve">personale sanitario, già </w:t>
      </w:r>
      <w:r w:rsidR="00E3740D">
        <w:t xml:space="preserve">in carenza di organico </w:t>
      </w:r>
      <w:r w:rsidR="00D32FD3">
        <w:t xml:space="preserve">oltre che </w:t>
      </w:r>
      <w:r w:rsidR="00E3740D">
        <w:t xml:space="preserve">provato </w:t>
      </w:r>
      <w:r w:rsidR="00D32FD3" w:rsidRPr="000140C3">
        <w:t>dalla prima ondata</w:t>
      </w:r>
      <w:r w:rsidR="00D32FD3">
        <w:t>» (</w:t>
      </w:r>
      <w:r w:rsidR="00D32FD3">
        <w:rPr>
          <w:shd w:val="clear" w:color="auto" w:fill="FFFF00"/>
        </w:rPr>
        <w:t>figura 3</w:t>
      </w:r>
      <w:r w:rsidR="00D32FD3">
        <w:t xml:space="preserve">). </w:t>
      </w:r>
    </w:p>
    <w:p w:rsidR="007A2F59" w:rsidRDefault="007C7ED0" w:rsidP="002B5018">
      <w:pPr>
        <w:spacing w:after="120"/>
        <w:jc w:val="both"/>
      </w:pPr>
      <w:r>
        <w:t>Il</w:t>
      </w:r>
      <w:r w:rsidR="002B5018" w:rsidRPr="00A9307B">
        <w:t xml:space="preserve"> monitoraggio GIMBE </w:t>
      </w:r>
      <w:r w:rsidR="00B75E8B">
        <w:t xml:space="preserve">della seconda ondata è stato </w:t>
      </w:r>
      <w:r w:rsidR="002B5018" w:rsidRPr="00A9307B">
        <w:t xml:space="preserve">oggetto </w:t>
      </w:r>
      <w:r w:rsidR="0096117F">
        <w:t xml:space="preserve">lo scorso </w:t>
      </w:r>
      <w:r w:rsidR="00E3740D">
        <w:t xml:space="preserve">10 novembre </w:t>
      </w:r>
      <w:r w:rsidR="002B5018" w:rsidRPr="00A9307B">
        <w:t>di un’</w:t>
      </w:r>
      <w:hyperlink r:id="rId8" w:history="1">
        <w:r w:rsidR="002B5018" w:rsidRPr="00B7049A">
          <w:rPr>
            <w:rStyle w:val="Collegamentoipertestuale"/>
          </w:rPr>
          <w:t>audizione presso la XII Commissione Affari Sociali della Camera</w:t>
        </w:r>
      </w:hyperlink>
      <w:r w:rsidR="002B5018" w:rsidRPr="00A9307B">
        <w:t>, dove il Presidente</w:t>
      </w:r>
      <w:r w:rsidR="00B7049A">
        <w:t xml:space="preserve"> ha </w:t>
      </w:r>
      <w:r w:rsidR="006C21F7">
        <w:t xml:space="preserve">innanzitutto </w:t>
      </w:r>
      <w:r w:rsidR="00B7049A">
        <w:t xml:space="preserve">ribadito </w:t>
      </w:r>
      <w:r w:rsidR="00E3740D">
        <w:t>la necessità di rendere disponibili in formato ape</w:t>
      </w:r>
      <w:r w:rsidR="00B7049A">
        <w:t>rto</w:t>
      </w:r>
      <w:r w:rsidR="006C21F7">
        <w:t>, dettagliati e interoperabili</w:t>
      </w:r>
      <w:r w:rsidR="00B7049A">
        <w:t xml:space="preserve"> tutti i dati</w:t>
      </w:r>
      <w:r w:rsidR="006C21F7">
        <w:t xml:space="preserve">, richiamando la </w:t>
      </w:r>
      <w:hyperlink r:id="rId9" w:history="1">
        <w:r w:rsidR="0096117F" w:rsidRPr="006C21F7">
          <w:rPr>
            <w:rStyle w:val="Collegamentoipertestuale"/>
          </w:rPr>
          <w:t>campagna</w:t>
        </w:r>
        <w:r w:rsidR="00475227">
          <w:rPr>
            <w:rStyle w:val="Collegamentoipertestuale"/>
          </w:rPr>
          <w:t xml:space="preserve"> </w:t>
        </w:r>
        <w:r w:rsidR="0096117F" w:rsidRPr="006C21F7">
          <w:rPr>
            <w:rStyle w:val="Collegamentoipertestuale"/>
          </w:rPr>
          <w:t xml:space="preserve"> #</w:t>
        </w:r>
        <w:proofErr w:type="spellStart"/>
        <w:r w:rsidR="0096117F" w:rsidRPr="006C21F7">
          <w:rPr>
            <w:rStyle w:val="Collegamentoipertestuale"/>
          </w:rPr>
          <w:t>dati</w:t>
        </w:r>
        <w:r w:rsidR="0096117F">
          <w:rPr>
            <w:rStyle w:val="Collegamentoipertestuale"/>
          </w:rPr>
          <w:t>B</w:t>
        </w:r>
        <w:r w:rsidR="0096117F" w:rsidRPr="006C21F7">
          <w:rPr>
            <w:rStyle w:val="Collegamentoipertestuale"/>
          </w:rPr>
          <w:t>ene</w:t>
        </w:r>
        <w:r w:rsidR="0096117F">
          <w:rPr>
            <w:rStyle w:val="Collegamentoipertestuale"/>
          </w:rPr>
          <w:t>C</w:t>
        </w:r>
        <w:r w:rsidR="0096117F" w:rsidRPr="006C21F7">
          <w:rPr>
            <w:rStyle w:val="Collegamentoipertestuale"/>
          </w:rPr>
          <w:t>omune</w:t>
        </w:r>
        <w:proofErr w:type="spellEnd"/>
      </w:hyperlink>
      <w:r w:rsidR="006C21F7">
        <w:t xml:space="preserve">. Quindi ha </w:t>
      </w:r>
      <w:r w:rsidR="002B5018">
        <w:t xml:space="preserve">rilevato </w:t>
      </w:r>
      <w:r w:rsidR="00181BDC">
        <w:t xml:space="preserve">le </w:t>
      </w:r>
      <w:r w:rsidR="005B6BDE">
        <w:t xml:space="preserve">criticità </w:t>
      </w:r>
      <w:r w:rsidR="00B7049A">
        <w:t xml:space="preserve">tecniche </w:t>
      </w:r>
      <w:r w:rsidR="002B5018">
        <w:t xml:space="preserve">dell’attuale sistema di monitoraggio </w:t>
      </w:r>
      <w:r w:rsidR="006C21F7">
        <w:t xml:space="preserve">della pandemia </w:t>
      </w:r>
      <w:r w:rsidR="002B5018">
        <w:t xml:space="preserve">che informa le scelte </w:t>
      </w:r>
      <w:r w:rsidR="00E3740D">
        <w:t xml:space="preserve">di </w:t>
      </w:r>
      <w:r w:rsidR="002B5018">
        <w:t>Governo</w:t>
      </w:r>
      <w:r w:rsidR="006C21F7">
        <w:t>: d</w:t>
      </w:r>
      <w:r w:rsidR="00B75E8B">
        <w:t xml:space="preserve">alla </w:t>
      </w:r>
      <w:r w:rsidR="007A2F59">
        <w:t>limitata tempestività</w:t>
      </w:r>
      <w:r w:rsidR="00EA0F3F">
        <w:t xml:space="preserve"> - dovuta ai tempi di consolidamento dei dati e ai crescenti ritardi di notifica da parte delle Regioni - che favorisce la corsa del virus</w:t>
      </w:r>
      <w:r w:rsidR="007A2F59">
        <w:t xml:space="preserve">, </w:t>
      </w:r>
      <w:r w:rsidR="00B75E8B">
        <w:t xml:space="preserve">alla </w:t>
      </w:r>
      <w:r w:rsidR="007A2F59">
        <w:t xml:space="preserve">qualità e completezza dei dati regionali, </w:t>
      </w:r>
      <w:r w:rsidR="00B75E8B">
        <w:t>dalla complessità tecnica al</w:t>
      </w:r>
      <w:r w:rsidR="002A3261">
        <w:t xml:space="preserve"> peso </w:t>
      </w:r>
      <w:r w:rsidR="007A2F59">
        <w:t xml:space="preserve">eccessivo </w:t>
      </w:r>
      <w:r w:rsidR="00B75E8B">
        <w:t>attribuito all’</w:t>
      </w:r>
      <w:r w:rsidR="007A2F59">
        <w:t>indice Rt</w:t>
      </w:r>
      <w:r w:rsidR="00B75E8B">
        <w:t>.</w:t>
      </w:r>
    </w:p>
    <w:p w:rsidR="002B5018" w:rsidRDefault="002B5018" w:rsidP="002B5018">
      <w:pPr>
        <w:spacing w:after="120"/>
        <w:jc w:val="both"/>
      </w:pPr>
      <w:r w:rsidRPr="00A9307B">
        <w:t>«</w:t>
      </w:r>
      <w:r w:rsidR="002A3261">
        <w:t xml:space="preserve">L’attribuzione dei colori alle Regioni </w:t>
      </w:r>
      <w:r w:rsidRPr="00A9307B">
        <w:t xml:space="preserve">– </w:t>
      </w:r>
      <w:r w:rsidR="00B75E8B">
        <w:t xml:space="preserve">ha spiegato </w:t>
      </w:r>
      <w:r w:rsidRPr="00A9307B">
        <w:t>Cartabellotta –</w:t>
      </w:r>
      <w:r w:rsidR="002A3261">
        <w:t xml:space="preserve"> </w:t>
      </w:r>
      <w:r w:rsidR="00B75E8B">
        <w:t xml:space="preserve">viene effettuata utilizzando </w:t>
      </w:r>
      <w:r>
        <w:t>due parametri</w:t>
      </w:r>
      <w:r w:rsidR="007A2F59">
        <w:t xml:space="preserve"> principali</w:t>
      </w:r>
      <w:r w:rsidR="00B75E8B">
        <w:t>: lo scenario identificato da</w:t>
      </w:r>
      <w:r w:rsidR="002A3261">
        <w:t>i valori de</w:t>
      </w:r>
      <w:r>
        <w:t>ll’</w:t>
      </w:r>
      <w:r w:rsidR="00AE174F">
        <w:t xml:space="preserve">indice </w:t>
      </w:r>
      <w:r>
        <w:t xml:space="preserve">Rt e </w:t>
      </w:r>
      <w:r w:rsidR="000078D5">
        <w:t xml:space="preserve">la classificazione del rischio </w:t>
      </w:r>
      <w:r w:rsidR="00B75E8B">
        <w:t xml:space="preserve">attraverso </w:t>
      </w:r>
      <w:r w:rsidR="007A2F59">
        <w:t xml:space="preserve">i 21 </w:t>
      </w:r>
      <w:r w:rsidR="000078D5">
        <w:t>indicatori del DM 30 aprile 2020</w:t>
      </w:r>
      <w:r>
        <w:t xml:space="preserve">. Tuttavia, il valore </w:t>
      </w:r>
      <w:r w:rsidR="00AE174F">
        <w:t xml:space="preserve">di </w:t>
      </w:r>
      <w:r w:rsidR="002A3261">
        <w:t xml:space="preserve">Rt è </w:t>
      </w:r>
      <w:r w:rsidR="00B34F92">
        <w:t>in</w:t>
      </w:r>
      <w:r w:rsidR="002A3261">
        <w:t>appropriato per informare decisioni rapide perché</w:t>
      </w:r>
      <w:r w:rsidR="00297057">
        <w:t>,</w:t>
      </w:r>
      <w:r w:rsidR="002A3261">
        <w:t xml:space="preserve"> oltre ad essere stimato sui contagi di 2-3 settimane fa</w:t>
      </w:r>
      <w:r w:rsidR="00297057">
        <w:t>,</w:t>
      </w:r>
      <w:r w:rsidR="002A3261">
        <w:t xml:space="preserve"> presenta numerosi limiti</w:t>
      </w:r>
      <w:r w:rsidRPr="00A9307B">
        <w:t>»</w:t>
      </w:r>
      <w:r>
        <w:t>.</w:t>
      </w:r>
      <w:r w:rsidR="000078D5">
        <w:t xml:space="preserve"> </w:t>
      </w:r>
      <w:r w:rsidR="002A3261">
        <w:t xml:space="preserve">In particolare, </w:t>
      </w:r>
      <w:r>
        <w:t>Rt:</w:t>
      </w:r>
    </w:p>
    <w:p w:rsidR="002B5018" w:rsidRDefault="002B5018" w:rsidP="00B75E8B">
      <w:pPr>
        <w:pStyle w:val="Paragrafoelenco"/>
        <w:numPr>
          <w:ilvl w:val="0"/>
          <w:numId w:val="4"/>
        </w:numPr>
        <w:spacing w:after="160" w:line="276" w:lineRule="auto"/>
        <w:ind w:left="360"/>
      </w:pPr>
      <w:r>
        <w:t xml:space="preserve">viene </w:t>
      </w:r>
      <w:r w:rsidR="00B75E8B">
        <w:t>stimato</w:t>
      </w:r>
      <w:r>
        <w:t xml:space="preserve"> solo su</w:t>
      </w:r>
      <w:r w:rsidR="00B75E8B">
        <w:t>i</w:t>
      </w:r>
      <w:r>
        <w:t xml:space="preserve"> casi sintomatici, </w:t>
      </w:r>
      <w:r w:rsidR="000078D5">
        <w:t xml:space="preserve">circa 1/3 </w:t>
      </w:r>
      <w:r w:rsidR="002A3261">
        <w:t>dei casi totali</w:t>
      </w:r>
    </w:p>
    <w:p w:rsidR="007C42C3" w:rsidRDefault="007C42C3" w:rsidP="007C42C3">
      <w:pPr>
        <w:pStyle w:val="Paragrafoelenco"/>
        <w:numPr>
          <w:ilvl w:val="0"/>
          <w:numId w:val="4"/>
        </w:numPr>
        <w:spacing w:after="160" w:line="276" w:lineRule="auto"/>
        <w:ind w:left="360"/>
      </w:pPr>
      <w:r w:rsidRPr="007C42C3">
        <w:t>si basa sulla data inizio sintomi</w:t>
      </w:r>
      <w:r>
        <w:t xml:space="preserve"> che molte Regioni non comunicano per il 100% dei casi, determinando una sottostima dell’indice</w:t>
      </w:r>
    </w:p>
    <w:p w:rsidR="002B5018" w:rsidRDefault="002A3261" w:rsidP="00B75E8B">
      <w:pPr>
        <w:pStyle w:val="Paragrafoelenco"/>
        <w:numPr>
          <w:ilvl w:val="0"/>
          <w:numId w:val="3"/>
        </w:numPr>
        <w:spacing w:after="160" w:line="276" w:lineRule="auto"/>
        <w:ind w:left="360"/>
      </w:pPr>
      <w:r>
        <w:t>è</w:t>
      </w:r>
      <w:r w:rsidR="002B5018">
        <w:t xml:space="preserve"> strettamente dipendente dalla qualità e tempestività</w:t>
      </w:r>
      <w:r>
        <w:t xml:space="preserve"> dei dati inviati dalle Regioni</w:t>
      </w:r>
    </w:p>
    <w:p w:rsidR="00E02217" w:rsidRDefault="002B5018" w:rsidP="00B75E8B">
      <w:pPr>
        <w:pStyle w:val="Paragrafoelenco"/>
        <w:numPr>
          <w:ilvl w:val="0"/>
          <w:numId w:val="3"/>
        </w:numPr>
        <w:spacing w:after="160" w:line="276" w:lineRule="auto"/>
        <w:ind w:left="360"/>
      </w:pPr>
      <w:r>
        <w:t xml:space="preserve">quando i casi sono pochi, </w:t>
      </w:r>
      <w:r w:rsidR="00297057">
        <w:t xml:space="preserve">rischia di </w:t>
      </w:r>
      <w:r>
        <w:t>sovrastimare la diffusione del contagio</w:t>
      </w:r>
    </w:p>
    <w:p w:rsidR="002B5018" w:rsidRPr="00675017" w:rsidRDefault="002B5018" w:rsidP="00100954">
      <w:pPr>
        <w:tabs>
          <w:tab w:val="num" w:pos="720"/>
        </w:tabs>
        <w:spacing w:after="160" w:line="259" w:lineRule="auto"/>
        <w:jc w:val="both"/>
      </w:pPr>
      <w:r w:rsidRPr="00A9307B">
        <w:t>«</w:t>
      </w:r>
      <w:r w:rsidR="009E7657">
        <w:t xml:space="preserve">In questa fase di </w:t>
      </w:r>
      <w:r w:rsidR="00FA33BD">
        <w:t xml:space="preserve">drammatica </w:t>
      </w:r>
      <w:r w:rsidR="009E7657">
        <w:t>cres</w:t>
      </w:r>
      <w:r w:rsidR="006C21F7">
        <w:t xml:space="preserve">cita dei contagi, </w:t>
      </w:r>
      <w:r w:rsidR="009E7657">
        <w:t>rapida saturazione degli ospedali</w:t>
      </w:r>
      <w:r w:rsidR="006C21F7">
        <w:t xml:space="preserve"> e impennata dei decessi</w:t>
      </w:r>
      <w:r w:rsidR="009E7657">
        <w:t xml:space="preserve"> </w:t>
      </w:r>
      <w:r w:rsidR="009E7657" w:rsidRPr="00A9307B">
        <w:t xml:space="preserve">– </w:t>
      </w:r>
      <w:r w:rsidR="009E7657">
        <w:t>conclude</w:t>
      </w:r>
      <w:r w:rsidR="009E7657" w:rsidRPr="00A9307B">
        <w:t xml:space="preserve"> Cartabellotta –</w:t>
      </w:r>
      <w:r w:rsidR="009E7657">
        <w:t xml:space="preserve"> i</w:t>
      </w:r>
      <w:r>
        <w:t xml:space="preserve">l sistema di monitoraggio </w:t>
      </w:r>
      <w:r w:rsidR="002B4AAD">
        <w:t xml:space="preserve">che informa le decisioni politiche </w:t>
      </w:r>
      <w:r w:rsidR="009E7657">
        <w:t>secondo il</w:t>
      </w:r>
      <w:r w:rsidR="002B4AAD">
        <w:t xml:space="preserve"> DPCM del 3 novembre 2020 </w:t>
      </w:r>
      <w:r>
        <w:t xml:space="preserve">non </w:t>
      </w:r>
      <w:r w:rsidR="00DD59EA">
        <w:t>è</w:t>
      </w:r>
      <w:r w:rsidR="002B4AAD">
        <w:t xml:space="preserve"> </w:t>
      </w:r>
      <w:r w:rsidR="00B34F92">
        <w:t xml:space="preserve">uno </w:t>
      </w:r>
      <w:r w:rsidR="00AE174F">
        <w:t xml:space="preserve">strumento </w:t>
      </w:r>
      <w:r>
        <w:t>decisionale</w:t>
      </w:r>
      <w:r w:rsidR="002B4AAD">
        <w:t xml:space="preserve"> </w:t>
      </w:r>
      <w:r w:rsidR="00AC186F">
        <w:t>adeguato</w:t>
      </w:r>
      <w:r>
        <w:t>.</w:t>
      </w:r>
      <w:r w:rsidR="00DD59EA">
        <w:t xml:space="preserve"> </w:t>
      </w:r>
      <w:r>
        <w:t xml:space="preserve">È </w:t>
      </w:r>
      <w:r w:rsidR="00181BDC">
        <w:t xml:space="preserve">tecnicamente complesso, </w:t>
      </w:r>
      <w:r w:rsidR="00181BDC" w:rsidRPr="00675017">
        <w:t xml:space="preserve">soggetto a numerosi </w:t>
      </w:r>
      <w:r w:rsidR="00181BDC">
        <w:t>“</w:t>
      </w:r>
      <w:r w:rsidR="00181BDC" w:rsidRPr="00675017">
        <w:t>passaggi</w:t>
      </w:r>
      <w:r w:rsidR="00181BDC">
        <w:t>”</w:t>
      </w:r>
      <w:r w:rsidR="00181BDC" w:rsidRPr="00675017">
        <w:t xml:space="preserve"> istituzional</w:t>
      </w:r>
      <w:r w:rsidR="00181BDC">
        <w:t xml:space="preserve">i, </w:t>
      </w:r>
      <w:r>
        <w:t>r</w:t>
      </w:r>
      <w:r w:rsidRPr="00675017">
        <w:t xml:space="preserve">isente di </w:t>
      </w:r>
      <w:r w:rsidR="009E7657">
        <w:t xml:space="preserve">varie </w:t>
      </w:r>
      <w:r w:rsidRPr="00675017">
        <w:t>stratificazioni normative</w:t>
      </w:r>
      <w:r w:rsidR="00EA0F3F">
        <w:t xml:space="preserve">, </w:t>
      </w:r>
      <w:r>
        <w:t xml:space="preserve">attribuisce </w:t>
      </w:r>
      <w:r w:rsidRPr="00675017">
        <w:t>un ruolo preponderante a</w:t>
      </w:r>
      <w:r w:rsidR="00B7049A">
        <w:t xml:space="preserve">ll’indice Rt </w:t>
      </w:r>
      <w:r w:rsidR="00B34F92">
        <w:t>che presenta numerosi limiti</w:t>
      </w:r>
      <w:r w:rsidR="00EA0F3F">
        <w:t xml:space="preserve"> e, soprattutto,</w:t>
      </w:r>
      <w:r w:rsidR="007D1838">
        <w:t xml:space="preserve"> </w:t>
      </w:r>
      <w:r w:rsidR="00B34F92">
        <w:t>fotografa</w:t>
      </w:r>
      <w:r w:rsidR="00DD59EA">
        <w:t xml:space="preserve"> </w:t>
      </w:r>
      <w:r w:rsidR="00EA0F3F">
        <w:t>un quadro relativo a 2-3 settimane prima</w:t>
      </w:r>
      <w:r>
        <w:t xml:space="preserve">. </w:t>
      </w:r>
      <w:r w:rsidR="00B34F92">
        <w:t xml:space="preserve">Ovvero, </w:t>
      </w:r>
      <w:r w:rsidR="0072253E">
        <w:t>usa</w:t>
      </w:r>
      <w:r w:rsidR="00DD59EA">
        <w:t>ndo</w:t>
      </w:r>
      <w:r w:rsidR="0072253E">
        <w:t xml:space="preserve"> </w:t>
      </w:r>
      <w:r w:rsidR="009E7657">
        <w:t xml:space="preserve">lo </w:t>
      </w:r>
      <w:r w:rsidRPr="00675017">
        <w:t>specchietto retrovisore</w:t>
      </w:r>
      <w:r w:rsidR="009E7657">
        <w:t>,</w:t>
      </w:r>
      <w:r w:rsidRPr="00675017">
        <w:t xml:space="preserve"> </w:t>
      </w:r>
      <w:r w:rsidR="000078D5">
        <w:t xml:space="preserve">invece del </w:t>
      </w:r>
      <w:r>
        <w:t>“</w:t>
      </w:r>
      <w:r w:rsidRPr="00675017">
        <w:t>binocolo</w:t>
      </w:r>
      <w:r w:rsidR="00DD59EA">
        <w:t xml:space="preserve">, </w:t>
      </w:r>
      <w:r w:rsidR="008B305E">
        <w:t xml:space="preserve">si </w:t>
      </w:r>
      <w:r w:rsidR="00EA0F3F">
        <w:t>r</w:t>
      </w:r>
      <w:r w:rsidR="006C21F7">
        <w:t>allenta</w:t>
      </w:r>
      <w:r w:rsidR="00AC186F">
        <w:t xml:space="preserve"> la</w:t>
      </w:r>
      <w:r w:rsidR="006C21F7">
        <w:t xml:space="preserve"> </w:t>
      </w:r>
      <w:r w:rsidR="008B305E">
        <w:t xml:space="preserve">tempestività </w:t>
      </w:r>
      <w:r w:rsidR="007F1598">
        <w:t xml:space="preserve">e </w:t>
      </w:r>
      <w:r w:rsidR="001007AC">
        <w:t xml:space="preserve">l’entità </w:t>
      </w:r>
      <w:r w:rsidR="008B305E">
        <w:t xml:space="preserve">delle </w:t>
      </w:r>
      <w:r w:rsidR="00EA0F3F">
        <w:t>misure</w:t>
      </w:r>
      <w:r w:rsidR="00DD59EA">
        <w:t xml:space="preserve"> per contenere </w:t>
      </w:r>
      <w:r w:rsidR="000078D5">
        <w:t>la curva epidemica</w:t>
      </w:r>
      <w:r w:rsidR="00DD59EA">
        <w:t xml:space="preserve">. </w:t>
      </w:r>
      <w:r w:rsidR="009E7657">
        <w:t xml:space="preserve">Senza un </w:t>
      </w:r>
      <w:r w:rsidR="00AC186F">
        <w:t xml:space="preserve">immediato </w:t>
      </w:r>
      <w:r w:rsidR="009E7657">
        <w:t xml:space="preserve">cambio di rotta sui criteri di valutazione e sulle corrispondenti restrizioni, </w:t>
      </w:r>
      <w:r w:rsidR="00DD59EA">
        <w:t xml:space="preserve">solo </w:t>
      </w:r>
      <w:r w:rsidR="00AC186F">
        <w:t xml:space="preserve">un </w:t>
      </w:r>
      <w:r w:rsidR="000078D5">
        <w:t xml:space="preserve">lockdown totale </w:t>
      </w:r>
      <w:r w:rsidR="00DD59EA">
        <w:t xml:space="preserve">potrà </w:t>
      </w:r>
      <w:r w:rsidR="000078D5">
        <w:t xml:space="preserve">evitare </w:t>
      </w:r>
      <w:r w:rsidR="00DD59EA">
        <w:t xml:space="preserve">il </w:t>
      </w:r>
      <w:r>
        <w:t>collasso</w:t>
      </w:r>
      <w:r w:rsidR="000078D5">
        <w:t xml:space="preserve"> </w:t>
      </w:r>
      <w:r w:rsidR="00DD59EA">
        <w:t xml:space="preserve">definitivo </w:t>
      </w:r>
      <w:r w:rsidR="000078D5">
        <w:t>degli ospedali e l’eccesso di mortalità</w:t>
      </w:r>
      <w:r w:rsidR="00DD59EA">
        <w:t xml:space="preserve">, anche </w:t>
      </w:r>
      <w:r w:rsidR="009E7657">
        <w:t>nei</w:t>
      </w:r>
      <w:r w:rsidR="00DD59EA">
        <w:t xml:space="preserve"> pazienti non COVID-19</w:t>
      </w:r>
      <w:r w:rsidRPr="00A9307B">
        <w:t>»</w:t>
      </w:r>
      <w:r>
        <w:t xml:space="preserve">. </w:t>
      </w:r>
    </w:p>
    <w:p w:rsidR="00F818FD" w:rsidRDefault="005127EB" w:rsidP="00CC1B6C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2B4AAD" w:rsidRDefault="002B4AAD" w:rsidP="00031A14">
      <w:pPr>
        <w:spacing w:after="120"/>
        <w:rPr>
          <w:rFonts w:ascii="Calibri" w:eastAsia="Calibri" w:hAnsi="Calibri" w:cs="Times New Roman"/>
          <w:b/>
          <w:bCs/>
        </w:rPr>
      </w:pPr>
    </w:p>
    <w:p w:rsidR="00721BA1" w:rsidRDefault="005127EB" w:rsidP="00031A14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721BA1" w:rsidRDefault="00721BA1" w:rsidP="00031A14">
      <w:pPr>
        <w:spacing w:after="120"/>
        <w:rPr>
          <w:b/>
          <w:sz w:val="24"/>
        </w:rPr>
      </w:pPr>
    </w:p>
    <w:p w:rsidR="00540811" w:rsidRPr="00031A14" w:rsidRDefault="00540811" w:rsidP="00031A14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</w:p>
    <w:p w:rsidR="008C4165" w:rsidRDefault="008C4165" w:rsidP="009B1C61">
      <w:pPr>
        <w:spacing w:after="0" w:line="360" w:lineRule="auto"/>
        <w:jc w:val="center"/>
        <w:rPr>
          <w:b/>
          <w:sz w:val="24"/>
        </w:rPr>
      </w:pPr>
    </w:p>
    <w:p w:rsidR="008C4165" w:rsidRDefault="008C4165" w:rsidP="00F041DE">
      <w:pPr>
        <w:spacing w:after="0" w:line="360" w:lineRule="auto"/>
        <w:rPr>
          <w:b/>
          <w:sz w:val="24"/>
        </w:rPr>
      </w:pPr>
    </w:p>
    <w:p w:rsidR="007C7ED0" w:rsidRDefault="007C7ED0">
      <w:pPr>
        <w:rPr>
          <w:b/>
          <w:sz w:val="24"/>
        </w:rPr>
      </w:pPr>
      <w:r>
        <w:rPr>
          <w:b/>
          <w:sz w:val="24"/>
        </w:rPr>
        <w:br w:type="page"/>
      </w:r>
    </w:p>
    <w:p w:rsidR="007C7ED0" w:rsidRDefault="007C7ED0" w:rsidP="009B1C61">
      <w:pPr>
        <w:spacing w:after="0" w:line="360" w:lineRule="auto"/>
        <w:jc w:val="center"/>
        <w:rPr>
          <w:b/>
          <w:sz w:val="24"/>
        </w:rPr>
      </w:pPr>
    </w:p>
    <w:p w:rsidR="009B1C61" w:rsidRPr="009B1C61" w:rsidRDefault="009440B2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Figura 1</w:t>
      </w:r>
      <w:r w:rsidR="00487E15"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noProof/>
          <w:lang w:eastAsia="it-IT"/>
        </w:rPr>
        <w:drawing>
          <wp:inline distT="0" distB="0" distL="0" distR="0" wp14:anchorId="278F3050" wp14:editId="3B3D2748">
            <wp:extent cx="6120130" cy="340989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61" w:rsidRDefault="009B1C61" w:rsidP="00462B38">
      <w:pPr>
        <w:spacing w:after="0" w:line="240" w:lineRule="auto"/>
        <w:jc w:val="center"/>
      </w:pPr>
    </w:p>
    <w:p w:rsidR="00622A81" w:rsidRDefault="00622A81" w:rsidP="009B1C61">
      <w:pPr>
        <w:spacing w:after="0" w:line="240" w:lineRule="auto"/>
        <w:jc w:val="center"/>
      </w:pPr>
    </w:p>
    <w:p w:rsidR="000273DB" w:rsidRDefault="000273DB" w:rsidP="00F041DE">
      <w:pPr>
        <w:spacing w:after="0" w:line="360" w:lineRule="auto"/>
        <w:rPr>
          <w:b/>
          <w:sz w:val="24"/>
        </w:rPr>
      </w:pPr>
    </w:p>
    <w:p w:rsidR="00F041DE" w:rsidRPr="00F041DE" w:rsidRDefault="009440B2" w:rsidP="00F041D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Figura 3</w:t>
      </w:r>
      <w:r w:rsidR="00F041DE" w:rsidRPr="00F041DE"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noProof/>
          <w:lang w:eastAsia="it-IT"/>
        </w:rPr>
        <w:drawing>
          <wp:inline distT="0" distB="0" distL="0" distR="0" wp14:anchorId="3418D42B" wp14:editId="37903563">
            <wp:extent cx="6120130" cy="350624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DE" w:rsidRDefault="00F041DE" w:rsidP="00F041DE">
      <w:pPr>
        <w:spacing w:after="0" w:line="240" w:lineRule="auto"/>
        <w:rPr>
          <w:b/>
          <w:color w:val="FF0000"/>
          <w:sz w:val="24"/>
        </w:rPr>
      </w:pPr>
    </w:p>
    <w:p w:rsidR="00F041DE" w:rsidRDefault="00F041DE" w:rsidP="00F041DE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F041DE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  <w:sectPr w:rsidR="00F041DE" w:rsidSect="00055D5E">
          <w:footerReference w:type="default" r:id="rId14"/>
          <w:footnotePr>
            <w:numFmt w:val="chicago"/>
          </w:footnotePr>
          <w:type w:val="continuous"/>
          <w:pgSz w:w="11906" w:h="16838"/>
          <w:pgMar w:top="993" w:right="1134" w:bottom="709" w:left="1134" w:header="709" w:footer="709" w:gutter="0"/>
          <w:cols w:space="708"/>
          <w:docGrid w:linePitch="360"/>
        </w:sectPr>
      </w:pPr>
    </w:p>
    <w:p w:rsidR="009440B2" w:rsidRDefault="009440B2" w:rsidP="000273DB">
      <w:pPr>
        <w:spacing w:after="0" w:line="360" w:lineRule="auto"/>
        <w:jc w:val="center"/>
        <w:rPr>
          <w:b/>
          <w:sz w:val="24"/>
        </w:rPr>
      </w:pPr>
    </w:p>
    <w:p w:rsidR="00B36206" w:rsidRPr="00462B38" w:rsidRDefault="00D33012" w:rsidP="000273DB">
      <w:pPr>
        <w:spacing w:after="0" w:line="360" w:lineRule="auto"/>
        <w:jc w:val="center"/>
        <w:rPr>
          <w:b/>
          <w:sz w:val="24"/>
        </w:rPr>
      </w:pPr>
      <w:r w:rsidRPr="00462B38">
        <w:rPr>
          <w:b/>
          <w:sz w:val="24"/>
        </w:rPr>
        <w:t xml:space="preserve">Figura </w:t>
      </w:r>
      <w:r w:rsidR="003637A1" w:rsidRPr="00462B38">
        <w:rPr>
          <w:b/>
          <w:sz w:val="24"/>
        </w:rPr>
        <w:t>2</w:t>
      </w:r>
      <w:r w:rsidRPr="00462B38">
        <w:rPr>
          <w:b/>
          <w:sz w:val="24"/>
        </w:rPr>
        <w:t xml:space="preserve"> </w:t>
      </w:r>
      <w:r w:rsidR="009440B2">
        <w:rPr>
          <w:b/>
          <w:sz w:val="24"/>
        </w:rPr>
        <w:br/>
      </w:r>
      <w:r w:rsidR="00B7049A">
        <w:rPr>
          <w:noProof/>
          <w:lang w:eastAsia="it-IT"/>
        </w:rPr>
        <w:drawing>
          <wp:inline distT="0" distB="0" distL="0" distR="0" wp14:anchorId="325CE08C" wp14:editId="301F1C93">
            <wp:extent cx="9360000" cy="494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5DB" w:rsidRDefault="003D65DB" w:rsidP="000273DB">
      <w:pPr>
        <w:spacing w:after="80" w:line="240" w:lineRule="auto"/>
        <w:jc w:val="center"/>
        <w:rPr>
          <w:b/>
          <w:sz w:val="24"/>
        </w:rPr>
      </w:pPr>
    </w:p>
    <w:p w:rsidR="003D65DB" w:rsidRDefault="003D65DB" w:rsidP="000273DB">
      <w:pPr>
        <w:spacing w:after="80" w:line="240" w:lineRule="auto"/>
        <w:jc w:val="center"/>
        <w:rPr>
          <w:b/>
          <w:sz w:val="24"/>
        </w:rPr>
      </w:pPr>
    </w:p>
    <w:p w:rsidR="00BF1B6B" w:rsidRPr="00995CB2" w:rsidRDefault="00BF1B6B" w:rsidP="00540811">
      <w:pPr>
        <w:spacing w:line="240" w:lineRule="auto"/>
        <w:jc w:val="center"/>
        <w:rPr>
          <w:b/>
          <w:sz w:val="24"/>
        </w:rPr>
      </w:pPr>
      <w:r w:rsidRPr="00995CB2">
        <w:rPr>
          <w:b/>
          <w:sz w:val="24"/>
        </w:rPr>
        <w:lastRenderedPageBreak/>
        <w:t xml:space="preserve">Tabella. Indicatori regionali settimana </w:t>
      </w:r>
      <w:r w:rsidR="00462B38" w:rsidRPr="00995CB2">
        <w:rPr>
          <w:b/>
          <w:sz w:val="24"/>
        </w:rPr>
        <w:t>4-10</w:t>
      </w:r>
      <w:r w:rsidR="00707157" w:rsidRPr="00995CB2">
        <w:rPr>
          <w:b/>
          <w:sz w:val="24"/>
        </w:rPr>
        <w:t xml:space="preserve"> novembre</w:t>
      </w:r>
    </w:p>
    <w:tbl>
      <w:tblPr>
        <w:tblW w:w="5000" w:type="pct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56"/>
        <w:gridCol w:w="1688"/>
        <w:gridCol w:w="2025"/>
        <w:gridCol w:w="1819"/>
        <w:gridCol w:w="2130"/>
        <w:gridCol w:w="2133"/>
      </w:tblGrid>
      <w:tr w:rsidR="00462B38" w:rsidRPr="003E2191" w:rsidTr="00FC20EC">
        <w:trPr>
          <w:trHeight w:val="794"/>
        </w:trPr>
        <w:tc>
          <w:tcPr>
            <w:tcW w:w="893" w:type="pct"/>
            <w:tcBorders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3E2191" w:rsidRDefault="00462B38" w:rsidP="00FC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74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C20EC" w:rsidRPr="003E219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  <w:t>per 100.000 abitanti</w:t>
            </w:r>
          </w:p>
        </w:tc>
        <w:tc>
          <w:tcPr>
            <w:tcW w:w="58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3E219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casi</w:t>
            </w:r>
          </w:p>
        </w:tc>
        <w:tc>
          <w:tcPr>
            <w:tcW w:w="696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3E219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Casi testati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per 100.000 abitanti</w:t>
            </w:r>
          </w:p>
        </w:tc>
        <w:tc>
          <w:tcPr>
            <w:tcW w:w="62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3E219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73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FC20EC" w:rsidRDefault="008A7EAD" w:rsidP="008A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%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posti letto </w:t>
            </w:r>
            <w:r w:rsidR="00D32FD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br/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in </w:t>
            </w:r>
            <w:r w:rsidR="0005657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a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rea </w:t>
            </w:r>
            <w:r w:rsidR="0005657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m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edica occupati da </w:t>
            </w:r>
            <w:r w:rsidR="00D32FD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br/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azienti </w:t>
            </w:r>
            <w:r w:rsidR="0085270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COVID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−19</w:t>
            </w:r>
          </w:p>
        </w:tc>
        <w:tc>
          <w:tcPr>
            <w:tcW w:w="733" w:type="pct"/>
            <w:tcBorders>
              <w:lef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462B38" w:rsidRPr="00FC20EC" w:rsidRDefault="008A7EAD" w:rsidP="008A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% posti l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etto 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in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</w:t>
            </w:r>
            <w:r w:rsidR="0005657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t</w:t>
            </w:r>
            <w:r w:rsidR="0005657F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erapia </w:t>
            </w:r>
            <w:r w:rsidR="0005657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ntensiva occupat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i 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da </w:t>
            </w:r>
            <w:r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br/>
            </w:r>
            <w:r w:rsidR="0085270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="00852700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azienti C</w:t>
            </w:r>
            <w:r w:rsidR="0085270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OVID</w:t>
            </w:r>
            <w:r w:rsidR="00462B38" w:rsidRPr="008A7EA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−19</w:t>
            </w:r>
          </w:p>
        </w:tc>
      </w:tr>
      <w:tr w:rsidR="00462B38" w:rsidRPr="003E2191" w:rsidTr="00B67321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795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31,1%</w:t>
            </w:r>
          </w:p>
        </w:tc>
        <w:tc>
          <w:tcPr>
            <w:tcW w:w="696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994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28,9%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39%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26%</w:t>
            </w:r>
          </w:p>
        </w:tc>
      </w:tr>
      <w:tr w:rsidR="00FC20EC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531</w:t>
            </w:r>
          </w:p>
        </w:tc>
        <w:tc>
          <w:tcPr>
            <w:tcW w:w="580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51,4%</w:t>
            </w:r>
          </w:p>
        </w:tc>
        <w:tc>
          <w:tcPr>
            <w:tcW w:w="696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1.670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14,0%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FC20EC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FC20EC" w:rsidRDefault="00FC20EC" w:rsidP="00FC2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C20EC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462B38" w:rsidRPr="003E2191" w:rsidTr="00B67321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300</w:t>
            </w:r>
          </w:p>
        </w:tc>
        <w:tc>
          <w:tcPr>
            <w:tcW w:w="580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42,7%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1.081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11,8%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16%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1.279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41,8%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1.924</w:t>
            </w:r>
          </w:p>
        </w:tc>
        <w:tc>
          <w:tcPr>
            <w:tcW w:w="625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24,5%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33%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937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24,0%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1.281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25,7%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38%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645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31,3%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978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31,2%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26%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946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33,6%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2.619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11,5%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45%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860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23,1%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1.143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40,3%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70%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44%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1.347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27,7%</w:t>
            </w:r>
          </w:p>
        </w:tc>
        <w:tc>
          <w:tcPr>
            <w:tcW w:w="696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1.496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39,9%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75%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54%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714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25,3%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830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31,2%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554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29,7%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1.646</w:t>
            </w:r>
          </w:p>
        </w:tc>
        <w:tc>
          <w:tcPr>
            <w:tcW w:w="625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11,8%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21%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21%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1.351</w:t>
            </w:r>
          </w:p>
        </w:tc>
        <w:tc>
          <w:tcPr>
            <w:tcW w:w="580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34,0%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1.858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32,7%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92%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56%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1.631</w:t>
            </w:r>
          </w:p>
        </w:tc>
        <w:tc>
          <w:tcPr>
            <w:tcW w:w="580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43,0%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1.625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49,1%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99%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54%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519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18,0%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697</w:t>
            </w:r>
          </w:p>
        </w:tc>
        <w:tc>
          <w:tcPr>
            <w:tcW w:w="625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46,1%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56%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42%</w:t>
            </w:r>
          </w:p>
        </w:tc>
      </w:tr>
      <w:tr w:rsidR="00462B38" w:rsidRPr="003E2191" w:rsidTr="00B67321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469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31,2%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868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18,8%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36%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546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25,1%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1.197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13,4%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462B38" w:rsidRPr="003E2191" w:rsidTr="00B67321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457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34,4%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774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22,1%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462B38" w:rsidRPr="003E2191" w:rsidTr="00B67321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1.242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32,2%</w:t>
            </w:r>
          </w:p>
        </w:tc>
        <w:tc>
          <w:tcPr>
            <w:tcW w:w="696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1.630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27,0%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B67321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B67321">
              <w:rPr>
                <w:rFonts w:ascii="Calibri" w:eastAsia="Times New Roman" w:hAnsi="Calibri" w:cs="Calibri"/>
                <w:color w:val="006100"/>
                <w:lang w:eastAsia="it-IT"/>
              </w:rPr>
              <w:t>39%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1.150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36,1%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1.626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29,1%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57%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1.829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24,3%</w:t>
            </w:r>
          </w:p>
        </w:tc>
        <w:tc>
          <w:tcPr>
            <w:tcW w:w="696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1.126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61,6%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86%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50%</w:t>
            </w:r>
          </w:p>
        </w:tc>
      </w:tr>
      <w:tr w:rsidR="00462B38" w:rsidRPr="003E2191" w:rsidTr="00FC20EC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62B38" w:rsidRPr="00F54FFA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color w:val="9C0006"/>
                <w:lang w:eastAsia="it-IT"/>
              </w:rPr>
              <w:t>1.024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33,5%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911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9C0006"/>
                <w:lang w:eastAsia="it-IT"/>
              </w:rPr>
              <w:t>47,3%</w:t>
            </w:r>
          </w:p>
        </w:tc>
        <w:tc>
          <w:tcPr>
            <w:tcW w:w="732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  <w:tc>
          <w:tcPr>
            <w:tcW w:w="733" w:type="pct"/>
            <w:shd w:val="clear" w:color="auto" w:fill="C6EFCE"/>
            <w:noWrap/>
            <w:vAlign w:val="center"/>
          </w:tcPr>
          <w:p w:rsidR="00462B38" w:rsidRPr="00995CB2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color w:val="006100"/>
                <w:lang w:eastAsia="it-IT"/>
              </w:rPr>
              <w:t>20%</w:t>
            </w:r>
          </w:p>
        </w:tc>
      </w:tr>
      <w:tr w:rsidR="00462B38" w:rsidRPr="003E2191" w:rsidTr="00FC20EC">
        <w:trPr>
          <w:trHeight w:val="317"/>
        </w:trPr>
        <w:tc>
          <w:tcPr>
            <w:tcW w:w="893" w:type="pct"/>
            <w:shd w:val="clear" w:color="auto" w:fill="00457D"/>
            <w:noWrap/>
            <w:vAlign w:val="center"/>
            <w:hideMark/>
          </w:tcPr>
          <w:p w:rsidR="00462B38" w:rsidRPr="003E2191" w:rsidRDefault="00462B38" w:rsidP="00462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Times New Roman"/>
                <w:b/>
                <w:color w:val="9C0006"/>
                <w:lang w:eastAsia="it-IT"/>
              </w:rPr>
              <w:t>978</w:t>
            </w:r>
          </w:p>
        </w:tc>
        <w:tc>
          <w:tcPr>
            <w:tcW w:w="580" w:type="pct"/>
            <w:shd w:val="clear" w:color="auto" w:fill="C6EF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31,0%</w:t>
            </w:r>
          </w:p>
        </w:tc>
        <w:tc>
          <w:tcPr>
            <w:tcW w:w="696" w:type="pct"/>
            <w:shd w:val="clear" w:color="auto" w:fill="C6EF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1.445</w:t>
            </w:r>
          </w:p>
        </w:tc>
        <w:tc>
          <w:tcPr>
            <w:tcW w:w="625" w:type="pct"/>
            <w:shd w:val="clear" w:color="auto" w:fill="FFC7CE"/>
            <w:noWrap/>
            <w:vAlign w:val="center"/>
          </w:tcPr>
          <w:p w:rsidR="00462B38" w:rsidRPr="00462B38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27,0%</w:t>
            </w:r>
          </w:p>
        </w:tc>
        <w:tc>
          <w:tcPr>
            <w:tcW w:w="732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52%</w:t>
            </w:r>
          </w:p>
        </w:tc>
        <w:tc>
          <w:tcPr>
            <w:tcW w:w="733" w:type="pct"/>
            <w:shd w:val="clear" w:color="auto" w:fill="FFC7CE"/>
            <w:noWrap/>
            <w:vAlign w:val="center"/>
          </w:tcPr>
          <w:p w:rsidR="00462B38" w:rsidRPr="00F54FFA" w:rsidRDefault="00462B38" w:rsidP="00FC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462B38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37%</w:t>
            </w:r>
          </w:p>
        </w:tc>
      </w:tr>
      <w:tr w:rsidR="00462B38" w:rsidRPr="003E2191" w:rsidTr="00F54FFA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FC20EC" w:rsidRPr="009E7657" w:rsidRDefault="00852700" w:rsidP="009E765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Nota: n</w:t>
            </w:r>
            <w:r w:rsidR="00F041DE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elle prime 4 colonne </w:t>
            </w:r>
            <w:r w:rsidR="00462B38" w:rsidRPr="003E2191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rosso e verde indicano rispettivamente una performance regionale in peggioramento, o in miglioramento, rispe</w:t>
            </w:r>
            <w:r w:rsidR="00995CB2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tto alla settimana precedente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;</w:t>
            </w:r>
            <w:r w:rsidR="009440B2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 </w:t>
            </w:r>
            <w:r w:rsidR="009440B2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n</w:t>
            </w:r>
            <w:r w:rsidR="00F041DE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elle ultime 2 colonne rosso e verde indicano il superamento, o meno, della soglia di saturazione del 40% per </w:t>
            </w:r>
            <w:r w:rsidR="009E7657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l’</w:t>
            </w:r>
            <w:r w:rsidR="00F041DE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area medica e del 30% per le terapie intensive</w:t>
            </w:r>
            <w:r w:rsidR="009E7657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 (dati Agenas)</w:t>
            </w:r>
            <w:r w:rsidR="00FA2CA8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.</w:t>
            </w:r>
          </w:p>
        </w:tc>
      </w:tr>
    </w:tbl>
    <w:p w:rsidR="006A68BB" w:rsidRDefault="006A68BB" w:rsidP="00890C9D">
      <w:pPr>
        <w:spacing w:after="0" w:line="240" w:lineRule="auto"/>
        <w:rPr>
          <w:b/>
          <w:sz w:val="2"/>
          <w:szCs w:val="2"/>
        </w:rPr>
      </w:pPr>
    </w:p>
    <w:sectPr w:rsidR="006A68BB" w:rsidSect="00BF1B6B">
      <w:footnotePr>
        <w:numFmt w:val="chicago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7E61" w16cex:dateUtc="2020-11-11T14:14:00Z"/>
  <w16cex:commentExtensible w16cex:durableId="2356811A" w16cex:dateUtc="2020-11-11T14:26:00Z"/>
  <w16cex:commentExtensible w16cex:durableId="23568306" w16cex:dateUtc="2020-11-11T1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AD" w:rsidRDefault="00E46AAD">
      <w:pPr>
        <w:spacing w:after="0" w:line="240" w:lineRule="auto"/>
      </w:pPr>
      <w:r>
        <w:separator/>
      </w:r>
    </w:p>
  </w:endnote>
  <w:endnote w:type="continuationSeparator" w:id="0">
    <w:p w:rsidR="00E46AAD" w:rsidRDefault="00E4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AD" w:rsidRDefault="00E46AAD">
      <w:pPr>
        <w:spacing w:after="0" w:line="240" w:lineRule="auto"/>
      </w:pPr>
      <w:r>
        <w:separator/>
      </w:r>
    </w:p>
  </w:footnote>
  <w:footnote w:type="continuationSeparator" w:id="0">
    <w:p w:rsidR="00E46AAD" w:rsidRDefault="00E4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5314"/>
    <w:rsid w:val="0000610C"/>
    <w:rsid w:val="000078D5"/>
    <w:rsid w:val="00007CC5"/>
    <w:rsid w:val="00007E2D"/>
    <w:rsid w:val="00010AEF"/>
    <w:rsid w:val="00010BCC"/>
    <w:rsid w:val="00012955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3CF"/>
    <w:rsid w:val="0002246B"/>
    <w:rsid w:val="00022977"/>
    <w:rsid w:val="00022EBF"/>
    <w:rsid w:val="00023F18"/>
    <w:rsid w:val="00024712"/>
    <w:rsid w:val="00026DC0"/>
    <w:rsid w:val="000273DB"/>
    <w:rsid w:val="00027540"/>
    <w:rsid w:val="00030B5F"/>
    <w:rsid w:val="00030DDE"/>
    <w:rsid w:val="00031A14"/>
    <w:rsid w:val="00031E5F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522A"/>
    <w:rsid w:val="0004544E"/>
    <w:rsid w:val="000466D8"/>
    <w:rsid w:val="0004717B"/>
    <w:rsid w:val="00047EE0"/>
    <w:rsid w:val="00047FD1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B14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56B2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C51"/>
    <w:rsid w:val="000D4762"/>
    <w:rsid w:val="000D56B8"/>
    <w:rsid w:val="000D5B60"/>
    <w:rsid w:val="000D64BB"/>
    <w:rsid w:val="000D6AC6"/>
    <w:rsid w:val="000D73D0"/>
    <w:rsid w:val="000E2B65"/>
    <w:rsid w:val="000E2D59"/>
    <w:rsid w:val="000E3205"/>
    <w:rsid w:val="000E4C32"/>
    <w:rsid w:val="000E72BC"/>
    <w:rsid w:val="000F0E42"/>
    <w:rsid w:val="000F136B"/>
    <w:rsid w:val="000F1FFA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659A"/>
    <w:rsid w:val="00136710"/>
    <w:rsid w:val="00137608"/>
    <w:rsid w:val="00137854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509C3"/>
    <w:rsid w:val="00151D45"/>
    <w:rsid w:val="00151EC4"/>
    <w:rsid w:val="00152168"/>
    <w:rsid w:val="001521A0"/>
    <w:rsid w:val="00153115"/>
    <w:rsid w:val="00153964"/>
    <w:rsid w:val="00156012"/>
    <w:rsid w:val="00156186"/>
    <w:rsid w:val="001620F7"/>
    <w:rsid w:val="001630EB"/>
    <w:rsid w:val="00164139"/>
    <w:rsid w:val="0016624A"/>
    <w:rsid w:val="00166D9E"/>
    <w:rsid w:val="001670B6"/>
    <w:rsid w:val="0016713F"/>
    <w:rsid w:val="00170961"/>
    <w:rsid w:val="00171CA7"/>
    <w:rsid w:val="00174C24"/>
    <w:rsid w:val="0017590C"/>
    <w:rsid w:val="00175A46"/>
    <w:rsid w:val="001767BB"/>
    <w:rsid w:val="00176B56"/>
    <w:rsid w:val="00180482"/>
    <w:rsid w:val="001812FC"/>
    <w:rsid w:val="001815BB"/>
    <w:rsid w:val="00181BDC"/>
    <w:rsid w:val="00181E68"/>
    <w:rsid w:val="001822AB"/>
    <w:rsid w:val="0018261A"/>
    <w:rsid w:val="00183566"/>
    <w:rsid w:val="00183F81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614"/>
    <w:rsid w:val="00197941"/>
    <w:rsid w:val="00197B87"/>
    <w:rsid w:val="001A0964"/>
    <w:rsid w:val="001A25A5"/>
    <w:rsid w:val="001A2AC2"/>
    <w:rsid w:val="001A3813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C5BFE"/>
    <w:rsid w:val="001C70FD"/>
    <w:rsid w:val="001D0755"/>
    <w:rsid w:val="001D1B73"/>
    <w:rsid w:val="001D1D83"/>
    <w:rsid w:val="001D3373"/>
    <w:rsid w:val="001D3BEA"/>
    <w:rsid w:val="001D487C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503B"/>
    <w:rsid w:val="0022562D"/>
    <w:rsid w:val="002269AD"/>
    <w:rsid w:val="00226CB8"/>
    <w:rsid w:val="002273E1"/>
    <w:rsid w:val="002306E8"/>
    <w:rsid w:val="00232450"/>
    <w:rsid w:val="00232826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352D"/>
    <w:rsid w:val="00275D83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70F"/>
    <w:rsid w:val="002B1BF9"/>
    <w:rsid w:val="002B2BF2"/>
    <w:rsid w:val="002B3135"/>
    <w:rsid w:val="002B33DE"/>
    <w:rsid w:val="002B4392"/>
    <w:rsid w:val="002B49E9"/>
    <w:rsid w:val="002B4AAD"/>
    <w:rsid w:val="002B5018"/>
    <w:rsid w:val="002B7A9C"/>
    <w:rsid w:val="002C25F3"/>
    <w:rsid w:val="002D281C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234E"/>
    <w:rsid w:val="002E2579"/>
    <w:rsid w:val="002E3B3A"/>
    <w:rsid w:val="002E3CBF"/>
    <w:rsid w:val="002E450B"/>
    <w:rsid w:val="002E6F00"/>
    <w:rsid w:val="002E77F3"/>
    <w:rsid w:val="002F0DFB"/>
    <w:rsid w:val="002F1137"/>
    <w:rsid w:val="002F117B"/>
    <w:rsid w:val="002F1666"/>
    <w:rsid w:val="002F47DF"/>
    <w:rsid w:val="002F4D19"/>
    <w:rsid w:val="002F4DEF"/>
    <w:rsid w:val="002F4FEC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6624"/>
    <w:rsid w:val="00306D88"/>
    <w:rsid w:val="0030740E"/>
    <w:rsid w:val="00313AF8"/>
    <w:rsid w:val="00314CCF"/>
    <w:rsid w:val="0031542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2B22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827FB"/>
    <w:rsid w:val="00383720"/>
    <w:rsid w:val="00384F8E"/>
    <w:rsid w:val="00385A4A"/>
    <w:rsid w:val="00385ED3"/>
    <w:rsid w:val="003864BA"/>
    <w:rsid w:val="00387426"/>
    <w:rsid w:val="00390E96"/>
    <w:rsid w:val="00391930"/>
    <w:rsid w:val="00391B51"/>
    <w:rsid w:val="003925EF"/>
    <w:rsid w:val="0039384F"/>
    <w:rsid w:val="00393DDC"/>
    <w:rsid w:val="003944F4"/>
    <w:rsid w:val="003948A2"/>
    <w:rsid w:val="0039540D"/>
    <w:rsid w:val="003955CC"/>
    <w:rsid w:val="00395971"/>
    <w:rsid w:val="00397A51"/>
    <w:rsid w:val="003A0175"/>
    <w:rsid w:val="003A0F9B"/>
    <w:rsid w:val="003A2071"/>
    <w:rsid w:val="003A4307"/>
    <w:rsid w:val="003A6C83"/>
    <w:rsid w:val="003A6DA5"/>
    <w:rsid w:val="003B06AF"/>
    <w:rsid w:val="003B102E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2B5E"/>
    <w:rsid w:val="003F3A78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D73"/>
    <w:rsid w:val="00404ACE"/>
    <w:rsid w:val="00404CF8"/>
    <w:rsid w:val="00404EDE"/>
    <w:rsid w:val="004053FC"/>
    <w:rsid w:val="004055A4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67BC"/>
    <w:rsid w:val="004173E1"/>
    <w:rsid w:val="00417C1C"/>
    <w:rsid w:val="004203C6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4F61"/>
    <w:rsid w:val="00435198"/>
    <w:rsid w:val="00435282"/>
    <w:rsid w:val="00435375"/>
    <w:rsid w:val="004374D6"/>
    <w:rsid w:val="00437BB8"/>
    <w:rsid w:val="0044003C"/>
    <w:rsid w:val="00441414"/>
    <w:rsid w:val="004421F3"/>
    <w:rsid w:val="00442661"/>
    <w:rsid w:val="004430FB"/>
    <w:rsid w:val="004445B2"/>
    <w:rsid w:val="0044462E"/>
    <w:rsid w:val="00445BBA"/>
    <w:rsid w:val="004501DC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2B38"/>
    <w:rsid w:val="0046399E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C09"/>
    <w:rsid w:val="004A0133"/>
    <w:rsid w:val="004A1527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0DC"/>
    <w:rsid w:val="004B34C0"/>
    <w:rsid w:val="004B3D68"/>
    <w:rsid w:val="004B46CE"/>
    <w:rsid w:val="004B4E74"/>
    <w:rsid w:val="004B64C5"/>
    <w:rsid w:val="004C12A9"/>
    <w:rsid w:val="004C1508"/>
    <w:rsid w:val="004C2A3A"/>
    <w:rsid w:val="004C2BCB"/>
    <w:rsid w:val="004C305E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4F7098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70CE"/>
    <w:rsid w:val="00510A31"/>
    <w:rsid w:val="00511884"/>
    <w:rsid w:val="005118BC"/>
    <w:rsid w:val="0051236D"/>
    <w:rsid w:val="005126FA"/>
    <w:rsid w:val="005127EB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4216"/>
    <w:rsid w:val="0054575E"/>
    <w:rsid w:val="00546091"/>
    <w:rsid w:val="0054649D"/>
    <w:rsid w:val="00547577"/>
    <w:rsid w:val="00550AE4"/>
    <w:rsid w:val="00550EED"/>
    <w:rsid w:val="00551044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2B47"/>
    <w:rsid w:val="00584F34"/>
    <w:rsid w:val="005850C4"/>
    <w:rsid w:val="00585F5E"/>
    <w:rsid w:val="005862D2"/>
    <w:rsid w:val="00586D6A"/>
    <w:rsid w:val="00586EDB"/>
    <w:rsid w:val="00587855"/>
    <w:rsid w:val="005879F9"/>
    <w:rsid w:val="00591FDA"/>
    <w:rsid w:val="005927E5"/>
    <w:rsid w:val="0059481E"/>
    <w:rsid w:val="0059496D"/>
    <w:rsid w:val="0059509E"/>
    <w:rsid w:val="00595785"/>
    <w:rsid w:val="00595C29"/>
    <w:rsid w:val="00595CBC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4EDF"/>
    <w:rsid w:val="005B529E"/>
    <w:rsid w:val="005B6533"/>
    <w:rsid w:val="005B67AE"/>
    <w:rsid w:val="005B6BDE"/>
    <w:rsid w:val="005C0442"/>
    <w:rsid w:val="005C08B9"/>
    <w:rsid w:val="005C092C"/>
    <w:rsid w:val="005C1554"/>
    <w:rsid w:val="005C1FAD"/>
    <w:rsid w:val="005C3F52"/>
    <w:rsid w:val="005C5269"/>
    <w:rsid w:val="005C5D3F"/>
    <w:rsid w:val="005C623E"/>
    <w:rsid w:val="005C6739"/>
    <w:rsid w:val="005D01D3"/>
    <w:rsid w:val="005D08B3"/>
    <w:rsid w:val="005D12FA"/>
    <w:rsid w:val="005D291A"/>
    <w:rsid w:val="005D2CAB"/>
    <w:rsid w:val="005D2F9E"/>
    <w:rsid w:val="005D3313"/>
    <w:rsid w:val="005D38E6"/>
    <w:rsid w:val="005D493F"/>
    <w:rsid w:val="005D59BB"/>
    <w:rsid w:val="005D6265"/>
    <w:rsid w:val="005D6D2D"/>
    <w:rsid w:val="005D7170"/>
    <w:rsid w:val="005D78FF"/>
    <w:rsid w:val="005E053F"/>
    <w:rsid w:val="005E1B70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F0188"/>
    <w:rsid w:val="005F11A3"/>
    <w:rsid w:val="005F2C1D"/>
    <w:rsid w:val="005F4AC1"/>
    <w:rsid w:val="005F5D57"/>
    <w:rsid w:val="005F6212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5898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18AA"/>
    <w:rsid w:val="00622A81"/>
    <w:rsid w:val="00622F59"/>
    <w:rsid w:val="00625A0B"/>
    <w:rsid w:val="00627001"/>
    <w:rsid w:val="00627D19"/>
    <w:rsid w:val="00631563"/>
    <w:rsid w:val="00631EE7"/>
    <w:rsid w:val="00632363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1221"/>
    <w:rsid w:val="00672099"/>
    <w:rsid w:val="0067483E"/>
    <w:rsid w:val="006748E3"/>
    <w:rsid w:val="00674F78"/>
    <w:rsid w:val="00676036"/>
    <w:rsid w:val="006768D8"/>
    <w:rsid w:val="00681040"/>
    <w:rsid w:val="00683B82"/>
    <w:rsid w:val="006842FB"/>
    <w:rsid w:val="00685F86"/>
    <w:rsid w:val="006864FE"/>
    <w:rsid w:val="00687318"/>
    <w:rsid w:val="006876EB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1F7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A43"/>
    <w:rsid w:val="00703E54"/>
    <w:rsid w:val="00704845"/>
    <w:rsid w:val="00706AE0"/>
    <w:rsid w:val="00707157"/>
    <w:rsid w:val="00710565"/>
    <w:rsid w:val="007106A3"/>
    <w:rsid w:val="00710B57"/>
    <w:rsid w:val="00710D8D"/>
    <w:rsid w:val="007115C9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655"/>
    <w:rsid w:val="00723A22"/>
    <w:rsid w:val="00726C81"/>
    <w:rsid w:val="007274EA"/>
    <w:rsid w:val="0072783E"/>
    <w:rsid w:val="007305F0"/>
    <w:rsid w:val="00730A5A"/>
    <w:rsid w:val="0073137D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EE8"/>
    <w:rsid w:val="007707AD"/>
    <w:rsid w:val="00771BCB"/>
    <w:rsid w:val="00772ECB"/>
    <w:rsid w:val="00772F06"/>
    <w:rsid w:val="00773CD5"/>
    <w:rsid w:val="0077536F"/>
    <w:rsid w:val="007762D0"/>
    <w:rsid w:val="00776D3B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2C3"/>
    <w:rsid w:val="007C48EB"/>
    <w:rsid w:val="007C62A1"/>
    <w:rsid w:val="007C6A4D"/>
    <w:rsid w:val="007C7ED0"/>
    <w:rsid w:val="007D0C94"/>
    <w:rsid w:val="007D1158"/>
    <w:rsid w:val="007D1284"/>
    <w:rsid w:val="007D1838"/>
    <w:rsid w:val="007D21EE"/>
    <w:rsid w:val="007D2880"/>
    <w:rsid w:val="007D3730"/>
    <w:rsid w:val="007D4B2A"/>
    <w:rsid w:val="007D4BE9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DA2"/>
    <w:rsid w:val="00813FAA"/>
    <w:rsid w:val="008141B0"/>
    <w:rsid w:val="00815132"/>
    <w:rsid w:val="00815E3F"/>
    <w:rsid w:val="00815F40"/>
    <w:rsid w:val="00816B69"/>
    <w:rsid w:val="00817B29"/>
    <w:rsid w:val="00821104"/>
    <w:rsid w:val="008214C5"/>
    <w:rsid w:val="00822659"/>
    <w:rsid w:val="00824061"/>
    <w:rsid w:val="00824131"/>
    <w:rsid w:val="00824253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2700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3DF6"/>
    <w:rsid w:val="00864ED9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F6A"/>
    <w:rsid w:val="008A3B0B"/>
    <w:rsid w:val="008A49DD"/>
    <w:rsid w:val="008A4B7A"/>
    <w:rsid w:val="008A55F7"/>
    <w:rsid w:val="008A5BA9"/>
    <w:rsid w:val="008A6587"/>
    <w:rsid w:val="008A7176"/>
    <w:rsid w:val="008A7D9C"/>
    <w:rsid w:val="008A7EAD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2367"/>
    <w:rsid w:val="008D2AAD"/>
    <w:rsid w:val="008D437F"/>
    <w:rsid w:val="008D43FC"/>
    <w:rsid w:val="008D4DF1"/>
    <w:rsid w:val="008D6E67"/>
    <w:rsid w:val="008E086F"/>
    <w:rsid w:val="008E24BB"/>
    <w:rsid w:val="008E252F"/>
    <w:rsid w:val="008E2D75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1E7B"/>
    <w:rsid w:val="009321B9"/>
    <w:rsid w:val="00932325"/>
    <w:rsid w:val="00932B6D"/>
    <w:rsid w:val="0093426F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07C1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452D"/>
    <w:rsid w:val="009B6082"/>
    <w:rsid w:val="009B7B66"/>
    <w:rsid w:val="009C113E"/>
    <w:rsid w:val="009C12B3"/>
    <w:rsid w:val="009C3213"/>
    <w:rsid w:val="009C344E"/>
    <w:rsid w:val="009C3A7D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1F22"/>
    <w:rsid w:val="009E35CB"/>
    <w:rsid w:val="009E51E1"/>
    <w:rsid w:val="009E5780"/>
    <w:rsid w:val="009E6748"/>
    <w:rsid w:val="009E7573"/>
    <w:rsid w:val="009E7657"/>
    <w:rsid w:val="009E7D1B"/>
    <w:rsid w:val="009F0587"/>
    <w:rsid w:val="009F0CF5"/>
    <w:rsid w:val="009F0DC8"/>
    <w:rsid w:val="009F0E8E"/>
    <w:rsid w:val="009F2B01"/>
    <w:rsid w:val="009F4108"/>
    <w:rsid w:val="009F5BC5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2DF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480C"/>
    <w:rsid w:val="00A25914"/>
    <w:rsid w:val="00A26E17"/>
    <w:rsid w:val="00A27B40"/>
    <w:rsid w:val="00A30D45"/>
    <w:rsid w:val="00A31274"/>
    <w:rsid w:val="00A3202F"/>
    <w:rsid w:val="00A32A97"/>
    <w:rsid w:val="00A32CC0"/>
    <w:rsid w:val="00A33EF5"/>
    <w:rsid w:val="00A35C8F"/>
    <w:rsid w:val="00A37423"/>
    <w:rsid w:val="00A37787"/>
    <w:rsid w:val="00A37A23"/>
    <w:rsid w:val="00A406C1"/>
    <w:rsid w:val="00A40DB7"/>
    <w:rsid w:val="00A4164F"/>
    <w:rsid w:val="00A42648"/>
    <w:rsid w:val="00A42764"/>
    <w:rsid w:val="00A42FDA"/>
    <w:rsid w:val="00A43286"/>
    <w:rsid w:val="00A43546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F5C"/>
    <w:rsid w:val="00A64E2D"/>
    <w:rsid w:val="00A65179"/>
    <w:rsid w:val="00A651A2"/>
    <w:rsid w:val="00A652DA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872E7"/>
    <w:rsid w:val="00A94367"/>
    <w:rsid w:val="00A94901"/>
    <w:rsid w:val="00A9533C"/>
    <w:rsid w:val="00A953E6"/>
    <w:rsid w:val="00A96213"/>
    <w:rsid w:val="00A96D0B"/>
    <w:rsid w:val="00A96DF7"/>
    <w:rsid w:val="00A97066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86F"/>
    <w:rsid w:val="00AC1D69"/>
    <w:rsid w:val="00AC273C"/>
    <w:rsid w:val="00AC2A51"/>
    <w:rsid w:val="00AC3FC8"/>
    <w:rsid w:val="00AC4710"/>
    <w:rsid w:val="00AC546F"/>
    <w:rsid w:val="00AC55D6"/>
    <w:rsid w:val="00AC691D"/>
    <w:rsid w:val="00AC69F1"/>
    <w:rsid w:val="00AC7B0D"/>
    <w:rsid w:val="00AD0513"/>
    <w:rsid w:val="00AD1DC7"/>
    <w:rsid w:val="00AD21A5"/>
    <w:rsid w:val="00AD3147"/>
    <w:rsid w:val="00AD4596"/>
    <w:rsid w:val="00AD4714"/>
    <w:rsid w:val="00AD4E60"/>
    <w:rsid w:val="00AD510C"/>
    <w:rsid w:val="00AD57F0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D6B"/>
    <w:rsid w:val="00AF1029"/>
    <w:rsid w:val="00AF55A7"/>
    <w:rsid w:val="00AF55DD"/>
    <w:rsid w:val="00AF56B2"/>
    <w:rsid w:val="00AF5735"/>
    <w:rsid w:val="00AF58A6"/>
    <w:rsid w:val="00AF71E2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0E28"/>
    <w:rsid w:val="00B11015"/>
    <w:rsid w:val="00B11737"/>
    <w:rsid w:val="00B14080"/>
    <w:rsid w:val="00B15B68"/>
    <w:rsid w:val="00B15C15"/>
    <w:rsid w:val="00B17140"/>
    <w:rsid w:val="00B20D0D"/>
    <w:rsid w:val="00B21099"/>
    <w:rsid w:val="00B210CE"/>
    <w:rsid w:val="00B23F66"/>
    <w:rsid w:val="00B241CC"/>
    <w:rsid w:val="00B24821"/>
    <w:rsid w:val="00B24906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FD2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6B6B"/>
    <w:rsid w:val="00B67321"/>
    <w:rsid w:val="00B67F4F"/>
    <w:rsid w:val="00B701A5"/>
    <w:rsid w:val="00B7049A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97D60"/>
    <w:rsid w:val="00BA08BE"/>
    <w:rsid w:val="00BA095D"/>
    <w:rsid w:val="00BA17A3"/>
    <w:rsid w:val="00BA2ED2"/>
    <w:rsid w:val="00BA3DDE"/>
    <w:rsid w:val="00BA44E0"/>
    <w:rsid w:val="00BA5083"/>
    <w:rsid w:val="00BA558F"/>
    <w:rsid w:val="00BA798E"/>
    <w:rsid w:val="00BA7A01"/>
    <w:rsid w:val="00BA7AE5"/>
    <w:rsid w:val="00BB0200"/>
    <w:rsid w:val="00BB0440"/>
    <w:rsid w:val="00BB0AD6"/>
    <w:rsid w:val="00BB1A7D"/>
    <w:rsid w:val="00BB2E70"/>
    <w:rsid w:val="00BB355E"/>
    <w:rsid w:val="00BB50B0"/>
    <w:rsid w:val="00BB6B84"/>
    <w:rsid w:val="00BB7277"/>
    <w:rsid w:val="00BC045A"/>
    <w:rsid w:val="00BC0D09"/>
    <w:rsid w:val="00BC1400"/>
    <w:rsid w:val="00BC29E2"/>
    <w:rsid w:val="00BC46EA"/>
    <w:rsid w:val="00BC4E19"/>
    <w:rsid w:val="00BC670C"/>
    <w:rsid w:val="00BC7AAD"/>
    <w:rsid w:val="00BD1234"/>
    <w:rsid w:val="00BD12F3"/>
    <w:rsid w:val="00BD2441"/>
    <w:rsid w:val="00BD3A22"/>
    <w:rsid w:val="00BD49A5"/>
    <w:rsid w:val="00BD5F41"/>
    <w:rsid w:val="00BD618E"/>
    <w:rsid w:val="00BD64B7"/>
    <w:rsid w:val="00BD689A"/>
    <w:rsid w:val="00BE0147"/>
    <w:rsid w:val="00BE0F2D"/>
    <w:rsid w:val="00BE1AA2"/>
    <w:rsid w:val="00BE1EF1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E0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3B7B"/>
    <w:rsid w:val="00C15F9E"/>
    <w:rsid w:val="00C15FCE"/>
    <w:rsid w:val="00C20D5E"/>
    <w:rsid w:val="00C21766"/>
    <w:rsid w:val="00C22254"/>
    <w:rsid w:val="00C23924"/>
    <w:rsid w:val="00C2408D"/>
    <w:rsid w:val="00C24286"/>
    <w:rsid w:val="00C249E7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E68"/>
    <w:rsid w:val="00C34EA8"/>
    <w:rsid w:val="00C3563E"/>
    <w:rsid w:val="00C36A7B"/>
    <w:rsid w:val="00C40014"/>
    <w:rsid w:val="00C4077E"/>
    <w:rsid w:val="00C41167"/>
    <w:rsid w:val="00C41C75"/>
    <w:rsid w:val="00C43393"/>
    <w:rsid w:val="00C44EE1"/>
    <w:rsid w:val="00C44FA0"/>
    <w:rsid w:val="00C45232"/>
    <w:rsid w:val="00C4623F"/>
    <w:rsid w:val="00C47F17"/>
    <w:rsid w:val="00C502C7"/>
    <w:rsid w:val="00C50340"/>
    <w:rsid w:val="00C5094C"/>
    <w:rsid w:val="00C520DC"/>
    <w:rsid w:val="00C5221A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7CE3"/>
    <w:rsid w:val="00C81268"/>
    <w:rsid w:val="00C81942"/>
    <w:rsid w:val="00C83843"/>
    <w:rsid w:val="00C83CAC"/>
    <w:rsid w:val="00C84861"/>
    <w:rsid w:val="00C853A4"/>
    <w:rsid w:val="00C86179"/>
    <w:rsid w:val="00C872E6"/>
    <w:rsid w:val="00C8751F"/>
    <w:rsid w:val="00C87814"/>
    <w:rsid w:val="00C87B32"/>
    <w:rsid w:val="00C90BDE"/>
    <w:rsid w:val="00C90C8D"/>
    <w:rsid w:val="00C9114B"/>
    <w:rsid w:val="00C91496"/>
    <w:rsid w:val="00C9165C"/>
    <w:rsid w:val="00C91BCF"/>
    <w:rsid w:val="00C91D28"/>
    <w:rsid w:val="00C91F26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4D51"/>
    <w:rsid w:val="00CD4F92"/>
    <w:rsid w:val="00CD5104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3FB0"/>
    <w:rsid w:val="00CF475E"/>
    <w:rsid w:val="00CF4849"/>
    <w:rsid w:val="00CF57BD"/>
    <w:rsid w:val="00CF6C2D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2FD3"/>
    <w:rsid w:val="00D33012"/>
    <w:rsid w:val="00D332DE"/>
    <w:rsid w:val="00D34657"/>
    <w:rsid w:val="00D349B7"/>
    <w:rsid w:val="00D34A2E"/>
    <w:rsid w:val="00D35089"/>
    <w:rsid w:val="00D35772"/>
    <w:rsid w:val="00D373DD"/>
    <w:rsid w:val="00D40BC4"/>
    <w:rsid w:val="00D40DE5"/>
    <w:rsid w:val="00D41B85"/>
    <w:rsid w:val="00D442D0"/>
    <w:rsid w:val="00D44392"/>
    <w:rsid w:val="00D4485D"/>
    <w:rsid w:val="00D462EE"/>
    <w:rsid w:val="00D47D62"/>
    <w:rsid w:val="00D50997"/>
    <w:rsid w:val="00D50BC0"/>
    <w:rsid w:val="00D5109E"/>
    <w:rsid w:val="00D51212"/>
    <w:rsid w:val="00D51B40"/>
    <w:rsid w:val="00D529F7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8BD"/>
    <w:rsid w:val="00D648FE"/>
    <w:rsid w:val="00D6690F"/>
    <w:rsid w:val="00D67259"/>
    <w:rsid w:val="00D677F5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22D9"/>
    <w:rsid w:val="00D83497"/>
    <w:rsid w:val="00D85ED1"/>
    <w:rsid w:val="00D8626A"/>
    <w:rsid w:val="00D86A75"/>
    <w:rsid w:val="00D86C9A"/>
    <w:rsid w:val="00D87549"/>
    <w:rsid w:val="00D8774A"/>
    <w:rsid w:val="00D90AB3"/>
    <w:rsid w:val="00D90E1D"/>
    <w:rsid w:val="00D914F7"/>
    <w:rsid w:val="00D932BA"/>
    <w:rsid w:val="00D93C9B"/>
    <w:rsid w:val="00D94B97"/>
    <w:rsid w:val="00D94DFE"/>
    <w:rsid w:val="00D96620"/>
    <w:rsid w:val="00D97DF9"/>
    <w:rsid w:val="00DA08AA"/>
    <w:rsid w:val="00DA1BAE"/>
    <w:rsid w:val="00DA5193"/>
    <w:rsid w:val="00DA788A"/>
    <w:rsid w:val="00DB0000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59EA"/>
    <w:rsid w:val="00DD6C38"/>
    <w:rsid w:val="00DE16F3"/>
    <w:rsid w:val="00DE1B8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F3D"/>
    <w:rsid w:val="00E2614C"/>
    <w:rsid w:val="00E30A6E"/>
    <w:rsid w:val="00E33896"/>
    <w:rsid w:val="00E33E7F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3331"/>
    <w:rsid w:val="00E44149"/>
    <w:rsid w:val="00E449EC"/>
    <w:rsid w:val="00E45DC4"/>
    <w:rsid w:val="00E45EDE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E33"/>
    <w:rsid w:val="00E544FB"/>
    <w:rsid w:val="00E56A01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57F"/>
    <w:rsid w:val="00E93B96"/>
    <w:rsid w:val="00E94F86"/>
    <w:rsid w:val="00E9517D"/>
    <w:rsid w:val="00E964C7"/>
    <w:rsid w:val="00E96C93"/>
    <w:rsid w:val="00E97258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3915"/>
    <w:rsid w:val="00EB75D3"/>
    <w:rsid w:val="00EB7C0F"/>
    <w:rsid w:val="00EC0138"/>
    <w:rsid w:val="00EC0983"/>
    <w:rsid w:val="00EC0A19"/>
    <w:rsid w:val="00EC2B05"/>
    <w:rsid w:val="00EC3C73"/>
    <w:rsid w:val="00EC60D9"/>
    <w:rsid w:val="00EC6CAA"/>
    <w:rsid w:val="00EC7463"/>
    <w:rsid w:val="00EC792D"/>
    <w:rsid w:val="00EC7EE7"/>
    <w:rsid w:val="00ED0E1A"/>
    <w:rsid w:val="00ED16CF"/>
    <w:rsid w:val="00ED1C2D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1DE"/>
    <w:rsid w:val="00F0472D"/>
    <w:rsid w:val="00F04C84"/>
    <w:rsid w:val="00F072AF"/>
    <w:rsid w:val="00F072B6"/>
    <w:rsid w:val="00F0750A"/>
    <w:rsid w:val="00F0762F"/>
    <w:rsid w:val="00F07791"/>
    <w:rsid w:val="00F07B4D"/>
    <w:rsid w:val="00F07D8A"/>
    <w:rsid w:val="00F10001"/>
    <w:rsid w:val="00F10F5D"/>
    <w:rsid w:val="00F1238A"/>
    <w:rsid w:val="00F126E8"/>
    <w:rsid w:val="00F12842"/>
    <w:rsid w:val="00F1321F"/>
    <w:rsid w:val="00F15ECF"/>
    <w:rsid w:val="00F16223"/>
    <w:rsid w:val="00F16A08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54DE"/>
    <w:rsid w:val="00F469C4"/>
    <w:rsid w:val="00F46E73"/>
    <w:rsid w:val="00F4738E"/>
    <w:rsid w:val="00F47E50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6FD8"/>
    <w:rsid w:val="00F671B9"/>
    <w:rsid w:val="00F6787E"/>
    <w:rsid w:val="00F67DCD"/>
    <w:rsid w:val="00F70C6F"/>
    <w:rsid w:val="00F70D2E"/>
    <w:rsid w:val="00F71726"/>
    <w:rsid w:val="00F71DDE"/>
    <w:rsid w:val="00F72378"/>
    <w:rsid w:val="00F7270C"/>
    <w:rsid w:val="00F73279"/>
    <w:rsid w:val="00F750DA"/>
    <w:rsid w:val="00F754D3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2CA8"/>
    <w:rsid w:val="00FA33BD"/>
    <w:rsid w:val="00FA3D96"/>
    <w:rsid w:val="00FA45AE"/>
    <w:rsid w:val="00FA5125"/>
    <w:rsid w:val="00FA55AE"/>
    <w:rsid w:val="00FA7342"/>
    <w:rsid w:val="00FB13C1"/>
    <w:rsid w:val="00FB1F92"/>
    <w:rsid w:val="00FB3E94"/>
    <w:rsid w:val="00FB52B9"/>
    <w:rsid w:val="00FB5DBA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101A"/>
  <w15:docId w15:val="{58399115-1317-4469-9A53-4E8AFC1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5cw817VgI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ibenecomune.it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CF18-7F1A-4561-8D11-0E5BA60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Marco Mosti</cp:lastModifiedBy>
  <cp:revision>2</cp:revision>
  <cp:lastPrinted>2020-10-14T11:24:00Z</cp:lastPrinted>
  <dcterms:created xsi:type="dcterms:W3CDTF">2020-11-12T09:05:00Z</dcterms:created>
  <dcterms:modified xsi:type="dcterms:W3CDTF">2020-11-12T09:05:00Z</dcterms:modified>
</cp:coreProperties>
</file>