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61160A" w:rsidRPr="00EF64FF" w:rsidRDefault="00497007" w:rsidP="0021701B">
      <w:pPr>
        <w:spacing w:after="120"/>
        <w:jc w:val="center"/>
        <w:rPr>
          <w:b/>
          <w:sz w:val="32"/>
          <w:szCs w:val="32"/>
        </w:rPr>
      </w:pPr>
      <w:r w:rsidRPr="00EF64FF">
        <w:rPr>
          <w:b/>
          <w:sz w:val="32"/>
          <w:szCs w:val="32"/>
        </w:rPr>
        <w:t xml:space="preserve">CORONAVIRUS: </w:t>
      </w:r>
      <w:r w:rsidR="00EF64FF" w:rsidRPr="00EF64FF">
        <w:rPr>
          <w:b/>
          <w:sz w:val="32"/>
          <w:szCs w:val="32"/>
        </w:rPr>
        <w:t>RISALGONO TUTTE LE CURVE</w:t>
      </w:r>
      <w:r w:rsidR="00331C33">
        <w:rPr>
          <w:b/>
          <w:sz w:val="32"/>
          <w:szCs w:val="32"/>
        </w:rPr>
        <w:t>.</w:t>
      </w:r>
      <w:r w:rsidR="0021701B">
        <w:rPr>
          <w:b/>
          <w:sz w:val="32"/>
          <w:szCs w:val="32"/>
        </w:rPr>
        <w:br/>
      </w:r>
      <w:r w:rsidR="005A78BB">
        <w:rPr>
          <w:b/>
          <w:sz w:val="32"/>
          <w:szCs w:val="32"/>
        </w:rPr>
        <w:t xml:space="preserve">VACCINO NON </w:t>
      </w:r>
      <w:r w:rsidR="0013377E">
        <w:rPr>
          <w:b/>
          <w:sz w:val="32"/>
          <w:szCs w:val="32"/>
        </w:rPr>
        <w:t>È SOLUZIONE IMMEDIATA</w:t>
      </w:r>
      <w:r w:rsidR="005A78BB">
        <w:rPr>
          <w:b/>
          <w:sz w:val="32"/>
          <w:szCs w:val="32"/>
        </w:rPr>
        <w:t xml:space="preserve">: </w:t>
      </w:r>
      <w:r w:rsidR="004C7B4D">
        <w:rPr>
          <w:b/>
          <w:sz w:val="32"/>
          <w:szCs w:val="32"/>
        </w:rPr>
        <w:t>ADE</w:t>
      </w:r>
      <w:bookmarkStart w:id="0" w:name="_GoBack"/>
      <w:bookmarkEnd w:id="0"/>
      <w:r w:rsidR="004C7B4D">
        <w:rPr>
          <w:b/>
          <w:sz w:val="32"/>
          <w:szCs w:val="32"/>
        </w:rPr>
        <w:t xml:space="preserve">SSO SERVE </w:t>
      </w:r>
      <w:r w:rsidR="00FD3DD8">
        <w:rPr>
          <w:b/>
          <w:sz w:val="32"/>
          <w:szCs w:val="32"/>
        </w:rPr>
        <w:t xml:space="preserve">LOCKDOWN </w:t>
      </w:r>
    </w:p>
    <w:p w:rsidR="00541926" w:rsidRPr="00EF64FF" w:rsidRDefault="00AF55A7" w:rsidP="005A78BB">
      <w:pPr>
        <w:spacing w:after="120"/>
        <w:jc w:val="both"/>
        <w:rPr>
          <w:b/>
          <w:sz w:val="23"/>
          <w:szCs w:val="23"/>
        </w:rPr>
      </w:pPr>
      <w:r w:rsidRPr="00EF64FF">
        <w:rPr>
          <w:b/>
          <w:sz w:val="23"/>
          <w:szCs w:val="23"/>
        </w:rPr>
        <w:t>IL MONI</w:t>
      </w:r>
      <w:r w:rsidR="00B276DB" w:rsidRPr="00EF64FF">
        <w:rPr>
          <w:b/>
          <w:sz w:val="23"/>
          <w:szCs w:val="23"/>
        </w:rPr>
        <w:t xml:space="preserve">TORAGGIO DELLA FONDAZIONE </w:t>
      </w:r>
      <w:r w:rsidR="00E61480" w:rsidRPr="00EF64FF">
        <w:rPr>
          <w:b/>
          <w:sz w:val="23"/>
          <w:szCs w:val="23"/>
        </w:rPr>
        <w:t>GIMBE</w:t>
      </w:r>
      <w:r w:rsidR="00B276DB" w:rsidRPr="00EF64FF">
        <w:rPr>
          <w:b/>
          <w:sz w:val="23"/>
          <w:szCs w:val="23"/>
        </w:rPr>
        <w:t xml:space="preserve"> </w:t>
      </w:r>
      <w:r w:rsidR="001A542A" w:rsidRPr="00EF64FF">
        <w:rPr>
          <w:b/>
          <w:sz w:val="23"/>
          <w:szCs w:val="23"/>
        </w:rPr>
        <w:t xml:space="preserve">RILEVA </w:t>
      </w:r>
      <w:r w:rsidR="008943F4" w:rsidRPr="00EF64FF">
        <w:rPr>
          <w:b/>
          <w:sz w:val="23"/>
          <w:szCs w:val="23"/>
        </w:rPr>
        <w:t xml:space="preserve">NELLA SETTIMANA </w:t>
      </w:r>
      <w:r w:rsidR="00B011AF" w:rsidRPr="00EF64FF">
        <w:rPr>
          <w:b/>
          <w:sz w:val="23"/>
          <w:szCs w:val="23"/>
        </w:rPr>
        <w:t>6–12</w:t>
      </w:r>
      <w:r w:rsidR="008943F4" w:rsidRPr="00EF64FF">
        <w:rPr>
          <w:b/>
          <w:sz w:val="23"/>
          <w:szCs w:val="23"/>
        </w:rPr>
        <w:t xml:space="preserve"> GENNAIO </w:t>
      </w:r>
      <w:r w:rsidR="00B011AF" w:rsidRPr="00EF64FF">
        <w:rPr>
          <w:b/>
          <w:sz w:val="23"/>
          <w:szCs w:val="23"/>
        </w:rPr>
        <w:t>L’</w:t>
      </w:r>
      <w:r w:rsidR="00497007" w:rsidRPr="00EF64FF">
        <w:rPr>
          <w:b/>
          <w:sz w:val="23"/>
          <w:szCs w:val="23"/>
        </w:rPr>
        <w:t xml:space="preserve">INCREMENTO DEI NUOVI CASI </w:t>
      </w:r>
      <w:r w:rsidR="00B011AF" w:rsidRPr="00EF64FF">
        <w:rPr>
          <w:b/>
          <w:sz w:val="23"/>
          <w:szCs w:val="23"/>
        </w:rPr>
        <w:t>E LA RISALITA DELLE CURVE D</w:t>
      </w:r>
      <w:r w:rsidR="00D9451A">
        <w:rPr>
          <w:b/>
          <w:sz w:val="23"/>
          <w:szCs w:val="23"/>
        </w:rPr>
        <w:t>I RICOVER</w:t>
      </w:r>
      <w:r w:rsidR="00B011AF" w:rsidRPr="00EF64FF">
        <w:rPr>
          <w:b/>
          <w:sz w:val="23"/>
          <w:szCs w:val="23"/>
        </w:rPr>
        <w:t xml:space="preserve">I CON SINTOMI </w:t>
      </w:r>
      <w:r w:rsidR="00E22009">
        <w:rPr>
          <w:b/>
          <w:sz w:val="23"/>
          <w:szCs w:val="23"/>
        </w:rPr>
        <w:t xml:space="preserve">E TERAPIE INTENSIVE, </w:t>
      </w:r>
      <w:r w:rsidR="00E22009" w:rsidRPr="00EF64FF">
        <w:rPr>
          <w:b/>
          <w:sz w:val="23"/>
          <w:szCs w:val="23"/>
        </w:rPr>
        <w:t xml:space="preserve">ENTRAMBE </w:t>
      </w:r>
      <w:r w:rsidR="0038066D" w:rsidRPr="00EF64FF">
        <w:rPr>
          <w:b/>
          <w:sz w:val="23"/>
          <w:szCs w:val="23"/>
        </w:rPr>
        <w:t xml:space="preserve">SOPRA SOGLIA DI SATURAZIONE </w:t>
      </w:r>
      <w:r w:rsidR="00CE1B7C" w:rsidRPr="00EF64FF">
        <w:rPr>
          <w:b/>
          <w:sz w:val="23"/>
          <w:szCs w:val="23"/>
        </w:rPr>
        <w:t xml:space="preserve">IN METÀ DELLE </w:t>
      </w:r>
      <w:r w:rsidR="00BC6293" w:rsidRPr="00EF64FF">
        <w:rPr>
          <w:b/>
          <w:sz w:val="23"/>
          <w:szCs w:val="23"/>
        </w:rPr>
        <w:t>REGIONI</w:t>
      </w:r>
      <w:r w:rsidR="00A16704" w:rsidRPr="00EF64FF">
        <w:rPr>
          <w:b/>
          <w:sz w:val="23"/>
          <w:szCs w:val="23"/>
        </w:rPr>
        <w:t>.</w:t>
      </w:r>
      <w:r w:rsidR="00EA569B" w:rsidRPr="00EF64FF">
        <w:rPr>
          <w:b/>
          <w:sz w:val="23"/>
          <w:szCs w:val="23"/>
        </w:rPr>
        <w:t xml:space="preserve"> </w:t>
      </w:r>
      <w:r w:rsidR="00C65A46" w:rsidRPr="00EF64FF">
        <w:rPr>
          <w:b/>
          <w:sz w:val="23"/>
          <w:szCs w:val="23"/>
        </w:rPr>
        <w:t xml:space="preserve">SALGONO </w:t>
      </w:r>
      <w:r w:rsidR="00B011AF" w:rsidRPr="00EF64FF">
        <w:rPr>
          <w:b/>
          <w:sz w:val="23"/>
          <w:szCs w:val="23"/>
        </w:rPr>
        <w:t>ANCORA</w:t>
      </w:r>
      <w:r w:rsidR="0058198B" w:rsidRPr="00EF64FF">
        <w:rPr>
          <w:b/>
          <w:sz w:val="23"/>
          <w:szCs w:val="23"/>
        </w:rPr>
        <w:t xml:space="preserve"> </w:t>
      </w:r>
      <w:r w:rsidR="00EA569B" w:rsidRPr="00EF64FF">
        <w:rPr>
          <w:b/>
          <w:sz w:val="23"/>
          <w:szCs w:val="23"/>
        </w:rPr>
        <w:t>I DECESSI.</w:t>
      </w:r>
      <w:r w:rsidR="00E671DC" w:rsidRPr="00EF64FF">
        <w:rPr>
          <w:b/>
          <w:sz w:val="23"/>
          <w:szCs w:val="23"/>
        </w:rPr>
        <w:t xml:space="preserve"> </w:t>
      </w:r>
      <w:r w:rsidR="005A78BB">
        <w:rPr>
          <w:b/>
          <w:sz w:val="23"/>
          <w:szCs w:val="23"/>
        </w:rPr>
        <w:t>RISCHIOSO PUNTARE TUTTO SUL VACCINO</w:t>
      </w:r>
      <w:r w:rsidR="005A78BB" w:rsidRPr="005A78BB">
        <w:rPr>
          <w:b/>
          <w:sz w:val="23"/>
          <w:szCs w:val="23"/>
        </w:rPr>
        <w:t xml:space="preserve">: </w:t>
      </w:r>
      <w:r w:rsidR="00BA40C6">
        <w:rPr>
          <w:b/>
          <w:sz w:val="23"/>
          <w:szCs w:val="23"/>
        </w:rPr>
        <w:t>SERVE UN’</w:t>
      </w:r>
      <w:r w:rsidR="005A78BB" w:rsidRPr="005A78BB">
        <w:rPr>
          <w:b/>
          <w:sz w:val="23"/>
          <w:szCs w:val="23"/>
        </w:rPr>
        <w:t xml:space="preserve">IMMEDIATA E RIGOROSA STRETTA </w:t>
      </w:r>
      <w:r w:rsidR="005A78BB">
        <w:rPr>
          <w:b/>
          <w:sz w:val="23"/>
          <w:szCs w:val="23"/>
        </w:rPr>
        <w:t xml:space="preserve">PER EVITARE </w:t>
      </w:r>
      <w:r w:rsidR="005A78BB" w:rsidRPr="005A78BB">
        <w:rPr>
          <w:b/>
          <w:sz w:val="23"/>
          <w:szCs w:val="23"/>
        </w:rPr>
        <w:t>UN ANNO DI DIFFICILE CONVIVENZA CON IL VIRUS, CON OSPEDALI CICLICAMENTE AL LIMITE DEL COLLASSO, CONTINU</w:t>
      </w:r>
      <w:r w:rsidR="00DB6217">
        <w:rPr>
          <w:b/>
          <w:sz w:val="23"/>
          <w:szCs w:val="23"/>
        </w:rPr>
        <w:t xml:space="preserve">E STRETTE E ALLENTAMENTI </w:t>
      </w:r>
      <w:r w:rsidR="005A78BB" w:rsidRPr="005A78BB">
        <w:rPr>
          <w:b/>
          <w:sz w:val="23"/>
          <w:szCs w:val="23"/>
        </w:rPr>
        <w:t>E UN AUMENTO INESORABILE DEI DECESSI.</w:t>
      </w:r>
    </w:p>
    <w:p w:rsidR="00B443D8" w:rsidRPr="00EA4633" w:rsidRDefault="00EA4633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A4633">
        <w:rPr>
          <w:rFonts w:ascii="Calibri" w:eastAsia="Calibri" w:hAnsi="Calibri" w:cs="Times New Roman"/>
          <w:b/>
          <w:bCs/>
          <w:sz w:val="24"/>
          <w:szCs w:val="24"/>
        </w:rPr>
        <w:t>14</w:t>
      </w:r>
      <w:r w:rsidR="00C912FF" w:rsidRPr="00EA4633">
        <w:rPr>
          <w:rFonts w:ascii="Calibri" w:eastAsia="Calibri" w:hAnsi="Calibri" w:cs="Times New Roman"/>
          <w:b/>
          <w:bCs/>
          <w:sz w:val="24"/>
          <w:szCs w:val="24"/>
        </w:rPr>
        <w:t xml:space="preserve"> gennaio</w:t>
      </w:r>
      <w:r w:rsidR="007D6A5B" w:rsidRPr="00EA463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912FF" w:rsidRPr="00EA4633">
        <w:rPr>
          <w:rFonts w:ascii="Calibri" w:eastAsia="Calibri" w:hAnsi="Calibri" w:cs="Times New Roman"/>
          <w:b/>
          <w:bCs/>
          <w:sz w:val="24"/>
          <w:szCs w:val="24"/>
        </w:rPr>
        <w:t>2021</w:t>
      </w:r>
      <w:r w:rsidR="00B443D8" w:rsidRPr="00EA4633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8462D0" w:rsidRDefault="00406DC9" w:rsidP="009D40D0">
      <w:pPr>
        <w:jc w:val="both"/>
      </w:pPr>
      <w:r w:rsidRPr="00EA4633">
        <w:t xml:space="preserve">Il monitoraggio indipendente della Fondazione GIMBE </w:t>
      </w:r>
      <w:r w:rsidR="00292C71">
        <w:t>conferma</w:t>
      </w:r>
      <w:r w:rsidR="00B276DB" w:rsidRPr="00EA4633">
        <w:t xml:space="preserve"> </w:t>
      </w:r>
      <w:r w:rsidRPr="00EA4633">
        <w:t>n</w:t>
      </w:r>
      <w:r w:rsidR="00C912FF" w:rsidRPr="00EA4633">
        <w:t xml:space="preserve">ella settimana </w:t>
      </w:r>
      <w:r w:rsidR="00EA4633" w:rsidRPr="00EA4633">
        <w:t>6-12</w:t>
      </w:r>
      <w:r w:rsidR="00C912FF" w:rsidRPr="00EA4633">
        <w:t xml:space="preserve"> gennaio 2021</w:t>
      </w:r>
      <w:r w:rsidR="00A73F90" w:rsidRPr="00EA4633">
        <w:t xml:space="preserve">, rispetto alla </w:t>
      </w:r>
      <w:r w:rsidR="00A73F90" w:rsidRPr="008462D0">
        <w:t xml:space="preserve">precedente, </w:t>
      </w:r>
      <w:r w:rsidR="00292C71">
        <w:t>l’</w:t>
      </w:r>
      <w:r w:rsidR="0058198B" w:rsidRPr="008462D0">
        <w:t xml:space="preserve">incremento </w:t>
      </w:r>
      <w:r w:rsidR="009D40D0" w:rsidRPr="008462D0">
        <w:t xml:space="preserve">dei </w:t>
      </w:r>
      <w:r w:rsidR="00DD06F4" w:rsidRPr="008462D0">
        <w:t>nuovi casi (</w:t>
      </w:r>
      <w:r w:rsidR="008462D0" w:rsidRPr="008462D0">
        <w:t>121.644</w:t>
      </w:r>
      <w:r w:rsidR="00EA4633" w:rsidRPr="008462D0">
        <w:t xml:space="preserve"> vs </w:t>
      </w:r>
      <w:r w:rsidR="009D40D0" w:rsidRPr="008462D0">
        <w:t>114.132</w:t>
      </w:r>
      <w:r w:rsidR="00796E28" w:rsidRPr="008462D0">
        <w:t>)</w:t>
      </w:r>
      <w:r w:rsidR="00A76363" w:rsidRPr="008462D0">
        <w:t xml:space="preserve"> </w:t>
      </w:r>
      <w:r w:rsidR="008462D0" w:rsidRPr="008462D0">
        <w:t xml:space="preserve">a fronte di un lieve calo </w:t>
      </w:r>
      <w:r w:rsidR="004C0DD6" w:rsidRPr="008462D0">
        <w:t xml:space="preserve">del </w:t>
      </w:r>
      <w:r w:rsidR="00703E54" w:rsidRPr="008462D0">
        <w:t>rapporto positivi/casi testati (</w:t>
      </w:r>
      <w:r w:rsidR="008462D0" w:rsidRPr="008462D0">
        <w:t>29,5</w:t>
      </w:r>
      <w:r w:rsidR="00EA4633" w:rsidRPr="008462D0">
        <w:t xml:space="preserve">% vs </w:t>
      </w:r>
      <w:r w:rsidR="002D1DAB" w:rsidRPr="008462D0">
        <w:t>30,4%</w:t>
      </w:r>
      <w:r w:rsidR="00703E54" w:rsidRPr="008462D0">
        <w:t>)</w:t>
      </w:r>
      <w:r w:rsidR="006B448E" w:rsidRPr="008462D0">
        <w:t xml:space="preserve">. </w:t>
      </w:r>
      <w:r w:rsidR="00F2260D" w:rsidRPr="00B934D9">
        <w:t>S</w:t>
      </w:r>
      <w:r w:rsidR="002D1DAB" w:rsidRPr="00B934D9">
        <w:t>tabili</w:t>
      </w:r>
      <w:r w:rsidR="0050520B" w:rsidRPr="00B934D9">
        <w:t xml:space="preserve"> </w:t>
      </w:r>
      <w:r w:rsidR="006B448E" w:rsidRPr="00B934D9">
        <w:t>i</w:t>
      </w:r>
      <w:r w:rsidR="00D33012" w:rsidRPr="00B934D9">
        <w:t xml:space="preserve"> casi attualmente positivi </w:t>
      </w:r>
      <w:r w:rsidR="00D33012" w:rsidRPr="00EA4633">
        <w:t>(</w:t>
      </w:r>
      <w:r w:rsidR="008462D0">
        <w:t>570.040</w:t>
      </w:r>
      <w:r w:rsidR="00EA4633" w:rsidRPr="00EA4633">
        <w:t xml:space="preserve"> vs </w:t>
      </w:r>
      <w:r w:rsidR="002D1DAB" w:rsidRPr="00EA4633">
        <w:t>569.161</w:t>
      </w:r>
      <w:r w:rsidR="00D33012" w:rsidRPr="00EA4633">
        <w:t>)</w:t>
      </w:r>
      <w:r w:rsidR="006B448E" w:rsidRPr="00EA4633">
        <w:t xml:space="preserve"> e</w:t>
      </w:r>
      <w:r w:rsidR="003F4EAB" w:rsidRPr="00EA4633">
        <w:t>,</w:t>
      </w:r>
      <w:r w:rsidR="005B05C3" w:rsidRPr="00EA4633">
        <w:t xml:space="preserve"> sul </w:t>
      </w:r>
      <w:r w:rsidR="003F4EAB" w:rsidRPr="00EA4633">
        <w:t xml:space="preserve">fronte </w:t>
      </w:r>
      <w:r w:rsidR="0023344B" w:rsidRPr="008462D0">
        <w:t>ospedaliero</w:t>
      </w:r>
      <w:r w:rsidR="00E12F28" w:rsidRPr="008462D0">
        <w:t>,</w:t>
      </w:r>
      <w:r w:rsidR="0079793A" w:rsidRPr="008462D0">
        <w:t xml:space="preserve"> </w:t>
      </w:r>
      <w:r w:rsidR="00292C71">
        <w:t xml:space="preserve">lieve </w:t>
      </w:r>
      <w:r w:rsidR="008462D0" w:rsidRPr="008462D0">
        <w:t xml:space="preserve">risalita </w:t>
      </w:r>
      <w:r w:rsidR="009C5F91" w:rsidRPr="008462D0">
        <w:t>de</w:t>
      </w:r>
      <w:r w:rsidR="002D1DAB" w:rsidRPr="008462D0">
        <w:t xml:space="preserve">i </w:t>
      </w:r>
      <w:r w:rsidR="00F5179B" w:rsidRPr="008462D0">
        <w:t>ricover</w:t>
      </w:r>
      <w:r w:rsidR="008462D0">
        <w:t>ati</w:t>
      </w:r>
      <w:r w:rsidR="008F1BD5" w:rsidRPr="008462D0">
        <w:t xml:space="preserve"> con sintomi</w:t>
      </w:r>
      <w:r w:rsidR="0079793A" w:rsidRPr="008462D0">
        <w:t xml:space="preserve"> </w:t>
      </w:r>
      <w:r w:rsidR="007B4206" w:rsidRPr="008462D0">
        <w:t>(</w:t>
      </w:r>
      <w:r w:rsidR="008462D0" w:rsidRPr="008462D0">
        <w:t>23.</w:t>
      </w:r>
      <w:r w:rsidR="008462D0">
        <w:t>712</w:t>
      </w:r>
      <w:r w:rsidR="00EA4633">
        <w:t xml:space="preserve"> </w:t>
      </w:r>
      <w:r w:rsidR="00EA4633" w:rsidRPr="00EA4633">
        <w:t xml:space="preserve">vs </w:t>
      </w:r>
      <w:r w:rsidR="002D1DAB" w:rsidRPr="00EA4633">
        <w:t>23.395</w:t>
      </w:r>
      <w:r w:rsidR="007B4206" w:rsidRPr="00EA4633">
        <w:t>)</w:t>
      </w:r>
      <w:r w:rsidR="009C5F91" w:rsidRPr="00EA4633">
        <w:t xml:space="preserve"> e del</w:t>
      </w:r>
      <w:r w:rsidR="002D1DAB" w:rsidRPr="00EA4633">
        <w:t xml:space="preserve">le </w:t>
      </w:r>
      <w:r w:rsidR="00383D9D" w:rsidRPr="00EA4633">
        <w:t>terapie intensive</w:t>
      </w:r>
      <w:r w:rsidR="0046598E" w:rsidRPr="00EA4633">
        <w:t xml:space="preserve"> (</w:t>
      </w:r>
      <w:r w:rsidR="008462D0">
        <w:t>2.636</w:t>
      </w:r>
      <w:r w:rsidR="00EA4633">
        <w:t xml:space="preserve"> vs </w:t>
      </w:r>
      <w:r w:rsidR="002D1DAB" w:rsidRPr="00EA4633">
        <w:t>2.569</w:t>
      </w:r>
      <w:r w:rsidR="00F469C4" w:rsidRPr="00EA4633">
        <w:t>)</w:t>
      </w:r>
      <w:r w:rsidR="00F5179B" w:rsidRPr="00EA4633">
        <w:t>;</w:t>
      </w:r>
      <w:r w:rsidR="002D1DAB" w:rsidRPr="00EA4633">
        <w:t xml:space="preserve"> </w:t>
      </w:r>
      <w:r w:rsidR="00681185">
        <w:t xml:space="preserve">ancora </w:t>
      </w:r>
      <w:r w:rsidR="008462D0">
        <w:t xml:space="preserve">in aumento </w:t>
      </w:r>
      <w:r w:rsidR="008A2AB7" w:rsidRPr="00EA4633">
        <w:t xml:space="preserve">i </w:t>
      </w:r>
      <w:r w:rsidR="00F469C4" w:rsidRPr="00EA4633">
        <w:t>decessi</w:t>
      </w:r>
      <w:r w:rsidR="00BE59CF" w:rsidRPr="00EA4633">
        <w:t xml:space="preserve"> (</w:t>
      </w:r>
      <w:r w:rsidR="008462D0">
        <w:t xml:space="preserve">3.490 </w:t>
      </w:r>
      <w:r w:rsidR="00EA4633" w:rsidRPr="00EA4633">
        <w:t xml:space="preserve">vs </w:t>
      </w:r>
      <w:r w:rsidR="004C0DD6" w:rsidRPr="00EA4633">
        <w:t>3.</w:t>
      </w:r>
      <w:r w:rsidR="002D1DAB" w:rsidRPr="00EA4633">
        <w:t>300</w:t>
      </w:r>
      <w:r w:rsidR="00BE59CF" w:rsidRPr="00EA4633">
        <w:t>)</w:t>
      </w:r>
      <w:r w:rsidR="0061393A" w:rsidRPr="00EA4633">
        <w:t>.</w:t>
      </w:r>
      <w:r w:rsidR="0079793A" w:rsidRPr="00EA4633">
        <w:t xml:space="preserve"> </w:t>
      </w:r>
      <w:r w:rsidR="0069637C" w:rsidRPr="00EA4633">
        <w:t xml:space="preserve">In </w:t>
      </w:r>
      <w:r w:rsidR="00C036E5" w:rsidRPr="00EA4633">
        <w:t>dettaglio</w:t>
      </w:r>
      <w:r w:rsidR="003442B9" w:rsidRPr="00EA4633">
        <w:t xml:space="preserve">, </w:t>
      </w:r>
      <w:r w:rsidR="00BE59CF" w:rsidRPr="00EA4633">
        <w:t xml:space="preserve">rispetto alla settimana precedente, </w:t>
      </w:r>
      <w:r w:rsidR="00742EE2" w:rsidRPr="00EA4633">
        <w:t xml:space="preserve">si registrano le </w:t>
      </w:r>
      <w:r w:rsidR="00742EE2" w:rsidRPr="008462D0">
        <w:t>seguenti variazioni</w:t>
      </w:r>
      <w:r w:rsidR="0069637C" w:rsidRPr="008462D0">
        <w:t>:</w:t>
      </w:r>
    </w:p>
    <w:p w:rsidR="005E1B70" w:rsidRPr="008462D0" w:rsidRDefault="00300572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>D</w:t>
      </w:r>
      <w:r w:rsidR="005E1B70" w:rsidRPr="008462D0">
        <w:t>ecessi</w:t>
      </w:r>
      <w:r w:rsidR="00383D9D" w:rsidRPr="008462D0">
        <w:t xml:space="preserve">: </w:t>
      </w:r>
      <w:r w:rsidR="004C0DD6" w:rsidRPr="008462D0">
        <w:t>3.</w:t>
      </w:r>
      <w:r w:rsidR="008462D0" w:rsidRPr="008462D0">
        <w:t>490</w:t>
      </w:r>
      <w:r w:rsidR="004C0DD6" w:rsidRPr="008462D0">
        <w:t xml:space="preserve"> </w:t>
      </w:r>
      <w:r w:rsidR="003442B9" w:rsidRPr="008462D0">
        <w:t>(</w:t>
      </w:r>
      <w:r w:rsidR="002D1DAB" w:rsidRPr="008462D0">
        <w:t>+</w:t>
      </w:r>
      <w:r w:rsidR="008462D0" w:rsidRPr="008462D0">
        <w:t>5,8</w:t>
      </w:r>
      <w:r w:rsidR="005862D2" w:rsidRPr="008462D0">
        <w:t>%)</w:t>
      </w:r>
    </w:p>
    <w:p w:rsidR="005E1B70" w:rsidRPr="008462D0" w:rsidRDefault="005E1B70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 xml:space="preserve">Terapia intensiva: </w:t>
      </w:r>
      <w:r w:rsidR="002D1DAB" w:rsidRPr="008462D0">
        <w:t>+</w:t>
      </w:r>
      <w:r w:rsidR="008462D0" w:rsidRPr="008462D0">
        <w:t>67</w:t>
      </w:r>
      <w:r w:rsidR="00667A0A" w:rsidRPr="008462D0">
        <w:t xml:space="preserve"> </w:t>
      </w:r>
      <w:r w:rsidR="005862D2" w:rsidRPr="008462D0">
        <w:t>(</w:t>
      </w:r>
      <w:r w:rsidR="00D72281" w:rsidRPr="008462D0">
        <w:t>+</w:t>
      </w:r>
      <w:r w:rsidR="008462D0" w:rsidRPr="008462D0">
        <w:t>2</w:t>
      </w:r>
      <w:r w:rsidR="002D1DAB" w:rsidRPr="008462D0">
        <w:t>,</w:t>
      </w:r>
      <w:r w:rsidR="008462D0" w:rsidRPr="008462D0">
        <w:t>6</w:t>
      </w:r>
      <w:r w:rsidR="003565EE" w:rsidRPr="008462D0">
        <w:t>%</w:t>
      </w:r>
      <w:r w:rsidR="005862D2" w:rsidRPr="008462D0">
        <w:t>)</w:t>
      </w:r>
    </w:p>
    <w:p w:rsidR="00DD06F4" w:rsidRPr="008462D0" w:rsidRDefault="00DD06F4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 xml:space="preserve">Ricoverati con sintomi: </w:t>
      </w:r>
      <w:r w:rsidR="008462D0" w:rsidRPr="008462D0">
        <w:t>+317</w:t>
      </w:r>
      <w:r w:rsidR="00667A0A" w:rsidRPr="008462D0">
        <w:t xml:space="preserve"> </w:t>
      </w:r>
      <w:r w:rsidR="008462D0" w:rsidRPr="008462D0">
        <w:t>(+3,4</w:t>
      </w:r>
      <w:r w:rsidR="00667A0A" w:rsidRPr="008462D0">
        <w:t>%</w:t>
      </w:r>
      <w:r w:rsidR="005862D2" w:rsidRPr="008462D0">
        <w:t>)</w:t>
      </w:r>
    </w:p>
    <w:p w:rsidR="005E1B70" w:rsidRPr="008462D0" w:rsidRDefault="00BE59CF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>Nuovi casi</w:t>
      </w:r>
      <w:r w:rsidR="005E1B70" w:rsidRPr="008462D0">
        <w:t>:</w:t>
      </w:r>
      <w:r w:rsidR="00667A0A" w:rsidRPr="008462D0">
        <w:t xml:space="preserve"> </w:t>
      </w:r>
      <w:r w:rsidR="008462D0" w:rsidRPr="008462D0">
        <w:t xml:space="preserve">121.644 </w:t>
      </w:r>
      <w:r w:rsidR="002D1DAB" w:rsidRPr="008462D0">
        <w:t>(+</w:t>
      </w:r>
      <w:r w:rsidR="008462D0" w:rsidRPr="008462D0">
        <w:t>6,6%</w:t>
      </w:r>
      <w:r w:rsidR="005862D2" w:rsidRPr="008462D0">
        <w:t>)</w:t>
      </w:r>
    </w:p>
    <w:p w:rsidR="000B6B1F" w:rsidRPr="008462D0" w:rsidRDefault="000B6B1F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 xml:space="preserve">Casi </w:t>
      </w:r>
      <w:r w:rsidR="00487E15" w:rsidRPr="008462D0">
        <w:t>attualmente positivi</w:t>
      </w:r>
      <w:r w:rsidR="00595785" w:rsidRPr="008462D0">
        <w:t xml:space="preserve">: </w:t>
      </w:r>
      <w:r w:rsidR="002D1DAB" w:rsidRPr="008462D0">
        <w:t>+</w:t>
      </w:r>
      <w:r w:rsidR="008462D0" w:rsidRPr="008462D0">
        <w:t>879</w:t>
      </w:r>
      <w:r w:rsidR="00667A0A" w:rsidRPr="008462D0">
        <w:t xml:space="preserve"> </w:t>
      </w:r>
      <w:r w:rsidR="00F469C4" w:rsidRPr="008462D0">
        <w:t>(</w:t>
      </w:r>
      <w:r w:rsidR="002D1DAB" w:rsidRPr="008462D0">
        <w:t>+0</w:t>
      </w:r>
      <w:r w:rsidR="00667A0A" w:rsidRPr="008462D0">
        <w:t>,</w:t>
      </w:r>
      <w:r w:rsidR="008462D0" w:rsidRPr="008462D0">
        <w:t>2</w:t>
      </w:r>
      <w:r w:rsidR="00FE10CC" w:rsidRPr="008462D0">
        <w:t>%</w:t>
      </w:r>
      <w:r w:rsidRPr="008462D0">
        <w:t>)</w:t>
      </w:r>
    </w:p>
    <w:p w:rsidR="00EA4633" w:rsidRPr="008462D0" w:rsidRDefault="00EA4633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>Casi testati +</w:t>
      </w:r>
      <w:r w:rsidR="008462D0" w:rsidRPr="008462D0">
        <w:t>36.433</w:t>
      </w:r>
      <w:r w:rsidRPr="008462D0">
        <w:t xml:space="preserve"> (+</w:t>
      </w:r>
      <w:r w:rsidR="008462D0" w:rsidRPr="008462D0">
        <w:t>9</w:t>
      </w:r>
      <w:r w:rsidRPr="008462D0">
        <w:t>,</w:t>
      </w:r>
      <w:r w:rsidR="008462D0" w:rsidRPr="008462D0">
        <w:t>7</w:t>
      </w:r>
      <w:r w:rsidRPr="008462D0">
        <w:t>%)</w:t>
      </w:r>
    </w:p>
    <w:p w:rsidR="00EA4633" w:rsidRPr="008462D0" w:rsidRDefault="00EA4633" w:rsidP="00F660D9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8462D0">
        <w:t xml:space="preserve">Tamponi totali: </w:t>
      </w:r>
      <w:r w:rsidR="008462D0" w:rsidRPr="008462D0">
        <w:t>+89.492</w:t>
      </w:r>
      <w:r w:rsidRPr="008462D0">
        <w:t xml:space="preserve"> (+</w:t>
      </w:r>
      <w:r w:rsidR="008462D0" w:rsidRPr="008462D0">
        <w:t>10</w:t>
      </w:r>
      <w:r w:rsidRPr="008462D0">
        <w:t>%)</w:t>
      </w:r>
    </w:p>
    <w:p w:rsidR="003B6448" w:rsidRPr="00C2578F" w:rsidRDefault="00771842" w:rsidP="00183503">
      <w:pPr>
        <w:jc w:val="both"/>
        <w:rPr>
          <w:rFonts w:cstheme="minorHAnsi"/>
        </w:rPr>
      </w:pPr>
      <w:r w:rsidRPr="00EA4633">
        <w:rPr>
          <w:color w:val="FF0000"/>
        </w:rPr>
        <w:br/>
      </w:r>
      <w:r w:rsidR="00183503" w:rsidRPr="00C2578F">
        <w:t>«</w:t>
      </w:r>
      <w:r w:rsidR="00626F09">
        <w:t>I dati</w:t>
      </w:r>
      <w:r w:rsidR="00C2578F" w:rsidRPr="00C2578F">
        <w:t xml:space="preserve"> </w:t>
      </w:r>
      <w:r w:rsidR="00183503" w:rsidRPr="00C2578F">
        <w:t>– afferma Nino Cartabellotta, Presidente della Fondazione GIMBE –</w:t>
      </w:r>
      <w:r w:rsidR="00C2578F" w:rsidRPr="00C2578F">
        <w:t xml:space="preserve"> </w:t>
      </w:r>
      <w:r w:rsidR="00626F09">
        <w:t xml:space="preserve">confermano </w:t>
      </w:r>
      <w:r w:rsidR="00183503" w:rsidRPr="00C2578F">
        <w:t>l</w:t>
      </w:r>
      <w:r w:rsidR="00C2578F" w:rsidRPr="00C2578F">
        <w:t xml:space="preserve">a lenta risalita </w:t>
      </w:r>
      <w:r w:rsidR="009D27F4">
        <w:t>dei</w:t>
      </w:r>
      <w:r w:rsidR="00C2578F" w:rsidRPr="00C2578F">
        <w:t xml:space="preserve"> nuovi casi settimanali </w:t>
      </w:r>
      <w:r w:rsidR="00C2578F" w:rsidRPr="00C2578F">
        <w:rPr>
          <w:rFonts w:cstheme="minorHAnsi"/>
        </w:rPr>
        <w:t>(</w:t>
      </w:r>
      <w:r w:rsidR="00C2578F" w:rsidRPr="00C2578F">
        <w:rPr>
          <w:rFonts w:cstheme="minorHAnsi"/>
          <w:highlight w:val="yellow"/>
        </w:rPr>
        <w:t>figura 1</w:t>
      </w:r>
      <w:r w:rsidR="00C2578F" w:rsidRPr="00C2578F">
        <w:rPr>
          <w:rFonts w:cstheme="minorHAnsi"/>
        </w:rPr>
        <w:t>)</w:t>
      </w:r>
      <w:r w:rsidR="00626F09">
        <w:rPr>
          <w:rFonts w:cstheme="minorHAnsi"/>
        </w:rPr>
        <w:t xml:space="preserve"> e,</w:t>
      </w:r>
      <w:r w:rsidR="00C2578F" w:rsidRPr="00C2578F">
        <w:rPr>
          <w:rFonts w:cstheme="minorHAnsi"/>
        </w:rPr>
        <w:t xml:space="preserve"> </w:t>
      </w:r>
      <w:r w:rsidR="00C2578F" w:rsidRPr="00C2578F">
        <w:t>sul versante ospedaliero</w:t>
      </w:r>
      <w:r w:rsidR="00626F09">
        <w:t>,</w:t>
      </w:r>
      <w:r w:rsidR="00C2578F" w:rsidRPr="00C2578F">
        <w:t xml:space="preserve"> </w:t>
      </w:r>
      <w:r w:rsidR="00626F09">
        <w:t xml:space="preserve">il costante aumento </w:t>
      </w:r>
      <w:r w:rsidR="009D27F4">
        <w:t>di</w:t>
      </w:r>
      <w:r w:rsidR="00C2578F" w:rsidRPr="00C2578F">
        <w:t xml:space="preserve"> ricoveri e terapie intensive (</w:t>
      </w:r>
      <w:r w:rsidR="00F42C7D">
        <w:rPr>
          <w:highlight w:val="yellow"/>
        </w:rPr>
        <w:t xml:space="preserve">figura </w:t>
      </w:r>
      <w:r w:rsidR="00F42C7D" w:rsidRPr="00F42C7D">
        <w:rPr>
          <w:highlight w:val="yellow"/>
        </w:rPr>
        <w:t>2</w:t>
      </w:r>
      <w:r w:rsidR="00C2578F" w:rsidRPr="00C2578F">
        <w:t>)</w:t>
      </w:r>
      <w:r w:rsidR="003B6448">
        <w:t>, dove</w:t>
      </w:r>
      <w:r w:rsidR="00C2578F" w:rsidRPr="00C2578F">
        <w:t xml:space="preserve"> l’occupazione </w:t>
      </w:r>
      <w:r w:rsidR="003B6448">
        <w:t xml:space="preserve">da parte </w:t>
      </w:r>
      <w:r w:rsidR="00C2578F" w:rsidRPr="00C2578F">
        <w:t xml:space="preserve">di pazienti COVID supera </w:t>
      </w:r>
      <w:r w:rsidR="003B6448" w:rsidRPr="00C2578F">
        <w:t xml:space="preserve">in </w:t>
      </w:r>
      <w:r w:rsidR="003B6448" w:rsidRPr="00095E86">
        <w:t xml:space="preserve">10 </w:t>
      </w:r>
      <w:r w:rsidR="003B6448" w:rsidRPr="00C2578F">
        <w:t>Regioni</w:t>
      </w:r>
      <w:r w:rsidR="003B6448" w:rsidRPr="00C2578F">
        <w:rPr>
          <w:rFonts w:cstheme="minorHAnsi"/>
        </w:rPr>
        <w:t xml:space="preserve"> </w:t>
      </w:r>
      <w:r w:rsidR="00C2578F" w:rsidRPr="00C2578F">
        <w:t>la soglia del 40% in area medica e quella del 30% delle terapie intensiva (</w:t>
      </w:r>
      <w:r w:rsidR="00C2578F" w:rsidRPr="00C2578F">
        <w:rPr>
          <w:highlight w:val="yellow"/>
        </w:rPr>
        <w:t>tabella</w:t>
      </w:r>
      <w:r w:rsidR="00C2578F" w:rsidRPr="00C2578F">
        <w:t>)</w:t>
      </w:r>
      <w:r w:rsidR="00C2578F" w:rsidRPr="00C2578F">
        <w:rPr>
          <w:rFonts w:cstheme="minorHAnsi"/>
        </w:rPr>
        <w:t>».</w:t>
      </w:r>
    </w:p>
    <w:p w:rsidR="00E22009" w:rsidRDefault="00620999" w:rsidP="00620999">
      <w:pPr>
        <w:spacing w:after="160" w:line="259" w:lineRule="auto"/>
        <w:jc w:val="both"/>
      </w:pPr>
      <w:r w:rsidRPr="00442DD6">
        <w:t>«</w:t>
      </w:r>
      <w:r>
        <w:t>A q</w:t>
      </w:r>
      <w:r w:rsidR="005B44DF">
        <w:t xml:space="preserve">uasi un anno dallo scoppio della pandemia </w:t>
      </w:r>
      <w:r>
        <w:t xml:space="preserve">nel nostro Paese </w:t>
      </w:r>
      <w:r w:rsidRPr="00442DD6">
        <w:t xml:space="preserve">– </w:t>
      </w:r>
      <w:r>
        <w:t>dichiara</w:t>
      </w:r>
      <w:r w:rsidRPr="00442DD6">
        <w:t xml:space="preserve"> il Presidente –</w:t>
      </w:r>
      <w:r>
        <w:t xml:space="preserve"> non</w:t>
      </w:r>
      <w:r w:rsidR="008A1A1C">
        <w:t xml:space="preserve"> possiamo </w:t>
      </w:r>
      <w:r>
        <w:t xml:space="preserve">più </w:t>
      </w:r>
      <w:r w:rsidR="00E22009">
        <w:t xml:space="preserve">permetterci di </w:t>
      </w:r>
      <w:r>
        <w:t xml:space="preserve">inseguire affannosamente il virus. </w:t>
      </w:r>
      <w:r w:rsidRPr="00442DD6">
        <w:t xml:space="preserve">Considerato che </w:t>
      </w:r>
      <w:r>
        <w:t>le prossime settimane</w:t>
      </w:r>
      <w:r w:rsidRPr="00442DD6">
        <w:t xml:space="preserve"> saranno cruciali per </w:t>
      </w:r>
      <w:r>
        <w:t xml:space="preserve">il controllo della </w:t>
      </w:r>
      <w:r w:rsidRPr="00442DD6">
        <w:t xml:space="preserve">pandemia </w:t>
      </w:r>
      <w:r>
        <w:t>nel</w:t>
      </w:r>
      <w:r w:rsidRPr="00442DD6">
        <w:t>l’intero 2021</w:t>
      </w:r>
      <w:r>
        <w:t>, sulla base delle migliori evidenze scientifiche,</w:t>
      </w:r>
      <w:r w:rsidRPr="00442DD6">
        <w:t xml:space="preserve"> </w:t>
      </w:r>
      <w:r>
        <w:t>la Fondazione GIMBE sta elaborando una proposta per la gestione 2021 della pandemia, integrata con le certezze/incertezze del piano vaccinale</w:t>
      </w:r>
      <w:r w:rsidRPr="00442DD6">
        <w:t>»</w:t>
      </w:r>
      <w:r>
        <w:t>.</w:t>
      </w:r>
      <w:r w:rsidR="001E6A30">
        <w:t xml:space="preserve"> </w:t>
      </w:r>
      <w:r w:rsidR="00D9451A">
        <w:t>L</w:t>
      </w:r>
      <w:r w:rsidR="00E22009">
        <w:t>e linee generali del pian</w:t>
      </w:r>
      <w:r w:rsidR="00D9451A">
        <w:t>o</w:t>
      </w:r>
      <w:r w:rsidR="00E22009">
        <w:t xml:space="preserve"> </w:t>
      </w:r>
      <w:r w:rsidR="00870E61">
        <w:t xml:space="preserve">prevedono </w:t>
      </w:r>
      <w:r w:rsidR="00E22009">
        <w:t xml:space="preserve">la continua valutazione di cinque </w:t>
      </w:r>
      <w:r w:rsidR="001E6A30">
        <w:t>variabili che condizionano il controllo della pandemia</w:t>
      </w:r>
      <w:r w:rsidR="00E22009">
        <w:t>:</w:t>
      </w:r>
    </w:p>
    <w:p w:rsidR="00A25B84" w:rsidRDefault="00B21EE5" w:rsidP="00620999">
      <w:pPr>
        <w:pStyle w:val="Paragrafoelenco"/>
        <w:numPr>
          <w:ilvl w:val="0"/>
          <w:numId w:val="17"/>
        </w:numPr>
        <w:spacing w:after="160" w:line="259" w:lineRule="auto"/>
        <w:jc w:val="both"/>
      </w:pPr>
      <w:r w:rsidRPr="00B21EE5">
        <w:rPr>
          <w:b/>
        </w:rPr>
        <w:t>C</w:t>
      </w:r>
      <w:r w:rsidR="00620999" w:rsidRPr="00B21EE5">
        <w:rPr>
          <w:b/>
        </w:rPr>
        <w:t>ircolazione del SARS-CoV-2</w:t>
      </w:r>
      <w:r>
        <w:t xml:space="preserve">, </w:t>
      </w:r>
      <w:r w:rsidR="00A25B84">
        <w:t xml:space="preserve">in termini di </w:t>
      </w:r>
      <w:r>
        <w:t>incidenza di nuovi casi per 100.000 abitanti</w:t>
      </w:r>
    </w:p>
    <w:p w:rsidR="00620999" w:rsidRDefault="00B21EE5" w:rsidP="00620999">
      <w:pPr>
        <w:pStyle w:val="Paragrafoelenco"/>
        <w:numPr>
          <w:ilvl w:val="0"/>
          <w:numId w:val="17"/>
        </w:numPr>
        <w:spacing w:after="160" w:line="259" w:lineRule="auto"/>
        <w:jc w:val="both"/>
      </w:pPr>
      <w:r w:rsidRPr="00B21EE5">
        <w:rPr>
          <w:b/>
        </w:rPr>
        <w:t>I</w:t>
      </w:r>
      <w:r w:rsidR="00620999" w:rsidRPr="00B21EE5">
        <w:rPr>
          <w:b/>
        </w:rPr>
        <w:t>mpatto</w:t>
      </w:r>
      <w:r w:rsidR="005F41FC" w:rsidRPr="00B21EE5">
        <w:rPr>
          <w:b/>
        </w:rPr>
        <w:t xml:space="preserve"> </w:t>
      </w:r>
      <w:r w:rsidR="00620999" w:rsidRPr="00B21EE5">
        <w:rPr>
          <w:b/>
        </w:rPr>
        <w:t>della COVID-19</w:t>
      </w:r>
      <w:r>
        <w:t xml:space="preserve">, sia </w:t>
      </w:r>
      <w:r w:rsidR="00FE1C9F">
        <w:t xml:space="preserve">sul </w:t>
      </w:r>
      <w:r w:rsidR="00A25B84" w:rsidRPr="00A25B84">
        <w:t>sovraccarico dei servizi sanitari</w:t>
      </w:r>
      <w:r>
        <w:t xml:space="preserve">, sia sulla prognosi della malattia (aggravamenti, decessi), sia sulla </w:t>
      </w:r>
      <w:r w:rsidR="00A25B84" w:rsidRPr="00A25B84">
        <w:t xml:space="preserve">riduzione </w:t>
      </w:r>
      <w:r w:rsidR="00831C3E">
        <w:t>dell’assistenza</w:t>
      </w:r>
      <w:r w:rsidR="00A25B84" w:rsidRPr="00A25B84">
        <w:t xml:space="preserve"> </w:t>
      </w:r>
      <w:r>
        <w:t>per pazienti non COVID-19</w:t>
      </w:r>
    </w:p>
    <w:p w:rsidR="00620999" w:rsidRDefault="00B21EE5" w:rsidP="00620999">
      <w:pPr>
        <w:pStyle w:val="Paragrafoelenco"/>
        <w:numPr>
          <w:ilvl w:val="0"/>
          <w:numId w:val="17"/>
        </w:numPr>
        <w:spacing w:after="160" w:line="259" w:lineRule="auto"/>
        <w:jc w:val="both"/>
      </w:pPr>
      <w:r w:rsidRPr="00B21EE5">
        <w:rPr>
          <w:b/>
        </w:rPr>
        <w:t>A</w:t>
      </w:r>
      <w:r w:rsidR="00620999" w:rsidRPr="00B21EE5">
        <w:rPr>
          <w:b/>
        </w:rPr>
        <w:t>derenza della popolazione alle misure individuali</w:t>
      </w:r>
      <w:r w:rsidR="00620999">
        <w:t>: distanziamento sociale, utilizzo della mascherina, igiene delle mani, aerazione degli ambienti chiusi, etc.</w:t>
      </w:r>
    </w:p>
    <w:p w:rsidR="00620999" w:rsidRDefault="00B21EE5" w:rsidP="00620999">
      <w:pPr>
        <w:pStyle w:val="Paragrafoelenco"/>
        <w:numPr>
          <w:ilvl w:val="0"/>
          <w:numId w:val="17"/>
        </w:numPr>
        <w:spacing w:after="160" w:line="259" w:lineRule="auto"/>
        <w:jc w:val="both"/>
      </w:pPr>
      <w:r w:rsidRPr="00B21EE5">
        <w:rPr>
          <w:b/>
        </w:rPr>
        <w:t>C</w:t>
      </w:r>
      <w:r w:rsidR="00620999" w:rsidRPr="00B21EE5">
        <w:rPr>
          <w:b/>
        </w:rPr>
        <w:t>opertura vaccinale</w:t>
      </w:r>
      <w:r w:rsidR="00620999">
        <w:t xml:space="preserve">, fortemente </w:t>
      </w:r>
      <w:r w:rsidR="00F76C8C">
        <w:t xml:space="preserve">condizionata da </w:t>
      </w:r>
      <w:r w:rsidR="00620999">
        <w:t>approvazione e disponibilità dei vaccini</w:t>
      </w:r>
      <w:r w:rsidR="00F35032">
        <w:t xml:space="preserve">. Al momento </w:t>
      </w:r>
      <w:r w:rsidR="00620999">
        <w:t>gli accordi con Pfizer-BioNTech e Moderna garantiscono all’Italia 102,3 milioni di dosi</w:t>
      </w:r>
      <w:r w:rsidR="00F35032">
        <w:t xml:space="preserve">, </w:t>
      </w:r>
      <w:r w:rsidR="00620999">
        <w:t xml:space="preserve">ma le </w:t>
      </w:r>
      <w:r w:rsidR="00620999">
        <w:lastRenderedPageBreak/>
        <w:t>tempistiche di consegna sono certe solo per circa 37 milioni di dosi</w:t>
      </w:r>
      <w:r w:rsidR="00F35032">
        <w:t xml:space="preserve"> (</w:t>
      </w:r>
      <w:r w:rsidR="00620999">
        <w:t>10 entro marzo</w:t>
      </w:r>
      <w:r w:rsidR="005F41FC">
        <w:t>,</w:t>
      </w:r>
      <w:r w:rsidR="00620999">
        <w:t xml:space="preserve"> 12,8 entro giugno</w:t>
      </w:r>
      <w:r w:rsidR="005F41FC">
        <w:t xml:space="preserve"> e 14,8 entro settembre</w:t>
      </w:r>
      <w:r w:rsidR="00620999">
        <w:t>)</w:t>
      </w:r>
      <w:r w:rsidR="00F35032">
        <w:t xml:space="preserve">, a cui si aggiungerebbero ulteriori 40,3 milioni di dosi </w:t>
      </w:r>
      <w:r w:rsidR="00F76C8C">
        <w:t xml:space="preserve">del vaccino AstraZeneca </w:t>
      </w:r>
      <w:r w:rsidR="00F35032">
        <w:t xml:space="preserve">entro giugno in caso di positiva valutazione dell’EMA, </w:t>
      </w:r>
      <w:r w:rsidR="00620999">
        <w:t>attesa per il 29 gennaio</w:t>
      </w:r>
      <w:r w:rsidR="00F35032">
        <w:t>.</w:t>
      </w:r>
    </w:p>
    <w:p w:rsidR="00620999" w:rsidRDefault="00F76C8C" w:rsidP="00620999">
      <w:pPr>
        <w:pStyle w:val="Paragrafoelenco"/>
        <w:numPr>
          <w:ilvl w:val="0"/>
          <w:numId w:val="17"/>
        </w:numPr>
        <w:spacing w:after="160" w:line="259" w:lineRule="auto"/>
        <w:jc w:val="both"/>
      </w:pPr>
      <w:r w:rsidRPr="00F76C8C">
        <w:rPr>
          <w:b/>
        </w:rPr>
        <w:t>Obiettivo strategico</w:t>
      </w:r>
      <w:r w:rsidR="00000B03">
        <w:t xml:space="preserve"> di contrasto alla pandemia</w:t>
      </w:r>
      <w:r w:rsidR="00620999">
        <w:t xml:space="preserve">, secondo la classificazione </w:t>
      </w:r>
      <w:r>
        <w:t>di</w:t>
      </w:r>
      <w:r w:rsidR="00620999">
        <w:t xml:space="preserve"> un </w:t>
      </w:r>
      <w:hyperlink r:id="rId8" w:history="1">
        <w:r w:rsidR="00620999" w:rsidRPr="00D670B4">
          <w:rPr>
            <w:rStyle w:val="Collegamentoipertestuale"/>
          </w:rPr>
          <w:t>recente articolo pubblicato sul BMJ</w:t>
        </w:r>
      </w:hyperlink>
      <w:r w:rsidR="00620999">
        <w:t>:</w:t>
      </w:r>
    </w:p>
    <w:p w:rsidR="00620999" w:rsidRDefault="00620999" w:rsidP="00B35CB3">
      <w:pPr>
        <w:pStyle w:val="Paragrafoelenco"/>
        <w:numPr>
          <w:ilvl w:val="1"/>
          <w:numId w:val="17"/>
        </w:numPr>
        <w:spacing w:after="160" w:line="276" w:lineRule="auto"/>
        <w:jc w:val="both"/>
      </w:pPr>
      <w:r w:rsidRPr="00FB45B5">
        <w:rPr>
          <w:b/>
        </w:rPr>
        <w:t>Eliminazione</w:t>
      </w:r>
      <w:r>
        <w:t xml:space="preserve">: </w:t>
      </w:r>
      <w:r w:rsidR="009B4A77">
        <w:t>mira ad</w:t>
      </w:r>
      <w:r>
        <w:t xml:space="preserve"> interrompere la catena di trasmissione del virus </w:t>
      </w:r>
      <w:r w:rsidR="005B44DF">
        <w:t xml:space="preserve">con </w:t>
      </w:r>
      <w:r>
        <w:t>azioni tempestive e incisive in caso di individuazione di nuovi focolai,</w:t>
      </w:r>
      <w:r w:rsidR="00163011">
        <w:t xml:space="preserve"> attraverso</w:t>
      </w:r>
      <w:r>
        <w:t xml:space="preserve"> un efficiente sistema di </w:t>
      </w:r>
      <w:r w:rsidRPr="00C109A1">
        <w:rPr>
          <w:i/>
        </w:rPr>
        <w:t>testing &amp; tracing</w:t>
      </w:r>
      <w:r>
        <w:t xml:space="preserve"> e </w:t>
      </w:r>
      <w:r w:rsidR="005B44DF">
        <w:t xml:space="preserve">l’isolamento </w:t>
      </w:r>
      <w:r w:rsidR="002D470C">
        <w:t xml:space="preserve">non più fiduciario ma </w:t>
      </w:r>
      <w:r w:rsidR="005B44DF">
        <w:t>controllato</w:t>
      </w:r>
      <w:r>
        <w:t>, oltre all</w:t>
      </w:r>
      <w:r w:rsidR="005B44DF">
        <w:t xml:space="preserve">e </w:t>
      </w:r>
      <w:r>
        <w:t>misure individuali</w:t>
      </w:r>
      <w:r w:rsidR="005B44DF">
        <w:t xml:space="preserve"> (es. </w:t>
      </w:r>
      <w:r>
        <w:t xml:space="preserve">Cina, Hong Kong, ma anche paesi </w:t>
      </w:r>
      <w:r w:rsidR="00D66DE0">
        <w:t xml:space="preserve">democratici </w:t>
      </w:r>
      <w:r w:rsidR="005B44DF">
        <w:t xml:space="preserve">quali </w:t>
      </w:r>
      <w:r>
        <w:t>Corea del Sud, Taiwan, Australia, Nuova Zelanda</w:t>
      </w:r>
      <w:r w:rsidR="005B44DF">
        <w:t>)</w:t>
      </w:r>
    </w:p>
    <w:p w:rsidR="00620999" w:rsidRDefault="00620999" w:rsidP="00B35CB3">
      <w:pPr>
        <w:pStyle w:val="Paragrafoelenco"/>
        <w:numPr>
          <w:ilvl w:val="1"/>
          <w:numId w:val="17"/>
        </w:numPr>
        <w:spacing w:after="160" w:line="276" w:lineRule="auto"/>
        <w:jc w:val="both"/>
      </w:pPr>
      <w:r w:rsidRPr="00FB45B5">
        <w:rPr>
          <w:b/>
        </w:rPr>
        <w:t>Soppressione</w:t>
      </w:r>
      <w:r>
        <w:t>: prevede misure progressivamente più stringenti all’aumentare dei casi, con l’obiettivo di appiattire la curva epidemica</w:t>
      </w:r>
      <w:r w:rsidR="005B44DF">
        <w:t xml:space="preserve"> (es. </w:t>
      </w:r>
      <w:r>
        <w:t>lockdown italiano della prima ondata</w:t>
      </w:r>
      <w:r w:rsidR="005B44DF">
        <w:t>)</w:t>
      </w:r>
      <w:r>
        <w:t>.</w:t>
      </w:r>
    </w:p>
    <w:p w:rsidR="00620999" w:rsidRDefault="00620999" w:rsidP="00B35CB3">
      <w:pPr>
        <w:pStyle w:val="Paragrafoelenco"/>
        <w:numPr>
          <w:ilvl w:val="1"/>
          <w:numId w:val="17"/>
        </w:numPr>
        <w:spacing w:after="160" w:line="276" w:lineRule="auto"/>
        <w:jc w:val="both"/>
      </w:pPr>
      <w:r w:rsidRPr="00FB45B5">
        <w:rPr>
          <w:b/>
        </w:rPr>
        <w:t>Mitigazione</w:t>
      </w:r>
      <w:r>
        <w:t>: prevede misure progressivamente più stringenti all’aumentare dei casi</w:t>
      </w:r>
      <w:r w:rsidR="00A13FCD">
        <w:t>,</w:t>
      </w:r>
      <w:r>
        <w:t xml:space="preserve"> meno incisive rispetto alla soppressione</w:t>
      </w:r>
      <w:r w:rsidR="00A13FCD">
        <w:t xml:space="preserve"> e finalizzate a</w:t>
      </w:r>
      <w:r>
        <w:t xml:space="preserve"> flettere la curva epidemica per limitare il sovraccarico dei servizi sanitari</w:t>
      </w:r>
      <w:r w:rsidR="005B44DF">
        <w:t xml:space="preserve"> (es. gestione della </w:t>
      </w:r>
      <w:r>
        <w:t>seconda ondata</w:t>
      </w:r>
      <w:r w:rsidR="005B44DF">
        <w:t xml:space="preserve"> in Italia)</w:t>
      </w:r>
      <w:r w:rsidR="005561B6">
        <w:rPr>
          <w:rFonts w:cstheme="minorHAnsi"/>
        </w:rPr>
        <w:t xml:space="preserve">. </w:t>
      </w:r>
    </w:p>
    <w:p w:rsidR="001E6A30" w:rsidRDefault="003C3D06" w:rsidP="001E6A30">
      <w:pPr>
        <w:spacing w:after="160" w:line="259" w:lineRule="auto"/>
        <w:jc w:val="both"/>
        <w:rPr>
          <w:noProof/>
        </w:rPr>
      </w:pPr>
      <w:r w:rsidRPr="00E61D41">
        <w:t>«</w:t>
      </w:r>
      <w:r w:rsidR="002D470C">
        <w:t xml:space="preserve">Nel </w:t>
      </w:r>
      <w:r w:rsidR="005B44DF">
        <w:t>primo trimestre</w:t>
      </w:r>
      <w:r>
        <w:t xml:space="preserve"> </w:t>
      </w:r>
      <w:r w:rsidR="005B44DF">
        <w:t xml:space="preserve">2021 </w:t>
      </w:r>
      <w:r w:rsidR="005B44DF" w:rsidRPr="00E61D41">
        <w:t>–</w:t>
      </w:r>
      <w:r w:rsidR="005B44DF">
        <w:t xml:space="preserve"> </w:t>
      </w:r>
      <w:r w:rsidR="005B44DF" w:rsidRPr="00E61D41">
        <w:t>spiega Renata Gili, Responsabile Ricerca sui Servizi Sanitari</w:t>
      </w:r>
      <w:r w:rsidR="005B44DF">
        <w:t xml:space="preserve"> della Fondazione GIMBE</w:t>
      </w:r>
      <w:r w:rsidR="005B44DF">
        <w:rPr>
          <w:noProof/>
        </w:rPr>
        <w:t xml:space="preserve"> </w:t>
      </w:r>
      <w:r w:rsidR="005B44DF" w:rsidRPr="00E61D41">
        <w:t>–</w:t>
      </w:r>
      <w:r w:rsidR="002D470C">
        <w:t xml:space="preserve"> </w:t>
      </w:r>
      <w:r w:rsidR="00394F32">
        <w:t>con</w:t>
      </w:r>
      <w:r w:rsidR="002D470C">
        <w:t xml:space="preserve"> una copertura vaccinale minima </w:t>
      </w:r>
      <w:r w:rsidR="00394F32">
        <w:t xml:space="preserve">ci si attende </w:t>
      </w:r>
      <w:r w:rsidR="002D470C">
        <w:t>un’</w:t>
      </w:r>
      <w:r>
        <w:t xml:space="preserve">elevata circolazione </w:t>
      </w:r>
      <w:r w:rsidR="002D470C">
        <w:t xml:space="preserve">del SARS-CoV-2 (con preoccupanti incertezze sulle nuove varianti) ed elevato impatto della COVID-19 sui </w:t>
      </w:r>
      <w:r>
        <w:t>servizi sanitari</w:t>
      </w:r>
      <w:r w:rsidR="005B44DF">
        <w:t xml:space="preserve">. Di conseguenza, </w:t>
      </w:r>
      <w:r w:rsidR="002D470C">
        <w:t xml:space="preserve">per </w:t>
      </w:r>
      <w:r w:rsidR="00AE30D7">
        <w:t xml:space="preserve">centrare </w:t>
      </w:r>
      <w:r w:rsidR="002D470C">
        <w:t xml:space="preserve">l’obiettivo </w:t>
      </w:r>
      <w:r w:rsidR="00AE30D7">
        <w:t xml:space="preserve">di eliminazione </w:t>
      </w:r>
      <w:r w:rsidR="002D470C">
        <w:t xml:space="preserve">del virus, </w:t>
      </w:r>
      <w:r w:rsidR="00F76C8C">
        <w:t xml:space="preserve">è </w:t>
      </w:r>
      <w:r w:rsidR="002D470C">
        <w:t>indispensabile attuare</w:t>
      </w:r>
      <w:r>
        <w:t xml:space="preserve"> </w:t>
      </w:r>
      <w:r w:rsidR="002D470C">
        <w:t xml:space="preserve">rapidamente la </w:t>
      </w:r>
      <w:r>
        <w:t xml:space="preserve">strategia soppressiva, </w:t>
      </w:r>
      <w:r w:rsidR="00F76C8C">
        <w:t xml:space="preserve">al fine di </w:t>
      </w:r>
      <w:r>
        <w:t xml:space="preserve">ridurre in modo </w:t>
      </w:r>
      <w:r w:rsidR="005B44DF">
        <w:t>rilevante i</w:t>
      </w:r>
      <w:r>
        <w:t xml:space="preserve"> casi attualmente positivi e appiattire la curva epidemica</w:t>
      </w:r>
      <w:r w:rsidR="000E6D14" w:rsidRPr="00E61D41">
        <w:rPr>
          <w:rFonts w:cstheme="minorHAnsi"/>
        </w:rPr>
        <w:t>»</w:t>
      </w:r>
      <w:r>
        <w:t xml:space="preserve">. </w:t>
      </w:r>
      <w:r w:rsidR="00AE30D7">
        <w:t>In questo modo</w:t>
      </w:r>
      <w:r w:rsidR="002D470C">
        <w:t>, c</w:t>
      </w:r>
      <w:r>
        <w:t>on l’arrivo</w:t>
      </w:r>
      <w:r w:rsidR="001E6A30">
        <w:t xml:space="preserve"> della bella stagione</w:t>
      </w:r>
      <w:r>
        <w:t xml:space="preserve"> e il progressivo aumento delle coperture vaccinali,</w:t>
      </w:r>
      <w:r w:rsidR="003871B3">
        <w:t xml:space="preserve"> </w:t>
      </w:r>
      <w:r>
        <w:t>la minore circolazione del SARS-CoV-2</w:t>
      </w:r>
      <w:r w:rsidR="003871B3">
        <w:t xml:space="preserve"> </w:t>
      </w:r>
      <w:r>
        <w:t xml:space="preserve">permetterebbe </w:t>
      </w:r>
      <w:r w:rsidR="002D470C">
        <w:t>durante</w:t>
      </w:r>
      <w:r>
        <w:t xml:space="preserve"> </w:t>
      </w:r>
      <w:r w:rsidR="002D470C">
        <w:t xml:space="preserve">i </w:t>
      </w:r>
      <w:r>
        <w:t xml:space="preserve">mesi estivi </w:t>
      </w:r>
      <w:r w:rsidR="005B44DF">
        <w:t xml:space="preserve">la ripresa di un’efficiente attività di tracciamento </w:t>
      </w:r>
      <w:r w:rsidR="00F76C8C">
        <w:t xml:space="preserve">per </w:t>
      </w:r>
      <w:r w:rsidR="003871B3">
        <w:t>raggiungere l’obiettivo dell</w:t>
      </w:r>
      <w:r w:rsidR="005B44DF">
        <w:t xml:space="preserve">a progressiva </w:t>
      </w:r>
      <w:r>
        <w:t>eliminazione</w:t>
      </w:r>
      <w:r w:rsidR="001E6A30">
        <w:rPr>
          <w:noProof/>
        </w:rPr>
        <w:t>.</w:t>
      </w:r>
    </w:p>
    <w:p w:rsidR="00620999" w:rsidRDefault="00CC311B" w:rsidP="00620999">
      <w:pPr>
        <w:spacing w:after="160" w:line="259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AC97282" wp14:editId="212587D5">
            <wp:extent cx="6120130" cy="3267506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99" w:rsidRDefault="005561B6">
      <w:pPr>
        <w:jc w:val="both"/>
      </w:pPr>
      <w:r w:rsidRPr="00E61D41">
        <w:t>«</w:t>
      </w:r>
      <w:r w:rsidR="00A6436C">
        <w:t>Considerati i modesti risultati ottenuti dal</w:t>
      </w:r>
      <w:r w:rsidR="00F76C8C">
        <w:t xml:space="preserve"> sistema delle Regioni “a colori” </w:t>
      </w:r>
      <w:r w:rsidR="00A6436C">
        <w:t xml:space="preserve">e le incognite legate all’efficacia del vaccino soprattutto in termini di riduzione dei quadri severi di malattia e </w:t>
      </w:r>
      <w:r w:rsidR="00E63E25">
        <w:t xml:space="preserve">di </w:t>
      </w:r>
      <w:r w:rsidR="00A6436C">
        <w:t xml:space="preserve">trasmissione del virus </w:t>
      </w:r>
      <w:r w:rsidR="00A6436C" w:rsidRPr="00E61D41">
        <w:t xml:space="preserve">– </w:t>
      </w:r>
      <w:r w:rsidR="00A6436C">
        <w:t>continua</w:t>
      </w:r>
      <w:r w:rsidR="00A6436C" w:rsidRPr="00E61D41">
        <w:t xml:space="preserve"> Cartabellotta</w:t>
      </w:r>
      <w:r w:rsidR="00A6436C">
        <w:t xml:space="preserve"> </w:t>
      </w:r>
      <w:r w:rsidR="00A6436C" w:rsidRPr="00E61D41">
        <w:t>–</w:t>
      </w:r>
      <w:r w:rsidR="00A6436C">
        <w:t xml:space="preserve"> </w:t>
      </w:r>
      <w:r w:rsidR="00E63E25">
        <w:t>questa rappresenta l’unica strada per</w:t>
      </w:r>
      <w:r w:rsidR="003871B3">
        <w:t xml:space="preserve"> </w:t>
      </w:r>
      <w:r w:rsidR="007D4210">
        <w:t>mantenere il controllo</w:t>
      </w:r>
      <w:r w:rsidR="00B21EE5">
        <w:t xml:space="preserve"> </w:t>
      </w:r>
      <w:r w:rsidR="007D4210">
        <w:t>dell</w:t>
      </w:r>
      <w:r w:rsidR="00870E61">
        <w:t>’epidemia</w:t>
      </w:r>
      <w:r w:rsidR="00F76C8C">
        <w:t xml:space="preserve"> </w:t>
      </w:r>
      <w:r w:rsidR="001E6A30">
        <w:t>s</w:t>
      </w:r>
      <w:r w:rsidR="001B05C9">
        <w:t xml:space="preserve">ino </w:t>
      </w:r>
      <w:r w:rsidR="00F76C8C">
        <w:t xml:space="preserve">a fine anno </w:t>
      </w:r>
      <w:r w:rsidR="00A6436C">
        <w:t xml:space="preserve">senza </w:t>
      </w:r>
      <w:r w:rsidR="008A1A1C">
        <w:t xml:space="preserve">affidarci </w:t>
      </w:r>
      <w:r w:rsidR="00A6436C">
        <w:t xml:space="preserve">esclusivamente </w:t>
      </w:r>
      <w:r w:rsidR="002D470C">
        <w:t>al</w:t>
      </w:r>
      <w:r w:rsidR="008A1A1C">
        <w:t xml:space="preserve"> </w:t>
      </w:r>
      <w:r w:rsidR="002D470C">
        <w:t>vaccino</w:t>
      </w:r>
      <w:r w:rsidR="00A6436C">
        <w:t xml:space="preserve">. </w:t>
      </w:r>
      <w:r w:rsidR="005B78CF">
        <w:t>Infatti, continuando con le strategie di mitigazione</w:t>
      </w:r>
      <w:r w:rsidR="001B05C9">
        <w:t>,</w:t>
      </w:r>
      <w:r w:rsidR="005B78CF">
        <w:t xml:space="preserve"> sarà </w:t>
      </w:r>
      <w:r w:rsidR="001B05C9">
        <w:t xml:space="preserve">realisticamente </w:t>
      </w:r>
      <w:r w:rsidR="005B78CF">
        <w:t>impossibile riprendere un tracciamento efficace e l’</w:t>
      </w:r>
      <w:r w:rsidR="007D4210">
        <w:t xml:space="preserve">unico </w:t>
      </w:r>
      <w:r w:rsidR="005B78CF">
        <w:t xml:space="preserve">auspicio </w:t>
      </w:r>
      <w:r w:rsidR="007D4210">
        <w:t xml:space="preserve">non potrà che essere quello </w:t>
      </w:r>
      <w:r w:rsidR="00B21EE5">
        <w:t xml:space="preserve">di raggiungere </w:t>
      </w:r>
      <w:r w:rsidR="002D470C">
        <w:t xml:space="preserve">presto </w:t>
      </w:r>
      <w:r w:rsidR="00B21EE5">
        <w:t>adeguate coperture vaccinali</w:t>
      </w:r>
      <w:r w:rsidR="00A91D90">
        <w:t>. Questo però significa accettare</w:t>
      </w:r>
      <w:r w:rsidR="00B21EE5">
        <w:t xml:space="preserve"> il rischio di una circolazione virale intermedia con gravi ripercussioni sulla salute e sull’economia </w:t>
      </w:r>
      <w:r w:rsidR="00A91D90">
        <w:t>ancora fino al</w:t>
      </w:r>
      <w:r w:rsidR="00B21EE5">
        <w:t xml:space="preserve"> prossimo autunno</w:t>
      </w:r>
      <w:r w:rsidR="00A6436C" w:rsidRPr="00E61D41">
        <w:rPr>
          <w:rFonts w:cstheme="minorHAnsi"/>
        </w:rPr>
        <w:t>».</w:t>
      </w:r>
      <w:r w:rsidR="00A6436C">
        <w:rPr>
          <w:rFonts w:cstheme="minorHAnsi"/>
        </w:rPr>
        <w:t xml:space="preserve"> </w:t>
      </w:r>
    </w:p>
    <w:p w:rsidR="00C2578F" w:rsidRPr="00D9451A" w:rsidRDefault="00537ED1" w:rsidP="00DD3773">
      <w:pPr>
        <w:spacing w:after="120"/>
        <w:jc w:val="both"/>
        <w:rPr>
          <w:rFonts w:cstheme="minorHAnsi"/>
        </w:rPr>
      </w:pPr>
      <w:r w:rsidRPr="00D9451A">
        <w:lastRenderedPageBreak/>
        <w:t>«</w:t>
      </w:r>
      <w:r w:rsidR="00A55267" w:rsidRPr="00D9451A">
        <w:t>Le dichiara</w:t>
      </w:r>
      <w:r w:rsidR="005B78CF" w:rsidRPr="00D9451A">
        <w:t>zioni del Ministro Speranza alle Camere</w:t>
      </w:r>
      <w:r w:rsidR="00A55267" w:rsidRPr="00D9451A">
        <w:t xml:space="preserve"> </w:t>
      </w:r>
      <w:r w:rsidRPr="00D9451A">
        <w:t xml:space="preserve">– </w:t>
      </w:r>
      <w:r w:rsidR="00DE0FE9" w:rsidRPr="00D9451A">
        <w:t>conclude</w:t>
      </w:r>
      <w:r w:rsidRPr="00D9451A">
        <w:t xml:space="preserve"> Cartabellotta –</w:t>
      </w:r>
      <w:r w:rsidR="00A55267" w:rsidRPr="00D9451A">
        <w:t xml:space="preserve"> lasciano </w:t>
      </w:r>
      <w:r w:rsidR="005A78BB">
        <w:t xml:space="preserve">intuire </w:t>
      </w:r>
      <w:r w:rsidR="00D9451A">
        <w:t xml:space="preserve">che per il 2021 si intende </w:t>
      </w:r>
      <w:r w:rsidR="00A55267" w:rsidRPr="00D9451A">
        <w:t xml:space="preserve">perseguire una strategia di </w:t>
      </w:r>
      <w:r w:rsidR="00D9451A">
        <w:t xml:space="preserve">mitigazione </w:t>
      </w:r>
      <w:r w:rsidR="00F61D8C">
        <w:t xml:space="preserve">puntando </w:t>
      </w:r>
      <w:r w:rsidR="00D9451A">
        <w:t xml:space="preserve">sui massimi risultati di copertura </w:t>
      </w:r>
      <w:r w:rsidR="005A78BB">
        <w:t xml:space="preserve">vaccinale </w:t>
      </w:r>
      <w:r w:rsidR="00D9451A">
        <w:t xml:space="preserve">e </w:t>
      </w:r>
      <w:r w:rsidR="005021CF">
        <w:t xml:space="preserve">confidando nella massima </w:t>
      </w:r>
      <w:r w:rsidR="00D9451A">
        <w:t>efficacia del vaccino</w:t>
      </w:r>
      <w:r w:rsidR="00422A70" w:rsidRPr="00D9451A">
        <w:t xml:space="preserve">. Se a questo aggiungiamo tutte le incertezze che </w:t>
      </w:r>
      <w:r w:rsidR="005A78BB">
        <w:t>l</w:t>
      </w:r>
      <w:r w:rsidR="005A78BB" w:rsidRPr="00D9451A">
        <w:t>a</w:t>
      </w:r>
      <w:r w:rsidR="005A78BB">
        <w:t xml:space="preserve"> </w:t>
      </w:r>
      <w:r w:rsidR="005A78BB" w:rsidRPr="00D9451A">
        <w:t xml:space="preserve">crisi di Governo </w:t>
      </w:r>
      <w:r w:rsidR="00D9451A" w:rsidRPr="00D9451A">
        <w:t xml:space="preserve">comporta </w:t>
      </w:r>
      <w:r w:rsidR="00422A70" w:rsidRPr="00D9451A">
        <w:t>il quadro è davvero inquietante:</w:t>
      </w:r>
      <w:r w:rsidR="00D9451A">
        <w:t xml:space="preserve"> i</w:t>
      </w:r>
      <w:r w:rsidR="00A55267" w:rsidRPr="00D9451A">
        <w:t xml:space="preserve">n assenza di una immediata e rigorosa stretta, ci attende un anno di difficile convivenza con il virus, </w:t>
      </w:r>
      <w:r w:rsidR="006D3E6F" w:rsidRPr="00D9451A">
        <w:t>con</w:t>
      </w:r>
      <w:r w:rsidR="00A55267" w:rsidRPr="00D9451A">
        <w:t xml:space="preserve"> ospedali </w:t>
      </w:r>
      <w:r w:rsidR="006D3E6F" w:rsidRPr="00D9451A">
        <w:t>ciclicamente al</w:t>
      </w:r>
      <w:r w:rsidR="00A55267" w:rsidRPr="00D9451A">
        <w:t xml:space="preserve"> limite del collasso</w:t>
      </w:r>
      <w:r w:rsidR="006D3E6F" w:rsidRPr="00D9451A">
        <w:t xml:space="preserve">, </w:t>
      </w:r>
      <w:r w:rsidR="00C41BA2" w:rsidRPr="00D9451A">
        <w:t xml:space="preserve">continui </w:t>
      </w:r>
      <w:r w:rsidR="006D3E6F" w:rsidRPr="00D9451A">
        <w:t>tira e molla sull’apertura di scuole e attività produttive</w:t>
      </w:r>
      <w:r w:rsidR="00C41BA2" w:rsidRPr="00D9451A">
        <w:t xml:space="preserve"> e un aumento inesorabile dei decessi</w:t>
      </w:r>
      <w:r w:rsidR="00BB02D3" w:rsidRPr="00D9451A">
        <w:rPr>
          <w:rFonts w:cstheme="minorHAnsi"/>
        </w:rPr>
        <w:t>».</w:t>
      </w:r>
    </w:p>
    <w:p w:rsidR="0010669B" w:rsidRPr="00625E38" w:rsidRDefault="00625E38" w:rsidP="00C34C83">
      <w:pPr>
        <w:spacing w:after="120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F42C7D" w:rsidRDefault="005127EB" w:rsidP="00BB02D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C912FF" w:rsidRPr="00BB02D3" w:rsidRDefault="00C912FF" w:rsidP="00BB02D3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</w:p>
    <w:p w:rsidR="00585FEC" w:rsidRDefault="009440B2" w:rsidP="00844492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>Figura 1</w:t>
      </w:r>
    </w:p>
    <w:p w:rsidR="003B60B6" w:rsidRPr="00FB74B4" w:rsidRDefault="001E6A30" w:rsidP="00FB74B4">
      <w:pPr>
        <w:jc w:val="center"/>
        <w:rPr>
          <w:b/>
          <w:color w:val="1F497D" w:themeColor="text2"/>
          <w:sz w:val="24"/>
        </w:rPr>
      </w:pPr>
      <w:r>
        <w:rPr>
          <w:noProof/>
        </w:rPr>
        <w:drawing>
          <wp:inline distT="0" distB="0" distL="0" distR="0" wp14:anchorId="750CAACF" wp14:editId="08BC6274">
            <wp:extent cx="6120130" cy="325707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DE" w:rsidRDefault="00F041DE" w:rsidP="00E33365">
      <w:pPr>
        <w:spacing w:after="0" w:line="240" w:lineRule="auto"/>
        <w:rPr>
          <w:b/>
          <w:sz w:val="24"/>
        </w:rPr>
      </w:pPr>
    </w:p>
    <w:p w:rsidR="007703B9" w:rsidRDefault="007703B9" w:rsidP="00585FEC">
      <w:pPr>
        <w:jc w:val="center"/>
        <w:rPr>
          <w:b/>
          <w:color w:val="1F497D" w:themeColor="text2"/>
          <w:sz w:val="24"/>
        </w:rPr>
      </w:pPr>
    </w:p>
    <w:p w:rsidR="00AA4F79" w:rsidRDefault="00AA4F79" w:rsidP="00585FEC">
      <w:pPr>
        <w:jc w:val="center"/>
        <w:rPr>
          <w:b/>
          <w:color w:val="1F497D" w:themeColor="text2"/>
          <w:sz w:val="24"/>
        </w:rPr>
      </w:pPr>
    </w:p>
    <w:p w:rsidR="00A450AD" w:rsidRDefault="00A450AD" w:rsidP="009440B2">
      <w:pPr>
        <w:rPr>
          <w:b/>
          <w:sz w:val="24"/>
        </w:rPr>
        <w:sectPr w:rsidR="00A450AD" w:rsidSect="00F64432">
          <w:footerReference w:type="default" r:id="rId13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Figura </w:t>
      </w:r>
      <w:r w:rsidR="00D9451A">
        <w:rPr>
          <w:b/>
          <w:color w:val="1F497D" w:themeColor="text2"/>
          <w:sz w:val="24"/>
        </w:rPr>
        <w:t>2</w:t>
      </w:r>
    </w:p>
    <w:p w:rsidR="00571ED4" w:rsidRDefault="001E6A30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5EE51038" wp14:editId="657AD70A">
            <wp:extent cx="9360000" cy="4886498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88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EF" w:rsidRPr="001E6A30" w:rsidRDefault="00F10847" w:rsidP="001E6A30">
      <w:pPr>
        <w:spacing w:after="0" w:line="360" w:lineRule="auto"/>
        <w:jc w:val="center"/>
        <w:rPr>
          <w:b/>
          <w:color w:val="1F497D" w:themeColor="text2"/>
          <w:sz w:val="2"/>
          <w:szCs w:val="2"/>
        </w:rPr>
      </w:pPr>
      <w:r>
        <w:rPr>
          <w:b/>
          <w:sz w:val="24"/>
        </w:rPr>
        <w:br w:type="page"/>
      </w:r>
      <w:r w:rsidR="00A328EF">
        <w:rPr>
          <w:b/>
          <w:color w:val="1F497D" w:themeColor="text2"/>
          <w:sz w:val="24"/>
        </w:rPr>
        <w:lastRenderedPageBreak/>
        <w:t xml:space="preserve">Tabella. Indicatori regionali: </w:t>
      </w:r>
      <w:r w:rsidR="00A328EF" w:rsidRPr="00FB74B4">
        <w:rPr>
          <w:b/>
          <w:color w:val="1F497D" w:themeColor="text2"/>
          <w:sz w:val="24"/>
        </w:rPr>
        <w:t xml:space="preserve">settimana </w:t>
      </w:r>
      <w:r w:rsidR="00A328EF">
        <w:rPr>
          <w:b/>
          <w:color w:val="1F497D" w:themeColor="text2"/>
          <w:sz w:val="24"/>
        </w:rPr>
        <w:t>6-12</w:t>
      </w:r>
      <w:r w:rsidR="00A328EF" w:rsidRPr="00FB74B4">
        <w:rPr>
          <w:b/>
          <w:color w:val="1F497D" w:themeColor="text2"/>
          <w:sz w:val="24"/>
        </w:rPr>
        <w:t xml:space="preserve"> gennaio 2021</w:t>
      </w:r>
    </w:p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105"/>
        <w:gridCol w:w="1647"/>
        <w:gridCol w:w="1976"/>
        <w:gridCol w:w="1776"/>
        <w:gridCol w:w="2255"/>
        <w:gridCol w:w="2411"/>
      </w:tblGrid>
      <w:tr w:rsidR="00A328EF" w:rsidRPr="008462D0" w:rsidTr="00DB1539">
        <w:trPr>
          <w:trHeight w:val="850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457D"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A328EF" w:rsidRPr="004C2036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849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4,8%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26,9%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32%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20%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1.194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8,3%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24,0%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</w:t>
            </w:r>
            <w:r>
              <w:rPr>
                <w:rFonts w:ascii="Calibri" w:eastAsia="Times New Roman" w:hAnsi="Calibri" w:cs="Calibri"/>
                <w:color w:val="006100"/>
              </w:rPr>
              <w:t>2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9,9%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860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14,7%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30%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14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1.251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3,9%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919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14,3%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31%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18%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1.350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7,3%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44,4%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1.063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9,5%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949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43,1%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5</w:t>
            </w:r>
            <w:r>
              <w:rPr>
                <w:rFonts w:ascii="Calibri" w:eastAsia="Times New Roman" w:hAnsi="Calibri" w:cs="Calibri"/>
                <w:color w:val="9C0006"/>
              </w:rPr>
              <w:t>3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</w:t>
            </w:r>
            <w:r>
              <w:rPr>
                <w:rFonts w:ascii="Calibri" w:eastAsia="Times New Roman" w:hAnsi="Calibri" w:cs="Calibri"/>
                <w:color w:val="9C0006"/>
              </w:rPr>
              <w:t>9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1.337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6,6%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640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30,1%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</w:t>
            </w:r>
            <w:r>
              <w:rPr>
                <w:rFonts w:ascii="Calibri" w:eastAsia="Times New Roman" w:hAnsi="Calibri" w:cs="Calibri"/>
                <w:color w:val="9C0006"/>
              </w:rPr>
              <w:t>5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3,8%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29,0%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30%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541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3,3%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31,5%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</w:t>
            </w:r>
            <w:r>
              <w:rPr>
                <w:rFonts w:ascii="Calibri" w:eastAsia="Times New Roman" w:hAnsi="Calibri" w:cs="Calibri"/>
                <w:color w:val="006100"/>
              </w:rPr>
              <w:t>2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38%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930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8,8%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1.494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16,9%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50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</w:t>
            </w:r>
            <w:r>
              <w:rPr>
                <w:rFonts w:ascii="Calibri" w:eastAsia="Times New Roman" w:hAnsi="Calibri" w:cs="Calibri"/>
                <w:color w:val="9C0006"/>
              </w:rPr>
              <w:t>6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5,5%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1.268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9,5%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17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3,4%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34,5%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46%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2.202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5,3%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45,4%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46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</w:t>
            </w:r>
            <w:r>
              <w:rPr>
                <w:rFonts w:ascii="Calibri" w:eastAsia="Times New Roman" w:hAnsi="Calibri" w:cs="Calibri"/>
                <w:color w:val="9C0006"/>
              </w:rPr>
              <w:t>2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5,5%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48,4%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5</w:t>
            </w:r>
            <w:r>
              <w:rPr>
                <w:rFonts w:ascii="Calibri" w:eastAsia="Times New Roman" w:hAnsi="Calibri" w:cs="Calibri"/>
                <w:color w:val="9C0006"/>
              </w:rPr>
              <w:t>7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48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1.371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6500"/>
              </w:rPr>
              <w:t>8,5%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32,8%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41%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37%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1.062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6,7%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903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14,6%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31%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881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12,1%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807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29,9%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</w:t>
            </w:r>
            <w:r>
              <w:rPr>
                <w:rFonts w:ascii="Calibri" w:eastAsia="Times New Roman" w:hAnsi="Calibri" w:cs="Calibri"/>
                <w:color w:val="006100"/>
              </w:rPr>
              <w:t>2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26%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6500"/>
              </w:rPr>
              <w:t>2,6%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14,5%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26%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4,8%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715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22,7%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43</w:t>
            </w:r>
            <w:r w:rsidRPr="008462D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2,2%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629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21,0%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2</w:t>
            </w:r>
            <w:r>
              <w:rPr>
                <w:rFonts w:ascii="Calibri" w:eastAsia="Times New Roman" w:hAnsi="Calibri" w:cs="Calibri"/>
                <w:color w:val="006100"/>
              </w:rPr>
              <w:t>0</w:t>
            </w:r>
            <w:r w:rsidRPr="008462D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5%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D0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1.727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7,3%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630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63,9%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43%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36%</w:t>
            </w:r>
          </w:p>
        </w:tc>
      </w:tr>
      <w:tr w:rsidR="00A328EF" w:rsidRPr="008462D0" w:rsidTr="00DB1539">
        <w:trPr>
          <w:trHeight w:val="329"/>
        </w:trPr>
        <w:tc>
          <w:tcPr>
            <w:tcW w:w="8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000000"/>
              </w:rPr>
              <w:t>ITALIA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9C0006"/>
              </w:rPr>
              <w:t>944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9C0006"/>
              </w:rPr>
              <w:t>5,6%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006100"/>
              </w:rPr>
              <w:t>682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006100"/>
              </w:rPr>
              <w:t>29,5%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462D0">
              <w:rPr>
                <w:rFonts w:ascii="Calibri" w:eastAsia="Times New Roman" w:hAnsi="Calibri" w:cs="Calibri"/>
                <w:color w:val="006100"/>
              </w:rPr>
              <w:t>37%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28EF" w:rsidRPr="008462D0" w:rsidRDefault="00A328EF" w:rsidP="00D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462D0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A328EF" w:rsidRPr="00F240C0" w:rsidTr="00DB1539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A328EF" w:rsidRDefault="00A328EF" w:rsidP="00DB153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</w:p>
          <w:p w:rsidR="00A328EF" w:rsidRPr="00F240C0" w:rsidRDefault="00A328EF" w:rsidP="00DB15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9C000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i</w:t>
            </w:r>
            <w:r w:rsidRPr="00B934D9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l giallo indica una performance regionale invariata rispetto alla settimana precedente.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F240C0" w:rsidRPr="00C82B51" w:rsidRDefault="00A328EF" w:rsidP="001E6A30">
      <w:pPr>
        <w:spacing w:after="0" w:line="360" w:lineRule="auto"/>
        <w:rPr>
          <w:b/>
          <w:sz w:val="10"/>
          <w:szCs w:val="10"/>
        </w:rPr>
      </w:pPr>
      <w:r w:rsidRPr="00C82B51">
        <w:rPr>
          <w:b/>
          <w:sz w:val="10"/>
          <w:szCs w:val="10"/>
        </w:rPr>
        <w:t xml:space="preserve"> </w:t>
      </w:r>
    </w:p>
    <w:sectPr w:rsidR="00F240C0" w:rsidRPr="00C82B51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1" w:rsidRDefault="00E81891">
      <w:pPr>
        <w:spacing w:after="0" w:line="240" w:lineRule="auto"/>
      </w:pPr>
      <w:r>
        <w:separator/>
      </w:r>
    </w:p>
  </w:endnote>
  <w:endnote w:type="continuationSeparator" w:id="0">
    <w:p w:rsidR="00E81891" w:rsidRDefault="00E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D0" w:rsidRDefault="008462D0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1" w:rsidRDefault="00E81891">
      <w:pPr>
        <w:spacing w:after="0" w:line="240" w:lineRule="auto"/>
      </w:pPr>
      <w:r>
        <w:separator/>
      </w:r>
    </w:p>
  </w:footnote>
  <w:footnote w:type="continuationSeparator" w:id="0">
    <w:p w:rsidR="00E81891" w:rsidRDefault="00E8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E3B"/>
    <w:multiLevelType w:val="hybridMultilevel"/>
    <w:tmpl w:val="01986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558"/>
    <w:multiLevelType w:val="hybridMultilevel"/>
    <w:tmpl w:val="75386F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576D1"/>
    <w:multiLevelType w:val="hybridMultilevel"/>
    <w:tmpl w:val="9F3C44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5AA8"/>
    <w:multiLevelType w:val="hybridMultilevel"/>
    <w:tmpl w:val="E2242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733EE"/>
    <w:multiLevelType w:val="hybridMultilevel"/>
    <w:tmpl w:val="E38C1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09D8"/>
    <w:rsid w:val="00000B03"/>
    <w:rsid w:val="00001504"/>
    <w:rsid w:val="000018F7"/>
    <w:rsid w:val="00001CEF"/>
    <w:rsid w:val="00001D9F"/>
    <w:rsid w:val="00002908"/>
    <w:rsid w:val="00002E3E"/>
    <w:rsid w:val="00002E76"/>
    <w:rsid w:val="00002EAA"/>
    <w:rsid w:val="00002F0E"/>
    <w:rsid w:val="00003A18"/>
    <w:rsid w:val="00003C8B"/>
    <w:rsid w:val="00005314"/>
    <w:rsid w:val="0000610C"/>
    <w:rsid w:val="00006203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40E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17F7"/>
    <w:rsid w:val="00043148"/>
    <w:rsid w:val="00043A85"/>
    <w:rsid w:val="00043C7D"/>
    <w:rsid w:val="0004522A"/>
    <w:rsid w:val="0004544E"/>
    <w:rsid w:val="000466D8"/>
    <w:rsid w:val="0004717B"/>
    <w:rsid w:val="00047260"/>
    <w:rsid w:val="00047EE0"/>
    <w:rsid w:val="00047FD1"/>
    <w:rsid w:val="00051306"/>
    <w:rsid w:val="00051A26"/>
    <w:rsid w:val="00052357"/>
    <w:rsid w:val="0005270A"/>
    <w:rsid w:val="000529FD"/>
    <w:rsid w:val="000534AE"/>
    <w:rsid w:val="000548AC"/>
    <w:rsid w:val="00054EA2"/>
    <w:rsid w:val="000559EC"/>
    <w:rsid w:val="00055D5E"/>
    <w:rsid w:val="00055D8F"/>
    <w:rsid w:val="00055E53"/>
    <w:rsid w:val="00055FB6"/>
    <w:rsid w:val="00056025"/>
    <w:rsid w:val="0005649A"/>
    <w:rsid w:val="0005657F"/>
    <w:rsid w:val="000568EE"/>
    <w:rsid w:val="00056CBF"/>
    <w:rsid w:val="00057675"/>
    <w:rsid w:val="00057843"/>
    <w:rsid w:val="00057983"/>
    <w:rsid w:val="00057A37"/>
    <w:rsid w:val="00057ACF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4B8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198"/>
    <w:rsid w:val="00083222"/>
    <w:rsid w:val="00083DA7"/>
    <w:rsid w:val="00083F44"/>
    <w:rsid w:val="0008470A"/>
    <w:rsid w:val="000856B2"/>
    <w:rsid w:val="0008634F"/>
    <w:rsid w:val="00086BD4"/>
    <w:rsid w:val="00087168"/>
    <w:rsid w:val="0008726D"/>
    <w:rsid w:val="00087618"/>
    <w:rsid w:val="0009037A"/>
    <w:rsid w:val="00090BE2"/>
    <w:rsid w:val="00091C99"/>
    <w:rsid w:val="00092862"/>
    <w:rsid w:val="00092A9D"/>
    <w:rsid w:val="00093477"/>
    <w:rsid w:val="00093FC2"/>
    <w:rsid w:val="000943CF"/>
    <w:rsid w:val="00094BBB"/>
    <w:rsid w:val="00094EF2"/>
    <w:rsid w:val="00095141"/>
    <w:rsid w:val="00095DA9"/>
    <w:rsid w:val="00095E86"/>
    <w:rsid w:val="00095FCA"/>
    <w:rsid w:val="00096403"/>
    <w:rsid w:val="00096DBA"/>
    <w:rsid w:val="00097568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50A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3F79"/>
    <w:rsid w:val="000D4762"/>
    <w:rsid w:val="000D56B8"/>
    <w:rsid w:val="000D5B60"/>
    <w:rsid w:val="000D64BB"/>
    <w:rsid w:val="000D6AC6"/>
    <w:rsid w:val="000D73D0"/>
    <w:rsid w:val="000D7D59"/>
    <w:rsid w:val="000E0C5B"/>
    <w:rsid w:val="000E1792"/>
    <w:rsid w:val="000E2B65"/>
    <w:rsid w:val="000E2D59"/>
    <w:rsid w:val="000E3205"/>
    <w:rsid w:val="000E3B02"/>
    <w:rsid w:val="000E4C32"/>
    <w:rsid w:val="000E6D14"/>
    <w:rsid w:val="000E72BC"/>
    <w:rsid w:val="000F0E42"/>
    <w:rsid w:val="000F136B"/>
    <w:rsid w:val="000F1645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0FE"/>
    <w:rsid w:val="00104759"/>
    <w:rsid w:val="001047A9"/>
    <w:rsid w:val="00104A0E"/>
    <w:rsid w:val="00104BBA"/>
    <w:rsid w:val="0010550E"/>
    <w:rsid w:val="001059AD"/>
    <w:rsid w:val="00105C83"/>
    <w:rsid w:val="0010669B"/>
    <w:rsid w:val="001079DA"/>
    <w:rsid w:val="00111831"/>
    <w:rsid w:val="00113053"/>
    <w:rsid w:val="00113554"/>
    <w:rsid w:val="00113C94"/>
    <w:rsid w:val="00113F56"/>
    <w:rsid w:val="00114498"/>
    <w:rsid w:val="00114B20"/>
    <w:rsid w:val="00117ACD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77E"/>
    <w:rsid w:val="00133DCB"/>
    <w:rsid w:val="00133E24"/>
    <w:rsid w:val="001341D8"/>
    <w:rsid w:val="001345C1"/>
    <w:rsid w:val="001348C4"/>
    <w:rsid w:val="00134B94"/>
    <w:rsid w:val="00135949"/>
    <w:rsid w:val="0013659A"/>
    <w:rsid w:val="00136710"/>
    <w:rsid w:val="00137608"/>
    <w:rsid w:val="00137854"/>
    <w:rsid w:val="00137E4B"/>
    <w:rsid w:val="0014018F"/>
    <w:rsid w:val="001408D2"/>
    <w:rsid w:val="0014168B"/>
    <w:rsid w:val="00142789"/>
    <w:rsid w:val="00143377"/>
    <w:rsid w:val="001433CB"/>
    <w:rsid w:val="001435C6"/>
    <w:rsid w:val="00143BB8"/>
    <w:rsid w:val="00144346"/>
    <w:rsid w:val="00144A00"/>
    <w:rsid w:val="00144CF6"/>
    <w:rsid w:val="001457D9"/>
    <w:rsid w:val="00145AFE"/>
    <w:rsid w:val="00145D5E"/>
    <w:rsid w:val="00146588"/>
    <w:rsid w:val="00147917"/>
    <w:rsid w:val="00147D74"/>
    <w:rsid w:val="00147FE2"/>
    <w:rsid w:val="001503C2"/>
    <w:rsid w:val="00150678"/>
    <w:rsid w:val="001509C3"/>
    <w:rsid w:val="00151911"/>
    <w:rsid w:val="00151D45"/>
    <w:rsid w:val="00151EC4"/>
    <w:rsid w:val="00152168"/>
    <w:rsid w:val="001521A0"/>
    <w:rsid w:val="00152E78"/>
    <w:rsid w:val="00153115"/>
    <w:rsid w:val="00153964"/>
    <w:rsid w:val="00154691"/>
    <w:rsid w:val="00156012"/>
    <w:rsid w:val="00156186"/>
    <w:rsid w:val="001620F7"/>
    <w:rsid w:val="001629EB"/>
    <w:rsid w:val="00162F69"/>
    <w:rsid w:val="00163011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61E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03"/>
    <w:rsid w:val="00183566"/>
    <w:rsid w:val="00183F81"/>
    <w:rsid w:val="00185422"/>
    <w:rsid w:val="001856C6"/>
    <w:rsid w:val="00185E17"/>
    <w:rsid w:val="00185FAE"/>
    <w:rsid w:val="00186CF1"/>
    <w:rsid w:val="00187B8A"/>
    <w:rsid w:val="00187C43"/>
    <w:rsid w:val="00190025"/>
    <w:rsid w:val="00191018"/>
    <w:rsid w:val="00191361"/>
    <w:rsid w:val="00191489"/>
    <w:rsid w:val="00191564"/>
    <w:rsid w:val="0019180C"/>
    <w:rsid w:val="00191AFB"/>
    <w:rsid w:val="00191B4D"/>
    <w:rsid w:val="0019215F"/>
    <w:rsid w:val="001935A0"/>
    <w:rsid w:val="00194B6D"/>
    <w:rsid w:val="00194F5D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542A"/>
    <w:rsid w:val="001A6277"/>
    <w:rsid w:val="001A62B9"/>
    <w:rsid w:val="001A642A"/>
    <w:rsid w:val="001A674A"/>
    <w:rsid w:val="001A702A"/>
    <w:rsid w:val="001A7D9C"/>
    <w:rsid w:val="001B05C9"/>
    <w:rsid w:val="001B0820"/>
    <w:rsid w:val="001B1550"/>
    <w:rsid w:val="001B183D"/>
    <w:rsid w:val="001B29FE"/>
    <w:rsid w:val="001B3683"/>
    <w:rsid w:val="001B3E88"/>
    <w:rsid w:val="001B403F"/>
    <w:rsid w:val="001B5B18"/>
    <w:rsid w:val="001B718E"/>
    <w:rsid w:val="001B7500"/>
    <w:rsid w:val="001C07D8"/>
    <w:rsid w:val="001C16B5"/>
    <w:rsid w:val="001C2DF9"/>
    <w:rsid w:val="001C3419"/>
    <w:rsid w:val="001C371B"/>
    <w:rsid w:val="001C37E7"/>
    <w:rsid w:val="001C3871"/>
    <w:rsid w:val="001C4387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467"/>
    <w:rsid w:val="001E15A7"/>
    <w:rsid w:val="001E16B1"/>
    <w:rsid w:val="001E20FF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A30"/>
    <w:rsid w:val="001E6B2B"/>
    <w:rsid w:val="001F06CD"/>
    <w:rsid w:val="001F0F19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443"/>
    <w:rsid w:val="002115AE"/>
    <w:rsid w:val="002118B6"/>
    <w:rsid w:val="002120A0"/>
    <w:rsid w:val="00212CD8"/>
    <w:rsid w:val="00213097"/>
    <w:rsid w:val="002149D9"/>
    <w:rsid w:val="00215029"/>
    <w:rsid w:val="00215778"/>
    <w:rsid w:val="00216C7A"/>
    <w:rsid w:val="00216D0E"/>
    <w:rsid w:val="0021701B"/>
    <w:rsid w:val="002171FD"/>
    <w:rsid w:val="00217534"/>
    <w:rsid w:val="00217612"/>
    <w:rsid w:val="00217C7C"/>
    <w:rsid w:val="00220033"/>
    <w:rsid w:val="002205C9"/>
    <w:rsid w:val="002213B6"/>
    <w:rsid w:val="00222222"/>
    <w:rsid w:val="00223CBF"/>
    <w:rsid w:val="00223FDE"/>
    <w:rsid w:val="002242D0"/>
    <w:rsid w:val="00224B04"/>
    <w:rsid w:val="0022503B"/>
    <w:rsid w:val="0022562D"/>
    <w:rsid w:val="00225D03"/>
    <w:rsid w:val="0022655A"/>
    <w:rsid w:val="0022697D"/>
    <w:rsid w:val="002269AD"/>
    <w:rsid w:val="00226CB8"/>
    <w:rsid w:val="00226EB7"/>
    <w:rsid w:val="002270F5"/>
    <w:rsid w:val="002273E1"/>
    <w:rsid w:val="002306E8"/>
    <w:rsid w:val="002315C5"/>
    <w:rsid w:val="00232450"/>
    <w:rsid w:val="00232826"/>
    <w:rsid w:val="0023282A"/>
    <w:rsid w:val="002329BC"/>
    <w:rsid w:val="00232FA3"/>
    <w:rsid w:val="0023344B"/>
    <w:rsid w:val="0023363F"/>
    <w:rsid w:val="00233A92"/>
    <w:rsid w:val="0023406D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52AE"/>
    <w:rsid w:val="00246085"/>
    <w:rsid w:val="002509F9"/>
    <w:rsid w:val="0025131F"/>
    <w:rsid w:val="00251E02"/>
    <w:rsid w:val="00252C2D"/>
    <w:rsid w:val="00252E88"/>
    <w:rsid w:val="00252FF8"/>
    <w:rsid w:val="0025387F"/>
    <w:rsid w:val="00253F3D"/>
    <w:rsid w:val="002553A2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5AA3"/>
    <w:rsid w:val="002666F4"/>
    <w:rsid w:val="002705E8"/>
    <w:rsid w:val="0027115A"/>
    <w:rsid w:val="00271BDD"/>
    <w:rsid w:val="002724DC"/>
    <w:rsid w:val="00272A45"/>
    <w:rsid w:val="00272F32"/>
    <w:rsid w:val="0027352D"/>
    <w:rsid w:val="00274710"/>
    <w:rsid w:val="00274ED1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4BDA"/>
    <w:rsid w:val="00285170"/>
    <w:rsid w:val="002852F5"/>
    <w:rsid w:val="00287A1A"/>
    <w:rsid w:val="00287EB2"/>
    <w:rsid w:val="002902B5"/>
    <w:rsid w:val="0029048A"/>
    <w:rsid w:val="0029074E"/>
    <w:rsid w:val="00290EB0"/>
    <w:rsid w:val="00290FDF"/>
    <w:rsid w:val="002912EB"/>
    <w:rsid w:val="00292C71"/>
    <w:rsid w:val="00292F53"/>
    <w:rsid w:val="002933A0"/>
    <w:rsid w:val="0029438B"/>
    <w:rsid w:val="0029457A"/>
    <w:rsid w:val="00295E29"/>
    <w:rsid w:val="00296100"/>
    <w:rsid w:val="002965D6"/>
    <w:rsid w:val="00297057"/>
    <w:rsid w:val="00297824"/>
    <w:rsid w:val="002A2099"/>
    <w:rsid w:val="002A304D"/>
    <w:rsid w:val="002A3261"/>
    <w:rsid w:val="002A3B71"/>
    <w:rsid w:val="002A3D04"/>
    <w:rsid w:val="002A4C5F"/>
    <w:rsid w:val="002A4DEE"/>
    <w:rsid w:val="002A4E8D"/>
    <w:rsid w:val="002A50E2"/>
    <w:rsid w:val="002A5371"/>
    <w:rsid w:val="002A55EA"/>
    <w:rsid w:val="002A582B"/>
    <w:rsid w:val="002A59D9"/>
    <w:rsid w:val="002A5FA2"/>
    <w:rsid w:val="002A6486"/>
    <w:rsid w:val="002A687F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159"/>
    <w:rsid w:val="002B4392"/>
    <w:rsid w:val="002B49E9"/>
    <w:rsid w:val="002B4AAD"/>
    <w:rsid w:val="002B5018"/>
    <w:rsid w:val="002B7A9C"/>
    <w:rsid w:val="002C1180"/>
    <w:rsid w:val="002C1497"/>
    <w:rsid w:val="002C25F3"/>
    <w:rsid w:val="002C487A"/>
    <w:rsid w:val="002C5983"/>
    <w:rsid w:val="002C5AF4"/>
    <w:rsid w:val="002D1563"/>
    <w:rsid w:val="002D1827"/>
    <w:rsid w:val="002D1DAB"/>
    <w:rsid w:val="002D281C"/>
    <w:rsid w:val="002D2881"/>
    <w:rsid w:val="002D470C"/>
    <w:rsid w:val="002D4A30"/>
    <w:rsid w:val="002D4C97"/>
    <w:rsid w:val="002D52C0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D7E19"/>
    <w:rsid w:val="002E0AC6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88C"/>
    <w:rsid w:val="002E6F00"/>
    <w:rsid w:val="002E77F3"/>
    <w:rsid w:val="002F0DFB"/>
    <w:rsid w:val="002F10E7"/>
    <w:rsid w:val="002F1137"/>
    <w:rsid w:val="002F117B"/>
    <w:rsid w:val="002F1666"/>
    <w:rsid w:val="002F214E"/>
    <w:rsid w:val="002F265A"/>
    <w:rsid w:val="002F47DF"/>
    <w:rsid w:val="002F4D19"/>
    <w:rsid w:val="002F4DEF"/>
    <w:rsid w:val="002F4FEC"/>
    <w:rsid w:val="002F5E78"/>
    <w:rsid w:val="002F70DB"/>
    <w:rsid w:val="002F743B"/>
    <w:rsid w:val="002F757F"/>
    <w:rsid w:val="002F76F9"/>
    <w:rsid w:val="002F78F1"/>
    <w:rsid w:val="00300572"/>
    <w:rsid w:val="00300FDE"/>
    <w:rsid w:val="0030124C"/>
    <w:rsid w:val="003013C8"/>
    <w:rsid w:val="003020A3"/>
    <w:rsid w:val="003022B9"/>
    <w:rsid w:val="00302E52"/>
    <w:rsid w:val="00303AB8"/>
    <w:rsid w:val="00303BD2"/>
    <w:rsid w:val="00303C74"/>
    <w:rsid w:val="003044C2"/>
    <w:rsid w:val="00304BC8"/>
    <w:rsid w:val="00304C4F"/>
    <w:rsid w:val="00304F90"/>
    <w:rsid w:val="003053CC"/>
    <w:rsid w:val="003055A2"/>
    <w:rsid w:val="00305A28"/>
    <w:rsid w:val="00306505"/>
    <w:rsid w:val="00306624"/>
    <w:rsid w:val="00306D88"/>
    <w:rsid w:val="0030740E"/>
    <w:rsid w:val="00307FED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05A9"/>
    <w:rsid w:val="00321120"/>
    <w:rsid w:val="003219FD"/>
    <w:rsid w:val="00322EA7"/>
    <w:rsid w:val="0032306E"/>
    <w:rsid w:val="00323B62"/>
    <w:rsid w:val="00323CCC"/>
    <w:rsid w:val="00324354"/>
    <w:rsid w:val="003244A6"/>
    <w:rsid w:val="00324BD4"/>
    <w:rsid w:val="00325485"/>
    <w:rsid w:val="00325776"/>
    <w:rsid w:val="00325971"/>
    <w:rsid w:val="003264A1"/>
    <w:rsid w:val="00326A22"/>
    <w:rsid w:val="00327AF6"/>
    <w:rsid w:val="00327C0A"/>
    <w:rsid w:val="00327D55"/>
    <w:rsid w:val="00327D6B"/>
    <w:rsid w:val="00330AF5"/>
    <w:rsid w:val="00330B57"/>
    <w:rsid w:val="00330DDC"/>
    <w:rsid w:val="003315FA"/>
    <w:rsid w:val="003319BF"/>
    <w:rsid w:val="00331C33"/>
    <w:rsid w:val="00332B22"/>
    <w:rsid w:val="003334F4"/>
    <w:rsid w:val="00334609"/>
    <w:rsid w:val="003348B3"/>
    <w:rsid w:val="00335645"/>
    <w:rsid w:val="00336225"/>
    <w:rsid w:val="003366CD"/>
    <w:rsid w:val="0033698E"/>
    <w:rsid w:val="003372ED"/>
    <w:rsid w:val="0033740A"/>
    <w:rsid w:val="00337D17"/>
    <w:rsid w:val="00337E71"/>
    <w:rsid w:val="00337F4A"/>
    <w:rsid w:val="00340D96"/>
    <w:rsid w:val="00341741"/>
    <w:rsid w:val="00343BBE"/>
    <w:rsid w:val="00343D23"/>
    <w:rsid w:val="003442B9"/>
    <w:rsid w:val="00344C02"/>
    <w:rsid w:val="00345326"/>
    <w:rsid w:val="00345D05"/>
    <w:rsid w:val="0034652C"/>
    <w:rsid w:val="00346A37"/>
    <w:rsid w:val="00346A49"/>
    <w:rsid w:val="00350329"/>
    <w:rsid w:val="00350784"/>
    <w:rsid w:val="00350EFA"/>
    <w:rsid w:val="003515F5"/>
    <w:rsid w:val="00351D10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80C"/>
    <w:rsid w:val="00363CCA"/>
    <w:rsid w:val="0036431B"/>
    <w:rsid w:val="003644FC"/>
    <w:rsid w:val="00365312"/>
    <w:rsid w:val="003658CE"/>
    <w:rsid w:val="00366193"/>
    <w:rsid w:val="003715A0"/>
    <w:rsid w:val="0037191E"/>
    <w:rsid w:val="003721EF"/>
    <w:rsid w:val="0037366F"/>
    <w:rsid w:val="0037421B"/>
    <w:rsid w:val="0037481C"/>
    <w:rsid w:val="00375555"/>
    <w:rsid w:val="00375FF6"/>
    <w:rsid w:val="0037610F"/>
    <w:rsid w:val="00376334"/>
    <w:rsid w:val="0037699E"/>
    <w:rsid w:val="00376AB7"/>
    <w:rsid w:val="00376B13"/>
    <w:rsid w:val="003772FD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2CD"/>
    <w:rsid w:val="00385A4A"/>
    <w:rsid w:val="00385ED3"/>
    <w:rsid w:val="003864BA"/>
    <w:rsid w:val="00386683"/>
    <w:rsid w:val="003871B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4F32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A7833"/>
    <w:rsid w:val="003B06AF"/>
    <w:rsid w:val="003B0916"/>
    <w:rsid w:val="003B0C11"/>
    <w:rsid w:val="003B0DB0"/>
    <w:rsid w:val="003B102E"/>
    <w:rsid w:val="003B22C9"/>
    <w:rsid w:val="003B2AEC"/>
    <w:rsid w:val="003B2C91"/>
    <w:rsid w:val="003B386F"/>
    <w:rsid w:val="003B3BA8"/>
    <w:rsid w:val="003B42F8"/>
    <w:rsid w:val="003B434F"/>
    <w:rsid w:val="003B46B9"/>
    <w:rsid w:val="003B4B8E"/>
    <w:rsid w:val="003B4BF3"/>
    <w:rsid w:val="003B4DD7"/>
    <w:rsid w:val="003B512D"/>
    <w:rsid w:val="003B5BD7"/>
    <w:rsid w:val="003B60B6"/>
    <w:rsid w:val="003B6448"/>
    <w:rsid w:val="003B7557"/>
    <w:rsid w:val="003B761A"/>
    <w:rsid w:val="003B767D"/>
    <w:rsid w:val="003B7ED5"/>
    <w:rsid w:val="003C123D"/>
    <w:rsid w:val="003C28C9"/>
    <w:rsid w:val="003C2A02"/>
    <w:rsid w:val="003C2FB1"/>
    <w:rsid w:val="003C300D"/>
    <w:rsid w:val="003C3A9A"/>
    <w:rsid w:val="003C3D06"/>
    <w:rsid w:val="003C44B3"/>
    <w:rsid w:val="003C5449"/>
    <w:rsid w:val="003C545F"/>
    <w:rsid w:val="003C657D"/>
    <w:rsid w:val="003C6EB4"/>
    <w:rsid w:val="003C7356"/>
    <w:rsid w:val="003C74F7"/>
    <w:rsid w:val="003C7A23"/>
    <w:rsid w:val="003D10F8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17D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0B5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1B2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2A70"/>
    <w:rsid w:val="004239A7"/>
    <w:rsid w:val="00423B2B"/>
    <w:rsid w:val="00423ED3"/>
    <w:rsid w:val="00424E39"/>
    <w:rsid w:val="00425C3A"/>
    <w:rsid w:val="00425F9F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0670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27ED"/>
    <w:rsid w:val="00452EC1"/>
    <w:rsid w:val="004534C0"/>
    <w:rsid w:val="004549CB"/>
    <w:rsid w:val="00454F29"/>
    <w:rsid w:val="00455B93"/>
    <w:rsid w:val="00455F70"/>
    <w:rsid w:val="004561B7"/>
    <w:rsid w:val="004565AC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802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ED4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0BF"/>
    <w:rsid w:val="004811BE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25"/>
    <w:rsid w:val="00490381"/>
    <w:rsid w:val="004908D9"/>
    <w:rsid w:val="00492AE1"/>
    <w:rsid w:val="00493007"/>
    <w:rsid w:val="004931F7"/>
    <w:rsid w:val="00493DE8"/>
    <w:rsid w:val="00494318"/>
    <w:rsid w:val="00494885"/>
    <w:rsid w:val="004950E0"/>
    <w:rsid w:val="00496ADF"/>
    <w:rsid w:val="00496B0B"/>
    <w:rsid w:val="00497007"/>
    <w:rsid w:val="00497078"/>
    <w:rsid w:val="0049718B"/>
    <w:rsid w:val="004973CE"/>
    <w:rsid w:val="004979DB"/>
    <w:rsid w:val="00497C09"/>
    <w:rsid w:val="004A0133"/>
    <w:rsid w:val="004A1527"/>
    <w:rsid w:val="004A23C7"/>
    <w:rsid w:val="004A3EE6"/>
    <w:rsid w:val="004A46F7"/>
    <w:rsid w:val="004A54BA"/>
    <w:rsid w:val="004A574D"/>
    <w:rsid w:val="004A5C54"/>
    <w:rsid w:val="004A62EA"/>
    <w:rsid w:val="004A6E52"/>
    <w:rsid w:val="004A73EA"/>
    <w:rsid w:val="004A7DB9"/>
    <w:rsid w:val="004B035F"/>
    <w:rsid w:val="004B15EA"/>
    <w:rsid w:val="004B219E"/>
    <w:rsid w:val="004B2D07"/>
    <w:rsid w:val="004B2FB3"/>
    <w:rsid w:val="004B30DC"/>
    <w:rsid w:val="004B34C0"/>
    <w:rsid w:val="004B3D68"/>
    <w:rsid w:val="004B40F7"/>
    <w:rsid w:val="004B46CE"/>
    <w:rsid w:val="004B4E74"/>
    <w:rsid w:val="004B5A3A"/>
    <w:rsid w:val="004B64C5"/>
    <w:rsid w:val="004C0DD6"/>
    <w:rsid w:val="004C12A9"/>
    <w:rsid w:val="004C1508"/>
    <w:rsid w:val="004C2036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CE"/>
    <w:rsid w:val="004C50EA"/>
    <w:rsid w:val="004C60BA"/>
    <w:rsid w:val="004C60DC"/>
    <w:rsid w:val="004C6651"/>
    <w:rsid w:val="004C7401"/>
    <w:rsid w:val="004C74EF"/>
    <w:rsid w:val="004C7B4D"/>
    <w:rsid w:val="004C7DC4"/>
    <w:rsid w:val="004D030D"/>
    <w:rsid w:val="004D26DF"/>
    <w:rsid w:val="004D2D7B"/>
    <w:rsid w:val="004D3037"/>
    <w:rsid w:val="004D3220"/>
    <w:rsid w:val="004D3455"/>
    <w:rsid w:val="004D34F3"/>
    <w:rsid w:val="004D381A"/>
    <w:rsid w:val="004D3DAE"/>
    <w:rsid w:val="004D49D4"/>
    <w:rsid w:val="004D4E9E"/>
    <w:rsid w:val="004D4FAC"/>
    <w:rsid w:val="004D5148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1D2"/>
    <w:rsid w:val="004E46D4"/>
    <w:rsid w:val="004E6DA9"/>
    <w:rsid w:val="004E7D1A"/>
    <w:rsid w:val="004F0320"/>
    <w:rsid w:val="004F05B1"/>
    <w:rsid w:val="004F173B"/>
    <w:rsid w:val="004F20E1"/>
    <w:rsid w:val="004F2759"/>
    <w:rsid w:val="004F29CC"/>
    <w:rsid w:val="004F2E8F"/>
    <w:rsid w:val="004F3704"/>
    <w:rsid w:val="004F54C8"/>
    <w:rsid w:val="004F5F19"/>
    <w:rsid w:val="004F61AA"/>
    <w:rsid w:val="004F61CE"/>
    <w:rsid w:val="004F62AF"/>
    <w:rsid w:val="004F7098"/>
    <w:rsid w:val="004F7D64"/>
    <w:rsid w:val="00500FEB"/>
    <w:rsid w:val="0050143A"/>
    <w:rsid w:val="005015C7"/>
    <w:rsid w:val="0050196C"/>
    <w:rsid w:val="005019AF"/>
    <w:rsid w:val="005021CF"/>
    <w:rsid w:val="005025CD"/>
    <w:rsid w:val="00502A03"/>
    <w:rsid w:val="00502EB9"/>
    <w:rsid w:val="00503664"/>
    <w:rsid w:val="00503976"/>
    <w:rsid w:val="005049A0"/>
    <w:rsid w:val="00504B2C"/>
    <w:rsid w:val="0050520B"/>
    <w:rsid w:val="005052B2"/>
    <w:rsid w:val="00505F2C"/>
    <w:rsid w:val="005065C4"/>
    <w:rsid w:val="00506EB0"/>
    <w:rsid w:val="005070CE"/>
    <w:rsid w:val="0050757C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9AD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37ED1"/>
    <w:rsid w:val="00540352"/>
    <w:rsid w:val="005405BE"/>
    <w:rsid w:val="00540811"/>
    <w:rsid w:val="00541926"/>
    <w:rsid w:val="00541FCE"/>
    <w:rsid w:val="005430E7"/>
    <w:rsid w:val="00544216"/>
    <w:rsid w:val="00544C9B"/>
    <w:rsid w:val="005456C1"/>
    <w:rsid w:val="0054575E"/>
    <w:rsid w:val="00546091"/>
    <w:rsid w:val="00546182"/>
    <w:rsid w:val="005462B5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3D7E"/>
    <w:rsid w:val="00553DB5"/>
    <w:rsid w:val="005543C3"/>
    <w:rsid w:val="005551D7"/>
    <w:rsid w:val="005555AC"/>
    <w:rsid w:val="005561B6"/>
    <w:rsid w:val="00556568"/>
    <w:rsid w:val="00557FAC"/>
    <w:rsid w:val="00560EF8"/>
    <w:rsid w:val="00561E94"/>
    <w:rsid w:val="00562045"/>
    <w:rsid w:val="0056226F"/>
    <w:rsid w:val="00562614"/>
    <w:rsid w:val="0056309C"/>
    <w:rsid w:val="00563171"/>
    <w:rsid w:val="00563CEE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77F8A"/>
    <w:rsid w:val="005803F6"/>
    <w:rsid w:val="00580652"/>
    <w:rsid w:val="00580EFD"/>
    <w:rsid w:val="0058198B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5FEC"/>
    <w:rsid w:val="005861EF"/>
    <w:rsid w:val="005862D2"/>
    <w:rsid w:val="0058631B"/>
    <w:rsid w:val="00586D6A"/>
    <w:rsid w:val="00586EDB"/>
    <w:rsid w:val="005871AA"/>
    <w:rsid w:val="00587214"/>
    <w:rsid w:val="00587855"/>
    <w:rsid w:val="005879F9"/>
    <w:rsid w:val="0059009A"/>
    <w:rsid w:val="00591FDA"/>
    <w:rsid w:val="005927E5"/>
    <w:rsid w:val="00593A73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7C4"/>
    <w:rsid w:val="005A3E3B"/>
    <w:rsid w:val="005A491E"/>
    <w:rsid w:val="005A4C86"/>
    <w:rsid w:val="005A6603"/>
    <w:rsid w:val="005A680E"/>
    <w:rsid w:val="005A69DC"/>
    <w:rsid w:val="005A7071"/>
    <w:rsid w:val="005A74A5"/>
    <w:rsid w:val="005A78BB"/>
    <w:rsid w:val="005B05C3"/>
    <w:rsid w:val="005B0CCF"/>
    <w:rsid w:val="005B0E13"/>
    <w:rsid w:val="005B1421"/>
    <w:rsid w:val="005B1EBE"/>
    <w:rsid w:val="005B2C4A"/>
    <w:rsid w:val="005B44DF"/>
    <w:rsid w:val="005B4EDF"/>
    <w:rsid w:val="005B529E"/>
    <w:rsid w:val="005B6533"/>
    <w:rsid w:val="005B67AE"/>
    <w:rsid w:val="005B6BDE"/>
    <w:rsid w:val="005B7662"/>
    <w:rsid w:val="005B78CF"/>
    <w:rsid w:val="005C0442"/>
    <w:rsid w:val="005C08B9"/>
    <w:rsid w:val="005C092C"/>
    <w:rsid w:val="005C0A9A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C7F90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044"/>
    <w:rsid w:val="005D6265"/>
    <w:rsid w:val="005D6330"/>
    <w:rsid w:val="005D6D2D"/>
    <w:rsid w:val="005D7170"/>
    <w:rsid w:val="005D775F"/>
    <w:rsid w:val="005D78FF"/>
    <w:rsid w:val="005E0124"/>
    <w:rsid w:val="005E053F"/>
    <w:rsid w:val="005E0EB0"/>
    <w:rsid w:val="005E1B70"/>
    <w:rsid w:val="005E2749"/>
    <w:rsid w:val="005E2DB3"/>
    <w:rsid w:val="005E30DA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1FC"/>
    <w:rsid w:val="005F4876"/>
    <w:rsid w:val="005F4AC1"/>
    <w:rsid w:val="005F4D26"/>
    <w:rsid w:val="005F5D57"/>
    <w:rsid w:val="005F6212"/>
    <w:rsid w:val="005F707B"/>
    <w:rsid w:val="005F7259"/>
    <w:rsid w:val="005F7707"/>
    <w:rsid w:val="005F7A93"/>
    <w:rsid w:val="00600B66"/>
    <w:rsid w:val="00600CCD"/>
    <w:rsid w:val="00600D1F"/>
    <w:rsid w:val="00601327"/>
    <w:rsid w:val="00601753"/>
    <w:rsid w:val="006020ED"/>
    <w:rsid w:val="00602DF1"/>
    <w:rsid w:val="0060442D"/>
    <w:rsid w:val="006047F2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60A"/>
    <w:rsid w:val="00611E90"/>
    <w:rsid w:val="0061266D"/>
    <w:rsid w:val="00612C8A"/>
    <w:rsid w:val="00612F59"/>
    <w:rsid w:val="00612F65"/>
    <w:rsid w:val="0061393A"/>
    <w:rsid w:val="00613DFA"/>
    <w:rsid w:val="00615855"/>
    <w:rsid w:val="00615B1C"/>
    <w:rsid w:val="006165DD"/>
    <w:rsid w:val="0061703C"/>
    <w:rsid w:val="00617AF9"/>
    <w:rsid w:val="00620999"/>
    <w:rsid w:val="00620EF4"/>
    <w:rsid w:val="0062113D"/>
    <w:rsid w:val="00621372"/>
    <w:rsid w:val="006218AA"/>
    <w:rsid w:val="0062200B"/>
    <w:rsid w:val="00622A81"/>
    <w:rsid w:val="00622F59"/>
    <w:rsid w:val="006233A6"/>
    <w:rsid w:val="006238A2"/>
    <w:rsid w:val="00625210"/>
    <w:rsid w:val="00625A0B"/>
    <w:rsid w:val="00625E38"/>
    <w:rsid w:val="00626CDE"/>
    <w:rsid w:val="00626F09"/>
    <w:rsid w:val="00627001"/>
    <w:rsid w:val="00627D19"/>
    <w:rsid w:val="00630D47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3B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57F2E"/>
    <w:rsid w:val="006602C7"/>
    <w:rsid w:val="00660401"/>
    <w:rsid w:val="00661625"/>
    <w:rsid w:val="0066164A"/>
    <w:rsid w:val="006631A9"/>
    <w:rsid w:val="00663257"/>
    <w:rsid w:val="006648B6"/>
    <w:rsid w:val="00664F08"/>
    <w:rsid w:val="00665201"/>
    <w:rsid w:val="00665C55"/>
    <w:rsid w:val="00667A0A"/>
    <w:rsid w:val="00667E4C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1185"/>
    <w:rsid w:val="00682894"/>
    <w:rsid w:val="00683B82"/>
    <w:rsid w:val="00683E54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23F0"/>
    <w:rsid w:val="00694111"/>
    <w:rsid w:val="00694845"/>
    <w:rsid w:val="00695BD5"/>
    <w:rsid w:val="0069637C"/>
    <w:rsid w:val="00696849"/>
    <w:rsid w:val="00696EC7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A73A3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8D1"/>
    <w:rsid w:val="006C5A99"/>
    <w:rsid w:val="006C61CF"/>
    <w:rsid w:val="006C759A"/>
    <w:rsid w:val="006C79E9"/>
    <w:rsid w:val="006D0AAF"/>
    <w:rsid w:val="006D0D40"/>
    <w:rsid w:val="006D121C"/>
    <w:rsid w:val="006D127C"/>
    <w:rsid w:val="006D28FA"/>
    <w:rsid w:val="006D2FAE"/>
    <w:rsid w:val="006D3E6F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4C8E"/>
    <w:rsid w:val="006E5D20"/>
    <w:rsid w:val="006E6E87"/>
    <w:rsid w:val="006E6EE0"/>
    <w:rsid w:val="006F0C1E"/>
    <w:rsid w:val="006F10AE"/>
    <w:rsid w:val="006F20F9"/>
    <w:rsid w:val="006F24CB"/>
    <w:rsid w:val="006F2A40"/>
    <w:rsid w:val="006F32FE"/>
    <w:rsid w:val="006F34AA"/>
    <w:rsid w:val="006F34F5"/>
    <w:rsid w:val="006F422F"/>
    <w:rsid w:val="006F4998"/>
    <w:rsid w:val="006F4A1D"/>
    <w:rsid w:val="006F62DB"/>
    <w:rsid w:val="006F6445"/>
    <w:rsid w:val="006F794B"/>
    <w:rsid w:val="007000E1"/>
    <w:rsid w:val="007006C3"/>
    <w:rsid w:val="007013BF"/>
    <w:rsid w:val="0070218D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0AB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0E9B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3D24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37C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20C"/>
    <w:rsid w:val="007626CA"/>
    <w:rsid w:val="0076281B"/>
    <w:rsid w:val="0076336E"/>
    <w:rsid w:val="007635DA"/>
    <w:rsid w:val="007635F5"/>
    <w:rsid w:val="0076380E"/>
    <w:rsid w:val="00765A9D"/>
    <w:rsid w:val="00765D46"/>
    <w:rsid w:val="00766A21"/>
    <w:rsid w:val="0076715F"/>
    <w:rsid w:val="00767EE8"/>
    <w:rsid w:val="007703B9"/>
    <w:rsid w:val="007707AD"/>
    <w:rsid w:val="00771842"/>
    <w:rsid w:val="00771BCB"/>
    <w:rsid w:val="007726D0"/>
    <w:rsid w:val="00772DD3"/>
    <w:rsid w:val="00772ECB"/>
    <w:rsid w:val="00772F06"/>
    <w:rsid w:val="00773CD5"/>
    <w:rsid w:val="0077536F"/>
    <w:rsid w:val="007753BC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5FE6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0FA5"/>
    <w:rsid w:val="007C1924"/>
    <w:rsid w:val="007C2BCE"/>
    <w:rsid w:val="007C3065"/>
    <w:rsid w:val="007C42C3"/>
    <w:rsid w:val="007C48EB"/>
    <w:rsid w:val="007C627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210"/>
    <w:rsid w:val="007D4B2A"/>
    <w:rsid w:val="007D4BE9"/>
    <w:rsid w:val="007D4C7F"/>
    <w:rsid w:val="007D6881"/>
    <w:rsid w:val="007D6A5B"/>
    <w:rsid w:val="007D7805"/>
    <w:rsid w:val="007D7BBD"/>
    <w:rsid w:val="007D7FFD"/>
    <w:rsid w:val="007E05D8"/>
    <w:rsid w:val="007E0965"/>
    <w:rsid w:val="007E177C"/>
    <w:rsid w:val="007E1F0A"/>
    <w:rsid w:val="007E2288"/>
    <w:rsid w:val="007E2BA6"/>
    <w:rsid w:val="007E2C64"/>
    <w:rsid w:val="007E2EE5"/>
    <w:rsid w:val="007E314F"/>
    <w:rsid w:val="007E38FC"/>
    <w:rsid w:val="007E3B6F"/>
    <w:rsid w:val="007E5D7A"/>
    <w:rsid w:val="007E5F6D"/>
    <w:rsid w:val="007E6477"/>
    <w:rsid w:val="007E6483"/>
    <w:rsid w:val="007E6CD7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876"/>
    <w:rsid w:val="008069D5"/>
    <w:rsid w:val="00806A53"/>
    <w:rsid w:val="0080704D"/>
    <w:rsid w:val="008077CC"/>
    <w:rsid w:val="00807B71"/>
    <w:rsid w:val="00807E75"/>
    <w:rsid w:val="008109FF"/>
    <w:rsid w:val="00811307"/>
    <w:rsid w:val="00811C30"/>
    <w:rsid w:val="00811F1C"/>
    <w:rsid w:val="00812008"/>
    <w:rsid w:val="00812DAD"/>
    <w:rsid w:val="00813429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542"/>
    <w:rsid w:val="00823636"/>
    <w:rsid w:val="008238B9"/>
    <w:rsid w:val="00823923"/>
    <w:rsid w:val="00823F81"/>
    <w:rsid w:val="00824061"/>
    <w:rsid w:val="008240A8"/>
    <w:rsid w:val="00824131"/>
    <w:rsid w:val="00824253"/>
    <w:rsid w:val="00824AC7"/>
    <w:rsid w:val="00824D1D"/>
    <w:rsid w:val="00825CAF"/>
    <w:rsid w:val="00825F7D"/>
    <w:rsid w:val="00826824"/>
    <w:rsid w:val="0082682D"/>
    <w:rsid w:val="0083016D"/>
    <w:rsid w:val="00831C3E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00E"/>
    <w:rsid w:val="008422DD"/>
    <w:rsid w:val="00842C0E"/>
    <w:rsid w:val="00843D5B"/>
    <w:rsid w:val="00844492"/>
    <w:rsid w:val="00844C40"/>
    <w:rsid w:val="00844F9A"/>
    <w:rsid w:val="008452E2"/>
    <w:rsid w:val="008456A2"/>
    <w:rsid w:val="008458BF"/>
    <w:rsid w:val="00845DEF"/>
    <w:rsid w:val="008462D0"/>
    <w:rsid w:val="00846C06"/>
    <w:rsid w:val="00847036"/>
    <w:rsid w:val="0084753A"/>
    <w:rsid w:val="00847FDE"/>
    <w:rsid w:val="008505F6"/>
    <w:rsid w:val="0085087F"/>
    <w:rsid w:val="00851073"/>
    <w:rsid w:val="008515EF"/>
    <w:rsid w:val="008516F4"/>
    <w:rsid w:val="00852700"/>
    <w:rsid w:val="00852832"/>
    <w:rsid w:val="00852CA1"/>
    <w:rsid w:val="00853797"/>
    <w:rsid w:val="00853A01"/>
    <w:rsid w:val="00854276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59AB"/>
    <w:rsid w:val="00867799"/>
    <w:rsid w:val="00870E61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77E73"/>
    <w:rsid w:val="00880FFA"/>
    <w:rsid w:val="008822E7"/>
    <w:rsid w:val="0088261F"/>
    <w:rsid w:val="0088282B"/>
    <w:rsid w:val="00882A5C"/>
    <w:rsid w:val="00882B54"/>
    <w:rsid w:val="008830A6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39D"/>
    <w:rsid w:val="00890657"/>
    <w:rsid w:val="00890C9D"/>
    <w:rsid w:val="00891316"/>
    <w:rsid w:val="00891E62"/>
    <w:rsid w:val="00892FE5"/>
    <w:rsid w:val="00893D88"/>
    <w:rsid w:val="00893E02"/>
    <w:rsid w:val="008943F4"/>
    <w:rsid w:val="008957D2"/>
    <w:rsid w:val="008958EF"/>
    <w:rsid w:val="00895E24"/>
    <w:rsid w:val="00896BEC"/>
    <w:rsid w:val="00896C75"/>
    <w:rsid w:val="008974DB"/>
    <w:rsid w:val="00897558"/>
    <w:rsid w:val="008A04B7"/>
    <w:rsid w:val="008A09B9"/>
    <w:rsid w:val="008A0E45"/>
    <w:rsid w:val="008A1A1C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2C2B"/>
    <w:rsid w:val="008C4165"/>
    <w:rsid w:val="008C54E1"/>
    <w:rsid w:val="008C577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37BD"/>
    <w:rsid w:val="008E5187"/>
    <w:rsid w:val="008E5A95"/>
    <w:rsid w:val="008E5D9E"/>
    <w:rsid w:val="008E6971"/>
    <w:rsid w:val="008E7282"/>
    <w:rsid w:val="008E7910"/>
    <w:rsid w:val="008F0A5C"/>
    <w:rsid w:val="008F0FDA"/>
    <w:rsid w:val="008F1612"/>
    <w:rsid w:val="008F1BD5"/>
    <w:rsid w:val="008F2959"/>
    <w:rsid w:val="008F3F84"/>
    <w:rsid w:val="008F4115"/>
    <w:rsid w:val="008F42FB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59D"/>
    <w:rsid w:val="0090383F"/>
    <w:rsid w:val="009049BC"/>
    <w:rsid w:val="0090501A"/>
    <w:rsid w:val="0090558C"/>
    <w:rsid w:val="009068D0"/>
    <w:rsid w:val="00906962"/>
    <w:rsid w:val="00906C3E"/>
    <w:rsid w:val="00907E53"/>
    <w:rsid w:val="00910926"/>
    <w:rsid w:val="00911346"/>
    <w:rsid w:val="009117CC"/>
    <w:rsid w:val="00911CAF"/>
    <w:rsid w:val="00911D2E"/>
    <w:rsid w:val="00912140"/>
    <w:rsid w:val="0091396B"/>
    <w:rsid w:val="00913AF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173C6"/>
    <w:rsid w:val="00917637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3241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4956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3C71"/>
    <w:rsid w:val="00974BE4"/>
    <w:rsid w:val="00974C0B"/>
    <w:rsid w:val="00974EC8"/>
    <w:rsid w:val="0097518B"/>
    <w:rsid w:val="00975612"/>
    <w:rsid w:val="00975E68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5EA4"/>
    <w:rsid w:val="009871DC"/>
    <w:rsid w:val="00987AF9"/>
    <w:rsid w:val="0099072A"/>
    <w:rsid w:val="00990E18"/>
    <w:rsid w:val="00991393"/>
    <w:rsid w:val="00991CD3"/>
    <w:rsid w:val="00993455"/>
    <w:rsid w:val="009942DB"/>
    <w:rsid w:val="0099516A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41BE"/>
    <w:rsid w:val="009A42CF"/>
    <w:rsid w:val="009A4931"/>
    <w:rsid w:val="009A4D40"/>
    <w:rsid w:val="009A61D1"/>
    <w:rsid w:val="009A64A5"/>
    <w:rsid w:val="009A6824"/>
    <w:rsid w:val="009A68EF"/>
    <w:rsid w:val="009A6AFC"/>
    <w:rsid w:val="009A6CC4"/>
    <w:rsid w:val="009A7852"/>
    <w:rsid w:val="009A7C9F"/>
    <w:rsid w:val="009B0507"/>
    <w:rsid w:val="009B1C61"/>
    <w:rsid w:val="009B1C75"/>
    <w:rsid w:val="009B22A4"/>
    <w:rsid w:val="009B25C8"/>
    <w:rsid w:val="009B314F"/>
    <w:rsid w:val="009B452D"/>
    <w:rsid w:val="009B4A77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5F91"/>
    <w:rsid w:val="009C5FED"/>
    <w:rsid w:val="009C6BF7"/>
    <w:rsid w:val="009C71A7"/>
    <w:rsid w:val="009D067F"/>
    <w:rsid w:val="009D167D"/>
    <w:rsid w:val="009D1BD2"/>
    <w:rsid w:val="009D27F4"/>
    <w:rsid w:val="009D34A4"/>
    <w:rsid w:val="009D3C6E"/>
    <w:rsid w:val="009D40D0"/>
    <w:rsid w:val="009D4A19"/>
    <w:rsid w:val="009D4B7A"/>
    <w:rsid w:val="009D4C6D"/>
    <w:rsid w:val="009D538C"/>
    <w:rsid w:val="009D5834"/>
    <w:rsid w:val="009D6AEE"/>
    <w:rsid w:val="009E0E19"/>
    <w:rsid w:val="009E16EA"/>
    <w:rsid w:val="009E1E52"/>
    <w:rsid w:val="009E1F22"/>
    <w:rsid w:val="009E288E"/>
    <w:rsid w:val="009E35CB"/>
    <w:rsid w:val="009E47AB"/>
    <w:rsid w:val="009E51E1"/>
    <w:rsid w:val="009E5780"/>
    <w:rsid w:val="009E5B4E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41D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3FCD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2980"/>
    <w:rsid w:val="00A2329E"/>
    <w:rsid w:val="00A24080"/>
    <w:rsid w:val="00A2408F"/>
    <w:rsid w:val="00A24168"/>
    <w:rsid w:val="00A245F6"/>
    <w:rsid w:val="00A2480C"/>
    <w:rsid w:val="00A25914"/>
    <w:rsid w:val="00A25B8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8EF"/>
    <w:rsid w:val="00A32A97"/>
    <w:rsid w:val="00A32CC0"/>
    <w:rsid w:val="00A33B90"/>
    <w:rsid w:val="00A33EF5"/>
    <w:rsid w:val="00A35C8F"/>
    <w:rsid w:val="00A37423"/>
    <w:rsid w:val="00A3760E"/>
    <w:rsid w:val="00A37787"/>
    <w:rsid w:val="00A3788D"/>
    <w:rsid w:val="00A37A23"/>
    <w:rsid w:val="00A37A8B"/>
    <w:rsid w:val="00A406C1"/>
    <w:rsid w:val="00A40DB7"/>
    <w:rsid w:val="00A4164F"/>
    <w:rsid w:val="00A41AFB"/>
    <w:rsid w:val="00A4237C"/>
    <w:rsid w:val="00A42648"/>
    <w:rsid w:val="00A42764"/>
    <w:rsid w:val="00A42FDA"/>
    <w:rsid w:val="00A43286"/>
    <w:rsid w:val="00A43546"/>
    <w:rsid w:val="00A438D1"/>
    <w:rsid w:val="00A43D16"/>
    <w:rsid w:val="00A44F25"/>
    <w:rsid w:val="00A450AD"/>
    <w:rsid w:val="00A4525F"/>
    <w:rsid w:val="00A45510"/>
    <w:rsid w:val="00A4555F"/>
    <w:rsid w:val="00A45A8E"/>
    <w:rsid w:val="00A46007"/>
    <w:rsid w:val="00A463BE"/>
    <w:rsid w:val="00A46BA1"/>
    <w:rsid w:val="00A5005A"/>
    <w:rsid w:val="00A50577"/>
    <w:rsid w:val="00A5468C"/>
    <w:rsid w:val="00A54E38"/>
    <w:rsid w:val="00A54F2C"/>
    <w:rsid w:val="00A55267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36C"/>
    <w:rsid w:val="00A64770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36"/>
    <w:rsid w:val="00A6798E"/>
    <w:rsid w:val="00A67B4E"/>
    <w:rsid w:val="00A71B18"/>
    <w:rsid w:val="00A71E26"/>
    <w:rsid w:val="00A73800"/>
    <w:rsid w:val="00A73BBD"/>
    <w:rsid w:val="00A73F10"/>
    <w:rsid w:val="00A73F90"/>
    <w:rsid w:val="00A76363"/>
    <w:rsid w:val="00A76519"/>
    <w:rsid w:val="00A7678D"/>
    <w:rsid w:val="00A773F1"/>
    <w:rsid w:val="00A776BE"/>
    <w:rsid w:val="00A77F3C"/>
    <w:rsid w:val="00A80931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1D8"/>
    <w:rsid w:val="00A872E7"/>
    <w:rsid w:val="00A878E1"/>
    <w:rsid w:val="00A90231"/>
    <w:rsid w:val="00A91D90"/>
    <w:rsid w:val="00A94367"/>
    <w:rsid w:val="00A94901"/>
    <w:rsid w:val="00A9533C"/>
    <w:rsid w:val="00A953E6"/>
    <w:rsid w:val="00A96213"/>
    <w:rsid w:val="00A9688B"/>
    <w:rsid w:val="00A96D0B"/>
    <w:rsid w:val="00A96DC3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4F79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C4F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2D89"/>
    <w:rsid w:val="00AC3792"/>
    <w:rsid w:val="00AC3FC8"/>
    <w:rsid w:val="00AC4710"/>
    <w:rsid w:val="00AC546F"/>
    <w:rsid w:val="00AC55D6"/>
    <w:rsid w:val="00AC5E21"/>
    <w:rsid w:val="00AC691D"/>
    <w:rsid w:val="00AC69F1"/>
    <w:rsid w:val="00AC7B0D"/>
    <w:rsid w:val="00AC7C25"/>
    <w:rsid w:val="00AD0513"/>
    <w:rsid w:val="00AD069A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0D7"/>
    <w:rsid w:val="00AE35A2"/>
    <w:rsid w:val="00AE3EA3"/>
    <w:rsid w:val="00AE6C19"/>
    <w:rsid w:val="00AE78D8"/>
    <w:rsid w:val="00AE7D6B"/>
    <w:rsid w:val="00AF0865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1AF"/>
    <w:rsid w:val="00B01357"/>
    <w:rsid w:val="00B01615"/>
    <w:rsid w:val="00B0194F"/>
    <w:rsid w:val="00B01F54"/>
    <w:rsid w:val="00B021EA"/>
    <w:rsid w:val="00B0231C"/>
    <w:rsid w:val="00B02EE3"/>
    <w:rsid w:val="00B03553"/>
    <w:rsid w:val="00B03D5F"/>
    <w:rsid w:val="00B04792"/>
    <w:rsid w:val="00B04E45"/>
    <w:rsid w:val="00B050EF"/>
    <w:rsid w:val="00B05439"/>
    <w:rsid w:val="00B05DBA"/>
    <w:rsid w:val="00B05E6D"/>
    <w:rsid w:val="00B06085"/>
    <w:rsid w:val="00B07715"/>
    <w:rsid w:val="00B10B61"/>
    <w:rsid w:val="00B10E28"/>
    <w:rsid w:val="00B11015"/>
    <w:rsid w:val="00B11737"/>
    <w:rsid w:val="00B12E95"/>
    <w:rsid w:val="00B14080"/>
    <w:rsid w:val="00B15015"/>
    <w:rsid w:val="00B15B68"/>
    <w:rsid w:val="00B15C15"/>
    <w:rsid w:val="00B165DE"/>
    <w:rsid w:val="00B17140"/>
    <w:rsid w:val="00B1715C"/>
    <w:rsid w:val="00B20D0D"/>
    <w:rsid w:val="00B21099"/>
    <w:rsid w:val="00B210CE"/>
    <w:rsid w:val="00B215D4"/>
    <w:rsid w:val="00B21EE5"/>
    <w:rsid w:val="00B22FE9"/>
    <w:rsid w:val="00B23F66"/>
    <w:rsid w:val="00B241CC"/>
    <w:rsid w:val="00B24821"/>
    <w:rsid w:val="00B24906"/>
    <w:rsid w:val="00B25324"/>
    <w:rsid w:val="00B25576"/>
    <w:rsid w:val="00B25ED5"/>
    <w:rsid w:val="00B266AC"/>
    <w:rsid w:val="00B2672C"/>
    <w:rsid w:val="00B26BFD"/>
    <w:rsid w:val="00B276DB"/>
    <w:rsid w:val="00B27A9C"/>
    <w:rsid w:val="00B27DE2"/>
    <w:rsid w:val="00B30F11"/>
    <w:rsid w:val="00B311E7"/>
    <w:rsid w:val="00B31D9B"/>
    <w:rsid w:val="00B324FB"/>
    <w:rsid w:val="00B32BE4"/>
    <w:rsid w:val="00B32C72"/>
    <w:rsid w:val="00B32ED3"/>
    <w:rsid w:val="00B33192"/>
    <w:rsid w:val="00B33FBD"/>
    <w:rsid w:val="00B34EB5"/>
    <w:rsid w:val="00B34F92"/>
    <w:rsid w:val="00B35CB3"/>
    <w:rsid w:val="00B35EBC"/>
    <w:rsid w:val="00B36206"/>
    <w:rsid w:val="00B3670B"/>
    <w:rsid w:val="00B3789D"/>
    <w:rsid w:val="00B401DA"/>
    <w:rsid w:val="00B4148E"/>
    <w:rsid w:val="00B41CDA"/>
    <w:rsid w:val="00B41F3E"/>
    <w:rsid w:val="00B43F46"/>
    <w:rsid w:val="00B441BB"/>
    <w:rsid w:val="00B441F0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741"/>
    <w:rsid w:val="00B558BE"/>
    <w:rsid w:val="00B55C32"/>
    <w:rsid w:val="00B56D01"/>
    <w:rsid w:val="00B571B7"/>
    <w:rsid w:val="00B57331"/>
    <w:rsid w:val="00B5790F"/>
    <w:rsid w:val="00B607AD"/>
    <w:rsid w:val="00B60EA8"/>
    <w:rsid w:val="00B6206C"/>
    <w:rsid w:val="00B6250F"/>
    <w:rsid w:val="00B635C6"/>
    <w:rsid w:val="00B639F9"/>
    <w:rsid w:val="00B63A84"/>
    <w:rsid w:val="00B63FB2"/>
    <w:rsid w:val="00B65D9C"/>
    <w:rsid w:val="00B661A5"/>
    <w:rsid w:val="00B66222"/>
    <w:rsid w:val="00B6650A"/>
    <w:rsid w:val="00B66B6B"/>
    <w:rsid w:val="00B66F8F"/>
    <w:rsid w:val="00B67321"/>
    <w:rsid w:val="00B67F4F"/>
    <w:rsid w:val="00B701A5"/>
    <w:rsid w:val="00B7049A"/>
    <w:rsid w:val="00B70744"/>
    <w:rsid w:val="00B70D74"/>
    <w:rsid w:val="00B71507"/>
    <w:rsid w:val="00B71DD4"/>
    <w:rsid w:val="00B72A82"/>
    <w:rsid w:val="00B73658"/>
    <w:rsid w:val="00B73CBB"/>
    <w:rsid w:val="00B74102"/>
    <w:rsid w:val="00B74FD7"/>
    <w:rsid w:val="00B75E8B"/>
    <w:rsid w:val="00B76857"/>
    <w:rsid w:val="00B777F2"/>
    <w:rsid w:val="00B77E0F"/>
    <w:rsid w:val="00B77F95"/>
    <w:rsid w:val="00B812D1"/>
    <w:rsid w:val="00B822D5"/>
    <w:rsid w:val="00B82B20"/>
    <w:rsid w:val="00B82FEA"/>
    <w:rsid w:val="00B83160"/>
    <w:rsid w:val="00B83963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4D9"/>
    <w:rsid w:val="00B93DEF"/>
    <w:rsid w:val="00B95366"/>
    <w:rsid w:val="00B95670"/>
    <w:rsid w:val="00B9578B"/>
    <w:rsid w:val="00B95C53"/>
    <w:rsid w:val="00B95C5D"/>
    <w:rsid w:val="00B9686C"/>
    <w:rsid w:val="00B96D7E"/>
    <w:rsid w:val="00B97121"/>
    <w:rsid w:val="00B97D60"/>
    <w:rsid w:val="00BA08BE"/>
    <w:rsid w:val="00BA095D"/>
    <w:rsid w:val="00BA0D04"/>
    <w:rsid w:val="00BA17A3"/>
    <w:rsid w:val="00BA2642"/>
    <w:rsid w:val="00BA26DE"/>
    <w:rsid w:val="00BA2ED2"/>
    <w:rsid w:val="00BA3DDE"/>
    <w:rsid w:val="00BA40C6"/>
    <w:rsid w:val="00BA44A2"/>
    <w:rsid w:val="00BA44E0"/>
    <w:rsid w:val="00BA5083"/>
    <w:rsid w:val="00BA558F"/>
    <w:rsid w:val="00BA600C"/>
    <w:rsid w:val="00BA7404"/>
    <w:rsid w:val="00BA798E"/>
    <w:rsid w:val="00BA7A01"/>
    <w:rsid w:val="00BA7AE5"/>
    <w:rsid w:val="00BB0200"/>
    <w:rsid w:val="00BB02D3"/>
    <w:rsid w:val="00BB0317"/>
    <w:rsid w:val="00BB0440"/>
    <w:rsid w:val="00BB0578"/>
    <w:rsid w:val="00BB090B"/>
    <w:rsid w:val="00BB0AD6"/>
    <w:rsid w:val="00BB1A7D"/>
    <w:rsid w:val="00BB2E70"/>
    <w:rsid w:val="00BB355E"/>
    <w:rsid w:val="00BB4CDF"/>
    <w:rsid w:val="00BB50B0"/>
    <w:rsid w:val="00BB57B7"/>
    <w:rsid w:val="00BB6B84"/>
    <w:rsid w:val="00BB7277"/>
    <w:rsid w:val="00BC045A"/>
    <w:rsid w:val="00BC0D09"/>
    <w:rsid w:val="00BC1400"/>
    <w:rsid w:val="00BC29E2"/>
    <w:rsid w:val="00BC4002"/>
    <w:rsid w:val="00BC46EA"/>
    <w:rsid w:val="00BC49CA"/>
    <w:rsid w:val="00BC4E19"/>
    <w:rsid w:val="00BC5F43"/>
    <w:rsid w:val="00BC61B6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13B"/>
    <w:rsid w:val="00BD49A5"/>
    <w:rsid w:val="00BD49BD"/>
    <w:rsid w:val="00BD5032"/>
    <w:rsid w:val="00BD5865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968"/>
    <w:rsid w:val="00BE4CBF"/>
    <w:rsid w:val="00BE59CF"/>
    <w:rsid w:val="00BF0218"/>
    <w:rsid w:val="00BF1B6B"/>
    <w:rsid w:val="00BF1EEA"/>
    <w:rsid w:val="00BF22E3"/>
    <w:rsid w:val="00BF2DE2"/>
    <w:rsid w:val="00BF2FF1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8C9"/>
    <w:rsid w:val="00C04A0B"/>
    <w:rsid w:val="00C05AB7"/>
    <w:rsid w:val="00C06C3B"/>
    <w:rsid w:val="00C06ED3"/>
    <w:rsid w:val="00C075E0"/>
    <w:rsid w:val="00C1065A"/>
    <w:rsid w:val="00C10E3A"/>
    <w:rsid w:val="00C11BC8"/>
    <w:rsid w:val="00C12018"/>
    <w:rsid w:val="00C12FAD"/>
    <w:rsid w:val="00C138AB"/>
    <w:rsid w:val="00C13B7B"/>
    <w:rsid w:val="00C14E33"/>
    <w:rsid w:val="00C15F9E"/>
    <w:rsid w:val="00C15FCE"/>
    <w:rsid w:val="00C20D5E"/>
    <w:rsid w:val="00C21766"/>
    <w:rsid w:val="00C21DA8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578F"/>
    <w:rsid w:val="00C276DD"/>
    <w:rsid w:val="00C27F9F"/>
    <w:rsid w:val="00C30DB5"/>
    <w:rsid w:val="00C31037"/>
    <w:rsid w:val="00C31765"/>
    <w:rsid w:val="00C32E02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4F89"/>
    <w:rsid w:val="00C3563E"/>
    <w:rsid w:val="00C35C85"/>
    <w:rsid w:val="00C35DF1"/>
    <w:rsid w:val="00C36A7B"/>
    <w:rsid w:val="00C36AE2"/>
    <w:rsid w:val="00C40014"/>
    <w:rsid w:val="00C4076F"/>
    <w:rsid w:val="00C4077E"/>
    <w:rsid w:val="00C41167"/>
    <w:rsid w:val="00C41BA2"/>
    <w:rsid w:val="00C41C75"/>
    <w:rsid w:val="00C43393"/>
    <w:rsid w:val="00C44EE1"/>
    <w:rsid w:val="00C44FA0"/>
    <w:rsid w:val="00C45232"/>
    <w:rsid w:val="00C45DE2"/>
    <w:rsid w:val="00C45E24"/>
    <w:rsid w:val="00C4623F"/>
    <w:rsid w:val="00C46537"/>
    <w:rsid w:val="00C468F6"/>
    <w:rsid w:val="00C46F2A"/>
    <w:rsid w:val="00C47C7A"/>
    <w:rsid w:val="00C47F17"/>
    <w:rsid w:val="00C502C7"/>
    <w:rsid w:val="00C50340"/>
    <w:rsid w:val="00C5094C"/>
    <w:rsid w:val="00C520DC"/>
    <w:rsid w:val="00C5221A"/>
    <w:rsid w:val="00C52B51"/>
    <w:rsid w:val="00C52C14"/>
    <w:rsid w:val="00C552C3"/>
    <w:rsid w:val="00C55BF6"/>
    <w:rsid w:val="00C55DD3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56CA"/>
    <w:rsid w:val="00C65951"/>
    <w:rsid w:val="00C65A46"/>
    <w:rsid w:val="00C66AEA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3B8B"/>
    <w:rsid w:val="00C73F75"/>
    <w:rsid w:val="00C74D3B"/>
    <w:rsid w:val="00C754D8"/>
    <w:rsid w:val="00C75C27"/>
    <w:rsid w:val="00C76D3A"/>
    <w:rsid w:val="00C77CE3"/>
    <w:rsid w:val="00C81268"/>
    <w:rsid w:val="00C81942"/>
    <w:rsid w:val="00C82B51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2FF"/>
    <w:rsid w:val="00C91496"/>
    <w:rsid w:val="00C9165C"/>
    <w:rsid w:val="00C91BCF"/>
    <w:rsid w:val="00C91D28"/>
    <w:rsid w:val="00C91F26"/>
    <w:rsid w:val="00C926F4"/>
    <w:rsid w:val="00C92B2C"/>
    <w:rsid w:val="00C92FFF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0EA"/>
    <w:rsid w:val="00C97145"/>
    <w:rsid w:val="00C97510"/>
    <w:rsid w:val="00C977DF"/>
    <w:rsid w:val="00CA00B2"/>
    <w:rsid w:val="00CA02FD"/>
    <w:rsid w:val="00CA248C"/>
    <w:rsid w:val="00CA3BC7"/>
    <w:rsid w:val="00CA461A"/>
    <w:rsid w:val="00CA4B43"/>
    <w:rsid w:val="00CA71BA"/>
    <w:rsid w:val="00CA77CC"/>
    <w:rsid w:val="00CB170A"/>
    <w:rsid w:val="00CB237B"/>
    <w:rsid w:val="00CB308D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5C"/>
    <w:rsid w:val="00CC25F5"/>
    <w:rsid w:val="00CC2AD2"/>
    <w:rsid w:val="00CC2D50"/>
    <w:rsid w:val="00CC311B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6030"/>
    <w:rsid w:val="00CD71A7"/>
    <w:rsid w:val="00CE0186"/>
    <w:rsid w:val="00CE02BB"/>
    <w:rsid w:val="00CE05FB"/>
    <w:rsid w:val="00CE07E7"/>
    <w:rsid w:val="00CE09E6"/>
    <w:rsid w:val="00CE10AB"/>
    <w:rsid w:val="00CE10B2"/>
    <w:rsid w:val="00CE1598"/>
    <w:rsid w:val="00CE1B7C"/>
    <w:rsid w:val="00CE1C69"/>
    <w:rsid w:val="00CE2A76"/>
    <w:rsid w:val="00CE2DBC"/>
    <w:rsid w:val="00CE42A0"/>
    <w:rsid w:val="00CE4B8A"/>
    <w:rsid w:val="00CE4CCD"/>
    <w:rsid w:val="00CE54B4"/>
    <w:rsid w:val="00CE5B44"/>
    <w:rsid w:val="00CE6335"/>
    <w:rsid w:val="00CE6AAE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961"/>
    <w:rsid w:val="00CF7FEB"/>
    <w:rsid w:val="00D0010D"/>
    <w:rsid w:val="00D00BF4"/>
    <w:rsid w:val="00D00EE0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1F76"/>
    <w:rsid w:val="00D12808"/>
    <w:rsid w:val="00D14283"/>
    <w:rsid w:val="00D14388"/>
    <w:rsid w:val="00D14A88"/>
    <w:rsid w:val="00D14FA1"/>
    <w:rsid w:val="00D152EE"/>
    <w:rsid w:val="00D17823"/>
    <w:rsid w:val="00D17AA3"/>
    <w:rsid w:val="00D2064A"/>
    <w:rsid w:val="00D218D6"/>
    <w:rsid w:val="00D224D0"/>
    <w:rsid w:val="00D22EEA"/>
    <w:rsid w:val="00D230BD"/>
    <w:rsid w:val="00D239E9"/>
    <w:rsid w:val="00D23C21"/>
    <w:rsid w:val="00D23D9B"/>
    <w:rsid w:val="00D24622"/>
    <w:rsid w:val="00D24C61"/>
    <w:rsid w:val="00D24EEE"/>
    <w:rsid w:val="00D25E02"/>
    <w:rsid w:val="00D25FEF"/>
    <w:rsid w:val="00D3040F"/>
    <w:rsid w:val="00D31C5A"/>
    <w:rsid w:val="00D32FD3"/>
    <w:rsid w:val="00D33012"/>
    <w:rsid w:val="00D33111"/>
    <w:rsid w:val="00D332DE"/>
    <w:rsid w:val="00D33878"/>
    <w:rsid w:val="00D34657"/>
    <w:rsid w:val="00D349B7"/>
    <w:rsid w:val="00D34A2E"/>
    <w:rsid w:val="00D34A3F"/>
    <w:rsid w:val="00D35089"/>
    <w:rsid w:val="00D35772"/>
    <w:rsid w:val="00D36D23"/>
    <w:rsid w:val="00D373DD"/>
    <w:rsid w:val="00D40BC4"/>
    <w:rsid w:val="00D40DE5"/>
    <w:rsid w:val="00D4115C"/>
    <w:rsid w:val="00D41B85"/>
    <w:rsid w:val="00D42C3C"/>
    <w:rsid w:val="00D43D12"/>
    <w:rsid w:val="00D442D0"/>
    <w:rsid w:val="00D44392"/>
    <w:rsid w:val="00D4485D"/>
    <w:rsid w:val="00D45454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8BF"/>
    <w:rsid w:val="00D55922"/>
    <w:rsid w:val="00D55B56"/>
    <w:rsid w:val="00D56884"/>
    <w:rsid w:val="00D56B24"/>
    <w:rsid w:val="00D573B7"/>
    <w:rsid w:val="00D6016A"/>
    <w:rsid w:val="00D60482"/>
    <w:rsid w:val="00D61A96"/>
    <w:rsid w:val="00D62DC7"/>
    <w:rsid w:val="00D64160"/>
    <w:rsid w:val="00D648BD"/>
    <w:rsid w:val="00D648FE"/>
    <w:rsid w:val="00D64AAF"/>
    <w:rsid w:val="00D6690F"/>
    <w:rsid w:val="00D66DE0"/>
    <w:rsid w:val="00D670B4"/>
    <w:rsid w:val="00D67259"/>
    <w:rsid w:val="00D677F5"/>
    <w:rsid w:val="00D67E77"/>
    <w:rsid w:val="00D70181"/>
    <w:rsid w:val="00D70607"/>
    <w:rsid w:val="00D708C0"/>
    <w:rsid w:val="00D709FB"/>
    <w:rsid w:val="00D713DC"/>
    <w:rsid w:val="00D71616"/>
    <w:rsid w:val="00D72281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A0"/>
    <w:rsid w:val="00D914F7"/>
    <w:rsid w:val="00D92E1E"/>
    <w:rsid w:val="00D932BA"/>
    <w:rsid w:val="00D93C4C"/>
    <w:rsid w:val="00D93C9B"/>
    <w:rsid w:val="00D9451A"/>
    <w:rsid w:val="00D94B97"/>
    <w:rsid w:val="00D94DFE"/>
    <w:rsid w:val="00D96620"/>
    <w:rsid w:val="00D97BA4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01EF"/>
    <w:rsid w:val="00DB2142"/>
    <w:rsid w:val="00DB2301"/>
    <w:rsid w:val="00DB248A"/>
    <w:rsid w:val="00DB29EE"/>
    <w:rsid w:val="00DB2EDA"/>
    <w:rsid w:val="00DB2FFA"/>
    <w:rsid w:val="00DB33CE"/>
    <w:rsid w:val="00DB3BAD"/>
    <w:rsid w:val="00DB441C"/>
    <w:rsid w:val="00DB6217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773"/>
    <w:rsid w:val="00DD3B60"/>
    <w:rsid w:val="00DD3D71"/>
    <w:rsid w:val="00DD43F4"/>
    <w:rsid w:val="00DD473C"/>
    <w:rsid w:val="00DD4CA1"/>
    <w:rsid w:val="00DD5296"/>
    <w:rsid w:val="00DD547F"/>
    <w:rsid w:val="00DD59EA"/>
    <w:rsid w:val="00DD6C38"/>
    <w:rsid w:val="00DE0CD5"/>
    <w:rsid w:val="00DE0FE9"/>
    <w:rsid w:val="00DE16F3"/>
    <w:rsid w:val="00DE1B83"/>
    <w:rsid w:val="00DE32E2"/>
    <w:rsid w:val="00DE42BF"/>
    <w:rsid w:val="00DE45A6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2ADA"/>
    <w:rsid w:val="00DF2E9B"/>
    <w:rsid w:val="00DF3202"/>
    <w:rsid w:val="00DF33AF"/>
    <w:rsid w:val="00DF3D34"/>
    <w:rsid w:val="00DF4924"/>
    <w:rsid w:val="00DF619E"/>
    <w:rsid w:val="00DF65F5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52B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794"/>
    <w:rsid w:val="00E20F30"/>
    <w:rsid w:val="00E22009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27E91"/>
    <w:rsid w:val="00E30A6E"/>
    <w:rsid w:val="00E31526"/>
    <w:rsid w:val="00E31D44"/>
    <w:rsid w:val="00E32251"/>
    <w:rsid w:val="00E326AF"/>
    <w:rsid w:val="00E33365"/>
    <w:rsid w:val="00E33896"/>
    <w:rsid w:val="00E33E7F"/>
    <w:rsid w:val="00E34061"/>
    <w:rsid w:val="00E34A31"/>
    <w:rsid w:val="00E34B7A"/>
    <w:rsid w:val="00E355C8"/>
    <w:rsid w:val="00E35646"/>
    <w:rsid w:val="00E362B9"/>
    <w:rsid w:val="00E369B3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57C"/>
    <w:rsid w:val="00E428BC"/>
    <w:rsid w:val="00E4315A"/>
    <w:rsid w:val="00E4322D"/>
    <w:rsid w:val="00E43331"/>
    <w:rsid w:val="00E4401C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2C99"/>
    <w:rsid w:val="00E537EB"/>
    <w:rsid w:val="00E53A59"/>
    <w:rsid w:val="00E53E33"/>
    <w:rsid w:val="00E544FB"/>
    <w:rsid w:val="00E56786"/>
    <w:rsid w:val="00E56A01"/>
    <w:rsid w:val="00E57477"/>
    <w:rsid w:val="00E6017D"/>
    <w:rsid w:val="00E607A2"/>
    <w:rsid w:val="00E60B1F"/>
    <w:rsid w:val="00E61480"/>
    <w:rsid w:val="00E6154F"/>
    <w:rsid w:val="00E61960"/>
    <w:rsid w:val="00E61AF4"/>
    <w:rsid w:val="00E61D41"/>
    <w:rsid w:val="00E61D83"/>
    <w:rsid w:val="00E61F2B"/>
    <w:rsid w:val="00E62497"/>
    <w:rsid w:val="00E62938"/>
    <w:rsid w:val="00E62C02"/>
    <w:rsid w:val="00E63554"/>
    <w:rsid w:val="00E63E25"/>
    <w:rsid w:val="00E63ED0"/>
    <w:rsid w:val="00E646EE"/>
    <w:rsid w:val="00E657D6"/>
    <w:rsid w:val="00E6605C"/>
    <w:rsid w:val="00E66B8A"/>
    <w:rsid w:val="00E66E01"/>
    <w:rsid w:val="00E66F49"/>
    <w:rsid w:val="00E671DC"/>
    <w:rsid w:val="00E6747E"/>
    <w:rsid w:val="00E7095D"/>
    <w:rsid w:val="00E709EA"/>
    <w:rsid w:val="00E70F18"/>
    <w:rsid w:val="00E713BB"/>
    <w:rsid w:val="00E7165C"/>
    <w:rsid w:val="00E72B7D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891"/>
    <w:rsid w:val="00E81B54"/>
    <w:rsid w:val="00E82566"/>
    <w:rsid w:val="00E82983"/>
    <w:rsid w:val="00E83150"/>
    <w:rsid w:val="00E833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AC7"/>
    <w:rsid w:val="00E93B96"/>
    <w:rsid w:val="00E94014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633"/>
    <w:rsid w:val="00EA48E0"/>
    <w:rsid w:val="00EA4E3A"/>
    <w:rsid w:val="00EA569B"/>
    <w:rsid w:val="00EA5993"/>
    <w:rsid w:val="00EA6343"/>
    <w:rsid w:val="00EA6CB9"/>
    <w:rsid w:val="00EA705E"/>
    <w:rsid w:val="00EA78A2"/>
    <w:rsid w:val="00EA7AE8"/>
    <w:rsid w:val="00EB04A6"/>
    <w:rsid w:val="00EB06BB"/>
    <w:rsid w:val="00EB1DAF"/>
    <w:rsid w:val="00EB2BEE"/>
    <w:rsid w:val="00EB3915"/>
    <w:rsid w:val="00EB75D3"/>
    <w:rsid w:val="00EB7C0F"/>
    <w:rsid w:val="00EC0138"/>
    <w:rsid w:val="00EC0983"/>
    <w:rsid w:val="00EC0A19"/>
    <w:rsid w:val="00EC0EEC"/>
    <w:rsid w:val="00EC1D9E"/>
    <w:rsid w:val="00EC24A2"/>
    <w:rsid w:val="00EC255D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6A4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435"/>
    <w:rsid w:val="00ED7975"/>
    <w:rsid w:val="00ED7ACE"/>
    <w:rsid w:val="00EE24E5"/>
    <w:rsid w:val="00EE2B8E"/>
    <w:rsid w:val="00EE2C05"/>
    <w:rsid w:val="00EE3A14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666"/>
    <w:rsid w:val="00EF3D27"/>
    <w:rsid w:val="00EF50D7"/>
    <w:rsid w:val="00EF64FF"/>
    <w:rsid w:val="00EF6C85"/>
    <w:rsid w:val="00EF6DF5"/>
    <w:rsid w:val="00F00457"/>
    <w:rsid w:val="00F019EB"/>
    <w:rsid w:val="00F023BF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093"/>
    <w:rsid w:val="00F1321F"/>
    <w:rsid w:val="00F15ECF"/>
    <w:rsid w:val="00F16223"/>
    <w:rsid w:val="00F165F2"/>
    <w:rsid w:val="00F16A08"/>
    <w:rsid w:val="00F16C8A"/>
    <w:rsid w:val="00F17C2A"/>
    <w:rsid w:val="00F2045B"/>
    <w:rsid w:val="00F20599"/>
    <w:rsid w:val="00F2260D"/>
    <w:rsid w:val="00F22B10"/>
    <w:rsid w:val="00F23A93"/>
    <w:rsid w:val="00F23CEA"/>
    <w:rsid w:val="00F240C0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0E3"/>
    <w:rsid w:val="00F33C62"/>
    <w:rsid w:val="00F3480D"/>
    <w:rsid w:val="00F348D4"/>
    <w:rsid w:val="00F34B0D"/>
    <w:rsid w:val="00F35032"/>
    <w:rsid w:val="00F35AA9"/>
    <w:rsid w:val="00F35F8E"/>
    <w:rsid w:val="00F3681C"/>
    <w:rsid w:val="00F36A54"/>
    <w:rsid w:val="00F373A1"/>
    <w:rsid w:val="00F37431"/>
    <w:rsid w:val="00F37E81"/>
    <w:rsid w:val="00F405A9"/>
    <w:rsid w:val="00F41B0E"/>
    <w:rsid w:val="00F41B15"/>
    <w:rsid w:val="00F4221F"/>
    <w:rsid w:val="00F42384"/>
    <w:rsid w:val="00F42C7D"/>
    <w:rsid w:val="00F4306A"/>
    <w:rsid w:val="00F432D2"/>
    <w:rsid w:val="00F434A1"/>
    <w:rsid w:val="00F43895"/>
    <w:rsid w:val="00F438A6"/>
    <w:rsid w:val="00F43CED"/>
    <w:rsid w:val="00F43F00"/>
    <w:rsid w:val="00F44CA3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AC1"/>
    <w:rsid w:val="00F53EE8"/>
    <w:rsid w:val="00F544A5"/>
    <w:rsid w:val="00F54FFA"/>
    <w:rsid w:val="00F566D6"/>
    <w:rsid w:val="00F57721"/>
    <w:rsid w:val="00F57BEC"/>
    <w:rsid w:val="00F60151"/>
    <w:rsid w:val="00F611CE"/>
    <w:rsid w:val="00F61D8C"/>
    <w:rsid w:val="00F61E51"/>
    <w:rsid w:val="00F6258E"/>
    <w:rsid w:val="00F635A5"/>
    <w:rsid w:val="00F6381A"/>
    <w:rsid w:val="00F64432"/>
    <w:rsid w:val="00F65545"/>
    <w:rsid w:val="00F660D9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76C8C"/>
    <w:rsid w:val="00F8092D"/>
    <w:rsid w:val="00F818FD"/>
    <w:rsid w:val="00F833AF"/>
    <w:rsid w:val="00F8379A"/>
    <w:rsid w:val="00F839F8"/>
    <w:rsid w:val="00F83FCE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4D7D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694"/>
    <w:rsid w:val="00FA588E"/>
    <w:rsid w:val="00FA609E"/>
    <w:rsid w:val="00FA7342"/>
    <w:rsid w:val="00FB111F"/>
    <w:rsid w:val="00FB13C1"/>
    <w:rsid w:val="00FB1F92"/>
    <w:rsid w:val="00FB2C18"/>
    <w:rsid w:val="00FB399E"/>
    <w:rsid w:val="00FB3E94"/>
    <w:rsid w:val="00FB52B9"/>
    <w:rsid w:val="00FB5DBA"/>
    <w:rsid w:val="00FB74B4"/>
    <w:rsid w:val="00FB7F03"/>
    <w:rsid w:val="00FC0F65"/>
    <w:rsid w:val="00FC14DC"/>
    <w:rsid w:val="00FC20EC"/>
    <w:rsid w:val="00FC236B"/>
    <w:rsid w:val="00FC37FB"/>
    <w:rsid w:val="00FC3AF4"/>
    <w:rsid w:val="00FC4217"/>
    <w:rsid w:val="00FC4D96"/>
    <w:rsid w:val="00FC5223"/>
    <w:rsid w:val="00FC5317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3DD8"/>
    <w:rsid w:val="00FD4603"/>
    <w:rsid w:val="00FD5498"/>
    <w:rsid w:val="00FD5F25"/>
    <w:rsid w:val="00FD6645"/>
    <w:rsid w:val="00FD778E"/>
    <w:rsid w:val="00FE06CD"/>
    <w:rsid w:val="00FE10CC"/>
    <w:rsid w:val="00FE1C9F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4E93"/>
    <w:rsid w:val="00FE508C"/>
    <w:rsid w:val="00FE56FA"/>
    <w:rsid w:val="00FE5A14"/>
    <w:rsid w:val="00FE5DA6"/>
    <w:rsid w:val="00FE6830"/>
    <w:rsid w:val="00FE6E72"/>
    <w:rsid w:val="00FE78EE"/>
    <w:rsid w:val="00FF02D1"/>
    <w:rsid w:val="00FF04EF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19B0A-3036-4B44-BB15-4AB0C315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B05DBA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6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1/bmj.m490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469-18F5-4969-8546-9FB39386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14</cp:revision>
  <cp:lastPrinted>2020-12-02T12:15:00Z</cp:lastPrinted>
  <dcterms:created xsi:type="dcterms:W3CDTF">2021-01-14T07:21:00Z</dcterms:created>
  <dcterms:modified xsi:type="dcterms:W3CDTF">2021-01-14T09:01:00Z</dcterms:modified>
</cp:coreProperties>
</file>