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55F74" w14:textId="77777777" w:rsidR="00972F01" w:rsidRPr="00972F01" w:rsidRDefault="003F08D1" w:rsidP="00972F01">
      <w:pPr>
        <w:spacing w:after="0" w:line="276" w:lineRule="auto"/>
        <w:jc w:val="center"/>
        <w:rPr>
          <w:b/>
          <w:bCs/>
          <w:color w:val="auto"/>
          <w:sz w:val="30"/>
          <w:szCs w:val="30"/>
        </w:rPr>
      </w:pPr>
      <w:r w:rsidRPr="00AA367C">
        <w:rPr>
          <w:b/>
          <w:bCs/>
          <w:color w:val="auto"/>
          <w:sz w:val="32"/>
          <w:szCs w:val="31"/>
        </w:rPr>
        <w:t>COMUNICATO STAMPA</w:t>
      </w:r>
      <w:r w:rsidRPr="005529BC">
        <w:rPr>
          <w:b/>
          <w:bCs/>
          <w:color w:val="FF0000"/>
          <w:sz w:val="32"/>
          <w:szCs w:val="31"/>
        </w:rPr>
        <w:br/>
      </w:r>
      <w:r w:rsidRPr="00AA367C">
        <w:rPr>
          <w:b/>
          <w:bCs/>
          <w:color w:val="auto"/>
          <w:sz w:val="30"/>
          <w:szCs w:val="30"/>
        </w:rPr>
        <w:t xml:space="preserve">CORONAVIRUS: </w:t>
      </w:r>
      <w:r w:rsidR="00AA367C" w:rsidRPr="00AA367C">
        <w:rPr>
          <w:b/>
          <w:bCs/>
          <w:color w:val="auto"/>
          <w:sz w:val="30"/>
          <w:szCs w:val="30"/>
        </w:rPr>
        <w:t>RALLENTA L</w:t>
      </w:r>
      <w:r w:rsidR="005E20FC">
        <w:rPr>
          <w:b/>
          <w:bCs/>
          <w:color w:val="auto"/>
          <w:sz w:val="30"/>
          <w:szCs w:val="30"/>
        </w:rPr>
        <w:t>A CRESCITA</w:t>
      </w:r>
      <w:r w:rsidR="00AA367C" w:rsidRPr="00AA367C">
        <w:rPr>
          <w:b/>
          <w:bCs/>
          <w:color w:val="auto"/>
          <w:sz w:val="30"/>
          <w:szCs w:val="30"/>
        </w:rPr>
        <w:t xml:space="preserve"> DE</w:t>
      </w:r>
      <w:r w:rsidRPr="00AA367C">
        <w:rPr>
          <w:b/>
          <w:bCs/>
          <w:color w:val="auto"/>
          <w:sz w:val="30"/>
          <w:szCs w:val="30"/>
        </w:rPr>
        <w:t xml:space="preserve">I </w:t>
      </w:r>
      <w:r w:rsidR="00F66909">
        <w:rPr>
          <w:b/>
          <w:bCs/>
          <w:color w:val="auto"/>
          <w:sz w:val="30"/>
          <w:szCs w:val="30"/>
        </w:rPr>
        <w:t>NUOVI CASI</w:t>
      </w:r>
      <w:r w:rsidR="00C61628">
        <w:rPr>
          <w:b/>
          <w:bCs/>
          <w:color w:val="auto"/>
          <w:sz w:val="30"/>
          <w:szCs w:val="30"/>
        </w:rPr>
        <w:t xml:space="preserve"> (</w:t>
      </w:r>
      <w:r w:rsidRPr="00AA367C">
        <w:rPr>
          <w:b/>
          <w:bCs/>
          <w:color w:val="auto"/>
          <w:sz w:val="30"/>
          <w:szCs w:val="30"/>
        </w:rPr>
        <w:t>+</w:t>
      </w:r>
      <w:r w:rsidR="00AA367C" w:rsidRPr="00AA367C">
        <w:rPr>
          <w:b/>
          <w:bCs/>
          <w:color w:val="auto"/>
          <w:sz w:val="30"/>
          <w:szCs w:val="30"/>
        </w:rPr>
        <w:t>22,4</w:t>
      </w:r>
      <w:r w:rsidRPr="00AA367C">
        <w:rPr>
          <w:b/>
          <w:bCs/>
          <w:color w:val="auto"/>
          <w:sz w:val="30"/>
          <w:szCs w:val="30"/>
        </w:rPr>
        <w:t xml:space="preserve">% IN </w:t>
      </w:r>
      <w:r w:rsidR="00AA367C" w:rsidRPr="00AA367C">
        <w:rPr>
          <w:b/>
          <w:bCs/>
          <w:color w:val="auto"/>
          <w:sz w:val="30"/>
          <w:szCs w:val="30"/>
        </w:rPr>
        <w:t xml:space="preserve">7 </w:t>
      </w:r>
      <w:r w:rsidR="00AA367C" w:rsidRPr="00972F01">
        <w:rPr>
          <w:b/>
          <w:bCs/>
          <w:color w:val="auto"/>
          <w:sz w:val="30"/>
          <w:szCs w:val="30"/>
        </w:rPr>
        <w:t>GIORNI</w:t>
      </w:r>
      <w:r w:rsidR="00C61628">
        <w:rPr>
          <w:b/>
          <w:bCs/>
          <w:color w:val="auto"/>
          <w:sz w:val="30"/>
          <w:szCs w:val="30"/>
        </w:rPr>
        <w:t>)</w:t>
      </w:r>
      <w:r w:rsidR="00972F01" w:rsidRPr="00972F01">
        <w:rPr>
          <w:b/>
          <w:bCs/>
          <w:color w:val="auto"/>
          <w:sz w:val="30"/>
          <w:szCs w:val="30"/>
        </w:rPr>
        <w:t>,</w:t>
      </w:r>
      <w:r w:rsidR="00AA367C" w:rsidRPr="00972F01">
        <w:rPr>
          <w:b/>
          <w:bCs/>
          <w:color w:val="auto"/>
          <w:sz w:val="30"/>
          <w:szCs w:val="30"/>
        </w:rPr>
        <w:t xml:space="preserve"> </w:t>
      </w:r>
      <w:r w:rsidR="006E4B58" w:rsidRPr="00972F01">
        <w:rPr>
          <w:b/>
          <w:bCs/>
          <w:color w:val="auto"/>
          <w:sz w:val="30"/>
          <w:szCs w:val="30"/>
        </w:rPr>
        <w:t>NETTO AUMENTO DE</w:t>
      </w:r>
      <w:r w:rsidR="00AA367C" w:rsidRPr="00972F01">
        <w:rPr>
          <w:b/>
          <w:bCs/>
          <w:color w:val="auto"/>
          <w:sz w:val="30"/>
          <w:szCs w:val="30"/>
        </w:rPr>
        <w:t xml:space="preserve">I </w:t>
      </w:r>
      <w:r w:rsidRPr="00972F01">
        <w:rPr>
          <w:b/>
          <w:bCs/>
          <w:color w:val="auto"/>
          <w:sz w:val="30"/>
          <w:szCs w:val="30"/>
        </w:rPr>
        <w:t>DECESSI (+</w:t>
      </w:r>
      <w:r w:rsidR="00AA367C" w:rsidRPr="00972F01">
        <w:rPr>
          <w:b/>
          <w:bCs/>
          <w:color w:val="auto"/>
          <w:sz w:val="30"/>
          <w:szCs w:val="30"/>
        </w:rPr>
        <w:t>49,1</w:t>
      </w:r>
      <w:r w:rsidRPr="00972F01">
        <w:rPr>
          <w:b/>
          <w:bCs/>
          <w:color w:val="auto"/>
          <w:sz w:val="30"/>
          <w:szCs w:val="30"/>
        </w:rPr>
        <w:t xml:space="preserve">%). </w:t>
      </w:r>
    </w:p>
    <w:p w14:paraId="52D3FCAC" w14:textId="33DF650D" w:rsidR="003F08D1" w:rsidRPr="005E20FC" w:rsidRDefault="00972F01" w:rsidP="003F08D1">
      <w:pPr>
        <w:spacing w:after="0" w:line="276" w:lineRule="auto"/>
        <w:jc w:val="center"/>
        <w:rPr>
          <w:b/>
          <w:bCs/>
          <w:color w:val="auto"/>
          <w:sz w:val="30"/>
          <w:szCs w:val="30"/>
        </w:rPr>
      </w:pPr>
      <w:r w:rsidRPr="00972F01">
        <w:rPr>
          <w:b/>
          <w:bCs/>
          <w:color w:val="auto"/>
          <w:sz w:val="30"/>
          <w:szCs w:val="30"/>
        </w:rPr>
        <w:t>IN UN MESE PIÙ CHE RADDOPPIATI RICOVERI</w:t>
      </w:r>
      <w:r w:rsidR="005956D4">
        <w:rPr>
          <w:b/>
          <w:bCs/>
          <w:color w:val="auto"/>
          <w:sz w:val="30"/>
          <w:szCs w:val="30"/>
        </w:rPr>
        <w:t xml:space="preserve"> ORDINARI E IN TERAPIA INTENSIVA</w:t>
      </w:r>
      <w:r w:rsidR="002C4B09">
        <w:rPr>
          <w:b/>
          <w:bCs/>
          <w:color w:val="FF0000"/>
          <w:sz w:val="30"/>
          <w:szCs w:val="30"/>
        </w:rPr>
        <w:br/>
      </w:r>
      <w:r w:rsidR="002C4B09">
        <w:rPr>
          <w:b/>
          <w:bCs/>
          <w:color w:val="auto"/>
          <w:sz w:val="30"/>
          <w:szCs w:val="30"/>
        </w:rPr>
        <w:t xml:space="preserve">PICCO CONTAGI </w:t>
      </w:r>
      <w:r w:rsidR="00F66909">
        <w:rPr>
          <w:b/>
          <w:bCs/>
          <w:color w:val="auto"/>
          <w:sz w:val="30"/>
          <w:szCs w:val="30"/>
        </w:rPr>
        <w:t>ALL’ORIZZONTE</w:t>
      </w:r>
      <w:r w:rsidR="005956D4">
        <w:rPr>
          <w:b/>
          <w:bCs/>
          <w:color w:val="auto"/>
          <w:sz w:val="30"/>
          <w:szCs w:val="30"/>
        </w:rPr>
        <w:t>,</w:t>
      </w:r>
      <w:r w:rsidR="002C4B09">
        <w:rPr>
          <w:b/>
          <w:bCs/>
          <w:color w:val="auto"/>
          <w:sz w:val="30"/>
          <w:szCs w:val="30"/>
        </w:rPr>
        <w:t xml:space="preserve"> MA</w:t>
      </w:r>
      <w:r w:rsidR="002C4B09" w:rsidRPr="002C4B09">
        <w:rPr>
          <w:b/>
          <w:bCs/>
          <w:color w:val="auto"/>
          <w:sz w:val="30"/>
          <w:szCs w:val="30"/>
        </w:rPr>
        <w:t xml:space="preserve"> </w:t>
      </w:r>
      <w:r w:rsidR="005956D4">
        <w:rPr>
          <w:b/>
          <w:bCs/>
          <w:color w:val="auto"/>
          <w:sz w:val="30"/>
          <w:szCs w:val="30"/>
        </w:rPr>
        <w:t>LA</w:t>
      </w:r>
      <w:r w:rsidR="002C4B09" w:rsidRPr="002C4B09">
        <w:rPr>
          <w:b/>
          <w:bCs/>
          <w:color w:val="auto"/>
          <w:sz w:val="30"/>
          <w:szCs w:val="30"/>
        </w:rPr>
        <w:t xml:space="preserve"> DISCESA DELLA CURVA</w:t>
      </w:r>
      <w:r w:rsidR="002C4B09">
        <w:rPr>
          <w:b/>
          <w:bCs/>
          <w:color w:val="auto"/>
          <w:sz w:val="30"/>
          <w:szCs w:val="30"/>
        </w:rPr>
        <w:t xml:space="preserve"> POTREBBE</w:t>
      </w:r>
      <w:r w:rsidR="005956D4">
        <w:rPr>
          <w:b/>
          <w:bCs/>
          <w:color w:val="auto"/>
          <w:sz w:val="30"/>
          <w:szCs w:val="30"/>
        </w:rPr>
        <w:t xml:space="preserve"> ESSERE MOLTO </w:t>
      </w:r>
      <w:r w:rsidR="002C4B09">
        <w:rPr>
          <w:b/>
          <w:bCs/>
          <w:color w:val="auto"/>
          <w:sz w:val="30"/>
          <w:szCs w:val="30"/>
        </w:rPr>
        <w:t>LENT</w:t>
      </w:r>
      <w:r w:rsidR="005956D4">
        <w:rPr>
          <w:b/>
          <w:bCs/>
          <w:color w:val="auto"/>
          <w:sz w:val="30"/>
          <w:szCs w:val="30"/>
        </w:rPr>
        <w:t>A</w:t>
      </w:r>
      <w:r w:rsidR="005E1FCD">
        <w:rPr>
          <w:b/>
          <w:bCs/>
          <w:color w:val="auto"/>
          <w:sz w:val="30"/>
          <w:szCs w:val="30"/>
        </w:rPr>
        <w:t>.</w:t>
      </w:r>
      <w:r w:rsidR="00EF26E2">
        <w:rPr>
          <w:b/>
          <w:bCs/>
          <w:color w:val="auto"/>
          <w:sz w:val="30"/>
          <w:szCs w:val="30"/>
        </w:rPr>
        <w:t xml:space="preserve"> </w:t>
      </w:r>
      <w:r w:rsidR="005E1FCD">
        <w:rPr>
          <w:b/>
          <w:bCs/>
          <w:color w:val="auto"/>
          <w:sz w:val="30"/>
          <w:szCs w:val="30"/>
        </w:rPr>
        <w:br/>
        <w:t xml:space="preserve">INACCETTABILE L’IDEA DI UNA “LIBERA CIRCOLAZIONE” DEL VIRUS: </w:t>
      </w:r>
      <w:r w:rsidR="00EF26E2">
        <w:rPr>
          <w:b/>
          <w:bCs/>
          <w:color w:val="auto"/>
          <w:sz w:val="30"/>
          <w:szCs w:val="30"/>
        </w:rPr>
        <w:t xml:space="preserve">LA </w:t>
      </w:r>
      <w:r w:rsidR="0003516A">
        <w:rPr>
          <w:b/>
          <w:bCs/>
          <w:color w:val="auto"/>
          <w:sz w:val="30"/>
          <w:szCs w:val="30"/>
        </w:rPr>
        <w:t xml:space="preserve">POPOLAZIONE A RISCHIO DI MALATTIA GRAVE </w:t>
      </w:r>
      <w:r w:rsidR="00EF26E2" w:rsidRPr="00EF26E2">
        <w:rPr>
          <w:b/>
          <w:bCs/>
          <w:caps/>
          <w:color w:val="auto"/>
          <w:sz w:val="30"/>
          <w:szCs w:val="30"/>
        </w:rPr>
        <w:t>è</w:t>
      </w:r>
      <w:r w:rsidR="00EF26E2">
        <w:rPr>
          <w:b/>
          <w:bCs/>
          <w:color w:val="auto"/>
          <w:sz w:val="30"/>
          <w:szCs w:val="30"/>
        </w:rPr>
        <w:t xml:space="preserve"> </w:t>
      </w:r>
      <w:r w:rsidR="0003516A">
        <w:rPr>
          <w:b/>
          <w:bCs/>
          <w:color w:val="auto"/>
          <w:sz w:val="30"/>
          <w:szCs w:val="30"/>
        </w:rPr>
        <w:t xml:space="preserve">TROPPO </w:t>
      </w:r>
      <w:r w:rsidR="00EF26E2">
        <w:rPr>
          <w:b/>
          <w:bCs/>
          <w:color w:val="auto"/>
          <w:sz w:val="30"/>
          <w:szCs w:val="30"/>
        </w:rPr>
        <w:t>ESTESA</w:t>
      </w:r>
      <w:r w:rsidR="005E1FCD">
        <w:rPr>
          <w:b/>
          <w:bCs/>
          <w:color w:val="auto"/>
          <w:sz w:val="30"/>
          <w:szCs w:val="30"/>
        </w:rPr>
        <w:t>.</w:t>
      </w:r>
      <w:r w:rsidR="005E1FCD" w:rsidRPr="005E1FCD">
        <w:rPr>
          <w:b/>
          <w:bCs/>
          <w:color w:val="auto"/>
          <w:sz w:val="30"/>
          <w:szCs w:val="30"/>
        </w:rPr>
        <w:t xml:space="preserve"> </w:t>
      </w:r>
    </w:p>
    <w:p w14:paraId="29912894" w14:textId="7043127F" w:rsidR="003F08D1" w:rsidRPr="005529BC" w:rsidRDefault="003F08D1" w:rsidP="003F08D1">
      <w:pPr>
        <w:spacing w:after="200" w:line="276" w:lineRule="auto"/>
        <w:jc w:val="both"/>
        <w:rPr>
          <w:b/>
          <w:bCs/>
          <w:color w:val="FF0000"/>
          <w:sz w:val="24"/>
          <w:szCs w:val="24"/>
        </w:rPr>
      </w:pPr>
      <w:r w:rsidRPr="00F66909">
        <w:rPr>
          <w:b/>
          <w:bCs/>
          <w:color w:val="auto"/>
          <w:sz w:val="24"/>
          <w:szCs w:val="24"/>
        </w:rPr>
        <w:t xml:space="preserve">IL MONITORAGGIO DELLA FONDAZIONE GIMBE RILEVA, NELLA SETTIMANA </w:t>
      </w:r>
      <w:r w:rsidR="00F66909" w:rsidRPr="00F66909">
        <w:rPr>
          <w:b/>
          <w:bCs/>
          <w:color w:val="auto"/>
          <w:sz w:val="24"/>
          <w:szCs w:val="24"/>
        </w:rPr>
        <w:t>6-12</w:t>
      </w:r>
      <w:r w:rsidRPr="00F66909">
        <w:rPr>
          <w:b/>
          <w:bCs/>
          <w:color w:val="auto"/>
          <w:sz w:val="24"/>
          <w:szCs w:val="24"/>
        </w:rPr>
        <w:t xml:space="preserve"> LUGLIO, UN ULTERIORE AUMENTO DEI NUOVI CASI (</w:t>
      </w:r>
      <w:r w:rsidR="00F66909" w:rsidRPr="00F66909">
        <w:rPr>
          <w:b/>
          <w:bCs/>
          <w:color w:val="auto"/>
          <w:sz w:val="24"/>
          <w:szCs w:val="24"/>
        </w:rPr>
        <w:t>728.549</w:t>
      </w:r>
      <w:r w:rsidRPr="00F66909">
        <w:rPr>
          <w:b/>
          <w:bCs/>
          <w:color w:val="auto"/>
          <w:sz w:val="24"/>
          <w:szCs w:val="24"/>
        </w:rPr>
        <w:t>) IN TUTTE LE REGIONI</w:t>
      </w:r>
      <w:r w:rsidR="002557F4" w:rsidRPr="00F66909">
        <w:rPr>
          <w:b/>
          <w:bCs/>
          <w:color w:val="auto"/>
          <w:sz w:val="24"/>
          <w:szCs w:val="24"/>
        </w:rPr>
        <w:t xml:space="preserve"> </w:t>
      </w:r>
      <w:r w:rsidR="00422E3F">
        <w:rPr>
          <w:b/>
          <w:bCs/>
          <w:color w:val="auto"/>
          <w:sz w:val="24"/>
          <w:szCs w:val="24"/>
        </w:rPr>
        <w:t>AD ECCEZIONE DEL</w:t>
      </w:r>
      <w:r w:rsidR="00F66909" w:rsidRPr="00F66909">
        <w:rPr>
          <w:b/>
          <w:bCs/>
          <w:color w:val="auto"/>
          <w:sz w:val="24"/>
          <w:szCs w:val="24"/>
        </w:rPr>
        <w:t>LA LOMBARDIA</w:t>
      </w:r>
      <w:r w:rsidRPr="00F66909">
        <w:rPr>
          <w:b/>
          <w:bCs/>
          <w:color w:val="auto"/>
          <w:sz w:val="24"/>
          <w:szCs w:val="24"/>
        </w:rPr>
        <w:t xml:space="preserve">. </w:t>
      </w:r>
      <w:r w:rsidR="00C34741" w:rsidRPr="00F66909">
        <w:rPr>
          <w:b/>
          <w:bCs/>
          <w:color w:val="auto"/>
          <w:sz w:val="24"/>
          <w:szCs w:val="24"/>
        </w:rPr>
        <w:t>ANCORA IN CRESICTA</w:t>
      </w:r>
      <w:r w:rsidRPr="00F66909">
        <w:rPr>
          <w:b/>
          <w:bCs/>
          <w:color w:val="auto"/>
          <w:sz w:val="24"/>
          <w:szCs w:val="24"/>
        </w:rPr>
        <w:t xml:space="preserve"> GLI INDICATORI OSPEDALIERI E I DECESSI (</w:t>
      </w:r>
      <w:r w:rsidR="00F66909" w:rsidRPr="00F66909">
        <w:rPr>
          <w:b/>
          <w:bCs/>
          <w:color w:val="auto"/>
          <w:sz w:val="24"/>
          <w:szCs w:val="24"/>
        </w:rPr>
        <w:t>692</w:t>
      </w:r>
      <w:r w:rsidRPr="00F66909">
        <w:rPr>
          <w:b/>
          <w:bCs/>
          <w:color w:val="auto"/>
          <w:sz w:val="24"/>
          <w:szCs w:val="24"/>
        </w:rPr>
        <w:t>). FERME LE PERCENTUALI DI CHI HA RICEVUTO ALMENO UNA DOSE DI VACCINO (88,1% DELLA PLATEA) E DI CHI HA COMPLETATO IL CICLO VACCINALE (86,6% DELLA PLATEA). SONO 6,84 MILIONI I NON VACCINATI, DI CUI 2,</w:t>
      </w:r>
      <w:r w:rsidR="00F66909" w:rsidRPr="00F66909">
        <w:rPr>
          <w:b/>
          <w:bCs/>
          <w:color w:val="auto"/>
          <w:sz w:val="24"/>
          <w:szCs w:val="24"/>
        </w:rPr>
        <w:t>64</w:t>
      </w:r>
      <w:r w:rsidRPr="00F66909">
        <w:rPr>
          <w:b/>
          <w:bCs/>
          <w:color w:val="auto"/>
          <w:sz w:val="24"/>
          <w:szCs w:val="24"/>
        </w:rPr>
        <w:t xml:space="preserve"> MILIONI DI GUARITI PROTETTI SOLO TEMPORANEAMENTE. 7,8</w:t>
      </w:r>
      <w:r w:rsidR="00F66909" w:rsidRPr="00F66909">
        <w:rPr>
          <w:b/>
          <w:bCs/>
          <w:color w:val="auto"/>
          <w:sz w:val="24"/>
          <w:szCs w:val="24"/>
        </w:rPr>
        <w:t>5</w:t>
      </w:r>
      <w:r w:rsidRPr="00F66909">
        <w:rPr>
          <w:b/>
          <w:bCs/>
          <w:color w:val="auto"/>
          <w:sz w:val="24"/>
          <w:szCs w:val="24"/>
        </w:rPr>
        <w:t xml:space="preserve"> MILIONI DI PERSONE NON HANNO ANCORA RICEVUTO LA TERZA DOSE, DI CUI 2,</w:t>
      </w:r>
      <w:r w:rsidR="00F66909" w:rsidRPr="00F66909">
        <w:rPr>
          <w:b/>
          <w:bCs/>
          <w:color w:val="auto"/>
          <w:sz w:val="24"/>
          <w:szCs w:val="24"/>
        </w:rPr>
        <w:t>51</w:t>
      </w:r>
      <w:r w:rsidRPr="00F66909">
        <w:rPr>
          <w:b/>
          <w:bCs/>
          <w:color w:val="auto"/>
          <w:sz w:val="24"/>
          <w:szCs w:val="24"/>
        </w:rPr>
        <w:t xml:space="preserve"> MILIONI DI GUARITI CHE NON POSSONO RICEVERLA NELL’IMMEDIATO. </w:t>
      </w:r>
      <w:r w:rsidR="00931764">
        <w:rPr>
          <w:b/>
          <w:bCs/>
          <w:color w:val="auto"/>
          <w:sz w:val="24"/>
          <w:szCs w:val="24"/>
        </w:rPr>
        <w:t>ARRIVA L’ESPANSIONE DELLA PLATEA PER LA QUARTA DOSE, MA LE COPERTURE PER IMMUNICOMPROMESSI (</w:t>
      </w:r>
      <w:r w:rsidR="002C2DB1">
        <w:rPr>
          <w:b/>
          <w:bCs/>
          <w:color w:val="auto"/>
          <w:sz w:val="24"/>
          <w:szCs w:val="24"/>
        </w:rPr>
        <w:t>47,8</w:t>
      </w:r>
      <w:r w:rsidR="00931764">
        <w:rPr>
          <w:b/>
          <w:bCs/>
          <w:color w:val="auto"/>
          <w:sz w:val="24"/>
          <w:szCs w:val="24"/>
        </w:rPr>
        <w:t>%) E FRAGILI (</w:t>
      </w:r>
      <w:r w:rsidR="002C2DB1">
        <w:rPr>
          <w:b/>
          <w:bCs/>
          <w:color w:val="auto"/>
          <w:sz w:val="24"/>
          <w:szCs w:val="24"/>
        </w:rPr>
        <w:t>22,5</w:t>
      </w:r>
      <w:r w:rsidR="00931764">
        <w:rPr>
          <w:b/>
          <w:bCs/>
          <w:color w:val="auto"/>
          <w:sz w:val="24"/>
          <w:szCs w:val="24"/>
        </w:rPr>
        <w:t xml:space="preserve">%) SONO ANCORA MOLTO BASSE </w:t>
      </w:r>
      <w:r w:rsidR="00EF26E2">
        <w:rPr>
          <w:b/>
          <w:bCs/>
          <w:color w:val="auto"/>
          <w:sz w:val="24"/>
          <w:szCs w:val="24"/>
        </w:rPr>
        <w:t>CON INACCETTABILI DIFFERENZE REGIONALI</w:t>
      </w:r>
      <w:r w:rsidRPr="00F66909">
        <w:rPr>
          <w:b/>
          <w:bCs/>
          <w:color w:val="auto"/>
          <w:sz w:val="24"/>
          <w:szCs w:val="24"/>
        </w:rPr>
        <w:t>.</w:t>
      </w:r>
      <w:r w:rsidR="00EF26E2">
        <w:rPr>
          <w:b/>
          <w:bCs/>
          <w:color w:val="auto"/>
          <w:sz w:val="24"/>
          <w:szCs w:val="24"/>
        </w:rPr>
        <w:t xml:space="preserve"> LA </w:t>
      </w:r>
      <w:r w:rsidR="00F66909" w:rsidRPr="00F66909">
        <w:rPr>
          <w:b/>
          <w:bCs/>
          <w:color w:val="auto"/>
          <w:sz w:val="24"/>
          <w:szCs w:val="24"/>
        </w:rPr>
        <w:t>CIRCOLAZIONE INCONTROLLATA DI OMICRON 5 RISCHIA DI PARALI</w:t>
      </w:r>
      <w:r w:rsidR="00EF26E2">
        <w:rPr>
          <w:b/>
          <w:bCs/>
          <w:color w:val="auto"/>
          <w:sz w:val="24"/>
          <w:szCs w:val="24"/>
        </w:rPr>
        <w:t xml:space="preserve">ZZARE </w:t>
      </w:r>
      <w:r w:rsidR="00422E3F">
        <w:rPr>
          <w:b/>
          <w:bCs/>
          <w:color w:val="auto"/>
          <w:sz w:val="24"/>
          <w:szCs w:val="24"/>
        </w:rPr>
        <w:t>I</w:t>
      </w:r>
      <w:r w:rsidR="00F66909" w:rsidRPr="00F66909">
        <w:rPr>
          <w:b/>
          <w:bCs/>
          <w:color w:val="auto"/>
          <w:sz w:val="24"/>
          <w:szCs w:val="24"/>
        </w:rPr>
        <w:t xml:space="preserve"> SERVIZI</w:t>
      </w:r>
      <w:r w:rsidR="002C2DB1">
        <w:rPr>
          <w:b/>
          <w:bCs/>
          <w:color w:val="auto"/>
          <w:sz w:val="24"/>
          <w:szCs w:val="24"/>
        </w:rPr>
        <w:t xml:space="preserve">: </w:t>
      </w:r>
      <w:r w:rsidR="00EF26E2">
        <w:rPr>
          <w:b/>
          <w:bCs/>
          <w:color w:val="auto"/>
          <w:sz w:val="24"/>
          <w:szCs w:val="24"/>
        </w:rPr>
        <w:t xml:space="preserve">FONDAMENTALE </w:t>
      </w:r>
      <w:r w:rsidR="002C2DB1">
        <w:rPr>
          <w:b/>
          <w:bCs/>
          <w:color w:val="auto"/>
          <w:sz w:val="24"/>
          <w:szCs w:val="24"/>
        </w:rPr>
        <w:t>INDOSSARE LA MASCHERINA AL CH</w:t>
      </w:r>
      <w:r w:rsidR="00EF26E2">
        <w:rPr>
          <w:b/>
          <w:bCs/>
          <w:color w:val="auto"/>
          <w:sz w:val="24"/>
          <w:szCs w:val="24"/>
        </w:rPr>
        <w:t>I</w:t>
      </w:r>
      <w:r w:rsidR="002C2DB1">
        <w:rPr>
          <w:b/>
          <w:bCs/>
          <w:color w:val="auto"/>
          <w:sz w:val="24"/>
          <w:szCs w:val="24"/>
        </w:rPr>
        <w:t>USO E IN CASO DI ASSEMBRAMENTI</w:t>
      </w:r>
      <w:r w:rsidR="00EF26E2">
        <w:rPr>
          <w:b/>
          <w:bCs/>
          <w:color w:val="auto"/>
          <w:sz w:val="24"/>
          <w:szCs w:val="24"/>
        </w:rPr>
        <w:t xml:space="preserve"> ANCHE ALL’APERTO</w:t>
      </w:r>
      <w:r w:rsidR="00F66909">
        <w:rPr>
          <w:b/>
          <w:bCs/>
          <w:color w:val="auto"/>
          <w:sz w:val="24"/>
          <w:szCs w:val="24"/>
        </w:rPr>
        <w:t>.</w:t>
      </w:r>
    </w:p>
    <w:p w14:paraId="40CE844A" w14:textId="77777777" w:rsidR="00E62D33" w:rsidRDefault="005529BC" w:rsidP="006E4B58">
      <w:pPr>
        <w:spacing w:line="276" w:lineRule="auto"/>
        <w:jc w:val="center"/>
        <w:rPr>
          <w:rFonts w:eastAsia="Times New Roman" w:cs="Calibri"/>
          <w:color w:val="FF0000"/>
          <w:bdr w:val="none" w:sz="0" w:space="0" w:color="auto"/>
        </w:rPr>
      </w:pPr>
      <w:r w:rsidRPr="005529BC">
        <w:rPr>
          <w:rFonts w:cs="Calibri"/>
          <w:b/>
          <w:bCs/>
          <w:color w:val="auto"/>
        </w:rPr>
        <w:t>14</w:t>
      </w:r>
      <w:r w:rsidR="00E771DB" w:rsidRPr="005529BC">
        <w:rPr>
          <w:rFonts w:cs="Calibri"/>
          <w:b/>
          <w:bCs/>
          <w:color w:val="auto"/>
        </w:rPr>
        <w:t xml:space="preserve"> luglio</w:t>
      </w:r>
      <w:r w:rsidR="001F00E4" w:rsidRPr="005529BC">
        <w:rPr>
          <w:rFonts w:cs="Calibri"/>
          <w:b/>
          <w:bCs/>
          <w:color w:val="auto"/>
        </w:rPr>
        <w:t xml:space="preserve"> 2022 - Fondazione GIMBE, Bologna</w:t>
      </w:r>
    </w:p>
    <w:p w14:paraId="4DB5F282" w14:textId="77777777" w:rsidR="00650E66" w:rsidRPr="00650E66" w:rsidRDefault="00062A6E" w:rsidP="00650E6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rPr>
      </w:pPr>
      <w:r w:rsidRPr="00650E66">
        <w:rPr>
          <w:rFonts w:eastAsia="Times New Roman" w:cs="Calibri"/>
          <w:color w:val="auto"/>
          <w:bdr w:val="none" w:sz="0" w:space="0" w:color="auto"/>
        </w:rPr>
        <w:t>Il monitoraggio indipendente della Fondazione GIMBE rileva nella settimana 6-12 luglio 2022, rispetto alla precedente, un aumento di nuovi casi (728.549 vs 595.349) (</w:t>
      </w:r>
      <w:r w:rsidRPr="00650E66">
        <w:rPr>
          <w:rFonts w:eastAsia="Times New Roman" w:cs="Calibri"/>
          <w:color w:val="auto"/>
          <w:highlight w:val="yellow"/>
          <w:bdr w:val="none" w:sz="0" w:space="0" w:color="auto"/>
        </w:rPr>
        <w:t>figura 1</w:t>
      </w:r>
      <w:r w:rsidRPr="00650E66">
        <w:rPr>
          <w:rFonts w:eastAsia="Times New Roman" w:cs="Calibri"/>
          <w:color w:val="auto"/>
          <w:bdr w:val="none" w:sz="0" w:space="0" w:color="auto"/>
        </w:rPr>
        <w:t>) e dei decessi (692 vs 464) (</w:t>
      </w:r>
      <w:r w:rsidRPr="00650E66">
        <w:rPr>
          <w:rFonts w:eastAsia="Times New Roman" w:cs="Calibri"/>
          <w:color w:val="auto"/>
          <w:highlight w:val="yellow"/>
          <w:bdr w:val="none" w:sz="0" w:space="0" w:color="auto"/>
        </w:rPr>
        <w:t>figura 2</w:t>
      </w:r>
      <w:r w:rsidRPr="00650E66">
        <w:rPr>
          <w:rFonts w:eastAsia="Times New Roman" w:cs="Calibri"/>
          <w:color w:val="auto"/>
          <w:bdr w:val="none" w:sz="0" w:space="0" w:color="auto"/>
        </w:rPr>
        <w:t>). In aumento anche i casi attualmente positivi (1.350.481 vs 1.087.272), le persone in isolamento domiciliare (1.340.382 vs 1.078.946), i ricoveri con sintomi (9.724 vs 8.003) e le terapie intensive (375 vs 323) (</w:t>
      </w:r>
      <w:r w:rsidRPr="00650E66">
        <w:rPr>
          <w:rFonts w:eastAsia="Times New Roman" w:cs="Calibri"/>
          <w:color w:val="auto"/>
          <w:highlight w:val="yellow"/>
          <w:bdr w:val="none" w:sz="0" w:space="0" w:color="auto"/>
        </w:rPr>
        <w:t>figura 3</w:t>
      </w:r>
      <w:r w:rsidRPr="00650E66">
        <w:rPr>
          <w:rFonts w:eastAsia="Times New Roman" w:cs="Calibri"/>
          <w:color w:val="auto"/>
          <w:bdr w:val="none" w:sz="0" w:space="0" w:color="auto"/>
        </w:rPr>
        <w:t>). In det</w:t>
      </w:r>
      <w:bookmarkStart w:id="0" w:name="_GoBack"/>
      <w:bookmarkEnd w:id="0"/>
      <w:r w:rsidRPr="00650E66">
        <w:rPr>
          <w:rFonts w:eastAsia="Times New Roman" w:cs="Calibri"/>
          <w:color w:val="auto"/>
          <w:bdr w:val="none" w:sz="0" w:space="0" w:color="auto"/>
        </w:rPr>
        <w:t>taglio, rispetto alla settimana precedente, si registrano le seguenti variazioni:</w:t>
      </w:r>
    </w:p>
    <w:p w14:paraId="58254715" w14:textId="77777777" w:rsidR="00062A6E" w:rsidRPr="00650E66" w:rsidRDefault="00062A6E" w:rsidP="006E4B58">
      <w:pPr>
        <w:pStyle w:val="Paragrafoelenco"/>
        <w:numPr>
          <w:ilvl w:val="0"/>
          <w:numId w:val="3"/>
        </w:numPr>
        <w:spacing w:after="0" w:line="276" w:lineRule="auto"/>
        <w:jc w:val="both"/>
        <w:rPr>
          <w:color w:val="auto"/>
        </w:rPr>
      </w:pPr>
      <w:r w:rsidRPr="00650E66">
        <w:rPr>
          <w:color w:val="auto"/>
        </w:rPr>
        <w:t>Decessi: 692 (+49,1%), di cui 70 riferiti a periodi precedenti</w:t>
      </w:r>
    </w:p>
    <w:p w14:paraId="2924D303" w14:textId="77777777" w:rsidR="00062A6E" w:rsidRPr="00650E66" w:rsidRDefault="00062A6E" w:rsidP="00650E66">
      <w:pPr>
        <w:pStyle w:val="Paragrafoelenco"/>
        <w:numPr>
          <w:ilvl w:val="0"/>
          <w:numId w:val="3"/>
        </w:numPr>
        <w:spacing w:after="0" w:line="276" w:lineRule="auto"/>
        <w:jc w:val="both"/>
        <w:rPr>
          <w:color w:val="auto"/>
        </w:rPr>
      </w:pPr>
      <w:r w:rsidRPr="00650E66">
        <w:rPr>
          <w:color w:val="auto"/>
        </w:rPr>
        <w:t>Terapia intensiva: +52 (+16,1%)</w:t>
      </w:r>
    </w:p>
    <w:p w14:paraId="04BFE087" w14:textId="77777777" w:rsidR="00062A6E" w:rsidRPr="00650E66" w:rsidRDefault="00062A6E" w:rsidP="00650E66">
      <w:pPr>
        <w:pStyle w:val="Paragrafoelenco"/>
        <w:numPr>
          <w:ilvl w:val="0"/>
          <w:numId w:val="3"/>
        </w:numPr>
        <w:spacing w:after="0" w:line="276" w:lineRule="auto"/>
        <w:jc w:val="both"/>
        <w:rPr>
          <w:color w:val="auto"/>
        </w:rPr>
      </w:pPr>
      <w:r w:rsidRPr="00650E66">
        <w:rPr>
          <w:color w:val="auto"/>
        </w:rPr>
        <w:t>Ricoverati con sintomi: +1.721 (+21,5%)</w:t>
      </w:r>
    </w:p>
    <w:p w14:paraId="501544A1" w14:textId="77777777" w:rsidR="00062A6E" w:rsidRPr="00650E66" w:rsidRDefault="00062A6E" w:rsidP="00650E66">
      <w:pPr>
        <w:pStyle w:val="Paragrafoelenco"/>
        <w:numPr>
          <w:ilvl w:val="0"/>
          <w:numId w:val="3"/>
        </w:numPr>
        <w:spacing w:after="0" w:line="276" w:lineRule="auto"/>
        <w:jc w:val="both"/>
        <w:rPr>
          <w:color w:val="auto"/>
        </w:rPr>
      </w:pPr>
      <w:r w:rsidRPr="00650E66">
        <w:rPr>
          <w:color w:val="auto"/>
        </w:rPr>
        <w:t>Isolamento domiciliare: +261.436 (+24,2%)</w:t>
      </w:r>
    </w:p>
    <w:p w14:paraId="5AF6A70F" w14:textId="77777777" w:rsidR="00062A6E" w:rsidRPr="00650E66" w:rsidRDefault="00062A6E" w:rsidP="00650E66">
      <w:pPr>
        <w:pStyle w:val="Paragrafoelenco"/>
        <w:numPr>
          <w:ilvl w:val="0"/>
          <w:numId w:val="3"/>
        </w:numPr>
        <w:spacing w:after="0" w:line="276" w:lineRule="auto"/>
        <w:jc w:val="both"/>
        <w:rPr>
          <w:color w:val="auto"/>
        </w:rPr>
      </w:pPr>
      <w:r w:rsidRPr="00650E66">
        <w:rPr>
          <w:color w:val="auto"/>
        </w:rPr>
        <w:t>Nuovi casi: 728.549 (+22,4%)</w:t>
      </w:r>
    </w:p>
    <w:p w14:paraId="4373CABB" w14:textId="77777777" w:rsidR="00062A6E" w:rsidRPr="00650E66" w:rsidRDefault="00062A6E" w:rsidP="00062A6E">
      <w:pPr>
        <w:pStyle w:val="Paragrafoelenco"/>
        <w:numPr>
          <w:ilvl w:val="0"/>
          <w:numId w:val="3"/>
        </w:numPr>
        <w:spacing w:line="276" w:lineRule="auto"/>
        <w:jc w:val="both"/>
        <w:rPr>
          <w:color w:val="auto"/>
        </w:rPr>
      </w:pPr>
      <w:r w:rsidRPr="00650E66">
        <w:rPr>
          <w:color w:val="auto"/>
        </w:rPr>
        <w:t>Casi attualmente positivi: +263.209 (+24,2%)</w:t>
      </w:r>
    </w:p>
    <w:p w14:paraId="4C35516F" w14:textId="77777777" w:rsidR="008A6E52" w:rsidRPr="00422E3F" w:rsidRDefault="00FA4320" w:rsidP="008A6E52">
      <w:pPr>
        <w:spacing w:line="276" w:lineRule="auto"/>
        <w:jc w:val="both"/>
        <w:rPr>
          <w:color w:val="auto"/>
        </w:rPr>
      </w:pPr>
      <w:bookmarkStart w:id="1" w:name="_Hlk105580520"/>
      <w:r w:rsidRPr="00422E3F">
        <w:rPr>
          <w:b/>
          <w:color w:val="auto"/>
        </w:rPr>
        <w:t xml:space="preserve">Nuovi casi. </w:t>
      </w:r>
      <w:r w:rsidRPr="00422E3F">
        <w:rPr>
          <w:color w:val="auto"/>
        </w:rPr>
        <w:t>«</w:t>
      </w:r>
      <w:r w:rsidR="0014788C" w:rsidRPr="00422E3F">
        <w:rPr>
          <w:color w:val="auto"/>
        </w:rPr>
        <w:t>L’aumento dei</w:t>
      </w:r>
      <w:r w:rsidR="002054E6" w:rsidRPr="00422E3F">
        <w:rPr>
          <w:color w:val="auto"/>
        </w:rPr>
        <w:t xml:space="preserve"> </w:t>
      </w:r>
      <w:r w:rsidR="005200F6" w:rsidRPr="00422E3F">
        <w:rPr>
          <w:color w:val="auto"/>
        </w:rPr>
        <w:t>nuovi casi settimanali</w:t>
      </w:r>
      <w:r w:rsidR="00476F59" w:rsidRPr="00422E3F">
        <w:rPr>
          <w:color w:val="auto"/>
        </w:rPr>
        <w:t xml:space="preserve"> </w:t>
      </w:r>
      <w:r w:rsidR="002054E6" w:rsidRPr="00422E3F">
        <w:rPr>
          <w:color w:val="auto"/>
        </w:rPr>
        <w:t>(</w:t>
      </w:r>
      <w:r w:rsidR="00ED5318" w:rsidRPr="00422E3F">
        <w:rPr>
          <w:color w:val="auto"/>
        </w:rPr>
        <w:t>+</w:t>
      </w:r>
      <w:r w:rsidR="00062A6E" w:rsidRPr="00422E3F">
        <w:rPr>
          <w:color w:val="auto"/>
        </w:rPr>
        <w:t>2</w:t>
      </w:r>
      <w:r w:rsidR="00C467E0">
        <w:rPr>
          <w:color w:val="auto"/>
        </w:rPr>
        <w:t>2,4</w:t>
      </w:r>
      <w:r w:rsidR="002054E6" w:rsidRPr="00422E3F">
        <w:rPr>
          <w:color w:val="auto"/>
        </w:rPr>
        <w:t xml:space="preserve">% rispetto alla settimana precedente) </w:t>
      </w:r>
      <w:r w:rsidR="00476F59" w:rsidRPr="00422E3F">
        <w:rPr>
          <w:color w:val="auto"/>
        </w:rPr>
        <w:t>– dichiara Nino Cartabellotta, Presidente della Fondazione GIMBE –</w:t>
      </w:r>
      <w:r w:rsidR="002054E6" w:rsidRPr="00422E3F">
        <w:rPr>
          <w:color w:val="auto"/>
        </w:rPr>
        <w:t xml:space="preserve"> </w:t>
      </w:r>
      <w:r w:rsidR="00972F01">
        <w:rPr>
          <w:color w:val="auto"/>
        </w:rPr>
        <w:t xml:space="preserve">registra il valore più basso da quando, </w:t>
      </w:r>
      <w:r w:rsidR="00C467E0" w:rsidRPr="00C467E0">
        <w:rPr>
          <w:color w:val="auto"/>
        </w:rPr>
        <w:t>a metà giugno</w:t>
      </w:r>
      <w:r w:rsidR="00C467E0">
        <w:rPr>
          <w:color w:val="auto"/>
        </w:rPr>
        <w:t>,</w:t>
      </w:r>
      <w:r w:rsidR="00C467E0" w:rsidRPr="00C467E0">
        <w:rPr>
          <w:color w:val="auto"/>
        </w:rPr>
        <w:t xml:space="preserve"> si è registrata l</w:t>
      </w:r>
      <w:r w:rsidR="00294E1A">
        <w:rPr>
          <w:color w:val="auto"/>
        </w:rPr>
        <w:t>’</w:t>
      </w:r>
      <w:r w:rsidR="00C467E0" w:rsidRPr="00C467E0">
        <w:rPr>
          <w:color w:val="auto"/>
        </w:rPr>
        <w:t>inversione della curva</w:t>
      </w:r>
      <w:r w:rsidR="00C467E0">
        <w:rPr>
          <w:color w:val="auto"/>
        </w:rPr>
        <w:t xml:space="preserve">. </w:t>
      </w:r>
      <w:r w:rsidR="0014788C" w:rsidRPr="00422E3F">
        <w:rPr>
          <w:color w:val="auto"/>
        </w:rPr>
        <w:t xml:space="preserve">Nella settimana </w:t>
      </w:r>
      <w:r w:rsidR="00062A6E" w:rsidRPr="00422E3F">
        <w:rPr>
          <w:color w:val="auto"/>
        </w:rPr>
        <w:t>6</w:t>
      </w:r>
      <w:r w:rsidR="00165DE9" w:rsidRPr="00422E3F">
        <w:rPr>
          <w:color w:val="auto"/>
        </w:rPr>
        <w:t>-</w:t>
      </w:r>
      <w:r w:rsidR="00062A6E" w:rsidRPr="00422E3F">
        <w:rPr>
          <w:color w:val="auto"/>
        </w:rPr>
        <w:t>12</w:t>
      </w:r>
      <w:r w:rsidR="00165DE9" w:rsidRPr="00422E3F">
        <w:rPr>
          <w:color w:val="auto"/>
        </w:rPr>
        <w:t xml:space="preserve"> luglio</w:t>
      </w:r>
      <w:r w:rsidR="0014788C" w:rsidRPr="00422E3F">
        <w:rPr>
          <w:color w:val="auto"/>
        </w:rPr>
        <w:t xml:space="preserve"> i nuovi casi si attestano oltre quota</w:t>
      </w:r>
      <w:r w:rsidRPr="00422E3F">
        <w:rPr>
          <w:color w:val="auto"/>
        </w:rPr>
        <w:t xml:space="preserve"> </w:t>
      </w:r>
      <w:r w:rsidR="00062A6E" w:rsidRPr="00422E3F">
        <w:rPr>
          <w:color w:val="auto"/>
        </w:rPr>
        <w:t xml:space="preserve">728 </w:t>
      </w:r>
      <w:r w:rsidR="00B92911" w:rsidRPr="00422E3F">
        <w:rPr>
          <w:color w:val="auto"/>
        </w:rPr>
        <w:t>mila</w:t>
      </w:r>
      <w:r w:rsidR="00063061" w:rsidRPr="00422E3F">
        <w:rPr>
          <w:color w:val="auto"/>
        </w:rPr>
        <w:t xml:space="preserve">, </w:t>
      </w:r>
      <w:r w:rsidR="004D0641" w:rsidRPr="00422E3F">
        <w:rPr>
          <w:color w:val="auto"/>
        </w:rPr>
        <w:t>con</w:t>
      </w:r>
      <w:r w:rsidRPr="00422E3F">
        <w:rPr>
          <w:color w:val="auto"/>
        </w:rPr>
        <w:t xml:space="preserve"> una media mobile a 7 giorni </w:t>
      </w:r>
      <w:r w:rsidR="00ED5318" w:rsidRPr="00422E3F">
        <w:rPr>
          <w:color w:val="auto"/>
        </w:rPr>
        <w:t xml:space="preserve">che </w:t>
      </w:r>
      <w:r w:rsidR="00E62D33" w:rsidRPr="00422E3F">
        <w:rPr>
          <w:color w:val="auto"/>
        </w:rPr>
        <w:t xml:space="preserve">supera </w:t>
      </w:r>
      <w:r w:rsidR="00062A6E" w:rsidRPr="00422E3F">
        <w:rPr>
          <w:color w:val="auto"/>
        </w:rPr>
        <w:t>i 97</w:t>
      </w:r>
      <w:r w:rsidR="00C15EB5" w:rsidRPr="00422E3F">
        <w:rPr>
          <w:color w:val="auto"/>
        </w:rPr>
        <w:t xml:space="preserve"> </w:t>
      </w:r>
      <w:r w:rsidR="008E50A0" w:rsidRPr="00422E3F">
        <w:rPr>
          <w:color w:val="auto"/>
        </w:rPr>
        <w:t>mila</w:t>
      </w:r>
      <w:r w:rsidR="00C13A5D" w:rsidRPr="00422E3F">
        <w:rPr>
          <w:color w:val="auto"/>
        </w:rPr>
        <w:t xml:space="preserve"> casi</w:t>
      </w:r>
      <w:r w:rsidR="00C15EB5" w:rsidRPr="00422E3F">
        <w:rPr>
          <w:color w:val="auto"/>
        </w:rPr>
        <w:t xml:space="preserve"> </w:t>
      </w:r>
      <w:r w:rsidR="009062E9" w:rsidRPr="00422E3F">
        <w:rPr>
          <w:color w:val="auto"/>
        </w:rPr>
        <w:t>al giorno</w:t>
      </w:r>
      <w:r w:rsidRPr="00422E3F">
        <w:rPr>
          <w:color w:val="auto"/>
        </w:rPr>
        <w:t>»</w:t>
      </w:r>
      <w:r w:rsidR="003D7565" w:rsidRPr="00422E3F">
        <w:rPr>
          <w:color w:val="auto"/>
        </w:rPr>
        <w:t xml:space="preserve"> </w:t>
      </w:r>
      <w:bookmarkEnd w:id="1"/>
      <w:r w:rsidRPr="00422E3F">
        <w:rPr>
          <w:color w:val="auto"/>
        </w:rPr>
        <w:t>(</w:t>
      </w:r>
      <w:r w:rsidRPr="00422E3F">
        <w:rPr>
          <w:color w:val="auto"/>
          <w:highlight w:val="yellow"/>
        </w:rPr>
        <w:t>figura 4</w:t>
      </w:r>
      <w:r w:rsidRPr="00422E3F">
        <w:rPr>
          <w:color w:val="auto"/>
        </w:rPr>
        <w:t>).</w:t>
      </w:r>
      <w:r w:rsidR="00557ACD" w:rsidRPr="00422E3F">
        <w:rPr>
          <w:color w:val="auto"/>
        </w:rPr>
        <w:t xml:space="preserve"> N</w:t>
      </w:r>
      <w:r w:rsidR="00AC37CB" w:rsidRPr="00422E3F">
        <w:rPr>
          <w:color w:val="auto"/>
        </w:rPr>
        <w:t xml:space="preserve">ella </w:t>
      </w:r>
      <w:r w:rsidR="008568BE" w:rsidRPr="00422E3F">
        <w:rPr>
          <w:color w:val="auto"/>
        </w:rPr>
        <w:t xml:space="preserve">settimana </w:t>
      </w:r>
      <w:r w:rsidR="00565C39" w:rsidRPr="00422E3F">
        <w:rPr>
          <w:rFonts w:eastAsia="Times New Roman" w:cs="Calibri"/>
          <w:color w:val="auto"/>
          <w:bdr w:val="none" w:sz="0" w:space="0" w:color="auto"/>
        </w:rPr>
        <w:t>6</w:t>
      </w:r>
      <w:r w:rsidR="00E62D33" w:rsidRPr="00422E3F">
        <w:rPr>
          <w:rFonts w:eastAsia="Times New Roman" w:cs="Calibri"/>
          <w:color w:val="auto"/>
          <w:bdr w:val="none" w:sz="0" w:space="0" w:color="auto"/>
        </w:rPr>
        <w:t>-</w:t>
      </w:r>
      <w:r w:rsidR="00565C39" w:rsidRPr="00422E3F">
        <w:rPr>
          <w:rFonts w:eastAsia="Times New Roman" w:cs="Calibri"/>
          <w:color w:val="auto"/>
          <w:bdr w:val="none" w:sz="0" w:space="0" w:color="auto"/>
        </w:rPr>
        <w:t xml:space="preserve">12 </w:t>
      </w:r>
      <w:r w:rsidR="00E62D33" w:rsidRPr="00422E3F">
        <w:rPr>
          <w:rFonts w:eastAsia="Times New Roman" w:cs="Calibri"/>
          <w:color w:val="auto"/>
          <w:bdr w:val="none" w:sz="0" w:space="0" w:color="auto"/>
        </w:rPr>
        <w:t>luglio</w:t>
      </w:r>
      <w:r w:rsidR="00EB50A0" w:rsidRPr="00422E3F">
        <w:rPr>
          <w:rFonts w:eastAsia="Times New Roman" w:cs="Calibri"/>
          <w:color w:val="auto"/>
          <w:bdr w:val="none" w:sz="0" w:space="0" w:color="auto"/>
        </w:rPr>
        <w:t xml:space="preserve"> </w:t>
      </w:r>
      <w:r w:rsidR="00063061" w:rsidRPr="00422E3F">
        <w:rPr>
          <w:color w:val="auto"/>
        </w:rPr>
        <w:t>tutte le Regioni registrano un</w:t>
      </w:r>
      <w:r w:rsidR="00C76FBE" w:rsidRPr="00422E3F">
        <w:rPr>
          <w:color w:val="auto"/>
        </w:rPr>
        <w:t xml:space="preserve"> </w:t>
      </w:r>
      <w:r w:rsidR="00DC7AAF" w:rsidRPr="00422E3F">
        <w:rPr>
          <w:color w:val="auto"/>
        </w:rPr>
        <w:t>incremento percentuale dei nuovi casi</w:t>
      </w:r>
      <w:r w:rsidR="00ED5318" w:rsidRPr="00422E3F">
        <w:rPr>
          <w:color w:val="auto"/>
        </w:rPr>
        <w:t xml:space="preserve">: </w:t>
      </w:r>
      <w:r w:rsidR="00650E66" w:rsidRPr="00422E3F">
        <w:rPr>
          <w:color w:val="auto"/>
        </w:rPr>
        <w:t>dal 5,1% del</w:t>
      </w:r>
      <w:r w:rsidR="00565C39" w:rsidRPr="00422E3F">
        <w:rPr>
          <w:color w:val="auto"/>
        </w:rPr>
        <w:t xml:space="preserve"> L</w:t>
      </w:r>
      <w:r w:rsidR="00650E66" w:rsidRPr="00422E3F">
        <w:rPr>
          <w:color w:val="auto"/>
        </w:rPr>
        <w:t>azio</w:t>
      </w:r>
      <w:r w:rsidR="00565C39" w:rsidRPr="00422E3F">
        <w:rPr>
          <w:color w:val="auto"/>
        </w:rPr>
        <w:t xml:space="preserve"> al 51,1% della Valle D</w:t>
      </w:r>
      <w:r w:rsidR="00294E1A">
        <w:rPr>
          <w:color w:val="auto"/>
        </w:rPr>
        <w:t>’</w:t>
      </w:r>
      <w:r w:rsidR="00565C39" w:rsidRPr="00422E3F">
        <w:rPr>
          <w:color w:val="auto"/>
        </w:rPr>
        <w:t>Aosta</w:t>
      </w:r>
      <w:r w:rsidR="00422E3F">
        <w:rPr>
          <w:color w:val="auto"/>
        </w:rPr>
        <w:t xml:space="preserve">; fa eccezione </w:t>
      </w:r>
      <w:r w:rsidR="00422E3F" w:rsidRPr="00422E3F">
        <w:rPr>
          <w:color w:val="auto"/>
        </w:rPr>
        <w:t>la Lombardia</w:t>
      </w:r>
      <w:r w:rsidR="00422E3F">
        <w:rPr>
          <w:color w:val="auto"/>
        </w:rPr>
        <w:t xml:space="preserve"> che segna un </w:t>
      </w:r>
      <w:r w:rsidR="00422E3F" w:rsidRPr="00422E3F">
        <w:rPr>
          <w:color w:val="auto"/>
        </w:rPr>
        <w:t xml:space="preserve">-6,2% </w:t>
      </w:r>
      <w:r w:rsidR="008568BE" w:rsidRPr="00422E3F">
        <w:rPr>
          <w:color w:val="auto"/>
        </w:rPr>
        <w:t>(</w:t>
      </w:r>
      <w:r w:rsidR="008568BE" w:rsidRPr="00422E3F">
        <w:rPr>
          <w:color w:val="auto"/>
          <w:highlight w:val="yellow"/>
        </w:rPr>
        <w:t>tabella 1</w:t>
      </w:r>
      <w:r w:rsidR="008568BE" w:rsidRPr="00422E3F">
        <w:rPr>
          <w:color w:val="auto"/>
        </w:rPr>
        <w:t>).</w:t>
      </w:r>
      <w:r w:rsidR="00D74F90" w:rsidRPr="00422E3F">
        <w:rPr>
          <w:color w:val="auto"/>
        </w:rPr>
        <w:t xml:space="preserve"> </w:t>
      </w:r>
      <w:r w:rsidR="001647A3" w:rsidRPr="00422E3F">
        <w:rPr>
          <w:color w:val="auto"/>
        </w:rPr>
        <w:t xml:space="preserve">Rispetto alla settimana precedente, </w:t>
      </w:r>
      <w:r w:rsidR="008A6E52" w:rsidRPr="00422E3F">
        <w:rPr>
          <w:color w:val="auto"/>
        </w:rPr>
        <w:t xml:space="preserve">in </w:t>
      </w:r>
      <w:r w:rsidR="00565C39" w:rsidRPr="00422E3F">
        <w:rPr>
          <w:color w:val="auto"/>
        </w:rPr>
        <w:t>8</w:t>
      </w:r>
      <w:r w:rsidR="00D21CBA" w:rsidRPr="00422E3F">
        <w:rPr>
          <w:color w:val="auto"/>
        </w:rPr>
        <w:t xml:space="preserve"> Province si rileva un</w:t>
      </w:r>
      <w:r w:rsidR="00565C39" w:rsidRPr="00422E3F">
        <w:rPr>
          <w:color w:val="auto"/>
        </w:rPr>
        <w:t>a diminuzione dei nuovi casi (dal -21% di Lecco al -0,3% di Roma</w:t>
      </w:r>
      <w:r w:rsidR="00422E3F">
        <w:rPr>
          <w:color w:val="auto"/>
        </w:rPr>
        <w:t>)</w:t>
      </w:r>
      <w:r w:rsidR="00565C39" w:rsidRPr="00422E3F">
        <w:rPr>
          <w:color w:val="auto"/>
        </w:rPr>
        <w:t xml:space="preserve">, mentre </w:t>
      </w:r>
      <w:r w:rsidR="00422E3F">
        <w:rPr>
          <w:color w:val="auto"/>
        </w:rPr>
        <w:t>le</w:t>
      </w:r>
      <w:r w:rsidR="00422E3F" w:rsidRPr="00422E3F">
        <w:rPr>
          <w:color w:val="auto"/>
        </w:rPr>
        <w:t xml:space="preserve"> </w:t>
      </w:r>
      <w:r w:rsidR="00422E3F">
        <w:rPr>
          <w:color w:val="auto"/>
        </w:rPr>
        <w:t>rimanenti</w:t>
      </w:r>
      <w:r w:rsidR="00422E3F" w:rsidRPr="00422E3F">
        <w:rPr>
          <w:color w:val="auto"/>
        </w:rPr>
        <w:t xml:space="preserve"> </w:t>
      </w:r>
      <w:r w:rsidR="00650E66" w:rsidRPr="00422E3F">
        <w:rPr>
          <w:color w:val="auto"/>
        </w:rPr>
        <w:lastRenderedPageBreak/>
        <w:t xml:space="preserve">99 province registrano un </w:t>
      </w:r>
      <w:r w:rsidR="00F073D2" w:rsidRPr="00422E3F">
        <w:rPr>
          <w:color w:val="auto"/>
        </w:rPr>
        <w:t>aumento</w:t>
      </w:r>
      <w:r w:rsidR="00A018E7" w:rsidRPr="00422E3F">
        <w:rPr>
          <w:color w:val="auto"/>
        </w:rPr>
        <w:t xml:space="preserve"> </w:t>
      </w:r>
      <w:r w:rsidR="00063061" w:rsidRPr="00422E3F">
        <w:rPr>
          <w:color w:val="auto"/>
        </w:rPr>
        <w:t xml:space="preserve">percentuale dei nuovi casi </w:t>
      </w:r>
      <w:r w:rsidR="00014C7B" w:rsidRPr="00422E3F">
        <w:rPr>
          <w:color w:val="auto"/>
        </w:rPr>
        <w:t>(</w:t>
      </w:r>
      <w:r w:rsidR="00DC7AAF" w:rsidRPr="00422E3F">
        <w:rPr>
          <w:color w:val="auto"/>
        </w:rPr>
        <w:t>dal +</w:t>
      </w:r>
      <w:r w:rsidR="00650E66" w:rsidRPr="00422E3F">
        <w:rPr>
          <w:color w:val="auto"/>
        </w:rPr>
        <w:t>0</w:t>
      </w:r>
      <w:r w:rsidR="009D50D1" w:rsidRPr="00422E3F">
        <w:rPr>
          <w:color w:val="auto"/>
        </w:rPr>
        <w:t>,</w:t>
      </w:r>
      <w:r w:rsidR="00E62D33" w:rsidRPr="00422E3F">
        <w:rPr>
          <w:color w:val="auto"/>
        </w:rPr>
        <w:t>1</w:t>
      </w:r>
      <w:r w:rsidR="00DC7AAF" w:rsidRPr="00422E3F">
        <w:rPr>
          <w:color w:val="auto"/>
        </w:rPr>
        <w:t xml:space="preserve">% di </w:t>
      </w:r>
      <w:r w:rsidR="00650E66" w:rsidRPr="00422E3F">
        <w:rPr>
          <w:color w:val="auto"/>
        </w:rPr>
        <w:t xml:space="preserve">Firenze </w:t>
      </w:r>
      <w:r w:rsidR="00DC7AAF" w:rsidRPr="00422E3F">
        <w:rPr>
          <w:color w:val="auto"/>
        </w:rPr>
        <w:t xml:space="preserve">al </w:t>
      </w:r>
      <w:r w:rsidR="00117C6A" w:rsidRPr="00422E3F">
        <w:rPr>
          <w:color w:val="auto"/>
        </w:rPr>
        <w:t>+</w:t>
      </w:r>
      <w:r w:rsidR="00ED5318" w:rsidRPr="00422E3F">
        <w:rPr>
          <w:color w:val="auto"/>
        </w:rPr>
        <w:t>1</w:t>
      </w:r>
      <w:r w:rsidR="00650E66" w:rsidRPr="00422E3F">
        <w:rPr>
          <w:color w:val="auto"/>
        </w:rPr>
        <w:t>01</w:t>
      </w:r>
      <w:r w:rsidR="00ED5318" w:rsidRPr="00422E3F">
        <w:rPr>
          <w:color w:val="auto"/>
        </w:rPr>
        <w:t>,</w:t>
      </w:r>
      <w:r w:rsidR="00650E66" w:rsidRPr="00422E3F">
        <w:rPr>
          <w:color w:val="auto"/>
        </w:rPr>
        <w:t>1</w:t>
      </w:r>
      <w:r w:rsidR="00BA097A" w:rsidRPr="00422E3F">
        <w:rPr>
          <w:color w:val="auto"/>
        </w:rPr>
        <w:t xml:space="preserve">% </w:t>
      </w:r>
      <w:r w:rsidR="00DC7AAF" w:rsidRPr="00422E3F">
        <w:rPr>
          <w:color w:val="auto"/>
        </w:rPr>
        <w:t xml:space="preserve">di </w:t>
      </w:r>
      <w:r w:rsidR="00E62D33" w:rsidRPr="00422E3F">
        <w:rPr>
          <w:color w:val="auto"/>
        </w:rPr>
        <w:t>Sondrio</w:t>
      </w:r>
      <w:r w:rsidR="00014C7B" w:rsidRPr="00422E3F">
        <w:rPr>
          <w:color w:val="auto"/>
        </w:rPr>
        <w:t>)</w:t>
      </w:r>
      <w:r w:rsidR="00D1612B" w:rsidRPr="00422E3F">
        <w:rPr>
          <w:color w:val="auto"/>
        </w:rPr>
        <w:t xml:space="preserve">. </w:t>
      </w:r>
      <w:r w:rsidR="00B00E96" w:rsidRPr="00422E3F">
        <w:rPr>
          <w:color w:val="auto"/>
        </w:rPr>
        <w:t>L</w:t>
      </w:r>
      <w:r w:rsidR="00981668" w:rsidRPr="00422E3F">
        <w:rPr>
          <w:color w:val="auto"/>
        </w:rPr>
        <w:t>’incidenza super</w:t>
      </w:r>
      <w:r w:rsidR="009062E9" w:rsidRPr="00422E3F">
        <w:rPr>
          <w:color w:val="auto"/>
        </w:rPr>
        <w:t>a</w:t>
      </w:r>
      <w:r w:rsidR="00981668" w:rsidRPr="00422E3F">
        <w:rPr>
          <w:color w:val="auto"/>
        </w:rPr>
        <w:t xml:space="preserve"> </w:t>
      </w:r>
      <w:r w:rsidR="009062E9" w:rsidRPr="00422E3F">
        <w:rPr>
          <w:color w:val="auto"/>
        </w:rPr>
        <w:t>i</w:t>
      </w:r>
      <w:r w:rsidR="00981668" w:rsidRPr="00422E3F">
        <w:rPr>
          <w:color w:val="auto"/>
        </w:rPr>
        <w:t xml:space="preserve"> 500 casi </w:t>
      </w:r>
      <w:r w:rsidR="00EC02BE" w:rsidRPr="00422E3F">
        <w:rPr>
          <w:color w:val="auto"/>
        </w:rPr>
        <w:t>per 100.000 abitanti</w:t>
      </w:r>
      <w:r w:rsidR="00F5070F" w:rsidRPr="00422E3F">
        <w:rPr>
          <w:color w:val="auto"/>
        </w:rPr>
        <w:t xml:space="preserve"> </w:t>
      </w:r>
      <w:r w:rsidR="00B00E96" w:rsidRPr="00422E3F">
        <w:rPr>
          <w:color w:val="auto"/>
        </w:rPr>
        <w:t xml:space="preserve">in </w:t>
      </w:r>
      <w:r w:rsidR="00650E66" w:rsidRPr="00422E3F">
        <w:rPr>
          <w:color w:val="auto"/>
        </w:rPr>
        <w:t xml:space="preserve">tutte le </w:t>
      </w:r>
      <w:r w:rsidR="00B00E96" w:rsidRPr="00422E3F">
        <w:rPr>
          <w:color w:val="auto"/>
        </w:rPr>
        <w:t xml:space="preserve">Province, di cui </w:t>
      </w:r>
      <w:r w:rsidR="00650E66" w:rsidRPr="00422E3F">
        <w:rPr>
          <w:color w:val="auto"/>
        </w:rPr>
        <w:t xml:space="preserve">62 </w:t>
      </w:r>
      <w:r w:rsidR="00B00E96" w:rsidRPr="00422E3F">
        <w:rPr>
          <w:color w:val="auto"/>
        </w:rPr>
        <w:t xml:space="preserve">registrano </w:t>
      </w:r>
      <w:r w:rsidR="00F5070F" w:rsidRPr="00422E3F">
        <w:rPr>
          <w:color w:val="auto"/>
        </w:rPr>
        <w:t>1.000 casi per 100.000 abitanti</w:t>
      </w:r>
      <w:r w:rsidR="00981668" w:rsidRPr="00422E3F">
        <w:rPr>
          <w:color w:val="auto"/>
        </w:rPr>
        <w:t xml:space="preserve">: </w:t>
      </w:r>
      <w:r w:rsidR="00650E66" w:rsidRPr="00422E3F">
        <w:rPr>
          <w:color w:val="auto"/>
        </w:rPr>
        <w:t>Lecce (1.703), Napoli (1.622), Ascoli Piceno (1.620), Brindisi (1.595), Latina (1.583), Messina (1.574), Caserta (1.561), Siracusa (1.552), Salerno (1.526), Taranto (1.458), Chieti (1.458), Agrigento (1.442), Matera (1.422), Bari (1.412), Rimini (1.410), Perugia (1.407), Pescara (1.386), Teramo (1.377), Padova (1.364), Ragusa (1.344), Forlì-Cesena (1.340), Vicenza (1.318), Siena (1.316), Avellino (1.304), Venezia (1.299), Cagliari (1.295), Oristano (1.274), Catania (1.268), Treviso (1.265), Ravenna (1.257), Ancona (1.252), Macerata (1.248), Reggio di Calabria (1.236), Frosinone (1.235), Fermo (1.232), Rovigo (1.217), Sud Sardegna (1.209), Roma (1.203), Trapani (1.193), Barletta-Andria-Trani (1.182), L'Aquila (1.178), Pordenone (1.163), Enna (1.161), Catanzaro (1.160), Palermo (1.159), Bologna (1.153), Potenza (1.147), Terni (1.138), Caltanissetta (1.116), Cosenza (1.115), Verona (1.096), Sassari (1.095), Nuoro (1.093), La Spezia (1.092), Belluno (1.080), Reggio nell'Emilia (1.066), Benevento (1.058), Ferrara (1.043), Genova (1.011), Foggia (1.009), Lucca (1.005), Isernia (1.002)</w:t>
      </w:r>
      <w:r w:rsidR="00981668" w:rsidRPr="00422E3F">
        <w:rPr>
          <w:color w:val="auto"/>
        </w:rPr>
        <w:t xml:space="preserve"> </w:t>
      </w:r>
      <w:r w:rsidR="00C13A5D" w:rsidRPr="00422E3F">
        <w:rPr>
          <w:color w:val="auto"/>
        </w:rPr>
        <w:t>(</w:t>
      </w:r>
      <w:r w:rsidR="00C13A5D" w:rsidRPr="00422E3F">
        <w:rPr>
          <w:color w:val="auto"/>
          <w:highlight w:val="yellow"/>
        </w:rPr>
        <w:t>tabella 2</w:t>
      </w:r>
      <w:r w:rsidR="00C13A5D" w:rsidRPr="00422E3F">
        <w:rPr>
          <w:color w:val="auto"/>
        </w:rPr>
        <w:t>).</w:t>
      </w:r>
    </w:p>
    <w:p w14:paraId="3481DF93" w14:textId="77777777" w:rsidR="00136FF5" w:rsidRPr="00B824A3" w:rsidRDefault="00136FF5" w:rsidP="00136FF5">
      <w:pPr>
        <w:spacing w:line="276" w:lineRule="auto"/>
        <w:jc w:val="both"/>
        <w:rPr>
          <w:color w:val="auto"/>
        </w:rPr>
      </w:pPr>
      <w:r w:rsidRPr="00B824A3">
        <w:rPr>
          <w:b/>
          <w:bCs/>
          <w:color w:val="auto"/>
        </w:rPr>
        <w:t>Reinfezioni</w:t>
      </w:r>
      <w:r w:rsidRPr="00B824A3">
        <w:rPr>
          <w:color w:val="auto"/>
        </w:rPr>
        <w:t xml:space="preserve">. Secondo </w:t>
      </w:r>
      <w:hyperlink r:id="rId8" w:history="1">
        <w:r w:rsidRPr="00B824A3">
          <w:rPr>
            <w:rStyle w:val="Collegamentoipertestuale"/>
            <w:color w:val="auto"/>
          </w:rPr>
          <w:t>l’ultimo report dell’Istituto Superiore di Sanità</w:t>
        </w:r>
      </w:hyperlink>
      <w:r w:rsidRPr="00B824A3">
        <w:rPr>
          <w:rStyle w:val="Collegamentoipertestuale"/>
          <w:color w:val="auto"/>
          <w:u w:val="none"/>
        </w:rPr>
        <w:t>,</w:t>
      </w:r>
      <w:r w:rsidRPr="00B824A3">
        <w:rPr>
          <w:color w:val="auto"/>
        </w:rPr>
        <w:t xml:space="preserve"> nel periodo 24 agosto 2021-</w:t>
      </w:r>
      <w:r w:rsidR="00B824A3" w:rsidRPr="00B824A3">
        <w:rPr>
          <w:color w:val="auto"/>
        </w:rPr>
        <w:t>6 luglio</w:t>
      </w:r>
      <w:r w:rsidRPr="00B824A3">
        <w:rPr>
          <w:color w:val="auto"/>
        </w:rPr>
        <w:t xml:space="preserve"> 2022 sono state registrate in Italia oltre </w:t>
      </w:r>
      <w:r w:rsidR="00B824A3" w:rsidRPr="00B824A3">
        <w:rPr>
          <w:color w:val="auto"/>
        </w:rPr>
        <w:t>659</w:t>
      </w:r>
      <w:r w:rsidRPr="00B824A3">
        <w:rPr>
          <w:color w:val="auto"/>
        </w:rPr>
        <w:t xml:space="preserve"> mila reinfezioni, pari al 4</w:t>
      </w:r>
      <w:r w:rsidR="00B824A3" w:rsidRPr="00B824A3">
        <w:rPr>
          <w:color w:val="auto"/>
        </w:rPr>
        <w:t>,6</w:t>
      </w:r>
      <w:r w:rsidRPr="00B824A3">
        <w:rPr>
          <w:color w:val="auto"/>
        </w:rPr>
        <w:t xml:space="preserve">% del totale dei casi. La loro incidenza nella settimana </w:t>
      </w:r>
      <w:r w:rsidR="00D856F6" w:rsidRPr="00B824A3">
        <w:rPr>
          <w:color w:val="auto"/>
        </w:rPr>
        <w:t>2</w:t>
      </w:r>
      <w:r w:rsidR="00B824A3" w:rsidRPr="00B824A3">
        <w:rPr>
          <w:color w:val="auto"/>
        </w:rPr>
        <w:t>9</w:t>
      </w:r>
      <w:r w:rsidR="00D856F6" w:rsidRPr="00B824A3">
        <w:rPr>
          <w:color w:val="auto"/>
        </w:rPr>
        <w:t xml:space="preserve"> </w:t>
      </w:r>
      <w:r w:rsidRPr="00B824A3">
        <w:rPr>
          <w:color w:val="auto"/>
        </w:rPr>
        <w:t>giugno</w:t>
      </w:r>
      <w:r w:rsidR="00B824A3" w:rsidRPr="00B824A3">
        <w:rPr>
          <w:color w:val="auto"/>
        </w:rPr>
        <w:t>-6 luglio</w:t>
      </w:r>
      <w:r w:rsidRPr="00B824A3">
        <w:rPr>
          <w:color w:val="auto"/>
        </w:rPr>
        <w:t xml:space="preserve"> si è attestata </w:t>
      </w:r>
      <w:r w:rsidR="00D856F6" w:rsidRPr="00B824A3">
        <w:rPr>
          <w:color w:val="auto"/>
        </w:rPr>
        <w:t>al</w:t>
      </w:r>
      <w:r w:rsidR="00B00E96" w:rsidRPr="00B824A3">
        <w:rPr>
          <w:color w:val="auto"/>
        </w:rPr>
        <w:t xml:space="preserve"> </w:t>
      </w:r>
      <w:r w:rsidR="00B824A3" w:rsidRPr="00B824A3">
        <w:rPr>
          <w:color w:val="auto"/>
        </w:rPr>
        <w:t>10</w:t>
      </w:r>
      <w:r w:rsidRPr="00B824A3">
        <w:rPr>
          <w:color w:val="auto"/>
        </w:rPr>
        <w:t>,</w:t>
      </w:r>
      <w:r w:rsidR="00B824A3" w:rsidRPr="00B824A3">
        <w:rPr>
          <w:color w:val="auto"/>
        </w:rPr>
        <w:t>8</w:t>
      </w:r>
      <w:r w:rsidRPr="00B824A3">
        <w:rPr>
          <w:color w:val="auto"/>
        </w:rPr>
        <w:t xml:space="preserve">% (n. </w:t>
      </w:r>
      <w:r w:rsidR="00B824A3" w:rsidRPr="00B824A3">
        <w:rPr>
          <w:color w:val="auto"/>
        </w:rPr>
        <w:t>72.231</w:t>
      </w:r>
      <w:r w:rsidRPr="00B824A3">
        <w:rPr>
          <w:color w:val="auto"/>
        </w:rPr>
        <w:t xml:space="preserve"> reinfezioni), in aumento rispetto alla settimana precedente (</w:t>
      </w:r>
      <w:r w:rsidR="00B824A3" w:rsidRPr="00B824A3">
        <w:rPr>
          <w:color w:val="auto"/>
        </w:rPr>
        <w:t>9</w:t>
      </w:r>
      <w:r w:rsidR="00D856F6" w:rsidRPr="00B824A3">
        <w:rPr>
          <w:color w:val="auto"/>
        </w:rPr>
        <w:t>,</w:t>
      </w:r>
      <w:r w:rsidR="00B824A3" w:rsidRPr="00B824A3">
        <w:rPr>
          <w:color w:val="auto"/>
        </w:rPr>
        <w:t>6</w:t>
      </w:r>
      <w:r w:rsidRPr="00B824A3">
        <w:rPr>
          <w:color w:val="auto"/>
        </w:rPr>
        <w:t xml:space="preserve">%). </w:t>
      </w:r>
    </w:p>
    <w:p w14:paraId="756AD27B" w14:textId="77777777" w:rsidR="00062A6E" w:rsidRPr="00EB50A0" w:rsidRDefault="00062A6E" w:rsidP="00D44AA7">
      <w:pPr>
        <w:spacing w:line="276" w:lineRule="auto"/>
        <w:jc w:val="both"/>
        <w:rPr>
          <w:color w:val="auto"/>
        </w:rPr>
      </w:pPr>
      <w:r w:rsidRPr="00EB50A0">
        <w:rPr>
          <w:b/>
          <w:color w:val="auto"/>
        </w:rPr>
        <w:t>Testing.</w:t>
      </w:r>
      <w:r w:rsidRPr="00EB50A0">
        <w:rPr>
          <w:color w:val="auto"/>
        </w:rPr>
        <w:t xml:space="preserve"> Si registra un aumento del numero dei tamponi totali (+17%): da 2.152.065 della settimana 29 giugno 2022-5 luglio 2022 a 2.517.540 della settimana 6-12 luglio 2022. In particolare i tamponi rapidi sono </w:t>
      </w:r>
      <w:r w:rsidR="00294E1A">
        <w:rPr>
          <w:color w:val="auto"/>
        </w:rPr>
        <w:t>cresciuti</w:t>
      </w:r>
      <w:r w:rsidR="00294E1A" w:rsidRPr="00EB50A0">
        <w:rPr>
          <w:color w:val="auto"/>
        </w:rPr>
        <w:t xml:space="preserve"> </w:t>
      </w:r>
      <w:r w:rsidRPr="00EB50A0">
        <w:rPr>
          <w:color w:val="auto"/>
        </w:rPr>
        <w:t>del 19,4% (+350.351) e quelli molecolari del 4,4% (+15.124) (</w:t>
      </w:r>
      <w:r w:rsidRPr="00EB50A0">
        <w:rPr>
          <w:color w:val="auto"/>
          <w:highlight w:val="yellow"/>
        </w:rPr>
        <w:t>figura 5</w:t>
      </w:r>
      <w:r w:rsidRPr="00EB50A0">
        <w:rPr>
          <w:color w:val="auto"/>
        </w:rPr>
        <w:t xml:space="preserve">). La media mobile a 7 giorni del tasso di positività </w:t>
      </w:r>
      <w:r w:rsidR="00C467E0">
        <w:rPr>
          <w:color w:val="auto"/>
        </w:rPr>
        <w:t>sale</w:t>
      </w:r>
      <w:r w:rsidR="00C467E0" w:rsidRPr="00EB50A0">
        <w:rPr>
          <w:color w:val="auto"/>
        </w:rPr>
        <w:t xml:space="preserve"> </w:t>
      </w:r>
      <w:r w:rsidRPr="00EB50A0">
        <w:rPr>
          <w:color w:val="auto"/>
        </w:rPr>
        <w:t>dal 17,1% al 18,6% per i tamponi molecolari e dal 29,8% al 31,8% per gli antigenici rapidi (</w:t>
      </w:r>
      <w:r w:rsidRPr="00EB50A0">
        <w:rPr>
          <w:color w:val="auto"/>
          <w:highlight w:val="yellow"/>
        </w:rPr>
        <w:t>figura 6).</w:t>
      </w:r>
    </w:p>
    <w:p w14:paraId="1E19AED9" w14:textId="066881D6" w:rsidR="00F30049" w:rsidRDefault="00C55EE6" w:rsidP="00972F01">
      <w:pPr>
        <w:jc w:val="both"/>
        <w:rPr>
          <w:color w:val="FF0000"/>
        </w:rPr>
      </w:pPr>
      <w:bookmarkStart w:id="2" w:name="_Hlk85025666"/>
      <w:r w:rsidRPr="00C55EE6">
        <w:rPr>
          <w:b/>
          <w:color w:val="000000" w:themeColor="text1"/>
        </w:rPr>
        <w:t>Ospedalizzazioni.</w:t>
      </w:r>
      <w:r w:rsidRPr="00C55EE6">
        <w:rPr>
          <w:color w:val="000000" w:themeColor="text1"/>
        </w:rPr>
        <w:t xml:space="preserve"> «Sul fronte degli ospedali – afferma Marco Mosti, Direttore Operativo della Fondazione GIMBE – prosegue l’aumento dei ricoveri sia in area medica (</w:t>
      </w:r>
      <w:r w:rsidR="00C467E0">
        <w:rPr>
          <w:color w:val="000000" w:themeColor="text1"/>
        </w:rPr>
        <w:t>+</w:t>
      </w:r>
      <w:r w:rsidRPr="00C55EE6">
        <w:rPr>
          <w:color w:val="000000" w:themeColor="text1"/>
        </w:rPr>
        <w:t>21,5%) che in terapia intensiva (</w:t>
      </w:r>
      <w:r w:rsidR="00C467E0">
        <w:rPr>
          <w:color w:val="000000" w:themeColor="text1"/>
        </w:rPr>
        <w:t>+</w:t>
      </w:r>
      <w:r w:rsidRPr="00C55EE6">
        <w:rPr>
          <w:color w:val="000000" w:themeColor="text1"/>
        </w:rPr>
        <w:t xml:space="preserve">16,1%)». In particolare, </w:t>
      </w:r>
      <w:r w:rsidR="00634E23">
        <w:rPr>
          <w:color w:val="000000" w:themeColor="text1"/>
        </w:rPr>
        <w:t>nell’ultimo</w:t>
      </w:r>
      <w:r w:rsidR="00634E23" w:rsidRPr="00972F01">
        <w:rPr>
          <w:color w:val="000000" w:themeColor="text1"/>
        </w:rPr>
        <w:t xml:space="preserve"> mese </w:t>
      </w:r>
      <w:r w:rsidRPr="00C55EE6">
        <w:rPr>
          <w:color w:val="000000" w:themeColor="text1"/>
        </w:rPr>
        <w:t xml:space="preserve">in area critica </w:t>
      </w:r>
      <w:r w:rsidR="00972F01" w:rsidRPr="00972F01">
        <w:rPr>
          <w:color w:val="000000" w:themeColor="text1"/>
        </w:rPr>
        <w:t>i ricoveri sono raddoppiati passando da 183 il 12 giugno a 375 il 12 luglio</w:t>
      </w:r>
      <w:r w:rsidR="00972F01">
        <w:rPr>
          <w:color w:val="000000" w:themeColor="text1"/>
        </w:rPr>
        <w:t>;</w:t>
      </w:r>
      <w:r w:rsidRPr="00C55EE6">
        <w:rPr>
          <w:color w:val="000000" w:themeColor="text1"/>
        </w:rPr>
        <w:t xml:space="preserve"> in area medica, invece, </w:t>
      </w:r>
      <w:r w:rsidR="00972F01">
        <w:rPr>
          <w:color w:val="000000" w:themeColor="text1"/>
        </w:rPr>
        <w:t>sono più che raddoppiati</w:t>
      </w:r>
      <w:r w:rsidRPr="00C55EE6">
        <w:rPr>
          <w:color w:val="000000" w:themeColor="text1"/>
        </w:rPr>
        <w:t xml:space="preserve"> </w:t>
      </w:r>
      <w:r w:rsidR="00972F01">
        <w:rPr>
          <w:color w:val="000000" w:themeColor="text1"/>
        </w:rPr>
        <w:t>passando da</w:t>
      </w:r>
      <w:r w:rsidR="00972F01" w:rsidRPr="00C55EE6">
        <w:rPr>
          <w:color w:val="000000" w:themeColor="text1"/>
        </w:rPr>
        <w:t xml:space="preserve"> </w:t>
      </w:r>
      <w:r w:rsidRPr="00C55EE6">
        <w:rPr>
          <w:color w:val="000000" w:themeColor="text1"/>
        </w:rPr>
        <w:t>4.076 il 11 giugno</w:t>
      </w:r>
      <w:r w:rsidR="00972F01">
        <w:rPr>
          <w:color w:val="000000" w:themeColor="text1"/>
        </w:rPr>
        <w:t xml:space="preserve"> a</w:t>
      </w:r>
      <w:r w:rsidRPr="00C55EE6">
        <w:rPr>
          <w:color w:val="000000" w:themeColor="text1"/>
        </w:rPr>
        <w:t xml:space="preserve"> 9.724 il 12 luglio (</w:t>
      </w:r>
      <w:r w:rsidRPr="00C55EE6">
        <w:rPr>
          <w:color w:val="000000" w:themeColor="text1"/>
          <w:highlight w:val="yellow"/>
        </w:rPr>
        <w:t>figura 7</w:t>
      </w:r>
      <w:r w:rsidRPr="00C55EE6">
        <w:rPr>
          <w:color w:val="000000" w:themeColor="text1"/>
        </w:rPr>
        <w:t>). Al 12 luglio il tasso nazionale di occupazione da parte di pazienti COVID è del 15,1% in area medica (dal 7,8% del Piemonte al 40,2% dell</w:t>
      </w:r>
      <w:r w:rsidR="00294E1A">
        <w:rPr>
          <w:color w:val="000000" w:themeColor="text1"/>
        </w:rPr>
        <w:t>’</w:t>
      </w:r>
      <w:r w:rsidRPr="00C55EE6">
        <w:rPr>
          <w:color w:val="000000" w:themeColor="text1"/>
        </w:rPr>
        <w:t>Umbria) e del 4,1% in area critica (dal</w:t>
      </w:r>
      <w:r>
        <w:rPr>
          <w:color w:val="000000" w:themeColor="text1"/>
        </w:rPr>
        <w:t>lo 0</w:t>
      </w:r>
      <w:r w:rsidRPr="00C55EE6">
        <w:rPr>
          <w:color w:val="000000" w:themeColor="text1"/>
        </w:rPr>
        <w:t>% della Basilicata al 9,3% dell</w:t>
      </w:r>
      <w:r w:rsidR="00634E23">
        <w:rPr>
          <w:color w:val="000000" w:themeColor="text1"/>
        </w:rPr>
        <w:t>’</w:t>
      </w:r>
      <w:r w:rsidRPr="00C55EE6">
        <w:rPr>
          <w:color w:val="000000" w:themeColor="text1"/>
        </w:rPr>
        <w:t>Umbria) (</w:t>
      </w:r>
      <w:r w:rsidRPr="00C55EE6">
        <w:rPr>
          <w:color w:val="000000" w:themeColor="text1"/>
          <w:highlight w:val="yellow"/>
        </w:rPr>
        <w:t>figura 8</w:t>
      </w:r>
      <w:r w:rsidRPr="00C55EE6">
        <w:rPr>
          <w:color w:val="000000" w:themeColor="text1"/>
        </w:rPr>
        <w:t>). «</w:t>
      </w:r>
      <w:r w:rsidR="00294E1A">
        <w:rPr>
          <w:color w:val="000000" w:themeColor="text1"/>
        </w:rPr>
        <w:t>L’</w:t>
      </w:r>
      <w:r w:rsidR="006933AC" w:rsidRPr="006933AC">
        <w:rPr>
          <w:color w:val="000000" w:themeColor="text1"/>
        </w:rPr>
        <w:t xml:space="preserve">incremento dei casi delle ultime settimane </w:t>
      </w:r>
      <w:r w:rsidR="006933AC" w:rsidRPr="00C55EE6">
        <w:rPr>
          <w:color w:val="000000" w:themeColor="text1"/>
        </w:rPr>
        <w:t xml:space="preserve">– puntualizza Mosti – </w:t>
      </w:r>
      <w:r w:rsidR="006933AC" w:rsidRPr="006933AC">
        <w:rPr>
          <w:color w:val="000000" w:themeColor="text1"/>
        </w:rPr>
        <w:t>si riflette sugli ingressi in terapia intensiva</w:t>
      </w:r>
      <w:r w:rsidR="006933AC">
        <w:rPr>
          <w:color w:val="000000" w:themeColor="text1"/>
        </w:rPr>
        <w:t xml:space="preserve">, che registrano </w:t>
      </w:r>
      <w:r w:rsidRPr="00C55EE6">
        <w:rPr>
          <w:color w:val="000000" w:themeColor="text1"/>
        </w:rPr>
        <w:t>una media mobile a 7 giorni di 47 ingressi/die rispetto ai 40 della settimana precedente» (</w:t>
      </w:r>
      <w:r w:rsidRPr="00C55EE6">
        <w:rPr>
          <w:color w:val="000000" w:themeColor="text1"/>
          <w:highlight w:val="yellow"/>
        </w:rPr>
        <w:t>figura 9</w:t>
      </w:r>
      <w:r w:rsidRPr="00C55EE6">
        <w:rPr>
          <w:color w:val="000000" w:themeColor="text1"/>
        </w:rPr>
        <w:t>).</w:t>
      </w:r>
      <w:bookmarkEnd w:id="2"/>
      <w:r w:rsidR="00494847" w:rsidRPr="005529BC">
        <w:rPr>
          <w:color w:val="FF0000"/>
        </w:rPr>
        <w:t xml:space="preserve"> </w:t>
      </w:r>
    </w:p>
    <w:p w14:paraId="5A557F8A" w14:textId="77777777" w:rsidR="007A3A16" w:rsidRPr="00EB50A0" w:rsidRDefault="00EA300B" w:rsidP="00D44AA7">
      <w:pPr>
        <w:spacing w:line="276" w:lineRule="auto"/>
        <w:jc w:val="both"/>
        <w:rPr>
          <w:color w:val="auto"/>
        </w:rPr>
      </w:pPr>
      <w:r w:rsidRPr="00EB50A0">
        <w:rPr>
          <w:b/>
          <w:color w:val="auto"/>
        </w:rPr>
        <w:t>Decessi</w:t>
      </w:r>
      <w:r w:rsidRPr="00EB50A0">
        <w:rPr>
          <w:color w:val="auto"/>
        </w:rPr>
        <w:t xml:space="preserve">. </w:t>
      </w:r>
      <w:r w:rsidR="00494847" w:rsidRPr="00EB50A0">
        <w:rPr>
          <w:color w:val="auto"/>
        </w:rPr>
        <w:t>Continua</w:t>
      </w:r>
      <w:r w:rsidR="00F1321C">
        <w:rPr>
          <w:color w:val="auto"/>
        </w:rPr>
        <w:t xml:space="preserve"> ad aumentare il numero dei decessi</w:t>
      </w:r>
      <w:r w:rsidR="007A3A16" w:rsidRPr="00EB50A0">
        <w:rPr>
          <w:color w:val="auto"/>
        </w:rPr>
        <w:t xml:space="preserve">: </w:t>
      </w:r>
      <w:r w:rsidR="00062A6E" w:rsidRPr="00EB50A0">
        <w:rPr>
          <w:color w:val="auto"/>
        </w:rPr>
        <w:t xml:space="preserve">692 </w:t>
      </w:r>
      <w:r w:rsidR="007A3A16" w:rsidRPr="00EB50A0">
        <w:rPr>
          <w:color w:val="auto"/>
        </w:rPr>
        <w:t xml:space="preserve">negli ultimi 7 giorni (di cui </w:t>
      </w:r>
      <w:r w:rsidR="00062A6E" w:rsidRPr="00EB50A0">
        <w:rPr>
          <w:color w:val="auto"/>
        </w:rPr>
        <w:t xml:space="preserve">70 </w:t>
      </w:r>
      <w:r w:rsidR="007A3A16" w:rsidRPr="00EB50A0">
        <w:rPr>
          <w:color w:val="auto"/>
        </w:rPr>
        <w:t xml:space="preserve">riferiti a periodi precedenti), con una media di </w:t>
      </w:r>
      <w:r w:rsidR="00A8339F" w:rsidRPr="00EB50A0">
        <w:rPr>
          <w:color w:val="auto"/>
        </w:rPr>
        <w:t xml:space="preserve">99 </w:t>
      </w:r>
      <w:r w:rsidR="007A3A16" w:rsidRPr="00EB50A0">
        <w:rPr>
          <w:color w:val="auto"/>
        </w:rPr>
        <w:t xml:space="preserve">al giorno rispetto ai </w:t>
      </w:r>
      <w:r w:rsidR="00A8339F" w:rsidRPr="00EB50A0">
        <w:rPr>
          <w:color w:val="auto"/>
        </w:rPr>
        <w:t xml:space="preserve">66 </w:t>
      </w:r>
      <w:r w:rsidR="007A3A16" w:rsidRPr="00EB50A0">
        <w:rPr>
          <w:color w:val="auto"/>
        </w:rPr>
        <w:t>della settimana precedente.</w:t>
      </w:r>
    </w:p>
    <w:p w14:paraId="1D0AC0A1" w14:textId="77777777" w:rsidR="00EB50A0" w:rsidRPr="00EB50A0" w:rsidRDefault="00EB50A0" w:rsidP="00D44AA7">
      <w:pPr>
        <w:spacing w:line="276" w:lineRule="auto"/>
        <w:jc w:val="both"/>
        <w:rPr>
          <w:color w:val="auto"/>
        </w:rPr>
      </w:pPr>
      <w:r w:rsidRPr="00EB50A0">
        <w:rPr>
          <w:b/>
          <w:color w:val="auto"/>
        </w:rPr>
        <w:t>Vaccini: somministrazioni.</w:t>
      </w:r>
      <w:r w:rsidRPr="00EB50A0">
        <w:rPr>
          <w:color w:val="auto"/>
        </w:rPr>
        <w:t xml:space="preserve"> Al 13 luglio (aggiornamento ore 06.16) </w:t>
      </w:r>
      <w:r w:rsidR="00CF1579">
        <w:rPr>
          <w:color w:val="auto"/>
        </w:rPr>
        <w:t>l’</w:t>
      </w:r>
      <w:r w:rsidRPr="00EB50A0">
        <w:rPr>
          <w:color w:val="auto"/>
        </w:rPr>
        <w:t xml:space="preserve">88,1% della platea (n. 50.809.513) ha ricevuto almeno una dose di vaccino (+3.106 rispetto alla settimana precedente) e </w:t>
      </w:r>
      <w:r w:rsidR="00CF1579">
        <w:rPr>
          <w:color w:val="auto"/>
        </w:rPr>
        <w:t>l’</w:t>
      </w:r>
      <w:r w:rsidRPr="00EB50A0">
        <w:rPr>
          <w:color w:val="auto"/>
        </w:rPr>
        <w:t>86,6% (n. 49.937.448) ha completato il ciclo vaccinale (+3.600 rispetto alla settimana precedente).</w:t>
      </w:r>
    </w:p>
    <w:p w14:paraId="408C9EC1" w14:textId="77777777" w:rsidR="00EB50A0" w:rsidRPr="00EB50A0" w:rsidRDefault="00EB50A0" w:rsidP="00D44AA7">
      <w:pPr>
        <w:spacing w:line="276" w:lineRule="auto"/>
        <w:jc w:val="both"/>
        <w:rPr>
          <w:color w:val="auto"/>
        </w:rPr>
      </w:pPr>
      <w:r w:rsidRPr="00EB50A0">
        <w:rPr>
          <w:b/>
          <w:color w:val="auto"/>
        </w:rPr>
        <w:t>Vaccini: nuovi vaccinati.</w:t>
      </w:r>
      <w:r w:rsidRPr="00EB50A0">
        <w:rPr>
          <w:color w:val="auto"/>
        </w:rPr>
        <w:t xml:space="preserve"> Nella settimana 6-12 luglio </w:t>
      </w:r>
      <w:r w:rsidR="00CF1579">
        <w:rPr>
          <w:color w:val="auto"/>
        </w:rPr>
        <w:t>sale il numero dei</w:t>
      </w:r>
      <w:r w:rsidRPr="00EB50A0">
        <w:rPr>
          <w:color w:val="auto"/>
        </w:rPr>
        <w:t xml:space="preserve"> nuovi vaccinati: 3.106 rispetto ai 3.009 della settimana precedente (</w:t>
      </w:r>
      <w:r w:rsidR="00CF1579">
        <w:rPr>
          <w:color w:val="auto"/>
        </w:rPr>
        <w:t>+</w:t>
      </w:r>
      <w:r w:rsidRPr="00EB50A0">
        <w:rPr>
          <w:color w:val="auto"/>
        </w:rPr>
        <w:t>3,2%). Di questi il 34,6% è rappresentato dalla fascia 5-11</w:t>
      </w:r>
      <w:r w:rsidR="00CF1579">
        <w:rPr>
          <w:color w:val="auto"/>
        </w:rPr>
        <w:t xml:space="preserve"> anni</w:t>
      </w:r>
      <w:r w:rsidRPr="00EB50A0">
        <w:rPr>
          <w:color w:val="auto"/>
        </w:rPr>
        <w:t>: 1.074, con un incremento del</w:t>
      </w:r>
      <w:r>
        <w:rPr>
          <w:color w:val="auto"/>
        </w:rPr>
        <w:t>lo</w:t>
      </w:r>
      <w:r w:rsidRPr="00EB50A0">
        <w:rPr>
          <w:color w:val="auto"/>
        </w:rPr>
        <w:t xml:space="preserve"> 0,3% rispetto alla settimana precedente. Cresce </w:t>
      </w:r>
      <w:r w:rsidR="00CF1579">
        <w:rPr>
          <w:color w:val="auto"/>
        </w:rPr>
        <w:t xml:space="preserve">anche </w:t>
      </w:r>
      <w:r w:rsidRPr="00EB50A0">
        <w:rPr>
          <w:color w:val="auto"/>
        </w:rPr>
        <w:t>tra gli over 50, più a rischio di malattia grave, il numero di nuovi vaccinati che si attesta a quota 900 (</w:t>
      </w:r>
      <w:r w:rsidR="00CF1579">
        <w:rPr>
          <w:color w:val="auto"/>
        </w:rPr>
        <w:t>+</w:t>
      </w:r>
      <w:r w:rsidRPr="00EB50A0">
        <w:rPr>
          <w:color w:val="auto"/>
        </w:rPr>
        <w:t>15,2% rispetto alla settimana precedente) (</w:t>
      </w:r>
      <w:r w:rsidRPr="00EB50A0">
        <w:rPr>
          <w:color w:val="auto"/>
          <w:highlight w:val="yellow"/>
        </w:rPr>
        <w:t>figura 10</w:t>
      </w:r>
      <w:r w:rsidRPr="00EB50A0">
        <w:rPr>
          <w:color w:val="auto"/>
        </w:rPr>
        <w:t>).</w:t>
      </w:r>
    </w:p>
    <w:p w14:paraId="6DB329C7" w14:textId="77777777" w:rsidR="00635705" w:rsidRPr="00635705" w:rsidRDefault="00EB50A0" w:rsidP="00EB50A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color w:val="auto"/>
        </w:rPr>
      </w:pPr>
      <w:r w:rsidRPr="00EB50A0">
        <w:rPr>
          <w:b/>
          <w:color w:val="auto"/>
        </w:rPr>
        <w:t xml:space="preserve">Vaccini: persone non </w:t>
      </w:r>
      <w:r w:rsidRPr="00635705">
        <w:rPr>
          <w:b/>
          <w:color w:val="auto"/>
        </w:rPr>
        <w:t>vaccinate.</w:t>
      </w:r>
      <w:r w:rsidRPr="00635705">
        <w:rPr>
          <w:color w:val="auto"/>
        </w:rPr>
        <w:t xml:space="preserve"> Al 13 luglio (aggiornamento ore 06.16) sono 6,84 milioni le persone di età superiore a 5 anni che non hanno ricevuto nemmeno una dose di vaccino (</w:t>
      </w:r>
      <w:r w:rsidRPr="00635705">
        <w:rPr>
          <w:color w:val="auto"/>
          <w:highlight w:val="yellow"/>
        </w:rPr>
        <w:t>figure 11 e 12</w:t>
      </w:r>
      <w:r w:rsidR="00635705" w:rsidRPr="00635705">
        <w:rPr>
          <w:color w:val="auto"/>
        </w:rPr>
        <w:t>), di cui:</w:t>
      </w:r>
    </w:p>
    <w:p w14:paraId="0D56A511" w14:textId="77777777" w:rsidR="00635705" w:rsidRPr="00635705" w:rsidRDefault="00EB50A0" w:rsidP="00635705">
      <w:pPr>
        <w:pStyle w:val="Paragrafoelenco"/>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jc w:val="both"/>
        <w:rPr>
          <w:rFonts w:eastAsia="Times New Roman"/>
          <w:color w:val="auto"/>
        </w:rPr>
      </w:pPr>
      <w:r w:rsidRPr="00635705">
        <w:rPr>
          <w:rFonts w:eastAsia="Times New Roman"/>
          <w:color w:val="auto"/>
        </w:rPr>
        <w:lastRenderedPageBreak/>
        <w:t xml:space="preserve">4,2 milioni attualmente vaccinabili, pari al 7,3% della platea con nette differenze regionali </w:t>
      </w:r>
      <w:r w:rsidR="006933AC">
        <w:rPr>
          <w:rFonts w:eastAsia="Times New Roman"/>
          <w:color w:val="auto"/>
        </w:rPr>
        <w:t>(</w:t>
      </w:r>
      <w:r w:rsidRPr="00635705">
        <w:rPr>
          <w:rFonts w:eastAsia="Times New Roman"/>
          <w:color w:val="auto"/>
        </w:rPr>
        <w:t>dal 4,5% della Provincia Autonoma di Trento al 10,3% della Calabria</w:t>
      </w:r>
      <w:r w:rsidR="006933AC">
        <w:rPr>
          <w:rFonts w:eastAsia="Times New Roman"/>
          <w:color w:val="auto"/>
        </w:rPr>
        <w:t>);</w:t>
      </w:r>
    </w:p>
    <w:p w14:paraId="500734B2" w14:textId="77777777" w:rsidR="00EB50A0" w:rsidRPr="00635705" w:rsidRDefault="00EB50A0" w:rsidP="00635705">
      <w:pPr>
        <w:pStyle w:val="Paragrafoelenco"/>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jc w:val="both"/>
        <w:rPr>
          <w:color w:val="auto"/>
        </w:rPr>
      </w:pPr>
      <w:r w:rsidRPr="00635705">
        <w:rPr>
          <w:rFonts w:eastAsia="Times New Roman"/>
          <w:color w:val="auto"/>
        </w:rPr>
        <w:t>2,64 milioni temporaneamente protette in quanto guarite da COVID-19 da meno di 180 giorni, pari al 4,6% della platea con nette</w:t>
      </w:r>
      <w:r w:rsidRPr="00635705">
        <w:rPr>
          <w:color w:val="auto"/>
        </w:rPr>
        <w:t xml:space="preserve"> differenze regionali </w:t>
      </w:r>
      <w:r w:rsidR="006933AC">
        <w:rPr>
          <w:color w:val="auto"/>
        </w:rPr>
        <w:t>(</w:t>
      </w:r>
      <w:r w:rsidRPr="00635705">
        <w:rPr>
          <w:color w:val="auto"/>
        </w:rPr>
        <w:t>dal 3,0% del Molise al 9,1% della Provincia Autonoma di Bolzano</w:t>
      </w:r>
      <w:r w:rsidR="006933AC">
        <w:rPr>
          <w:color w:val="auto"/>
        </w:rPr>
        <w:t>)</w:t>
      </w:r>
      <w:r w:rsidRPr="00635705">
        <w:rPr>
          <w:color w:val="auto"/>
        </w:rPr>
        <w:t>.</w:t>
      </w:r>
    </w:p>
    <w:p w14:paraId="3F7D815B" w14:textId="77777777" w:rsidR="00EB50A0" w:rsidRPr="00EB50A0" w:rsidRDefault="00EB50A0" w:rsidP="00EB50A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color w:val="FF0000"/>
        </w:rPr>
      </w:pPr>
    </w:p>
    <w:p w14:paraId="4CD86117" w14:textId="77777777" w:rsidR="00635705" w:rsidRPr="00635705" w:rsidRDefault="00635705" w:rsidP="001A6B1D">
      <w:pPr>
        <w:spacing w:line="276" w:lineRule="auto"/>
        <w:jc w:val="both"/>
        <w:rPr>
          <w:color w:val="auto"/>
        </w:rPr>
      </w:pPr>
      <w:r w:rsidRPr="00635705">
        <w:rPr>
          <w:b/>
          <w:color w:val="auto"/>
        </w:rPr>
        <w:t>Vaccini: fascia 5-11 anni.</w:t>
      </w:r>
      <w:r w:rsidRPr="00635705">
        <w:rPr>
          <w:color w:val="auto"/>
        </w:rPr>
        <w:t xml:space="preserve"> Al 13 luglio (aggiornamento ore 06.16) nella fascia 5-11 anni sono state somministrate 2.589.951 dosi: 1.398.871 hanno ricevuto almeno 1 dose di vaccino (di cui 1.277.487 hanno completato il ciclo vaccinale), con un tasso di copertura nazionale al 38,3% con nette differenze regionali: dal 20,9% della Provincia Autonoma di Bolzano al 53,8% della Puglia (</w:t>
      </w:r>
      <w:r w:rsidRPr="00635705">
        <w:rPr>
          <w:color w:val="auto"/>
          <w:highlight w:val="yellow"/>
        </w:rPr>
        <w:t>figura 13</w:t>
      </w:r>
      <w:r w:rsidRPr="00635705">
        <w:rPr>
          <w:color w:val="auto"/>
        </w:rPr>
        <w:t>).</w:t>
      </w:r>
    </w:p>
    <w:p w14:paraId="241191D0" w14:textId="77777777" w:rsidR="00635705" w:rsidRPr="00635705" w:rsidRDefault="00635705" w:rsidP="0063570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auto"/>
        </w:rPr>
      </w:pPr>
      <w:r w:rsidRPr="00635705">
        <w:rPr>
          <w:rFonts w:eastAsia="Times New Roman"/>
          <w:b/>
          <w:color w:val="auto"/>
        </w:rPr>
        <w:t>Vaccini: terza dose.</w:t>
      </w:r>
      <w:r w:rsidRPr="00635705">
        <w:rPr>
          <w:rFonts w:eastAsia="Times New Roman"/>
          <w:color w:val="auto"/>
        </w:rPr>
        <w:t xml:space="preserve"> Al 13 luglio (aggiornamento ore 06.16) sono state </w:t>
      </w:r>
      <w:r w:rsidRPr="007B07C6">
        <w:rPr>
          <w:rFonts w:eastAsia="Times New Roman"/>
          <w:color w:val="auto"/>
        </w:rPr>
        <w:t xml:space="preserve">somministrate 39.856.768 terze dosi con una media mobile a 7 giorni di 6.631 somministrazioni al giorno. In base alla </w:t>
      </w:r>
      <w:hyperlink r:id="rId9" w:history="1">
        <w:r w:rsidRPr="007B07C6">
          <w:rPr>
            <w:rStyle w:val="Collegamentoipertestuale"/>
            <w:color w:val="auto"/>
          </w:rPr>
          <w:t>platea ufficiale</w:t>
        </w:r>
      </w:hyperlink>
      <w:r w:rsidRPr="007B07C6">
        <w:rPr>
          <w:rFonts w:eastAsia="Times New Roman"/>
          <w:color w:val="auto"/>
        </w:rPr>
        <w:t xml:space="preserve"> (n. 47.703.593), aggiornata al 20 maggio</w:t>
      </w:r>
      <w:r w:rsidR="00D37FA9">
        <w:rPr>
          <w:rFonts w:eastAsia="Times New Roman"/>
          <w:color w:val="auto"/>
        </w:rPr>
        <w:t>,</w:t>
      </w:r>
      <w:r w:rsidRPr="007B07C6">
        <w:rPr>
          <w:rFonts w:eastAsia="Times New Roman"/>
          <w:color w:val="auto"/>
        </w:rPr>
        <w:t xml:space="preserve"> il tasso di copertura nazionale per le terze dosi è del</w:t>
      </w:r>
      <w:r w:rsidR="00D37FA9">
        <w:rPr>
          <w:rFonts w:eastAsia="Times New Roman"/>
          <w:color w:val="auto"/>
        </w:rPr>
        <w:t>l’</w:t>
      </w:r>
      <w:r w:rsidRPr="007B07C6">
        <w:rPr>
          <w:rFonts w:eastAsia="Times New Roman"/>
          <w:color w:val="auto"/>
        </w:rPr>
        <w:t>83,6% con nette differenze regionali: dal 77,8% della Sicilia al 87,5% della Valle D</w:t>
      </w:r>
      <w:r w:rsidR="00D37FA9">
        <w:rPr>
          <w:rFonts w:eastAsia="Times New Roman"/>
          <w:color w:val="auto"/>
        </w:rPr>
        <w:t>’</w:t>
      </w:r>
      <w:r w:rsidRPr="007B07C6">
        <w:rPr>
          <w:rFonts w:eastAsia="Times New Roman"/>
          <w:color w:val="auto"/>
        </w:rPr>
        <w:t xml:space="preserve">Aosta. Sono 7,85 milioni </w:t>
      </w:r>
      <w:r w:rsidRPr="00635705">
        <w:rPr>
          <w:rFonts w:eastAsia="Times New Roman"/>
          <w:color w:val="auto"/>
        </w:rPr>
        <w:t xml:space="preserve">le persone che non hanno ancora ricevuto la dose </w:t>
      </w:r>
      <w:r w:rsidRPr="00D37FA9">
        <w:rPr>
          <w:rFonts w:eastAsia="Times New Roman"/>
          <w:i/>
          <w:color w:val="auto"/>
        </w:rPr>
        <w:t>booster</w:t>
      </w:r>
      <w:r w:rsidRPr="00635705">
        <w:rPr>
          <w:rFonts w:eastAsia="Times New Roman"/>
          <w:color w:val="auto"/>
        </w:rPr>
        <w:t xml:space="preserve"> (</w:t>
      </w:r>
      <w:r w:rsidRPr="00635705">
        <w:rPr>
          <w:rFonts w:eastAsia="Times New Roman"/>
          <w:color w:val="auto"/>
          <w:highlight w:val="yellow"/>
        </w:rPr>
        <w:t>figure 14 e 15</w:t>
      </w:r>
      <w:r w:rsidRPr="00635705">
        <w:rPr>
          <w:rFonts w:eastAsia="Times New Roman"/>
          <w:color w:val="auto"/>
        </w:rPr>
        <w:t>), di cui:</w:t>
      </w:r>
    </w:p>
    <w:p w14:paraId="5113A5F6" w14:textId="77777777" w:rsidR="00635705" w:rsidRPr="00635705" w:rsidRDefault="00635705" w:rsidP="00635705">
      <w:pPr>
        <w:pStyle w:val="Paragrafoelenco"/>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jc w:val="both"/>
        <w:rPr>
          <w:color w:val="auto"/>
        </w:rPr>
      </w:pPr>
      <w:r w:rsidRPr="00635705">
        <w:rPr>
          <w:rFonts w:eastAsia="Times New Roman"/>
          <w:color w:val="auto"/>
        </w:rPr>
        <w:t>5</w:t>
      </w:r>
      <w:r w:rsidRPr="00635705">
        <w:rPr>
          <w:color w:val="auto"/>
        </w:rPr>
        <w:t>,33 milioni possono riceverla subito, pari a</w:t>
      </w:r>
      <w:r w:rsidR="00D37FA9">
        <w:rPr>
          <w:color w:val="auto"/>
        </w:rPr>
        <w:t>ll’</w:t>
      </w:r>
      <w:r w:rsidRPr="00635705">
        <w:rPr>
          <w:color w:val="auto"/>
        </w:rPr>
        <w:t>11,2% della platea con nette differenze regionali</w:t>
      </w:r>
      <w:r w:rsidR="00D37FA9">
        <w:rPr>
          <w:color w:val="auto"/>
        </w:rPr>
        <w:t xml:space="preserve">: </w:t>
      </w:r>
      <w:r w:rsidRPr="00635705">
        <w:rPr>
          <w:color w:val="auto"/>
        </w:rPr>
        <w:t>dal</w:t>
      </w:r>
      <w:r w:rsidR="00D37FA9">
        <w:rPr>
          <w:color w:val="auto"/>
        </w:rPr>
        <w:t>l’</w:t>
      </w:r>
      <w:r w:rsidRPr="00635705">
        <w:rPr>
          <w:color w:val="auto"/>
        </w:rPr>
        <w:t>8,4% della Basilicata al 16,6% della Provincia Autonoma di Bolzano</w:t>
      </w:r>
      <w:r w:rsidR="00D37FA9">
        <w:rPr>
          <w:color w:val="auto"/>
        </w:rPr>
        <w:t>;</w:t>
      </w:r>
    </w:p>
    <w:p w14:paraId="79D2C08E" w14:textId="77777777" w:rsidR="00635705" w:rsidRPr="00635705" w:rsidRDefault="00635705" w:rsidP="00635705">
      <w:pPr>
        <w:pStyle w:val="Paragrafoelenco"/>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both"/>
        <w:rPr>
          <w:rFonts w:eastAsia="Times New Roman"/>
          <w:color w:val="auto"/>
        </w:rPr>
      </w:pPr>
      <w:r w:rsidRPr="00635705">
        <w:rPr>
          <w:color w:val="auto"/>
        </w:rPr>
        <w:t>2,51 milioni</w:t>
      </w:r>
      <w:r w:rsidRPr="00635705">
        <w:rPr>
          <w:rFonts w:eastAsia="Times New Roman"/>
          <w:color w:val="auto"/>
        </w:rPr>
        <w:t xml:space="preserve"> non possono riceverla nell’immediato in quanto guarite da meno di 120 giorni, pari al 5,3% della platea con nette differenze regionali</w:t>
      </w:r>
      <w:r w:rsidR="00D37FA9">
        <w:rPr>
          <w:rFonts w:eastAsia="Times New Roman"/>
          <w:color w:val="auto"/>
        </w:rPr>
        <w:t>:</w:t>
      </w:r>
      <w:r w:rsidRPr="00635705">
        <w:rPr>
          <w:rFonts w:eastAsia="Times New Roman"/>
          <w:color w:val="auto"/>
        </w:rPr>
        <w:t xml:space="preserve"> dal 2,3% della Valle D</w:t>
      </w:r>
      <w:r w:rsidR="00D37FA9">
        <w:rPr>
          <w:rFonts w:eastAsia="Times New Roman"/>
          <w:color w:val="auto"/>
        </w:rPr>
        <w:t>’</w:t>
      </w:r>
      <w:r w:rsidRPr="00635705">
        <w:rPr>
          <w:rFonts w:eastAsia="Times New Roman"/>
          <w:color w:val="auto"/>
        </w:rPr>
        <w:t>Aosta al</w:t>
      </w:r>
      <w:r w:rsidR="00D37FA9">
        <w:rPr>
          <w:rFonts w:eastAsia="Times New Roman"/>
          <w:color w:val="auto"/>
        </w:rPr>
        <w:t>l’</w:t>
      </w:r>
      <w:r w:rsidRPr="00635705">
        <w:rPr>
          <w:rFonts w:eastAsia="Times New Roman"/>
          <w:color w:val="auto"/>
        </w:rPr>
        <w:t>8,3% dell</w:t>
      </w:r>
      <w:r w:rsidR="00294E1A">
        <w:rPr>
          <w:rFonts w:eastAsia="Times New Roman"/>
          <w:color w:val="auto"/>
        </w:rPr>
        <w:t>’</w:t>
      </w:r>
      <w:r w:rsidRPr="00635705">
        <w:rPr>
          <w:rFonts w:eastAsia="Times New Roman"/>
          <w:color w:val="auto"/>
        </w:rPr>
        <w:t>Umbria.</w:t>
      </w:r>
    </w:p>
    <w:p w14:paraId="253200E6" w14:textId="77777777" w:rsidR="00635705" w:rsidRPr="00635705" w:rsidRDefault="00635705" w:rsidP="00D44AA7">
      <w:pPr>
        <w:spacing w:line="276" w:lineRule="auto"/>
        <w:jc w:val="both"/>
        <w:rPr>
          <w:color w:val="auto"/>
        </w:rPr>
      </w:pPr>
      <w:r w:rsidRPr="00635705">
        <w:rPr>
          <w:b/>
          <w:color w:val="auto"/>
        </w:rPr>
        <w:t>Vaccini: quarta dose persone immunocompromesse.</w:t>
      </w:r>
      <w:r w:rsidRPr="00635705">
        <w:rPr>
          <w:color w:val="auto"/>
        </w:rPr>
        <w:t xml:space="preserve"> Al 13 luglio (aggiornamento ore 06.16) sono state somministrate 378.198 quarte dosi, con una media mobile di 3.929 somministrazioni al giorno, in aumento rispetto alle 2.364 della scorsa settimana (</w:t>
      </w:r>
      <w:r w:rsidR="00D37FA9">
        <w:rPr>
          <w:color w:val="auto"/>
        </w:rPr>
        <w:t>+</w:t>
      </w:r>
      <w:r w:rsidRPr="00635705">
        <w:rPr>
          <w:color w:val="auto"/>
        </w:rPr>
        <w:t>66,2%) (</w:t>
      </w:r>
      <w:r w:rsidRPr="00635705">
        <w:rPr>
          <w:color w:val="auto"/>
          <w:highlight w:val="yellow"/>
        </w:rPr>
        <w:t>figura 16</w:t>
      </w:r>
      <w:r w:rsidRPr="00635705">
        <w:rPr>
          <w:color w:val="auto"/>
        </w:rPr>
        <w:t xml:space="preserve">). In base alla </w:t>
      </w:r>
      <w:hyperlink r:id="rId10" w:history="1">
        <w:r w:rsidRPr="00635705">
          <w:rPr>
            <w:rStyle w:val="Collegamentoipertestuale"/>
            <w:color w:val="auto"/>
          </w:rPr>
          <w:t>platea ufficiale</w:t>
        </w:r>
      </w:hyperlink>
      <w:r w:rsidRPr="00635705">
        <w:rPr>
          <w:color w:val="auto"/>
        </w:rPr>
        <w:t xml:space="preserve"> (n. 791.376), aggiornata al 20 maggio, il tasso di copertura nazionale per le quarte dosi è del 47,8% con nette differenze regionali: dal 13,5% della Calabria al 100% del Piemonte (</w:t>
      </w:r>
      <w:r w:rsidRPr="00635705">
        <w:rPr>
          <w:color w:val="auto"/>
          <w:highlight w:val="yellow"/>
        </w:rPr>
        <w:t>figura 17</w:t>
      </w:r>
      <w:r w:rsidRPr="00635705">
        <w:rPr>
          <w:color w:val="auto"/>
        </w:rPr>
        <w:t>).</w:t>
      </w:r>
    </w:p>
    <w:p w14:paraId="0A592E08" w14:textId="77777777" w:rsidR="00635705" w:rsidRPr="00635705" w:rsidRDefault="00635705" w:rsidP="00244CFB">
      <w:pPr>
        <w:spacing w:line="276" w:lineRule="auto"/>
        <w:jc w:val="both"/>
        <w:rPr>
          <w:color w:val="auto"/>
        </w:rPr>
      </w:pPr>
      <w:r w:rsidRPr="00635705">
        <w:rPr>
          <w:b/>
          <w:color w:val="auto"/>
        </w:rPr>
        <w:t>Vaccini: quarta dose over 80, fragili (60-79 anni) e ospiti RSA.</w:t>
      </w:r>
      <w:r w:rsidRPr="00635705">
        <w:rPr>
          <w:color w:val="auto"/>
        </w:rPr>
        <w:t xml:space="preserve">  Al 13 luglio (</w:t>
      </w:r>
      <w:r w:rsidRPr="009B356B">
        <w:rPr>
          <w:color w:val="auto"/>
        </w:rPr>
        <w:t>aggiornamento ore 06.16) sono state somministrate 994.379 quarte dosi, con una media mobile di 8.439 somministrazioni al giorno, in aumento rispetto alle 6.037 della scorsa settimana (</w:t>
      </w:r>
      <w:r w:rsidR="00D37FA9">
        <w:rPr>
          <w:color w:val="auto"/>
        </w:rPr>
        <w:t>+</w:t>
      </w:r>
      <w:r w:rsidRPr="009B356B">
        <w:rPr>
          <w:color w:val="auto"/>
        </w:rPr>
        <w:t>39,8%) (</w:t>
      </w:r>
      <w:r w:rsidRPr="009B356B">
        <w:rPr>
          <w:color w:val="auto"/>
          <w:highlight w:val="yellow"/>
        </w:rPr>
        <w:t>figura 1</w:t>
      </w:r>
      <w:r w:rsidR="00B54DEE" w:rsidRPr="009B356B">
        <w:rPr>
          <w:color w:val="auto"/>
          <w:highlight w:val="yellow"/>
        </w:rPr>
        <w:t>8</w:t>
      </w:r>
      <w:r w:rsidRPr="009B356B">
        <w:rPr>
          <w:color w:val="auto"/>
        </w:rPr>
        <w:t xml:space="preserve">). In base alla </w:t>
      </w:r>
      <w:hyperlink r:id="rId11" w:history="1">
        <w:r w:rsidR="009B356B" w:rsidRPr="009B356B">
          <w:rPr>
            <w:rStyle w:val="Collegamentoipertestuale"/>
            <w:color w:val="auto"/>
          </w:rPr>
          <w:t>platea ufficiale</w:t>
        </w:r>
      </w:hyperlink>
      <w:r w:rsidRPr="009B356B">
        <w:rPr>
          <w:color w:val="auto"/>
        </w:rPr>
        <w:t xml:space="preserve"> (n. 4.422.597 di cui 2.795.910 di over 80, 1.538.588 pazienti fragili della fascia di età 60-79</w:t>
      </w:r>
      <w:r w:rsidR="00D37FA9">
        <w:rPr>
          <w:color w:val="auto"/>
        </w:rPr>
        <w:t xml:space="preserve"> anni</w:t>
      </w:r>
      <w:r w:rsidRPr="009B356B">
        <w:rPr>
          <w:color w:val="auto"/>
        </w:rPr>
        <w:t xml:space="preserve"> </w:t>
      </w:r>
      <w:r w:rsidRPr="00635705">
        <w:rPr>
          <w:color w:val="auto"/>
        </w:rPr>
        <w:t>e 88.099 ospiti delle RSA che non ricadono nelle categorie precedenti), aggiornata al 20 maggio, il tasso di copertura nazionale per le quarte dosi è del 22,5% con nette differenze regionali: dal 7,8% della Calabria al 42,1% del Piemonte (</w:t>
      </w:r>
      <w:r w:rsidRPr="009B356B">
        <w:rPr>
          <w:color w:val="auto"/>
          <w:highlight w:val="yellow"/>
        </w:rPr>
        <w:t xml:space="preserve">figura </w:t>
      </w:r>
      <w:r w:rsidR="00B54DEE" w:rsidRPr="009B356B">
        <w:rPr>
          <w:color w:val="auto"/>
          <w:highlight w:val="yellow"/>
        </w:rPr>
        <w:t>19</w:t>
      </w:r>
      <w:r w:rsidRPr="00635705">
        <w:rPr>
          <w:color w:val="auto"/>
        </w:rPr>
        <w:t>).</w:t>
      </w:r>
    </w:p>
    <w:p w14:paraId="1A479E68" w14:textId="77777777" w:rsidR="00A66BCF" w:rsidRPr="00C467E0" w:rsidRDefault="00A66BCF" w:rsidP="00A66BCF">
      <w:pPr>
        <w:spacing w:line="276" w:lineRule="auto"/>
        <w:jc w:val="both"/>
        <w:rPr>
          <w:color w:val="auto"/>
        </w:rPr>
      </w:pPr>
      <w:r w:rsidRPr="00A66BCF">
        <w:rPr>
          <w:color w:val="auto"/>
        </w:rPr>
        <w:t>Dopo il via libera d</w:t>
      </w:r>
      <w:r w:rsidR="00D37FA9">
        <w:rPr>
          <w:color w:val="auto"/>
        </w:rPr>
        <w:t>ell’</w:t>
      </w:r>
      <w:proofErr w:type="spellStart"/>
      <w:r w:rsidR="00D37FA9" w:rsidRPr="00D37FA9">
        <w:rPr>
          <w:i/>
          <w:color w:val="auto"/>
        </w:rPr>
        <w:t>European</w:t>
      </w:r>
      <w:proofErr w:type="spellEnd"/>
      <w:r w:rsidR="00D37FA9" w:rsidRPr="00D37FA9">
        <w:rPr>
          <w:i/>
          <w:color w:val="auto"/>
        </w:rPr>
        <w:t xml:space="preserve"> </w:t>
      </w:r>
      <w:proofErr w:type="spellStart"/>
      <w:r w:rsidR="00D37FA9" w:rsidRPr="00D37FA9">
        <w:rPr>
          <w:i/>
          <w:color w:val="auto"/>
        </w:rPr>
        <w:t>Medicines</w:t>
      </w:r>
      <w:proofErr w:type="spellEnd"/>
      <w:r w:rsidR="00D37FA9" w:rsidRPr="00D37FA9">
        <w:rPr>
          <w:i/>
          <w:color w:val="auto"/>
        </w:rPr>
        <w:t xml:space="preserve"> Agency </w:t>
      </w:r>
      <w:r w:rsidR="00D37FA9">
        <w:rPr>
          <w:color w:val="auto"/>
        </w:rPr>
        <w:t>e dell’</w:t>
      </w:r>
      <w:proofErr w:type="spellStart"/>
      <w:r w:rsidR="00D37FA9" w:rsidRPr="00D37FA9">
        <w:rPr>
          <w:i/>
          <w:color w:val="auto"/>
        </w:rPr>
        <w:t>European</w:t>
      </w:r>
      <w:proofErr w:type="spellEnd"/>
      <w:r w:rsidR="00D37FA9" w:rsidRPr="00D37FA9">
        <w:rPr>
          <w:i/>
          <w:color w:val="auto"/>
        </w:rPr>
        <w:t xml:space="preserve"> Centre for Disease Prevention and Control</w:t>
      </w:r>
      <w:r w:rsidRPr="00A66BCF">
        <w:rPr>
          <w:color w:val="auto"/>
        </w:rPr>
        <w:t xml:space="preserve">, la </w:t>
      </w:r>
      <w:hyperlink r:id="rId12" w:history="1">
        <w:r w:rsidRPr="00D37FA9">
          <w:rPr>
            <w:rStyle w:val="Collegamentoipertestuale"/>
          </w:rPr>
          <w:t xml:space="preserve">Circolare del Ministero della Salute </w:t>
        </w:r>
        <w:r w:rsidR="00D37FA9" w:rsidRPr="00D37FA9">
          <w:rPr>
            <w:rStyle w:val="Collegamentoipertestuale"/>
          </w:rPr>
          <w:t>dell’11 luglio 2022</w:t>
        </w:r>
      </w:hyperlink>
      <w:r w:rsidR="00D37FA9">
        <w:rPr>
          <w:color w:val="auto"/>
        </w:rPr>
        <w:t xml:space="preserve"> </w:t>
      </w:r>
      <w:r w:rsidRPr="00A66BCF">
        <w:rPr>
          <w:color w:val="auto"/>
        </w:rPr>
        <w:t xml:space="preserve">ha esteso la platea per la quarta dose (secondo richiamo) a tutti gli over 60 e </w:t>
      </w:r>
      <w:r w:rsidR="00D37FA9">
        <w:rPr>
          <w:color w:val="auto"/>
        </w:rPr>
        <w:t>a</w:t>
      </w:r>
      <w:r w:rsidRPr="00A66BCF">
        <w:rPr>
          <w:color w:val="auto"/>
        </w:rPr>
        <w:t xml:space="preserve">i fragili over 12 con somministrazione da effettuarsi dopo almeno 120 giorni dalla terza dose (primo richiamo) o dall’infezione post terza dose. «Pur condividendo questa </w:t>
      </w:r>
      <w:r w:rsidRPr="00C467E0">
        <w:rPr>
          <w:color w:val="auto"/>
        </w:rPr>
        <w:t>decisione – commenta Cartabellotta – la Fondazione GIMBE ormai da mesi sottolinea che l</w:t>
      </w:r>
      <w:r w:rsidR="00D37FA9">
        <w:rPr>
          <w:color w:val="auto"/>
        </w:rPr>
        <w:t>e</w:t>
      </w:r>
      <w:r w:rsidRPr="00C467E0">
        <w:rPr>
          <w:color w:val="auto"/>
        </w:rPr>
        <w:t xml:space="preserve"> somministrazion</w:t>
      </w:r>
      <w:r w:rsidR="00D37FA9">
        <w:rPr>
          <w:color w:val="auto"/>
        </w:rPr>
        <w:t>i</w:t>
      </w:r>
      <w:r w:rsidRPr="00C467E0">
        <w:rPr>
          <w:color w:val="auto"/>
        </w:rPr>
        <w:t xml:space="preserve"> della quarta dose nelle persone più vulnerabili non </w:t>
      </w:r>
      <w:r w:rsidR="00D37FA9">
        <w:rPr>
          <w:color w:val="auto"/>
        </w:rPr>
        <w:t>sono mai decollate</w:t>
      </w:r>
      <w:r w:rsidRPr="00C467E0">
        <w:rPr>
          <w:color w:val="auto"/>
        </w:rPr>
        <w:t xml:space="preserve">, un vero e proprio flop </w:t>
      </w:r>
      <w:r w:rsidR="00D37FA9">
        <w:rPr>
          <w:color w:val="auto"/>
        </w:rPr>
        <w:t>su cui pesano anche</w:t>
      </w:r>
      <w:r w:rsidRPr="00C467E0">
        <w:rPr>
          <w:color w:val="auto"/>
        </w:rPr>
        <w:t xml:space="preserve"> inaccettabili differenze regionali. Nonostante il rischio molto elevato di malattia grave e di mortalità, anche in condizioni di minor circolazione virale, è completamente mancata una strategia di sensibilizzazione e comunicazione: anzi, a causa delle aspettative sui vaccini “aggiornati” le persone sono state dissuase, anche dai medici, </w:t>
      </w:r>
      <w:r w:rsidR="000E07A2">
        <w:rPr>
          <w:color w:val="auto"/>
        </w:rPr>
        <w:t>dall’</w:t>
      </w:r>
      <w:r w:rsidRPr="00C467E0">
        <w:rPr>
          <w:color w:val="auto"/>
        </w:rPr>
        <w:t xml:space="preserve">effettuare la quarta dose subito». </w:t>
      </w:r>
    </w:p>
    <w:p w14:paraId="4894C9C8" w14:textId="77777777" w:rsidR="0096539F" w:rsidRPr="00C467E0" w:rsidRDefault="00A66BCF" w:rsidP="00A66BCF">
      <w:pPr>
        <w:spacing w:line="276" w:lineRule="auto"/>
        <w:jc w:val="both"/>
        <w:rPr>
          <w:color w:val="auto"/>
        </w:rPr>
      </w:pPr>
      <w:r w:rsidRPr="00C467E0">
        <w:rPr>
          <w:color w:val="auto"/>
        </w:rPr>
        <w:t xml:space="preserve">E proprio sui “vaccini aggiornati” </w:t>
      </w:r>
      <w:r w:rsidR="0024292A">
        <w:rPr>
          <w:color w:val="auto"/>
        </w:rPr>
        <w:t>la Fondazione GIMBE ritiene</w:t>
      </w:r>
      <w:r w:rsidRPr="00C467E0">
        <w:rPr>
          <w:color w:val="auto"/>
        </w:rPr>
        <w:t xml:space="preserve"> opportuno ribadire tre </w:t>
      </w:r>
      <w:r w:rsidR="0024292A">
        <w:rPr>
          <w:color w:val="auto"/>
        </w:rPr>
        <w:t>punti fondamentali</w:t>
      </w:r>
      <w:r w:rsidRPr="00C467E0">
        <w:rPr>
          <w:color w:val="auto"/>
        </w:rPr>
        <w:t xml:space="preserve">. Innanzitutto, quelli in via di approvazione sono “tarati” su Omicron BA.1, ovvero non </w:t>
      </w:r>
      <w:r w:rsidR="00294E1A">
        <w:rPr>
          <w:color w:val="auto"/>
        </w:rPr>
        <w:t>sappiamo quanto</w:t>
      </w:r>
      <w:r w:rsidRPr="00C467E0">
        <w:rPr>
          <w:color w:val="auto"/>
        </w:rPr>
        <w:t xml:space="preserve"> proteggano dalle ultime varianti BA.4 e BA.5; in secondo luogo, le prove di efficacia ad oggi disponibili sono </w:t>
      </w:r>
      <w:r w:rsidRPr="00C467E0">
        <w:rPr>
          <w:color w:val="auto"/>
        </w:rPr>
        <w:lastRenderedPageBreak/>
        <w:t>relative alla risposta anticorpale e non alla riduzione del rischio di infezione e, soprattutto, di malattia grave; infine, non vi è alcuna certezza sulla data di approvazione e reale disponibilità per la somministrazione</w:t>
      </w:r>
      <w:r w:rsidR="00294E1A">
        <w:rPr>
          <w:color w:val="auto"/>
        </w:rPr>
        <w:t xml:space="preserve"> alla popolazione</w:t>
      </w:r>
      <w:r w:rsidRPr="00C467E0">
        <w:rPr>
          <w:color w:val="auto"/>
        </w:rPr>
        <w:t xml:space="preserve">. «Tenendo conto del quadro di elevata circolazione virale – aggiunge il Presidente </w:t>
      </w:r>
      <w:r w:rsidR="0024292A" w:rsidRPr="00C467E0">
        <w:rPr>
          <w:color w:val="auto"/>
        </w:rPr>
        <w:t>–</w:t>
      </w:r>
      <w:r w:rsidRPr="00C467E0">
        <w:rPr>
          <w:color w:val="auto"/>
        </w:rPr>
        <w:t xml:space="preserve"> è cruciale effettuare la quarta dose subito con </w:t>
      </w:r>
      <w:r w:rsidR="0024292A">
        <w:rPr>
          <w:color w:val="auto"/>
        </w:rPr>
        <w:t>i</w:t>
      </w:r>
      <w:r w:rsidRPr="00C467E0">
        <w:rPr>
          <w:color w:val="auto"/>
        </w:rPr>
        <w:t xml:space="preserve"> vaccin</w:t>
      </w:r>
      <w:r w:rsidR="0024292A">
        <w:rPr>
          <w:color w:val="auto"/>
        </w:rPr>
        <w:t>i</w:t>
      </w:r>
      <w:r w:rsidRPr="00C467E0">
        <w:rPr>
          <w:color w:val="auto"/>
        </w:rPr>
        <w:t xml:space="preserve"> attual</w:t>
      </w:r>
      <w:r w:rsidR="0024292A">
        <w:rPr>
          <w:color w:val="auto"/>
        </w:rPr>
        <w:t>i</w:t>
      </w:r>
      <w:r w:rsidRPr="00C467E0">
        <w:rPr>
          <w:color w:val="auto"/>
        </w:rPr>
        <w:t xml:space="preserve"> che, seppur “vecchi”, si </w:t>
      </w:r>
      <w:r w:rsidR="0024292A">
        <w:rPr>
          <w:color w:val="auto"/>
        </w:rPr>
        <w:t>sono</w:t>
      </w:r>
      <w:r w:rsidRPr="00C467E0">
        <w:rPr>
          <w:color w:val="auto"/>
        </w:rPr>
        <w:t xml:space="preserve"> dimostrat</w:t>
      </w:r>
      <w:r w:rsidR="0024292A">
        <w:rPr>
          <w:color w:val="auto"/>
        </w:rPr>
        <w:t xml:space="preserve">i </w:t>
      </w:r>
      <w:r w:rsidRPr="00C467E0">
        <w:rPr>
          <w:color w:val="auto"/>
        </w:rPr>
        <w:t>ampiamente efficac</w:t>
      </w:r>
      <w:r w:rsidR="0024292A">
        <w:rPr>
          <w:color w:val="auto"/>
        </w:rPr>
        <w:t>i</w:t>
      </w:r>
      <w:r w:rsidRPr="00C467E0">
        <w:rPr>
          <w:color w:val="auto"/>
        </w:rPr>
        <w:t xml:space="preserve"> nel riportare a livelli elevati la copertura nei confronti della malattia grave, che declina progressivamente a 120 giorni dalla terza dose».</w:t>
      </w:r>
    </w:p>
    <w:p w14:paraId="0F0DDADF" w14:textId="77777777" w:rsidR="00586E57" w:rsidRPr="00A66BCF" w:rsidRDefault="00586E57" w:rsidP="007B07C6">
      <w:pPr>
        <w:spacing w:line="276" w:lineRule="auto"/>
        <w:jc w:val="both"/>
        <w:rPr>
          <w:color w:val="auto"/>
        </w:rPr>
      </w:pPr>
      <w:r w:rsidRPr="00C467E0">
        <w:rPr>
          <w:color w:val="auto"/>
        </w:rPr>
        <w:t xml:space="preserve">«Se da un lato </w:t>
      </w:r>
      <w:r w:rsidR="00DB709A">
        <w:rPr>
          <w:color w:val="auto"/>
        </w:rPr>
        <w:t>n</w:t>
      </w:r>
      <w:r w:rsidR="00DB709A" w:rsidRPr="00C467E0">
        <w:rPr>
          <w:color w:val="auto"/>
        </w:rPr>
        <w:t>ell’ultima settimana –</w:t>
      </w:r>
      <w:r w:rsidR="00DB709A">
        <w:rPr>
          <w:color w:val="auto"/>
        </w:rPr>
        <w:t xml:space="preserve"> </w:t>
      </w:r>
      <w:r w:rsidR="00DB709A" w:rsidRPr="00C467E0">
        <w:rPr>
          <w:color w:val="auto"/>
        </w:rPr>
        <w:t xml:space="preserve">conclude Cartabellotta – </w:t>
      </w:r>
      <w:r w:rsidRPr="00C467E0">
        <w:rPr>
          <w:color w:val="auto"/>
        </w:rPr>
        <w:t>il rallentamento nella crescita dei nuovi casi–</w:t>
      </w:r>
      <w:r w:rsidR="00DB709A">
        <w:rPr>
          <w:color w:val="auto"/>
        </w:rPr>
        <w:t xml:space="preserve">lascia </w:t>
      </w:r>
      <w:r w:rsidR="005956D4">
        <w:rPr>
          <w:color w:val="auto"/>
        </w:rPr>
        <w:t>intravedere il</w:t>
      </w:r>
      <w:r w:rsidRPr="00C467E0">
        <w:rPr>
          <w:color w:val="auto"/>
        </w:rPr>
        <w:t xml:space="preserve"> raggiungimento del picco, dall’altro </w:t>
      </w:r>
      <w:r w:rsidR="005956D4">
        <w:rPr>
          <w:color w:val="auto"/>
        </w:rPr>
        <w:t xml:space="preserve">è bene essere consapevoli che </w:t>
      </w:r>
      <w:r w:rsidRPr="00C467E0">
        <w:rPr>
          <w:color w:val="auto"/>
        </w:rPr>
        <w:t>la durata del plateau e la successiva discesa della curva potrebbero essere molto lenti, anche in ragione del numero di casi non noti alle statistiche ufficiali. Di conseguenza, nelle prossime settimane dobbiamo aspettarci un ulteriore aumento di ricoveri ospedalieri e decessi</w:t>
      </w:r>
      <w:r w:rsidR="00DB709A">
        <w:rPr>
          <w:color w:val="auto"/>
        </w:rPr>
        <w:t xml:space="preserve">: questo rende del tutto </w:t>
      </w:r>
      <w:r w:rsidR="005956D4">
        <w:rPr>
          <w:color w:val="auto"/>
        </w:rPr>
        <w:t>inaccettabile</w:t>
      </w:r>
      <w:r w:rsidRPr="00C467E0">
        <w:rPr>
          <w:color w:val="auto"/>
        </w:rPr>
        <w:t xml:space="preserve"> in un’ottica di sanità pubblica</w:t>
      </w:r>
      <w:r w:rsidR="005956D4">
        <w:rPr>
          <w:color w:val="auto"/>
        </w:rPr>
        <w:t xml:space="preserve"> l</w:t>
      </w:r>
      <w:r w:rsidR="00DB709A">
        <w:rPr>
          <w:color w:val="auto"/>
        </w:rPr>
        <w:t xml:space="preserve">’idea </w:t>
      </w:r>
      <w:r w:rsidR="005956D4" w:rsidRPr="00C467E0">
        <w:rPr>
          <w:color w:val="auto"/>
        </w:rPr>
        <w:t>di far circolare liberamente il virus</w:t>
      </w:r>
      <w:r w:rsidRPr="00C467E0">
        <w:rPr>
          <w:color w:val="auto"/>
        </w:rPr>
        <w:t xml:space="preserve">. </w:t>
      </w:r>
      <w:r w:rsidR="005956D4">
        <w:rPr>
          <w:color w:val="auto"/>
        </w:rPr>
        <w:t>Infatti, s</w:t>
      </w:r>
      <w:r w:rsidRPr="00C467E0">
        <w:rPr>
          <w:color w:val="auto"/>
        </w:rPr>
        <w:t>e da un lato l’ipotesi di potenziare l’immunità di popolazione con un “</w:t>
      </w:r>
      <w:r w:rsidRPr="004A7793">
        <w:rPr>
          <w:i/>
          <w:color w:val="auto"/>
        </w:rPr>
        <w:t>booster</w:t>
      </w:r>
      <w:r w:rsidRPr="00C467E0">
        <w:rPr>
          <w:color w:val="auto"/>
        </w:rPr>
        <w:t xml:space="preserve"> naturale” è molto suggestiva, dall’altro la popolazione over 50 suscettibile (non vaccinati, persone che non hanno fatto la terza dose e fragili che non hanno fatto la quarta dose) è troppo </w:t>
      </w:r>
      <w:r w:rsidR="005956D4">
        <w:rPr>
          <w:color w:val="auto"/>
        </w:rPr>
        <w:t>numerosa</w:t>
      </w:r>
      <w:r w:rsidRPr="00586E57">
        <w:rPr>
          <w:color w:val="auto"/>
        </w:rPr>
        <w:t>. Peraltro questa “strategia” non tiene conto dell’impatto del long COVID</w:t>
      </w:r>
      <w:r w:rsidR="004A7793">
        <w:rPr>
          <w:color w:val="auto"/>
        </w:rPr>
        <w:t>,</w:t>
      </w:r>
      <w:r w:rsidRPr="00586E57">
        <w:rPr>
          <w:color w:val="auto"/>
        </w:rPr>
        <w:t xml:space="preserve"> la cui incidenza è correlata al numero di infezioni. Infine, una circolazione incontrollata di un virus così contagioso come Omicron 5 rischia di determinare una vera e propria paralisi di vari servizi</w:t>
      </w:r>
      <w:r w:rsidR="005956D4">
        <w:rPr>
          <w:color w:val="auto"/>
        </w:rPr>
        <w:t>. Ecco perché rimane fondamentale arginare la circolazione del virus</w:t>
      </w:r>
      <w:r w:rsidR="00A13E57">
        <w:rPr>
          <w:color w:val="auto"/>
        </w:rPr>
        <w:t xml:space="preserve"> utilizzando le mascherine al chiuso, in particolare in luoghi affollati e poco ventilati, oltre che </w:t>
      </w:r>
      <w:r w:rsidR="00A13E57" w:rsidRPr="00C40B0B">
        <w:rPr>
          <w:color w:val="auto"/>
        </w:rPr>
        <w:t>all’aperto in condizioni di grandi assembramenti con attività ad elevata probabilità di contagio</w:t>
      </w:r>
      <w:r w:rsidRPr="00A66BCF">
        <w:rPr>
          <w:color w:val="auto"/>
        </w:rPr>
        <w:t>»</w:t>
      </w:r>
      <w:r w:rsidRPr="00586E57">
        <w:rPr>
          <w:color w:val="auto"/>
        </w:rPr>
        <w:t>.</w:t>
      </w:r>
    </w:p>
    <w:p w14:paraId="21924EFE" w14:textId="77777777" w:rsidR="00E23CF9" w:rsidRPr="004A7793" w:rsidRDefault="00666867" w:rsidP="005D0ED7">
      <w:pPr>
        <w:spacing w:after="120" w:line="276" w:lineRule="auto"/>
        <w:rPr>
          <w:rStyle w:val="Hyperlink0"/>
          <w:color w:val="auto"/>
        </w:rPr>
      </w:pPr>
      <w:r w:rsidRPr="004A7793">
        <w:rPr>
          <w:i/>
          <w:iCs/>
          <w:color w:val="auto"/>
        </w:rPr>
        <w:t>Il</w:t>
      </w:r>
      <w:r w:rsidR="00CE577D" w:rsidRPr="004A7793">
        <w:rPr>
          <w:i/>
          <w:iCs/>
          <w:color w:val="auto"/>
        </w:rPr>
        <w:t xml:space="preserve"> monitoraggio GIMBE dell'epidemia COVID-19 è disponibile</w:t>
      </w:r>
      <w:r w:rsidR="00CE577D" w:rsidRPr="004A7793">
        <w:rPr>
          <w:i/>
          <w:iCs/>
          <w:color w:val="000000" w:themeColor="text1"/>
        </w:rPr>
        <w:t xml:space="preserve"> a:</w:t>
      </w:r>
      <w:r w:rsidR="004A7793" w:rsidRPr="004A7793">
        <w:t xml:space="preserve"> </w:t>
      </w:r>
      <w:hyperlink r:id="rId13" w:history="1">
        <w:r w:rsidR="004A7793" w:rsidRPr="00946483">
          <w:rPr>
            <w:rStyle w:val="Collegamentoipertestuale"/>
            <w:i/>
            <w:iCs/>
          </w:rPr>
          <w:t>https://coronavirus.gimbe.org</w:t>
        </w:r>
      </w:hyperlink>
      <w:r w:rsidR="004A7793">
        <w:rPr>
          <w:i/>
          <w:iCs/>
          <w:color w:val="000000" w:themeColor="text1"/>
        </w:rPr>
        <w:t xml:space="preserve"> </w:t>
      </w:r>
    </w:p>
    <w:p w14:paraId="04ED1FAC" w14:textId="77777777" w:rsidR="009B392C" w:rsidRPr="00D44AA7" w:rsidRDefault="009B392C" w:rsidP="00BD67DE">
      <w:pPr>
        <w:spacing w:after="120" w:line="276" w:lineRule="auto"/>
        <w:rPr>
          <w:rStyle w:val="Hyperlink0"/>
        </w:rPr>
      </w:pPr>
    </w:p>
    <w:p w14:paraId="17E4C235" w14:textId="77777777" w:rsidR="00044ABB" w:rsidRPr="00D44AA7" w:rsidRDefault="00CE577D" w:rsidP="00C46A82">
      <w:pPr>
        <w:spacing w:after="120"/>
        <w:rPr>
          <w:rFonts w:eastAsia="Calibri" w:cs="Calibri"/>
          <w:color w:val="0563C1"/>
          <w:sz w:val="20"/>
          <w:szCs w:val="20"/>
          <w:u w:val="single" w:color="0563C1"/>
        </w:rPr>
      </w:pPr>
      <w:r w:rsidRPr="00D44AA7">
        <w:rPr>
          <w:b/>
          <w:bCs/>
        </w:rPr>
        <w:t>CONTATTI</w:t>
      </w:r>
      <w:r w:rsidRPr="00D44AA7">
        <w:rPr>
          <w:i/>
          <w:iCs/>
        </w:rPr>
        <w:br/>
      </w:r>
      <w:r w:rsidRPr="00D44AA7">
        <w:rPr>
          <w:b/>
          <w:bCs/>
        </w:rPr>
        <w:t>Fondazione GIMBE</w:t>
      </w:r>
      <w:r w:rsidRPr="00D44AA7">
        <w:rPr>
          <w:i/>
          <w:iCs/>
          <w:color w:val="0563C1"/>
          <w:u w:val="single" w:color="0563C1"/>
        </w:rPr>
        <w:br/>
      </w:r>
      <w:r w:rsidRPr="00D44AA7">
        <w:rPr>
          <w:sz w:val="20"/>
          <w:szCs w:val="20"/>
        </w:rPr>
        <w:t>Via Amendola 2 - 40121 Bologna</w:t>
      </w:r>
      <w:r w:rsidRPr="00D44AA7">
        <w:rPr>
          <w:sz w:val="20"/>
          <w:szCs w:val="20"/>
        </w:rPr>
        <w:br/>
        <w:t>Tel. 051 5883920 - Fax 051 4075774</w:t>
      </w:r>
      <w:r w:rsidRPr="00D44AA7">
        <w:rPr>
          <w:sz w:val="20"/>
          <w:szCs w:val="20"/>
        </w:rPr>
        <w:br/>
        <w:t xml:space="preserve">E-mail: </w:t>
      </w:r>
      <w:hyperlink r:id="rId14" w:history="1">
        <w:r w:rsidRPr="00D44AA7">
          <w:rPr>
            <w:rStyle w:val="Hyperlink1"/>
          </w:rPr>
          <w:t>ufficio.stampa@gimbe.org</w:t>
        </w:r>
      </w:hyperlink>
    </w:p>
    <w:p w14:paraId="3DFB31FD" w14:textId="77777777" w:rsidR="00F43DFC" w:rsidRPr="00D44AA7" w:rsidRDefault="001203E4" w:rsidP="00D304E2">
      <w:pPr>
        <w:spacing w:after="0" w:line="240" w:lineRule="auto"/>
        <w:jc w:val="center"/>
        <w:rPr>
          <w:b/>
          <w:bCs/>
          <w:color w:val="00457D"/>
          <w:sz w:val="24"/>
          <w:szCs w:val="24"/>
          <w:u w:color="00457D"/>
        </w:rPr>
      </w:pPr>
      <w:r w:rsidRPr="00D44AA7">
        <w:rPr>
          <w:b/>
          <w:bCs/>
          <w:color w:val="00457D"/>
          <w:sz w:val="24"/>
          <w:szCs w:val="24"/>
          <w:u w:color="00457D"/>
        </w:rPr>
        <w:br w:type="page"/>
      </w:r>
      <w:r w:rsidR="00CE577D" w:rsidRPr="00D44AA7">
        <w:rPr>
          <w:b/>
          <w:bCs/>
          <w:color w:val="00457D"/>
          <w:sz w:val="24"/>
          <w:szCs w:val="24"/>
          <w:u w:color="00457D"/>
        </w:rPr>
        <w:lastRenderedPageBreak/>
        <w:t>Figura 1</w:t>
      </w:r>
    </w:p>
    <w:p w14:paraId="68B97C5E" w14:textId="2E052FC0" w:rsidR="009B356B" w:rsidRPr="00D44AA7" w:rsidRDefault="006B3273" w:rsidP="00EA300B">
      <w:pPr>
        <w:jc w:val="center"/>
        <w:rPr>
          <w:b/>
          <w:bCs/>
          <w:color w:val="00457D"/>
          <w:sz w:val="24"/>
          <w:szCs w:val="24"/>
          <w:u w:color="00457D"/>
        </w:rPr>
      </w:pPr>
      <w:r>
        <w:rPr>
          <w:b/>
          <w:bCs/>
          <w:color w:val="00457D"/>
          <w:sz w:val="24"/>
          <w:szCs w:val="24"/>
          <w:u w:color="00457D"/>
        </w:rPr>
        <w:pict w14:anchorId="01ABE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67pt">
            <v:imagedata r:id="rId15" o:title="Figura_01_20220714"/>
          </v:shape>
        </w:pict>
      </w:r>
    </w:p>
    <w:p w14:paraId="2EE50A9A" w14:textId="77777777" w:rsidR="00266D51" w:rsidRPr="00D44AA7" w:rsidRDefault="00266D51">
      <w:pPr>
        <w:jc w:val="center"/>
        <w:rPr>
          <w:b/>
          <w:bCs/>
          <w:color w:val="00457D"/>
          <w:sz w:val="24"/>
          <w:szCs w:val="24"/>
          <w:u w:color="00457D"/>
        </w:rPr>
      </w:pPr>
    </w:p>
    <w:p w14:paraId="23D4715E" w14:textId="77777777" w:rsidR="00EA300B" w:rsidRDefault="00CE577D" w:rsidP="006B059A">
      <w:pPr>
        <w:spacing w:after="0"/>
        <w:jc w:val="center"/>
        <w:rPr>
          <w:b/>
          <w:bCs/>
          <w:noProof/>
          <w:color w:val="00457D"/>
          <w:sz w:val="24"/>
          <w:szCs w:val="24"/>
          <w:u w:color="00457D"/>
        </w:rPr>
      </w:pPr>
      <w:r w:rsidRPr="00D44AA7">
        <w:rPr>
          <w:b/>
          <w:bCs/>
          <w:color w:val="00457D"/>
          <w:sz w:val="24"/>
          <w:szCs w:val="24"/>
          <w:u w:color="00457D"/>
        </w:rPr>
        <w:t>Figura 2</w:t>
      </w:r>
    </w:p>
    <w:p w14:paraId="280DD833" w14:textId="71F0FB45" w:rsidR="009B356B" w:rsidRPr="00D44AA7" w:rsidRDefault="006B3273" w:rsidP="00EA300B">
      <w:pPr>
        <w:jc w:val="center"/>
        <w:rPr>
          <w:b/>
          <w:bCs/>
          <w:color w:val="00457D"/>
          <w:sz w:val="24"/>
          <w:szCs w:val="24"/>
          <w:u w:color="00457D"/>
        </w:rPr>
      </w:pPr>
      <w:r>
        <w:rPr>
          <w:b/>
          <w:bCs/>
          <w:noProof/>
          <w:color w:val="00457D"/>
          <w:sz w:val="24"/>
          <w:szCs w:val="24"/>
          <w:u w:color="00457D"/>
        </w:rPr>
        <w:pict w14:anchorId="243CD7C1">
          <v:shape id="_x0000_i1026" type="#_x0000_t75" style="width:481.5pt;height:267pt">
            <v:imagedata r:id="rId16" o:title="Figura_02_20220714"/>
          </v:shape>
        </w:pict>
      </w:r>
    </w:p>
    <w:p w14:paraId="362BE715" w14:textId="77777777" w:rsidR="007B682B" w:rsidRPr="00D44AA7" w:rsidRDefault="00CE577D">
      <w:pPr>
        <w:jc w:val="center"/>
        <w:sectPr w:rsidR="007B682B" w:rsidRPr="00D44AA7" w:rsidSect="00AC5C5B">
          <w:headerReference w:type="default" r:id="rId17"/>
          <w:pgSz w:w="11900" w:h="16840"/>
          <w:pgMar w:top="993" w:right="1134" w:bottom="993" w:left="1134" w:header="709" w:footer="709" w:gutter="0"/>
          <w:cols w:space="720"/>
        </w:sectPr>
      </w:pPr>
      <w:r w:rsidRPr="00D44AA7">
        <w:rPr>
          <w:b/>
          <w:bCs/>
          <w:color w:val="00457D"/>
          <w:sz w:val="24"/>
          <w:szCs w:val="24"/>
          <w:u w:color="00457D"/>
        </w:rPr>
        <w:br/>
      </w:r>
    </w:p>
    <w:p w14:paraId="4D4CE034" w14:textId="77777777" w:rsidR="007B682B" w:rsidRPr="00D44AA7" w:rsidRDefault="00CE577D" w:rsidP="00466C2D">
      <w:pPr>
        <w:spacing w:after="0" w:line="360" w:lineRule="auto"/>
        <w:jc w:val="center"/>
        <w:rPr>
          <w:b/>
          <w:bCs/>
          <w:color w:val="00457D"/>
          <w:sz w:val="24"/>
          <w:szCs w:val="24"/>
          <w:u w:color="00457D"/>
        </w:rPr>
      </w:pPr>
      <w:r w:rsidRPr="00D44AA7">
        <w:rPr>
          <w:b/>
          <w:bCs/>
          <w:color w:val="00457D"/>
          <w:sz w:val="24"/>
          <w:szCs w:val="24"/>
          <w:u w:color="00457D"/>
        </w:rPr>
        <w:lastRenderedPageBreak/>
        <w:t>Figura 3</w:t>
      </w:r>
    </w:p>
    <w:p w14:paraId="194200FC" w14:textId="47DCF273" w:rsidR="009B356B" w:rsidRPr="00D44AA7" w:rsidRDefault="006B3273">
      <w:pPr>
        <w:spacing w:after="0" w:line="360" w:lineRule="auto"/>
        <w:jc w:val="center"/>
        <w:sectPr w:rsidR="009B356B" w:rsidRPr="00D44AA7" w:rsidSect="005B4AE1">
          <w:pgSz w:w="16840" w:h="11900" w:orient="landscape"/>
          <w:pgMar w:top="992" w:right="1134" w:bottom="709" w:left="1134" w:header="709" w:footer="709" w:gutter="0"/>
          <w:cols w:space="720"/>
          <w:docGrid w:linePitch="299"/>
        </w:sectPr>
      </w:pPr>
      <w:r>
        <w:rPr>
          <w:noProof/>
        </w:rPr>
        <w:pict w14:anchorId="4E4D8F43">
          <v:shape id="_x0000_i1027" type="#_x0000_t75" style="width:727.5pt;height:374.25pt">
            <v:imagedata r:id="rId18" o:title="Figura_03_20220714"/>
          </v:shape>
        </w:pict>
      </w:r>
    </w:p>
    <w:p w14:paraId="142C9213" w14:textId="77777777" w:rsidR="00184E2C" w:rsidRPr="00D44AA7" w:rsidRDefault="00E10DC3" w:rsidP="00E10DC3">
      <w:pPr>
        <w:spacing w:after="0"/>
        <w:jc w:val="center"/>
        <w:rPr>
          <w:b/>
          <w:bCs/>
          <w:color w:val="00457D"/>
          <w:sz w:val="24"/>
          <w:szCs w:val="24"/>
          <w:u w:color="00457D"/>
        </w:rPr>
      </w:pPr>
      <w:r w:rsidRPr="00D44AA7">
        <w:rPr>
          <w:b/>
          <w:bCs/>
          <w:color w:val="00457D"/>
          <w:sz w:val="24"/>
          <w:szCs w:val="24"/>
          <w:u w:color="00457D"/>
        </w:rPr>
        <w:lastRenderedPageBreak/>
        <w:t>Figura 4</w:t>
      </w:r>
    </w:p>
    <w:p w14:paraId="0CECA42B" w14:textId="26C18044" w:rsidR="009B356B" w:rsidRPr="00D44AA7" w:rsidRDefault="006B3273" w:rsidP="00E10DC3">
      <w:pPr>
        <w:spacing w:after="0"/>
        <w:jc w:val="center"/>
        <w:rPr>
          <w:color w:val="auto"/>
        </w:rPr>
      </w:pPr>
      <w:r>
        <w:rPr>
          <w:noProof/>
          <w:color w:val="auto"/>
        </w:rPr>
        <w:pict w14:anchorId="4F560601">
          <v:shape id="_x0000_i1028" type="#_x0000_t75" style="width:481.5pt;height:235.5pt">
            <v:imagedata r:id="rId19" o:title="Figura_04_20220714"/>
          </v:shape>
        </w:pict>
      </w:r>
    </w:p>
    <w:p w14:paraId="6D62C11D" w14:textId="77777777" w:rsidR="00FB6128" w:rsidRPr="00D44AA7" w:rsidRDefault="00FB6128" w:rsidP="00E10DC3">
      <w:pPr>
        <w:spacing w:after="0"/>
        <w:jc w:val="center"/>
        <w:rPr>
          <w:color w:val="auto"/>
        </w:rPr>
      </w:pPr>
    </w:p>
    <w:p w14:paraId="009757EC" w14:textId="77777777" w:rsidR="00FB6128" w:rsidRPr="00333C20" w:rsidRDefault="00FB6128" w:rsidP="00FB6128">
      <w:pPr>
        <w:spacing w:after="0"/>
        <w:jc w:val="center"/>
        <w:rPr>
          <w:b/>
          <w:bCs/>
          <w:color w:val="00457D"/>
          <w:sz w:val="24"/>
          <w:szCs w:val="24"/>
          <w:u w:color="00457D"/>
        </w:rPr>
      </w:pPr>
      <w:r w:rsidRPr="00333C20">
        <w:rPr>
          <w:b/>
          <w:bCs/>
          <w:color w:val="00457D"/>
          <w:sz w:val="24"/>
          <w:szCs w:val="24"/>
          <w:u w:color="00457D"/>
        </w:rPr>
        <w:t>Figura 5</w:t>
      </w:r>
    </w:p>
    <w:p w14:paraId="491498E1" w14:textId="03E8DCEB" w:rsidR="00123A0D" w:rsidRDefault="006B3273" w:rsidP="000E770E">
      <w:pPr>
        <w:spacing w:after="0" w:line="276" w:lineRule="auto"/>
        <w:jc w:val="center"/>
        <w:rPr>
          <w:color w:val="auto"/>
        </w:rPr>
      </w:pPr>
      <w:r>
        <w:rPr>
          <w:noProof/>
          <w:color w:val="auto"/>
        </w:rPr>
        <w:pict w14:anchorId="436735C9">
          <v:shape id="_x0000_i1029" type="#_x0000_t75" style="width:480.75pt;height:260.25pt">
            <v:imagedata r:id="rId20" o:title="Figura_05_20220714"/>
          </v:shape>
        </w:pict>
      </w:r>
    </w:p>
    <w:p w14:paraId="3639C6A8" w14:textId="77777777" w:rsidR="00DF15F7" w:rsidRPr="00D44AA7" w:rsidRDefault="00DF15F7" w:rsidP="000E770E">
      <w:pPr>
        <w:spacing w:after="0" w:line="276" w:lineRule="auto"/>
        <w:jc w:val="center"/>
        <w:rPr>
          <w:color w:val="auto"/>
        </w:rPr>
      </w:pPr>
    </w:p>
    <w:p w14:paraId="6186F4F2" w14:textId="77777777" w:rsidR="000E770E" w:rsidRPr="00D44AA7" w:rsidRDefault="000E770E" w:rsidP="00626103">
      <w:pPr>
        <w:spacing w:after="0"/>
        <w:jc w:val="center"/>
        <w:rPr>
          <w:b/>
          <w:bCs/>
          <w:color w:val="00457D"/>
          <w:sz w:val="24"/>
          <w:szCs w:val="24"/>
          <w:u w:color="00457D"/>
        </w:rPr>
      </w:pPr>
    </w:p>
    <w:p w14:paraId="116FC08F" w14:textId="77777777" w:rsidR="00FB6128" w:rsidRPr="00D44AA7" w:rsidRDefault="00FB6128">
      <w:pPr>
        <w:spacing w:after="0" w:line="240" w:lineRule="auto"/>
        <w:rPr>
          <w:b/>
          <w:bCs/>
          <w:color w:val="00457D"/>
          <w:sz w:val="24"/>
          <w:szCs w:val="24"/>
          <w:u w:color="00457D"/>
        </w:rPr>
      </w:pPr>
      <w:r w:rsidRPr="00D44AA7">
        <w:rPr>
          <w:b/>
          <w:bCs/>
          <w:color w:val="00457D"/>
          <w:sz w:val="24"/>
          <w:szCs w:val="24"/>
          <w:u w:color="00457D"/>
        </w:rPr>
        <w:br w:type="page"/>
      </w:r>
    </w:p>
    <w:p w14:paraId="073ADCDC" w14:textId="77777777" w:rsidR="00D93FAE" w:rsidRPr="002A22FA" w:rsidRDefault="00D93FAE" w:rsidP="00D93FAE">
      <w:pPr>
        <w:spacing w:after="0"/>
        <w:jc w:val="center"/>
        <w:rPr>
          <w:b/>
          <w:bCs/>
          <w:color w:val="00457D"/>
          <w:sz w:val="24"/>
          <w:szCs w:val="24"/>
          <w:u w:color="00457D"/>
        </w:rPr>
      </w:pPr>
      <w:r w:rsidRPr="002A22FA">
        <w:rPr>
          <w:b/>
          <w:bCs/>
          <w:color w:val="00457D"/>
          <w:sz w:val="24"/>
          <w:szCs w:val="24"/>
          <w:u w:color="00457D"/>
        </w:rPr>
        <w:lastRenderedPageBreak/>
        <w:t>Figura 6</w:t>
      </w:r>
    </w:p>
    <w:p w14:paraId="78378C28" w14:textId="631B733B" w:rsidR="00D76356" w:rsidRPr="00D44AA7" w:rsidRDefault="006B3273" w:rsidP="00F9470A">
      <w:pPr>
        <w:spacing w:after="0"/>
        <w:jc w:val="center"/>
        <w:rPr>
          <w:b/>
          <w:bCs/>
          <w:color w:val="00457D"/>
          <w:sz w:val="24"/>
          <w:szCs w:val="24"/>
          <w:u w:color="00457D"/>
        </w:rPr>
      </w:pPr>
      <w:r>
        <w:rPr>
          <w:b/>
          <w:bCs/>
          <w:noProof/>
          <w:color w:val="00457D"/>
          <w:sz w:val="24"/>
          <w:szCs w:val="24"/>
          <w:u w:color="00457D"/>
        </w:rPr>
        <w:pict w14:anchorId="786430BC">
          <v:shape id="_x0000_i1030" type="#_x0000_t75" style="width:481.5pt;height:257.25pt">
            <v:imagedata r:id="rId21" o:title="Figura_06_20220714"/>
          </v:shape>
        </w:pict>
      </w:r>
    </w:p>
    <w:p w14:paraId="0608C921" w14:textId="77777777" w:rsidR="00D93FAE" w:rsidRPr="00D44AA7" w:rsidRDefault="00D93FAE" w:rsidP="00D93FAE">
      <w:pPr>
        <w:spacing w:after="0" w:line="240" w:lineRule="auto"/>
        <w:jc w:val="center"/>
        <w:rPr>
          <w:b/>
          <w:bCs/>
          <w:color w:val="00457D"/>
          <w:sz w:val="8"/>
          <w:szCs w:val="14"/>
          <w:u w:color="00457D"/>
        </w:rPr>
      </w:pPr>
    </w:p>
    <w:p w14:paraId="1A18AE5D" w14:textId="77777777" w:rsidR="00061647" w:rsidRPr="00D44AA7" w:rsidRDefault="00061647">
      <w:pPr>
        <w:spacing w:after="0" w:line="240" w:lineRule="auto"/>
        <w:rPr>
          <w:b/>
          <w:bCs/>
          <w:color w:val="00457D"/>
          <w:sz w:val="24"/>
          <w:szCs w:val="24"/>
          <w:u w:color="00457D"/>
        </w:rPr>
      </w:pPr>
    </w:p>
    <w:p w14:paraId="3FE5E22D" w14:textId="77777777" w:rsidR="00A03AAC" w:rsidRPr="00D44AA7" w:rsidRDefault="00D93FAE" w:rsidP="00D93FAE">
      <w:pPr>
        <w:spacing w:after="0"/>
        <w:jc w:val="center"/>
        <w:rPr>
          <w:b/>
          <w:bCs/>
          <w:color w:val="00457D"/>
          <w:sz w:val="24"/>
          <w:szCs w:val="24"/>
          <w:u w:color="00457D"/>
        </w:rPr>
      </w:pPr>
      <w:r w:rsidRPr="00D44AA7">
        <w:rPr>
          <w:b/>
          <w:bCs/>
          <w:color w:val="00457D"/>
          <w:sz w:val="24"/>
          <w:szCs w:val="24"/>
          <w:u w:color="00457D"/>
        </w:rPr>
        <w:t xml:space="preserve">Figura </w:t>
      </w:r>
      <w:r w:rsidR="001E3B61" w:rsidRPr="00D44AA7">
        <w:rPr>
          <w:b/>
          <w:bCs/>
          <w:color w:val="00457D"/>
          <w:sz w:val="24"/>
          <w:szCs w:val="24"/>
          <w:u w:color="00457D"/>
        </w:rPr>
        <w:t>7</w:t>
      </w:r>
    </w:p>
    <w:p w14:paraId="7122C19F" w14:textId="2424CEA9" w:rsidR="00D76356" w:rsidRPr="00D44AA7" w:rsidRDefault="006B3273" w:rsidP="00D93FAE">
      <w:pPr>
        <w:spacing w:after="0"/>
        <w:jc w:val="center"/>
        <w:rPr>
          <w:b/>
          <w:bCs/>
          <w:color w:val="00457D"/>
          <w:sz w:val="24"/>
          <w:szCs w:val="24"/>
          <w:u w:color="00457D"/>
        </w:rPr>
      </w:pPr>
      <w:r>
        <w:rPr>
          <w:b/>
          <w:bCs/>
          <w:noProof/>
          <w:color w:val="00457D"/>
          <w:sz w:val="24"/>
          <w:szCs w:val="24"/>
          <w:u w:color="00457D"/>
        </w:rPr>
        <w:pict w14:anchorId="028E0B64">
          <v:shape id="_x0000_i1031" type="#_x0000_t75" style="width:480.75pt;height:240.75pt">
            <v:imagedata r:id="rId22" o:title="Figura_07_20220714"/>
          </v:shape>
        </w:pict>
      </w:r>
    </w:p>
    <w:p w14:paraId="5D6AD277" w14:textId="77777777" w:rsidR="008751B7" w:rsidRPr="00D44AA7" w:rsidRDefault="008751B7" w:rsidP="008751B7">
      <w:pPr>
        <w:spacing w:after="0"/>
        <w:jc w:val="center"/>
        <w:rPr>
          <w:b/>
          <w:bCs/>
          <w:color w:val="00457D"/>
          <w:sz w:val="24"/>
          <w:szCs w:val="24"/>
          <w:u w:color="00457D"/>
        </w:rPr>
      </w:pPr>
    </w:p>
    <w:p w14:paraId="66191A09" w14:textId="77777777" w:rsidR="008751B7" w:rsidRPr="00D44AA7" w:rsidRDefault="008751B7">
      <w:pPr>
        <w:spacing w:after="0" w:line="240" w:lineRule="auto"/>
        <w:rPr>
          <w:b/>
          <w:bCs/>
          <w:color w:val="00457D"/>
          <w:sz w:val="24"/>
          <w:szCs w:val="24"/>
          <w:u w:color="00457D"/>
        </w:rPr>
      </w:pPr>
      <w:r w:rsidRPr="00D44AA7">
        <w:rPr>
          <w:b/>
          <w:bCs/>
          <w:color w:val="00457D"/>
          <w:sz w:val="24"/>
          <w:szCs w:val="24"/>
          <w:u w:color="00457D"/>
        </w:rPr>
        <w:br w:type="page"/>
      </w:r>
    </w:p>
    <w:p w14:paraId="6C08C04E" w14:textId="77777777" w:rsidR="006B2A7B" w:rsidRPr="00C55EE6" w:rsidRDefault="00C531A3" w:rsidP="00C531A3">
      <w:pPr>
        <w:spacing w:after="0"/>
        <w:jc w:val="center"/>
        <w:rPr>
          <w:b/>
          <w:bCs/>
          <w:color w:val="00457D"/>
          <w:sz w:val="24"/>
          <w:szCs w:val="24"/>
          <w:u w:color="00457D"/>
        </w:rPr>
      </w:pPr>
      <w:r w:rsidRPr="00C55EE6">
        <w:rPr>
          <w:b/>
          <w:bCs/>
          <w:color w:val="00457D"/>
          <w:sz w:val="24"/>
          <w:szCs w:val="24"/>
          <w:u w:color="00457D"/>
        </w:rPr>
        <w:lastRenderedPageBreak/>
        <w:t>Figura 8</w:t>
      </w:r>
    </w:p>
    <w:p w14:paraId="26C665E6" w14:textId="51516623" w:rsidR="00C55EE6" w:rsidRPr="00D44AA7" w:rsidRDefault="006B3273" w:rsidP="00D93FAE">
      <w:pPr>
        <w:spacing w:after="0"/>
        <w:jc w:val="center"/>
        <w:rPr>
          <w:b/>
          <w:bCs/>
          <w:color w:val="00457D"/>
          <w:sz w:val="24"/>
          <w:szCs w:val="24"/>
          <w:u w:color="00457D"/>
        </w:rPr>
      </w:pPr>
      <w:r>
        <w:rPr>
          <w:b/>
          <w:bCs/>
          <w:noProof/>
          <w:color w:val="00457D"/>
          <w:sz w:val="24"/>
          <w:szCs w:val="24"/>
          <w:u w:color="00457D"/>
        </w:rPr>
        <w:pict w14:anchorId="023776EB">
          <v:shape id="_x0000_i1032" type="#_x0000_t75" style="width:481.5pt;height:447.75pt">
            <v:imagedata r:id="rId23" o:title="Figura_08_20220714"/>
          </v:shape>
        </w:pict>
      </w:r>
    </w:p>
    <w:p w14:paraId="2440023F" w14:textId="77777777" w:rsidR="002879EE" w:rsidRPr="00D44AA7" w:rsidRDefault="002879EE">
      <w:pPr>
        <w:spacing w:after="0"/>
        <w:jc w:val="center"/>
        <w:rPr>
          <w:b/>
          <w:bCs/>
          <w:color w:val="00457D"/>
          <w:sz w:val="10"/>
          <w:szCs w:val="12"/>
          <w:u w:color="00457D"/>
        </w:rPr>
      </w:pPr>
    </w:p>
    <w:p w14:paraId="46A2EE9F" w14:textId="77777777" w:rsidR="00184E2C" w:rsidRPr="00D44AA7" w:rsidRDefault="00CE577D">
      <w:pPr>
        <w:spacing w:after="0"/>
        <w:jc w:val="center"/>
        <w:rPr>
          <w:b/>
          <w:bCs/>
          <w:color w:val="00457D"/>
          <w:sz w:val="24"/>
          <w:szCs w:val="24"/>
          <w:u w:color="00457D"/>
        </w:rPr>
      </w:pPr>
      <w:r w:rsidRPr="00D44AA7">
        <w:rPr>
          <w:b/>
          <w:bCs/>
          <w:color w:val="00457D"/>
          <w:sz w:val="24"/>
          <w:szCs w:val="24"/>
          <w:u w:color="00457D"/>
        </w:rPr>
        <w:t>Figura</w:t>
      </w:r>
      <w:r w:rsidR="00E10DC3" w:rsidRPr="00D44AA7">
        <w:rPr>
          <w:b/>
          <w:bCs/>
          <w:color w:val="00457D"/>
          <w:sz w:val="24"/>
          <w:szCs w:val="24"/>
          <w:u w:color="00457D"/>
        </w:rPr>
        <w:t xml:space="preserve"> </w:t>
      </w:r>
      <w:r w:rsidR="008751B7" w:rsidRPr="00D44AA7">
        <w:rPr>
          <w:b/>
          <w:bCs/>
          <w:color w:val="00457D"/>
          <w:sz w:val="24"/>
          <w:szCs w:val="24"/>
          <w:u w:color="00457D"/>
        </w:rPr>
        <w:t>9</w:t>
      </w:r>
    </w:p>
    <w:p w14:paraId="73A92B64" w14:textId="4F486626" w:rsidR="00D76356" w:rsidRPr="00D44AA7" w:rsidRDefault="006B3273" w:rsidP="003274E5">
      <w:pPr>
        <w:spacing w:after="0"/>
        <w:jc w:val="center"/>
        <w:rPr>
          <w:b/>
          <w:bCs/>
          <w:color w:val="00457D"/>
          <w:sz w:val="24"/>
          <w:szCs w:val="24"/>
          <w:u w:color="00457D"/>
        </w:rPr>
      </w:pPr>
      <w:r>
        <w:rPr>
          <w:b/>
          <w:bCs/>
          <w:noProof/>
          <w:color w:val="00457D"/>
          <w:sz w:val="24"/>
          <w:szCs w:val="24"/>
          <w:u w:color="00457D"/>
        </w:rPr>
        <w:pict w14:anchorId="121EF2C2">
          <v:shape id="_x0000_i1033" type="#_x0000_t75" style="width:458.25pt;height:222pt">
            <v:imagedata r:id="rId24" o:title="Figura_09_20220714"/>
          </v:shape>
        </w:pict>
      </w:r>
    </w:p>
    <w:p w14:paraId="3BF28F2B" w14:textId="77777777" w:rsidR="008751B7" w:rsidRPr="00D44AA7" w:rsidRDefault="008751B7">
      <w:pPr>
        <w:spacing w:after="0" w:line="240" w:lineRule="auto"/>
        <w:rPr>
          <w:b/>
          <w:bCs/>
          <w:color w:val="00457D"/>
          <w:sz w:val="24"/>
          <w:szCs w:val="24"/>
          <w:u w:color="00457D"/>
        </w:rPr>
      </w:pPr>
    </w:p>
    <w:p w14:paraId="636B3791" w14:textId="77777777" w:rsidR="00C61C68" w:rsidRDefault="00C61C68" w:rsidP="00DB1360">
      <w:pPr>
        <w:spacing w:after="0" w:line="240" w:lineRule="auto"/>
        <w:jc w:val="center"/>
        <w:rPr>
          <w:b/>
          <w:bCs/>
          <w:color w:val="00457D"/>
          <w:sz w:val="24"/>
          <w:szCs w:val="24"/>
          <w:u w:color="00457D"/>
        </w:rPr>
      </w:pPr>
    </w:p>
    <w:p w14:paraId="233F9270" w14:textId="77777777" w:rsidR="001B3764" w:rsidRPr="00D33A53" w:rsidRDefault="00736C14" w:rsidP="00DB1360">
      <w:pPr>
        <w:spacing w:after="0" w:line="240" w:lineRule="auto"/>
        <w:jc w:val="center"/>
        <w:rPr>
          <w:b/>
          <w:bCs/>
          <w:color w:val="00457D"/>
          <w:sz w:val="24"/>
          <w:szCs w:val="24"/>
          <w:u w:color="00457D"/>
        </w:rPr>
      </w:pPr>
      <w:r w:rsidRPr="00D33A53">
        <w:rPr>
          <w:b/>
          <w:bCs/>
          <w:color w:val="00457D"/>
          <w:sz w:val="24"/>
          <w:szCs w:val="24"/>
          <w:u w:color="00457D"/>
        </w:rPr>
        <w:t>Figura 1</w:t>
      </w:r>
      <w:r w:rsidR="00030535" w:rsidRPr="00D33A53">
        <w:rPr>
          <w:b/>
          <w:bCs/>
          <w:color w:val="00457D"/>
          <w:sz w:val="24"/>
          <w:szCs w:val="24"/>
          <w:u w:color="00457D"/>
        </w:rPr>
        <w:t>0</w:t>
      </w:r>
    </w:p>
    <w:p w14:paraId="58E1A794" w14:textId="52340BFD" w:rsidR="00D76356" w:rsidRPr="00CF6F3B" w:rsidRDefault="006B3273" w:rsidP="005C1E56">
      <w:pPr>
        <w:spacing w:after="0" w:line="240" w:lineRule="auto"/>
        <w:jc w:val="center"/>
        <w:rPr>
          <w:b/>
          <w:bCs/>
          <w:color w:val="FF0000"/>
          <w:sz w:val="24"/>
          <w:szCs w:val="24"/>
          <w:u w:color="00457D"/>
        </w:rPr>
      </w:pPr>
      <w:r>
        <w:rPr>
          <w:b/>
          <w:bCs/>
          <w:noProof/>
          <w:color w:val="FF0000"/>
          <w:sz w:val="24"/>
          <w:szCs w:val="24"/>
          <w:u w:color="00457D"/>
        </w:rPr>
        <w:pict w14:anchorId="5387C298">
          <v:shape id="_x0000_i1034" type="#_x0000_t75" style="width:481.5pt;height:306pt">
            <v:imagedata r:id="rId25" o:title="Figura_10_20220714"/>
          </v:shape>
        </w:pict>
      </w:r>
    </w:p>
    <w:p w14:paraId="63E6D140" w14:textId="77777777" w:rsidR="008751B7" w:rsidRPr="00CF6F3B" w:rsidRDefault="008751B7">
      <w:pPr>
        <w:spacing w:after="0" w:line="240" w:lineRule="auto"/>
        <w:rPr>
          <w:b/>
          <w:bCs/>
          <w:color w:val="FF0000"/>
          <w:sz w:val="24"/>
          <w:szCs w:val="24"/>
          <w:u w:color="00457D"/>
        </w:rPr>
      </w:pPr>
    </w:p>
    <w:p w14:paraId="28F66116" w14:textId="77777777" w:rsidR="00211923" w:rsidRPr="00CF6F3B" w:rsidRDefault="00211923" w:rsidP="00211923">
      <w:pPr>
        <w:spacing w:after="0" w:line="240" w:lineRule="auto"/>
        <w:jc w:val="center"/>
        <w:rPr>
          <w:b/>
          <w:bCs/>
          <w:color w:val="FF0000"/>
          <w:sz w:val="24"/>
          <w:szCs w:val="24"/>
          <w:u w:color="00457D"/>
        </w:rPr>
      </w:pPr>
      <w:r w:rsidRPr="00D33A53">
        <w:rPr>
          <w:b/>
          <w:bCs/>
          <w:color w:val="00457D"/>
          <w:sz w:val="24"/>
          <w:szCs w:val="24"/>
          <w:u w:color="00457D"/>
        </w:rPr>
        <w:t xml:space="preserve">Figura </w:t>
      </w:r>
      <w:r w:rsidR="00D022C4" w:rsidRPr="00D33A53">
        <w:rPr>
          <w:b/>
          <w:bCs/>
          <w:color w:val="00457D"/>
          <w:sz w:val="24"/>
          <w:szCs w:val="24"/>
          <w:u w:color="00457D"/>
        </w:rPr>
        <w:t>1</w:t>
      </w:r>
      <w:r w:rsidR="00D54DDF" w:rsidRPr="00D33A53">
        <w:rPr>
          <w:b/>
          <w:bCs/>
          <w:color w:val="00457D"/>
          <w:sz w:val="24"/>
          <w:szCs w:val="24"/>
          <w:u w:color="00457D"/>
        </w:rPr>
        <w:t>1</w:t>
      </w:r>
    </w:p>
    <w:p w14:paraId="0EF764DC" w14:textId="7C0B81F9" w:rsidR="00D76356" w:rsidRPr="00CF6F3B" w:rsidRDefault="006B3273" w:rsidP="00012B67">
      <w:pPr>
        <w:spacing w:line="276" w:lineRule="auto"/>
        <w:jc w:val="center"/>
        <w:rPr>
          <w:color w:val="FF0000"/>
        </w:rPr>
      </w:pPr>
      <w:r>
        <w:rPr>
          <w:noProof/>
          <w:color w:val="FF0000"/>
        </w:rPr>
        <w:pict w14:anchorId="474B1D03">
          <v:shape id="_x0000_i1035" type="#_x0000_t75" style="width:481.5pt;height:303.75pt">
            <v:imagedata r:id="rId26" o:title="Figura_11_20220714"/>
          </v:shape>
        </w:pict>
      </w:r>
    </w:p>
    <w:p w14:paraId="43E4F38F" w14:textId="77777777" w:rsidR="00E03BC7" w:rsidRPr="00CF6F3B" w:rsidRDefault="00E03BC7">
      <w:pPr>
        <w:spacing w:after="0" w:line="240" w:lineRule="auto"/>
        <w:rPr>
          <w:b/>
          <w:bCs/>
          <w:color w:val="FF0000"/>
          <w:sz w:val="24"/>
          <w:szCs w:val="24"/>
          <w:u w:color="00457D"/>
        </w:rPr>
      </w:pPr>
    </w:p>
    <w:p w14:paraId="41609229" w14:textId="77777777" w:rsidR="00D54DDF" w:rsidRPr="00D33A53" w:rsidRDefault="00D54DDF" w:rsidP="00DB2332">
      <w:pPr>
        <w:spacing w:after="0" w:line="240" w:lineRule="auto"/>
        <w:jc w:val="center"/>
        <w:rPr>
          <w:b/>
          <w:bCs/>
          <w:color w:val="00457D"/>
          <w:sz w:val="24"/>
          <w:szCs w:val="24"/>
          <w:u w:color="00457D"/>
        </w:rPr>
      </w:pPr>
      <w:r w:rsidRPr="00CF6F3B">
        <w:rPr>
          <w:b/>
          <w:bCs/>
          <w:color w:val="FF0000"/>
          <w:sz w:val="24"/>
          <w:szCs w:val="24"/>
          <w:u w:color="00457D"/>
        </w:rPr>
        <w:br w:type="page"/>
      </w:r>
      <w:r w:rsidRPr="00D33A53">
        <w:rPr>
          <w:b/>
          <w:bCs/>
          <w:color w:val="00457D"/>
          <w:sz w:val="24"/>
          <w:szCs w:val="24"/>
          <w:u w:color="00457D"/>
        </w:rPr>
        <w:lastRenderedPageBreak/>
        <w:t>Figura 12</w:t>
      </w:r>
    </w:p>
    <w:p w14:paraId="30D4073C" w14:textId="2166D2AD" w:rsidR="00D76356" w:rsidRPr="00CF6F3B" w:rsidRDefault="006B3273" w:rsidP="004B6DC2">
      <w:pPr>
        <w:spacing w:after="0" w:line="240" w:lineRule="auto"/>
        <w:jc w:val="center"/>
        <w:rPr>
          <w:b/>
          <w:bCs/>
          <w:color w:val="FF0000"/>
          <w:sz w:val="12"/>
          <w:szCs w:val="12"/>
          <w:u w:color="00457D"/>
        </w:rPr>
      </w:pPr>
      <w:r>
        <w:rPr>
          <w:b/>
          <w:bCs/>
          <w:noProof/>
          <w:color w:val="FF0000"/>
          <w:sz w:val="12"/>
          <w:szCs w:val="12"/>
          <w:u w:color="00457D"/>
        </w:rPr>
        <w:pict w14:anchorId="3FB53D20">
          <v:shape id="_x0000_i1036" type="#_x0000_t75" style="width:448.5pt;height:338.25pt">
            <v:imagedata r:id="rId27" o:title="Figura_12_20220714"/>
          </v:shape>
        </w:pict>
      </w:r>
    </w:p>
    <w:p w14:paraId="5126688E" w14:textId="77777777" w:rsidR="004D2B35" w:rsidRPr="00CF6F3B" w:rsidRDefault="004D2B35" w:rsidP="00E03BC7">
      <w:pPr>
        <w:spacing w:after="0" w:line="240" w:lineRule="auto"/>
        <w:jc w:val="center"/>
        <w:rPr>
          <w:b/>
          <w:bCs/>
          <w:color w:val="FF0000"/>
          <w:sz w:val="12"/>
          <w:szCs w:val="12"/>
          <w:u w:color="00457D"/>
        </w:rPr>
      </w:pPr>
    </w:p>
    <w:p w14:paraId="4985EEAB" w14:textId="77777777" w:rsidR="002A22FA" w:rsidRDefault="004B6DC2" w:rsidP="00E03BC7">
      <w:pPr>
        <w:spacing w:after="0" w:line="240" w:lineRule="auto"/>
        <w:jc w:val="center"/>
        <w:rPr>
          <w:b/>
          <w:bCs/>
          <w:color w:val="FF0000"/>
          <w:sz w:val="24"/>
          <w:szCs w:val="24"/>
          <w:u w:color="00457D"/>
        </w:rPr>
      </w:pPr>
      <w:r w:rsidRPr="00D33A53">
        <w:rPr>
          <w:b/>
          <w:bCs/>
          <w:color w:val="00457D"/>
          <w:sz w:val="24"/>
          <w:szCs w:val="24"/>
          <w:u w:color="00457D"/>
        </w:rPr>
        <w:t xml:space="preserve">Figura </w:t>
      </w:r>
      <w:r w:rsidR="001E3B61" w:rsidRPr="00D33A53">
        <w:rPr>
          <w:b/>
          <w:bCs/>
          <w:color w:val="00457D"/>
          <w:sz w:val="24"/>
          <w:szCs w:val="24"/>
          <w:u w:color="00457D"/>
        </w:rPr>
        <w:t>1</w:t>
      </w:r>
      <w:r w:rsidR="00D54DDF" w:rsidRPr="00D33A53">
        <w:rPr>
          <w:b/>
          <w:bCs/>
          <w:color w:val="00457D"/>
          <w:sz w:val="24"/>
          <w:szCs w:val="24"/>
          <w:u w:color="00457D"/>
        </w:rPr>
        <w:t>3</w:t>
      </w:r>
    </w:p>
    <w:p w14:paraId="32220338" w14:textId="00B74DD1" w:rsidR="00D76356" w:rsidRDefault="006B3273" w:rsidP="00E03BC7">
      <w:pPr>
        <w:spacing w:after="0" w:line="240" w:lineRule="auto"/>
        <w:jc w:val="center"/>
        <w:rPr>
          <w:b/>
          <w:bCs/>
          <w:noProof/>
          <w:color w:val="FF0000"/>
          <w:sz w:val="24"/>
          <w:szCs w:val="24"/>
          <w:u w:color="00457D"/>
        </w:rPr>
      </w:pPr>
      <w:r>
        <w:rPr>
          <w:b/>
          <w:bCs/>
          <w:noProof/>
          <w:color w:val="FF0000"/>
          <w:sz w:val="24"/>
          <w:szCs w:val="24"/>
          <w:u w:color="00457D"/>
        </w:rPr>
        <w:pict w14:anchorId="55640024">
          <v:shape id="_x0000_i1037" type="#_x0000_t75" style="width:442.5pt;height:333.75pt">
            <v:imagedata r:id="rId28" o:title="Figura_13_20220714"/>
          </v:shape>
        </w:pict>
      </w:r>
    </w:p>
    <w:p w14:paraId="5DE240CD" w14:textId="77777777" w:rsidR="00C359C9" w:rsidRPr="00CF6F3B" w:rsidRDefault="00C359C9" w:rsidP="00BE48B0">
      <w:pPr>
        <w:spacing w:after="0" w:line="240" w:lineRule="auto"/>
        <w:jc w:val="center"/>
        <w:rPr>
          <w:b/>
          <w:bCs/>
          <w:color w:val="FF0000"/>
          <w:sz w:val="24"/>
          <w:szCs w:val="24"/>
          <w:u w:color="00457D"/>
        </w:rPr>
      </w:pPr>
      <w:r w:rsidRPr="00D33A53">
        <w:rPr>
          <w:b/>
          <w:bCs/>
          <w:color w:val="00457D"/>
          <w:sz w:val="24"/>
          <w:szCs w:val="24"/>
          <w:u w:color="00457D"/>
        </w:rPr>
        <w:lastRenderedPageBreak/>
        <w:t xml:space="preserve">Figura </w:t>
      </w:r>
      <w:r w:rsidR="001E3B61" w:rsidRPr="00D33A53">
        <w:rPr>
          <w:b/>
          <w:bCs/>
          <w:color w:val="00457D"/>
          <w:sz w:val="24"/>
          <w:szCs w:val="24"/>
          <w:u w:color="00457D"/>
        </w:rPr>
        <w:t>1</w:t>
      </w:r>
      <w:r w:rsidR="00D54DDF" w:rsidRPr="00D33A53">
        <w:rPr>
          <w:b/>
          <w:bCs/>
          <w:color w:val="00457D"/>
          <w:sz w:val="24"/>
          <w:szCs w:val="24"/>
          <w:u w:color="00457D"/>
        </w:rPr>
        <w:t>4</w:t>
      </w:r>
    </w:p>
    <w:p w14:paraId="4BDCE0EC" w14:textId="4291441B" w:rsidR="00D76356" w:rsidRPr="00CF6F3B" w:rsidRDefault="006B3273" w:rsidP="00C359C9">
      <w:pPr>
        <w:spacing w:after="0" w:line="240" w:lineRule="auto"/>
        <w:jc w:val="center"/>
        <w:rPr>
          <w:b/>
          <w:bCs/>
          <w:color w:val="FF0000"/>
          <w:sz w:val="24"/>
          <w:szCs w:val="24"/>
          <w:u w:color="00457D"/>
        </w:rPr>
      </w:pPr>
      <w:r>
        <w:rPr>
          <w:b/>
          <w:bCs/>
          <w:noProof/>
          <w:color w:val="FF0000"/>
          <w:sz w:val="24"/>
          <w:szCs w:val="24"/>
          <w:u w:color="00457D"/>
        </w:rPr>
        <w:pict w14:anchorId="451AE383">
          <v:shape id="_x0000_i1038" type="#_x0000_t75" style="width:481.5pt;height:291.75pt">
            <v:imagedata r:id="rId29" o:title="Figura_14_20220714"/>
          </v:shape>
        </w:pict>
      </w:r>
    </w:p>
    <w:p w14:paraId="73AD9F83" w14:textId="77777777" w:rsidR="006E14AA" w:rsidRPr="00CF6F3B" w:rsidRDefault="006E14AA" w:rsidP="00C359C9">
      <w:pPr>
        <w:spacing w:after="0" w:line="240" w:lineRule="auto"/>
        <w:jc w:val="center"/>
        <w:rPr>
          <w:b/>
          <w:bCs/>
          <w:color w:val="FF0000"/>
          <w:sz w:val="24"/>
          <w:szCs w:val="24"/>
          <w:u w:color="00457D"/>
        </w:rPr>
      </w:pPr>
    </w:p>
    <w:p w14:paraId="66CD665D" w14:textId="77777777" w:rsidR="00E24DCD" w:rsidRDefault="00BE48B0" w:rsidP="00040108">
      <w:pPr>
        <w:spacing w:after="0" w:line="240" w:lineRule="auto"/>
        <w:jc w:val="center"/>
        <w:rPr>
          <w:b/>
          <w:bCs/>
          <w:noProof/>
          <w:color w:val="FF0000"/>
          <w:sz w:val="24"/>
          <w:szCs w:val="24"/>
          <w:u w:color="00457D"/>
        </w:rPr>
      </w:pPr>
      <w:r w:rsidRPr="00E24DCD">
        <w:rPr>
          <w:b/>
          <w:bCs/>
          <w:color w:val="00457D"/>
          <w:sz w:val="24"/>
          <w:szCs w:val="24"/>
          <w:u w:color="00457D"/>
        </w:rPr>
        <w:t>Figura 15</w:t>
      </w:r>
    </w:p>
    <w:p w14:paraId="70DCEEB3" w14:textId="358F9714" w:rsidR="00D76356" w:rsidRPr="00CF6F3B" w:rsidRDefault="006B3273" w:rsidP="00040108">
      <w:pPr>
        <w:spacing w:after="0" w:line="240" w:lineRule="auto"/>
        <w:jc w:val="center"/>
        <w:rPr>
          <w:b/>
          <w:bCs/>
          <w:color w:val="FF0000"/>
          <w:sz w:val="24"/>
          <w:szCs w:val="24"/>
          <w:u w:color="00457D"/>
        </w:rPr>
        <w:sectPr w:rsidR="00D76356" w:rsidRPr="00CF6F3B" w:rsidSect="00040108">
          <w:pgSz w:w="11900" w:h="16840"/>
          <w:pgMar w:top="1418" w:right="1134" w:bottom="1134" w:left="1134" w:header="709" w:footer="709" w:gutter="0"/>
          <w:cols w:space="720"/>
          <w:docGrid w:linePitch="299"/>
        </w:sectPr>
      </w:pPr>
      <w:r>
        <w:rPr>
          <w:b/>
          <w:bCs/>
          <w:noProof/>
          <w:color w:val="FF0000"/>
          <w:sz w:val="24"/>
          <w:szCs w:val="24"/>
          <w:u w:color="00457D"/>
        </w:rPr>
        <w:pict w14:anchorId="0EED6C50">
          <v:shape id="_x0000_i1039" type="#_x0000_t75" style="width:480.75pt;height:362.25pt">
            <v:imagedata r:id="rId30" o:title="Figura_15_20220714"/>
          </v:shape>
        </w:pict>
      </w:r>
    </w:p>
    <w:p w14:paraId="66BE3EF6" w14:textId="77777777" w:rsidR="00FF3D45" w:rsidRPr="00CF6F3B" w:rsidRDefault="00FF3D45" w:rsidP="00FF3D45">
      <w:pPr>
        <w:spacing w:after="0" w:line="240" w:lineRule="auto"/>
        <w:jc w:val="center"/>
        <w:rPr>
          <w:b/>
          <w:bCs/>
          <w:color w:val="FF0000"/>
          <w:sz w:val="24"/>
          <w:szCs w:val="24"/>
          <w:u w:color="00457D"/>
        </w:rPr>
      </w:pPr>
      <w:r w:rsidRPr="008717BA">
        <w:rPr>
          <w:b/>
          <w:bCs/>
          <w:color w:val="00457D"/>
          <w:sz w:val="24"/>
          <w:szCs w:val="24"/>
          <w:u w:color="00457D"/>
        </w:rPr>
        <w:lastRenderedPageBreak/>
        <w:t>Figura 1</w:t>
      </w:r>
      <w:r w:rsidR="00067A2E">
        <w:rPr>
          <w:b/>
          <w:bCs/>
          <w:color w:val="00457D"/>
          <w:sz w:val="24"/>
          <w:szCs w:val="24"/>
          <w:u w:color="00457D"/>
        </w:rPr>
        <w:t>6</w:t>
      </w:r>
    </w:p>
    <w:p w14:paraId="2B825FF9" w14:textId="056C50CF" w:rsidR="006C6333" w:rsidRPr="00CF6F3B" w:rsidRDefault="006B3273" w:rsidP="006E14AA">
      <w:pPr>
        <w:spacing w:after="0" w:line="240" w:lineRule="auto"/>
        <w:jc w:val="center"/>
        <w:rPr>
          <w:b/>
          <w:bCs/>
          <w:color w:val="FF0000"/>
          <w:sz w:val="24"/>
          <w:szCs w:val="24"/>
          <w:u w:color="00457D"/>
        </w:rPr>
      </w:pPr>
      <w:r>
        <w:rPr>
          <w:b/>
          <w:bCs/>
          <w:noProof/>
          <w:color w:val="FF0000"/>
          <w:sz w:val="24"/>
          <w:szCs w:val="24"/>
          <w:u w:color="00457D"/>
        </w:rPr>
        <w:pict w14:anchorId="19317BFA">
          <v:shape id="_x0000_i1040" type="#_x0000_t75" style="width:480.75pt;height:281.25pt">
            <v:imagedata r:id="rId31" o:title="Figura_16_20220714"/>
          </v:shape>
        </w:pict>
      </w:r>
    </w:p>
    <w:p w14:paraId="43A8AFEB" w14:textId="77777777" w:rsidR="009D0980" w:rsidRPr="00CF6F3B" w:rsidRDefault="009D0980" w:rsidP="006E14AA">
      <w:pPr>
        <w:spacing w:after="0" w:line="240" w:lineRule="auto"/>
        <w:jc w:val="center"/>
        <w:rPr>
          <w:b/>
          <w:bCs/>
          <w:color w:val="FF0000"/>
          <w:sz w:val="24"/>
          <w:szCs w:val="24"/>
          <w:u w:color="00457D"/>
        </w:rPr>
      </w:pPr>
    </w:p>
    <w:p w14:paraId="3971A9C1" w14:textId="77777777" w:rsidR="009D0980" w:rsidRPr="00CF6F3B" w:rsidRDefault="009D0980" w:rsidP="006E14AA">
      <w:pPr>
        <w:spacing w:after="0" w:line="240" w:lineRule="auto"/>
        <w:jc w:val="center"/>
        <w:rPr>
          <w:b/>
          <w:bCs/>
          <w:color w:val="FF0000"/>
          <w:sz w:val="24"/>
          <w:szCs w:val="24"/>
          <w:u w:color="00457D"/>
        </w:rPr>
      </w:pPr>
      <w:r w:rsidRPr="008717BA">
        <w:rPr>
          <w:b/>
          <w:bCs/>
          <w:color w:val="00457D"/>
          <w:sz w:val="24"/>
          <w:szCs w:val="24"/>
          <w:u w:color="00457D"/>
        </w:rPr>
        <w:t>Figura 1</w:t>
      </w:r>
      <w:r w:rsidR="00067A2E">
        <w:rPr>
          <w:b/>
          <w:bCs/>
          <w:color w:val="00457D"/>
          <w:sz w:val="24"/>
          <w:szCs w:val="24"/>
          <w:u w:color="00457D"/>
        </w:rPr>
        <w:t>7</w:t>
      </w:r>
    </w:p>
    <w:p w14:paraId="588A33B8" w14:textId="0338F23A" w:rsidR="009D0980" w:rsidRPr="00CF6F3B" w:rsidRDefault="006B3273" w:rsidP="009F62FA">
      <w:pPr>
        <w:spacing w:after="0" w:line="240" w:lineRule="auto"/>
        <w:jc w:val="center"/>
        <w:rPr>
          <w:b/>
          <w:bCs/>
          <w:color w:val="FF0000"/>
          <w:sz w:val="24"/>
          <w:szCs w:val="24"/>
          <w:u w:color="00457D"/>
        </w:rPr>
      </w:pPr>
      <w:r>
        <w:rPr>
          <w:b/>
          <w:bCs/>
          <w:noProof/>
          <w:color w:val="FF0000"/>
          <w:sz w:val="24"/>
          <w:szCs w:val="24"/>
          <w:u w:color="00457D"/>
        </w:rPr>
        <w:pict w14:anchorId="2C8EDF2C">
          <v:shape id="_x0000_i1041" type="#_x0000_t75" style="width:417.75pt;height:339.75pt">
            <v:imagedata r:id="rId32" o:title="Figura_17_20220714"/>
          </v:shape>
        </w:pict>
      </w:r>
      <w:r w:rsidR="009D0980" w:rsidRPr="00CF6F3B">
        <w:rPr>
          <w:b/>
          <w:bCs/>
          <w:color w:val="FF0000"/>
          <w:sz w:val="24"/>
          <w:szCs w:val="24"/>
          <w:u w:color="00457D"/>
        </w:rPr>
        <w:br w:type="page"/>
      </w:r>
    </w:p>
    <w:p w14:paraId="48EEF52E" w14:textId="77777777" w:rsidR="00D71401" w:rsidRPr="00CF6F3B" w:rsidRDefault="00FF3D45" w:rsidP="006E14AA">
      <w:pPr>
        <w:spacing w:after="0" w:line="240" w:lineRule="auto"/>
        <w:jc w:val="center"/>
        <w:rPr>
          <w:b/>
          <w:bCs/>
          <w:color w:val="FF0000"/>
          <w:sz w:val="24"/>
          <w:szCs w:val="24"/>
          <w:u w:color="00457D"/>
        </w:rPr>
      </w:pPr>
      <w:r w:rsidRPr="00880BAA">
        <w:rPr>
          <w:b/>
          <w:bCs/>
          <w:color w:val="00457D"/>
          <w:sz w:val="24"/>
          <w:szCs w:val="24"/>
          <w:u w:color="00457D"/>
        </w:rPr>
        <w:lastRenderedPageBreak/>
        <w:t>Figura 1</w:t>
      </w:r>
      <w:r w:rsidR="00067A2E">
        <w:rPr>
          <w:b/>
          <w:bCs/>
          <w:color w:val="00457D"/>
          <w:sz w:val="24"/>
          <w:szCs w:val="24"/>
          <w:u w:color="00457D"/>
        </w:rPr>
        <w:t>8</w:t>
      </w:r>
    </w:p>
    <w:p w14:paraId="1240CFAA" w14:textId="4484B17C" w:rsidR="006C6333" w:rsidRPr="00CF6F3B" w:rsidRDefault="006B3273" w:rsidP="006E14AA">
      <w:pPr>
        <w:spacing w:after="0" w:line="240" w:lineRule="auto"/>
        <w:jc w:val="center"/>
        <w:rPr>
          <w:b/>
          <w:bCs/>
          <w:color w:val="FF0000"/>
          <w:sz w:val="24"/>
          <w:szCs w:val="24"/>
          <w:u w:color="00457D"/>
        </w:rPr>
      </w:pPr>
      <w:r>
        <w:rPr>
          <w:b/>
          <w:bCs/>
          <w:noProof/>
          <w:color w:val="FF0000"/>
          <w:sz w:val="24"/>
          <w:szCs w:val="24"/>
          <w:u w:color="00457D"/>
        </w:rPr>
        <w:pict w14:anchorId="40F0938C">
          <v:shape id="_x0000_i1042" type="#_x0000_t75" style="width:481.5pt;height:280.5pt">
            <v:imagedata r:id="rId33" o:title="Figura_18_20220714"/>
          </v:shape>
        </w:pict>
      </w:r>
    </w:p>
    <w:p w14:paraId="5B6B5A17" w14:textId="77777777" w:rsidR="009D0980" w:rsidRPr="00CF6F3B" w:rsidRDefault="009D0980" w:rsidP="009D0980">
      <w:pPr>
        <w:spacing w:after="0" w:line="240" w:lineRule="auto"/>
        <w:jc w:val="center"/>
        <w:rPr>
          <w:b/>
          <w:bCs/>
          <w:color w:val="FF0000"/>
          <w:sz w:val="24"/>
          <w:szCs w:val="24"/>
          <w:u w:color="00457D"/>
        </w:rPr>
      </w:pPr>
    </w:p>
    <w:p w14:paraId="406BFA13" w14:textId="77777777" w:rsidR="009D0980" w:rsidRPr="00CF6F3B" w:rsidRDefault="009D0980" w:rsidP="009D0980">
      <w:pPr>
        <w:spacing w:after="0" w:line="240" w:lineRule="auto"/>
        <w:jc w:val="center"/>
        <w:rPr>
          <w:b/>
          <w:bCs/>
          <w:color w:val="FF0000"/>
          <w:sz w:val="24"/>
          <w:szCs w:val="24"/>
          <w:u w:color="00457D"/>
        </w:rPr>
      </w:pPr>
      <w:r w:rsidRPr="00880BAA">
        <w:rPr>
          <w:b/>
          <w:bCs/>
          <w:color w:val="00457D"/>
          <w:sz w:val="24"/>
          <w:szCs w:val="24"/>
          <w:u w:color="00457D"/>
        </w:rPr>
        <w:t xml:space="preserve">Figura </w:t>
      </w:r>
      <w:r w:rsidR="00067A2E">
        <w:rPr>
          <w:b/>
          <w:bCs/>
          <w:color w:val="00457D"/>
          <w:sz w:val="24"/>
          <w:szCs w:val="24"/>
          <w:u w:color="00457D"/>
        </w:rPr>
        <w:t>19</w:t>
      </w:r>
    </w:p>
    <w:p w14:paraId="09657CF4" w14:textId="5C9F122B" w:rsidR="00410DFB" w:rsidRPr="00CF6F3B" w:rsidRDefault="006B3273" w:rsidP="00E03BC7">
      <w:pPr>
        <w:spacing w:after="0" w:line="240" w:lineRule="auto"/>
        <w:jc w:val="center"/>
        <w:rPr>
          <w:b/>
          <w:bCs/>
          <w:color w:val="FF0000"/>
          <w:sz w:val="24"/>
          <w:szCs w:val="24"/>
          <w:u w:color="00457D"/>
        </w:rPr>
        <w:sectPr w:rsidR="00410DFB" w:rsidRPr="00CF6F3B" w:rsidSect="005B4AE1">
          <w:pgSz w:w="11900" w:h="16840"/>
          <w:pgMar w:top="1134" w:right="1134" w:bottom="1418" w:left="1134" w:header="709" w:footer="709" w:gutter="0"/>
          <w:cols w:space="720"/>
        </w:sectPr>
      </w:pPr>
      <w:r>
        <w:rPr>
          <w:b/>
          <w:bCs/>
          <w:noProof/>
          <w:color w:val="FF0000"/>
          <w:sz w:val="24"/>
          <w:szCs w:val="24"/>
          <w:u w:color="00457D"/>
        </w:rPr>
        <w:pict w14:anchorId="187DC6FF">
          <v:shape id="_x0000_i1043" type="#_x0000_t75" style="width:481.5pt;height:382.5pt">
            <v:imagedata r:id="rId34" o:title="Figura_19_20220714"/>
          </v:shape>
        </w:pict>
      </w:r>
    </w:p>
    <w:p w14:paraId="15774C26" w14:textId="77777777" w:rsidR="00F16EA6" w:rsidRPr="00C55EE6" w:rsidRDefault="004D16FF" w:rsidP="00C55EE6">
      <w:pPr>
        <w:spacing w:after="60" w:line="276" w:lineRule="auto"/>
        <w:jc w:val="center"/>
        <w:rPr>
          <w:b/>
          <w:bCs/>
          <w:color w:val="00457D"/>
          <w:sz w:val="24"/>
          <w:szCs w:val="24"/>
          <w:u w:color="00457D"/>
        </w:rPr>
      </w:pPr>
      <w:r w:rsidRPr="00C55EE6">
        <w:rPr>
          <w:b/>
          <w:bCs/>
          <w:color w:val="00457D"/>
          <w:sz w:val="24"/>
          <w:szCs w:val="24"/>
          <w:u w:color="00457D"/>
        </w:rPr>
        <w:lastRenderedPageBreak/>
        <w:t xml:space="preserve">Tabella 1. Indicatori regionali: settimana </w:t>
      </w:r>
      <w:r w:rsidR="00C55EE6" w:rsidRPr="00C55EE6">
        <w:rPr>
          <w:b/>
          <w:bCs/>
          <w:color w:val="00457D"/>
          <w:sz w:val="24"/>
          <w:szCs w:val="24"/>
          <w:u w:color="00457D"/>
        </w:rPr>
        <w:t>6</w:t>
      </w:r>
      <w:r w:rsidR="00F16EA6" w:rsidRPr="00C55EE6">
        <w:rPr>
          <w:b/>
          <w:bCs/>
          <w:color w:val="00457D"/>
          <w:sz w:val="24"/>
          <w:szCs w:val="24"/>
          <w:u w:color="00457D"/>
        </w:rPr>
        <w:t>-</w:t>
      </w:r>
      <w:r w:rsidR="00C55EE6" w:rsidRPr="00C55EE6">
        <w:rPr>
          <w:b/>
          <w:bCs/>
          <w:color w:val="00457D"/>
          <w:sz w:val="24"/>
          <w:szCs w:val="24"/>
          <w:u w:color="00457D"/>
        </w:rPr>
        <w:t>12</w:t>
      </w:r>
      <w:r w:rsidR="00F16EA6" w:rsidRPr="00C55EE6">
        <w:rPr>
          <w:b/>
          <w:bCs/>
          <w:color w:val="00457D"/>
          <w:sz w:val="24"/>
          <w:szCs w:val="24"/>
          <w:u w:color="00457D"/>
        </w:rPr>
        <w:t xml:space="preserve"> luglio</w:t>
      </w:r>
      <w:r w:rsidRPr="00C55EE6">
        <w:rPr>
          <w:b/>
          <w:bCs/>
          <w:color w:val="00457D"/>
          <w:sz w:val="24"/>
          <w:szCs w:val="24"/>
          <w:u w:color="00457D"/>
        </w:rPr>
        <w:t xml:space="preserve"> 2022</w:t>
      </w:r>
      <w:r w:rsidR="00902C3F" w:rsidRPr="00C55EE6">
        <w:rPr>
          <w:b/>
          <w:bCs/>
          <w:color w:val="00457D"/>
          <w:sz w:val="24"/>
          <w:szCs w:val="24"/>
          <w:u w:color="00457D"/>
        </w:rPr>
        <w:t xml:space="preserve"> </w:t>
      </w:r>
    </w:p>
    <w:tbl>
      <w:tblPr>
        <w:tblW w:w="9918" w:type="dxa"/>
        <w:jc w:val="center"/>
        <w:tblCellMar>
          <w:left w:w="70" w:type="dxa"/>
          <w:right w:w="70" w:type="dxa"/>
        </w:tblCellMar>
        <w:tblLook w:val="04A0" w:firstRow="1" w:lastRow="0" w:firstColumn="1" w:lastColumn="0" w:noHBand="0" w:noVBand="1"/>
      </w:tblPr>
      <w:tblGrid>
        <w:gridCol w:w="1980"/>
        <w:gridCol w:w="1701"/>
        <w:gridCol w:w="1417"/>
        <w:gridCol w:w="2410"/>
        <w:gridCol w:w="2410"/>
      </w:tblGrid>
      <w:tr w:rsidR="00C55EE6" w:rsidRPr="00C55EE6" w14:paraId="41DC72FD" w14:textId="77777777" w:rsidTr="00C55EE6">
        <w:trPr>
          <w:trHeight w:val="2100"/>
          <w:jc w:val="center"/>
        </w:trPr>
        <w:tc>
          <w:tcPr>
            <w:tcW w:w="1980" w:type="dxa"/>
            <w:tcBorders>
              <w:top w:val="single" w:sz="4" w:space="0" w:color="00457D"/>
              <w:left w:val="single" w:sz="4" w:space="0" w:color="00457D"/>
              <w:bottom w:val="single" w:sz="4" w:space="0" w:color="00457D"/>
              <w:right w:val="single" w:sz="4" w:space="0" w:color="FFFFFF"/>
            </w:tcBorders>
            <w:shd w:val="clear" w:color="000000" w:fill="00457D"/>
            <w:vAlign w:val="center"/>
            <w:hideMark/>
          </w:tcPr>
          <w:p w14:paraId="1CB1076D"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C55EE6">
              <w:rPr>
                <w:rFonts w:eastAsia="Times New Roman" w:cs="Calibri"/>
                <w:b/>
                <w:bCs/>
                <w:color w:val="FFFFFF"/>
                <w:bdr w:val="none" w:sz="0" w:space="0" w:color="auto"/>
              </w:rPr>
              <w:t>Regione</w:t>
            </w:r>
          </w:p>
        </w:tc>
        <w:tc>
          <w:tcPr>
            <w:tcW w:w="1701" w:type="dxa"/>
            <w:tcBorders>
              <w:top w:val="single" w:sz="4" w:space="0" w:color="00457D"/>
              <w:left w:val="nil"/>
              <w:bottom w:val="single" w:sz="4" w:space="0" w:color="00457D"/>
              <w:right w:val="single" w:sz="4" w:space="0" w:color="FFFFFF"/>
            </w:tcBorders>
            <w:shd w:val="clear" w:color="000000" w:fill="00457D"/>
            <w:vAlign w:val="center"/>
            <w:hideMark/>
          </w:tcPr>
          <w:p w14:paraId="4E76AE39"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sz w:val="21"/>
                <w:szCs w:val="21"/>
                <w:bdr w:val="none" w:sz="0" w:space="0" w:color="auto"/>
              </w:rPr>
            </w:pPr>
            <w:r w:rsidRPr="00C55EE6">
              <w:rPr>
                <w:rFonts w:eastAsia="Times New Roman" w:cs="Calibri"/>
                <w:b/>
                <w:bCs/>
                <w:color w:val="FFFFFF"/>
                <w:sz w:val="21"/>
                <w:szCs w:val="21"/>
                <w:bdr w:val="none" w:sz="0" w:space="0" w:color="auto"/>
              </w:rPr>
              <w:t>Casi attualmente positivi per 100.000 abitanti</w:t>
            </w:r>
          </w:p>
        </w:tc>
        <w:tc>
          <w:tcPr>
            <w:tcW w:w="1417" w:type="dxa"/>
            <w:tcBorders>
              <w:top w:val="single" w:sz="4" w:space="0" w:color="00457D"/>
              <w:left w:val="nil"/>
              <w:bottom w:val="single" w:sz="4" w:space="0" w:color="00457D"/>
              <w:right w:val="single" w:sz="4" w:space="0" w:color="FFFFFF"/>
            </w:tcBorders>
            <w:shd w:val="clear" w:color="000000" w:fill="00457D"/>
            <w:vAlign w:val="center"/>
            <w:hideMark/>
          </w:tcPr>
          <w:p w14:paraId="3A06A171"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C55EE6">
              <w:rPr>
                <w:rFonts w:eastAsia="Times New Roman" w:cs="Calibri"/>
                <w:b/>
                <w:bCs/>
                <w:color w:val="FFFFFF"/>
                <w:bdr w:val="none" w:sz="0" w:space="0" w:color="auto"/>
              </w:rPr>
              <w:t xml:space="preserve">Variazione </w:t>
            </w:r>
            <w:r w:rsidRPr="00C55EE6">
              <w:rPr>
                <w:rFonts w:eastAsia="Times New Roman" w:cs="Calibri"/>
                <w:b/>
                <w:bCs/>
                <w:color w:val="FFFFFF"/>
                <w:bdr w:val="none" w:sz="0" w:space="0" w:color="auto"/>
              </w:rPr>
              <w:br/>
              <w:t>% nuovi casi</w:t>
            </w:r>
          </w:p>
        </w:tc>
        <w:tc>
          <w:tcPr>
            <w:tcW w:w="2410" w:type="dxa"/>
            <w:tcBorders>
              <w:top w:val="single" w:sz="4" w:space="0" w:color="00457D"/>
              <w:left w:val="nil"/>
              <w:bottom w:val="single" w:sz="4" w:space="0" w:color="00457D"/>
              <w:right w:val="single" w:sz="4" w:space="0" w:color="FFFFFF"/>
            </w:tcBorders>
            <w:shd w:val="clear" w:color="000000" w:fill="00457D"/>
            <w:vAlign w:val="center"/>
            <w:hideMark/>
          </w:tcPr>
          <w:p w14:paraId="2B6C32A3"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C55EE6">
              <w:rPr>
                <w:rFonts w:eastAsia="Times New Roman" w:cs="Calibri"/>
                <w:b/>
                <w:bCs/>
                <w:color w:val="FFFFFF"/>
                <w:bdr w:val="none" w:sz="0" w:space="0" w:color="auto"/>
              </w:rPr>
              <w:t>Posti letto in area medica occupati da pazienti COVID−19</w:t>
            </w:r>
          </w:p>
        </w:tc>
        <w:tc>
          <w:tcPr>
            <w:tcW w:w="2410" w:type="dxa"/>
            <w:tcBorders>
              <w:top w:val="single" w:sz="4" w:space="0" w:color="00457D"/>
              <w:left w:val="nil"/>
              <w:bottom w:val="single" w:sz="4" w:space="0" w:color="00457D"/>
              <w:right w:val="single" w:sz="4" w:space="0" w:color="00457D"/>
            </w:tcBorders>
            <w:shd w:val="clear" w:color="000000" w:fill="00457D"/>
            <w:vAlign w:val="center"/>
            <w:hideMark/>
          </w:tcPr>
          <w:p w14:paraId="70DF4EBC"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C55EE6">
              <w:rPr>
                <w:rFonts w:eastAsia="Times New Roman" w:cs="Calibri"/>
                <w:b/>
                <w:bCs/>
                <w:color w:val="FFFFFF"/>
                <w:bdr w:val="none" w:sz="0" w:space="0" w:color="auto"/>
              </w:rPr>
              <w:t xml:space="preserve">Posti letto in terapia intensiva occupati da </w:t>
            </w:r>
            <w:r w:rsidRPr="00C55EE6">
              <w:rPr>
                <w:rFonts w:eastAsia="Times New Roman" w:cs="Calibri"/>
                <w:b/>
                <w:bCs/>
                <w:color w:val="FFFFFF"/>
                <w:bdr w:val="none" w:sz="0" w:space="0" w:color="auto"/>
              </w:rPr>
              <w:br/>
              <w:t>pazienti COVID−19</w:t>
            </w:r>
          </w:p>
        </w:tc>
      </w:tr>
      <w:tr w:rsidR="00C55EE6" w:rsidRPr="00C55EE6" w14:paraId="0B1C66C7"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413434F1"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Abruzzo</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ADFE403"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3.968</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A3AEE21"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21,5%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1CE33D1"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17,9%</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EA6ABDE"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C55EE6">
              <w:rPr>
                <w:rFonts w:eastAsia="Times New Roman" w:cs="Calibri"/>
                <w:color w:val="006100"/>
                <w:bdr w:val="none" w:sz="0" w:space="0" w:color="auto"/>
              </w:rPr>
              <w:t>1,7%</w:t>
            </w:r>
          </w:p>
        </w:tc>
      </w:tr>
      <w:tr w:rsidR="00C55EE6" w:rsidRPr="00C55EE6" w14:paraId="3BF1B460"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5B9F8EF9"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Basilicata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33CC685"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2.511</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D988A8D"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36,8%</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007F97A"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26,4%</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4CFA5DEA"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C55EE6">
              <w:rPr>
                <w:rFonts w:eastAsia="Times New Roman" w:cs="Calibri"/>
                <w:color w:val="006100"/>
                <w:bdr w:val="none" w:sz="0" w:space="0" w:color="auto"/>
              </w:rPr>
              <w:t>0,0%</w:t>
            </w:r>
          </w:p>
        </w:tc>
      </w:tr>
      <w:tr w:rsidR="00C55EE6" w:rsidRPr="00C55EE6" w14:paraId="1A8FBA7E"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42A18A3C"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Calabria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A4104F3"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3.222</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B67C05C"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41,9%</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64B5A59"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31,3%</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3D5C266"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6,0%</w:t>
            </w:r>
          </w:p>
        </w:tc>
      </w:tr>
      <w:tr w:rsidR="00C55EE6" w:rsidRPr="00C55EE6" w14:paraId="5B50E79E"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16F23BC8"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Campania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5EC307C"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3.273</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10CF42B"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18,8%</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8FFD768"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18,0%</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9F79D0D"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5,1%</w:t>
            </w:r>
          </w:p>
        </w:tc>
      </w:tr>
      <w:tr w:rsidR="00C55EE6" w:rsidRPr="00C55EE6" w14:paraId="5695C888"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49D287D1"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Emilia Romagna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CB13A96"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1.740</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6216848"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19,5%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AAA5930"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15,5%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42C67C5"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5,2%</w:t>
            </w:r>
          </w:p>
        </w:tc>
      </w:tr>
      <w:tr w:rsidR="00C55EE6" w:rsidRPr="00C55EE6" w14:paraId="57EF4848"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4B3AECB0"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Friuli Venezia Giulia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E96E944"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1.857</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E7F9A8F"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17,3%</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0595D61"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15,7%</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F602EC6"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C55EE6">
              <w:rPr>
                <w:rFonts w:eastAsia="Times New Roman" w:cs="Calibri"/>
                <w:color w:val="006100"/>
                <w:bdr w:val="none" w:sz="0" w:space="0" w:color="auto"/>
              </w:rPr>
              <w:t>3,4%</w:t>
            </w:r>
          </w:p>
        </w:tc>
      </w:tr>
      <w:tr w:rsidR="00C55EE6" w:rsidRPr="00C55EE6" w14:paraId="076ECE18"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11B4D0CB"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Lazio</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0BABF08"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3.596</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73F7417"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5,1%</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8557C8E"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C55EE6">
              <w:rPr>
                <w:rFonts w:eastAsia="Times New Roman" w:cs="Calibri"/>
                <w:color w:val="006100"/>
                <w:bdr w:val="none" w:sz="0" w:space="0" w:color="auto"/>
              </w:rPr>
              <w:t>13,8%</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2984A7F"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6,7%</w:t>
            </w:r>
          </w:p>
        </w:tc>
      </w:tr>
      <w:tr w:rsidR="00C55EE6" w:rsidRPr="00C55EE6" w14:paraId="55B2AC03"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40E52E09"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Liguria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323D567"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1.442</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0BEAADC"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24,3%</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DAD769E"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22,3%</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2AC43D1"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4,6%</w:t>
            </w:r>
          </w:p>
        </w:tc>
      </w:tr>
      <w:tr w:rsidR="00C55EE6" w:rsidRPr="00C55EE6" w14:paraId="72F0ADA0"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427DD3B8"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Lombardia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0301182"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1.549</w:t>
            </w:r>
          </w:p>
        </w:tc>
        <w:tc>
          <w:tcPr>
            <w:tcW w:w="1417"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F1C95FE"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C55EE6">
              <w:rPr>
                <w:rFonts w:eastAsia="Times New Roman" w:cs="Calibri"/>
                <w:color w:val="006100"/>
                <w:bdr w:val="none" w:sz="0" w:space="0" w:color="auto"/>
              </w:rPr>
              <w:t>-6,2%</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06B33587"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C55EE6">
              <w:rPr>
                <w:rFonts w:eastAsia="Times New Roman" w:cs="Calibri"/>
                <w:color w:val="006100"/>
                <w:bdr w:val="none" w:sz="0" w:space="0" w:color="auto"/>
              </w:rPr>
              <w:t>13,2%</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24192016"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C55EE6">
              <w:rPr>
                <w:rFonts w:eastAsia="Times New Roman" w:cs="Calibri"/>
                <w:color w:val="006100"/>
                <w:bdr w:val="none" w:sz="0" w:space="0" w:color="auto"/>
              </w:rPr>
              <w:t>2,0%</w:t>
            </w:r>
          </w:p>
        </w:tc>
      </w:tr>
      <w:tr w:rsidR="00C55EE6" w:rsidRPr="00C55EE6" w14:paraId="21BBA34F"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1641D7D3"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Marche</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7018780"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1.370</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0B82F24"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31,1%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4F53274"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16,9%</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4D9D2C5C"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C55EE6">
              <w:rPr>
                <w:rFonts w:eastAsia="Times New Roman" w:cs="Calibri"/>
                <w:color w:val="006100"/>
                <w:bdr w:val="none" w:sz="0" w:space="0" w:color="auto"/>
              </w:rPr>
              <w:t>3,5%</w:t>
            </w:r>
          </w:p>
        </w:tc>
      </w:tr>
      <w:tr w:rsidR="00C55EE6" w:rsidRPr="00C55EE6" w14:paraId="00BB8E22"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3674D807"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Molise</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B906593"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1.580</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D959ADC"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12,9%</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F62B752"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C55EE6">
              <w:rPr>
                <w:rFonts w:eastAsia="Times New Roman" w:cs="Calibri"/>
                <w:color w:val="006100"/>
                <w:bdr w:val="none" w:sz="0" w:space="0" w:color="auto"/>
              </w:rPr>
              <w:t>10,2%</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91FB6FA"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C55EE6">
              <w:rPr>
                <w:rFonts w:eastAsia="Times New Roman" w:cs="Calibri"/>
                <w:color w:val="006100"/>
                <w:bdr w:val="none" w:sz="0" w:space="0" w:color="auto"/>
              </w:rPr>
              <w:t>2,6%</w:t>
            </w:r>
          </w:p>
        </w:tc>
      </w:tr>
      <w:tr w:rsidR="00C55EE6" w:rsidRPr="00C55EE6" w14:paraId="187E56A6"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364864C0"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Piemonte</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24DEEA6"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1.372</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2C90D87"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23,5%</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0618C8DE"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C55EE6">
              <w:rPr>
                <w:rFonts w:eastAsia="Times New Roman" w:cs="Calibri"/>
                <w:color w:val="006100"/>
                <w:bdr w:val="none" w:sz="0" w:space="0" w:color="auto"/>
              </w:rPr>
              <w:t>7,8%</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FDE916F"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C55EE6">
              <w:rPr>
                <w:rFonts w:eastAsia="Times New Roman" w:cs="Calibri"/>
                <w:color w:val="006100"/>
                <w:bdr w:val="none" w:sz="0" w:space="0" w:color="auto"/>
              </w:rPr>
              <w:t>2,1%</w:t>
            </w:r>
          </w:p>
        </w:tc>
      </w:tr>
      <w:tr w:rsidR="00C55EE6" w:rsidRPr="00C55EE6" w14:paraId="536950EA"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41CED394"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Prov. Aut. Bolzano</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697B43A"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1.223</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4E9D847"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16,9%</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A1B195F"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18,6%</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0CA93BD7"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C55EE6">
              <w:rPr>
                <w:rFonts w:eastAsia="Times New Roman" w:cs="Calibri"/>
                <w:color w:val="006100"/>
                <w:bdr w:val="none" w:sz="0" w:space="0" w:color="auto"/>
              </w:rPr>
              <w:t>1,0%</w:t>
            </w:r>
          </w:p>
        </w:tc>
      </w:tr>
      <w:tr w:rsidR="00C55EE6" w:rsidRPr="00C55EE6" w14:paraId="30AA1CDF"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0A52087D"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Prov. Aut. Trento</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81C50F8"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1.229</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15AFE5B"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28,4%</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ADCAEBE"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16,4%</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F288603"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C55EE6">
              <w:rPr>
                <w:rFonts w:eastAsia="Times New Roman" w:cs="Calibri"/>
                <w:color w:val="006100"/>
                <w:bdr w:val="none" w:sz="0" w:space="0" w:color="auto"/>
              </w:rPr>
              <w:t>1,1%</w:t>
            </w:r>
          </w:p>
        </w:tc>
      </w:tr>
      <w:tr w:rsidR="00C55EE6" w:rsidRPr="00C55EE6" w14:paraId="59ABEF75"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0922738D"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Puglia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9B7A837"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2.258</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5BCFE1A"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22,6%</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E6D0729"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16,1%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7B86FF5"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5,4%</w:t>
            </w:r>
          </w:p>
        </w:tc>
      </w:tr>
      <w:tr w:rsidR="00C55EE6" w:rsidRPr="00C55EE6" w14:paraId="1B842048"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340E3319"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Sardegna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FCB0686"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2.392</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AC5FE3F"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14,5%</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28B7A03D"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C55EE6">
              <w:rPr>
                <w:rFonts w:eastAsia="Times New Roman" w:cs="Calibri"/>
                <w:color w:val="006100"/>
                <w:bdr w:val="none" w:sz="0" w:space="0" w:color="auto"/>
              </w:rPr>
              <w:t>9,8%</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78B0679"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4,4%</w:t>
            </w:r>
          </w:p>
        </w:tc>
      </w:tr>
      <w:tr w:rsidR="00C55EE6" w:rsidRPr="00C55EE6" w14:paraId="63A7FEE7"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36D73935"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Sicilia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9BA71EE"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2.669</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0B1A2D6"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23,2%</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9C0AA75"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27,2%</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F58259F"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5,9%</w:t>
            </w:r>
          </w:p>
        </w:tc>
      </w:tr>
      <w:tr w:rsidR="00C55EE6" w:rsidRPr="00C55EE6" w14:paraId="3ED3A3F3"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3EEAE253"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Toscana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3F94E09"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2.246</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E339ED7"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8,8%</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D616357"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C55EE6">
              <w:rPr>
                <w:rFonts w:eastAsia="Times New Roman" w:cs="Calibri"/>
                <w:color w:val="006100"/>
                <w:bdr w:val="none" w:sz="0" w:space="0" w:color="auto"/>
              </w:rPr>
              <w:t>13,5%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C2CD426"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4,4%</w:t>
            </w:r>
          </w:p>
        </w:tc>
      </w:tr>
      <w:tr w:rsidR="00C55EE6" w:rsidRPr="00C55EE6" w14:paraId="092BD2FB"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58457B91"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Umbria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CA23ECA"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2.485</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74FD8C5"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20,7%</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D3BF47A"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40,2%</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01ED05A"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9,3%</w:t>
            </w:r>
          </w:p>
        </w:tc>
      </w:tr>
      <w:tr w:rsidR="00C55EE6" w:rsidRPr="00C55EE6" w14:paraId="3170F363"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7149A931"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Valle D'Aosta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1ECBDFA"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1.131</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240FF5A"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51,1%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291103C"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21,2%</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228C741"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7,7%</w:t>
            </w:r>
          </w:p>
        </w:tc>
      </w:tr>
      <w:tr w:rsidR="00C55EE6" w:rsidRPr="00C55EE6" w14:paraId="766FE859"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5535F095"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C55EE6">
              <w:rPr>
                <w:rFonts w:eastAsia="Times New Roman" w:cs="Calibri"/>
                <w:bdr w:val="none" w:sz="0" w:space="0" w:color="auto"/>
              </w:rPr>
              <w:t>Veneto</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15B793F"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2.075</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D4715B0"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C55EE6">
              <w:rPr>
                <w:rFonts w:eastAsia="Times New Roman" w:cs="Calibri"/>
                <w:color w:val="9C0006"/>
                <w:bdr w:val="none" w:sz="0" w:space="0" w:color="auto"/>
              </w:rPr>
              <w:t>16,6%</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2B17FCCC"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C55EE6">
              <w:rPr>
                <w:rFonts w:eastAsia="Times New Roman" w:cs="Calibri"/>
                <w:color w:val="006100"/>
                <w:bdr w:val="none" w:sz="0" w:space="0" w:color="auto"/>
              </w:rPr>
              <w:t>11,4%</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249DB53"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C55EE6">
              <w:rPr>
                <w:rFonts w:eastAsia="Times New Roman" w:cs="Calibri"/>
                <w:color w:val="006100"/>
                <w:bdr w:val="none" w:sz="0" w:space="0" w:color="auto"/>
              </w:rPr>
              <w:t>3,5%</w:t>
            </w:r>
          </w:p>
        </w:tc>
      </w:tr>
      <w:tr w:rsidR="00C55EE6" w:rsidRPr="00C55EE6" w14:paraId="57453007" w14:textId="77777777" w:rsidTr="00C55EE6">
        <w:trPr>
          <w:trHeight w:val="300"/>
          <w:jc w:val="center"/>
        </w:trPr>
        <w:tc>
          <w:tcPr>
            <w:tcW w:w="1980" w:type="dxa"/>
            <w:tcBorders>
              <w:top w:val="nil"/>
              <w:left w:val="single" w:sz="4" w:space="0" w:color="00457D"/>
              <w:bottom w:val="single" w:sz="4" w:space="0" w:color="00457D"/>
              <w:right w:val="single" w:sz="4" w:space="0" w:color="00457D"/>
            </w:tcBorders>
            <w:shd w:val="clear" w:color="000000" w:fill="00457D"/>
            <w:noWrap/>
            <w:vAlign w:val="bottom"/>
            <w:hideMark/>
          </w:tcPr>
          <w:p w14:paraId="3E319F6F"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C55EE6">
              <w:rPr>
                <w:rFonts w:eastAsia="Times New Roman" w:cs="Calibri"/>
                <w:b/>
                <w:bCs/>
                <w:color w:val="FFFFFF"/>
                <w:bdr w:val="none" w:sz="0" w:space="0" w:color="auto"/>
              </w:rPr>
              <w:t>ITALIA</w:t>
            </w:r>
          </w:p>
        </w:tc>
        <w:tc>
          <w:tcPr>
            <w:tcW w:w="1701"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0BE3DF8"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9C0006"/>
                <w:bdr w:val="none" w:sz="0" w:space="0" w:color="auto"/>
              </w:rPr>
            </w:pPr>
            <w:r w:rsidRPr="00C55EE6">
              <w:rPr>
                <w:rFonts w:eastAsia="Times New Roman" w:cs="Calibri"/>
                <w:b/>
                <w:bCs/>
                <w:color w:val="9C0006"/>
                <w:bdr w:val="none" w:sz="0" w:space="0" w:color="auto"/>
              </w:rPr>
              <w:t>2.280</w:t>
            </w:r>
          </w:p>
        </w:tc>
        <w:tc>
          <w:tcPr>
            <w:tcW w:w="1417"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D5C01FF"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9C0006"/>
                <w:bdr w:val="none" w:sz="0" w:space="0" w:color="auto"/>
              </w:rPr>
            </w:pPr>
            <w:r w:rsidRPr="00C55EE6">
              <w:rPr>
                <w:rFonts w:eastAsia="Times New Roman" w:cs="Calibri"/>
                <w:b/>
                <w:bCs/>
                <w:color w:val="9C0006"/>
                <w:bdr w:val="none" w:sz="0" w:space="0" w:color="auto"/>
              </w:rPr>
              <w:t>14,8%</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DC58899"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C55EE6">
              <w:rPr>
                <w:rFonts w:eastAsia="Times New Roman" w:cs="Calibri"/>
                <w:b/>
                <w:bCs/>
                <w:color w:val="006100"/>
                <w:bdr w:val="none" w:sz="0" w:space="0" w:color="auto"/>
              </w:rPr>
              <w:t>15,1%</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1E164441"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C55EE6">
              <w:rPr>
                <w:rFonts w:eastAsia="Times New Roman" w:cs="Calibri"/>
                <w:b/>
                <w:bCs/>
                <w:color w:val="006100"/>
                <w:bdr w:val="none" w:sz="0" w:space="0" w:color="auto"/>
              </w:rPr>
              <w:t>4,1%</w:t>
            </w:r>
          </w:p>
        </w:tc>
      </w:tr>
      <w:tr w:rsidR="00C55EE6" w:rsidRPr="00C55EE6" w14:paraId="46961761" w14:textId="77777777" w:rsidTr="00C55EE6">
        <w:trPr>
          <w:trHeight w:val="1710"/>
          <w:jc w:val="center"/>
        </w:trPr>
        <w:tc>
          <w:tcPr>
            <w:tcW w:w="9918" w:type="dxa"/>
            <w:gridSpan w:val="5"/>
            <w:tcBorders>
              <w:top w:val="single" w:sz="4" w:space="0" w:color="00457D"/>
              <w:left w:val="single" w:sz="4" w:space="0" w:color="00457D"/>
              <w:bottom w:val="single" w:sz="4" w:space="0" w:color="00457D"/>
              <w:right w:val="single" w:sz="4" w:space="0" w:color="00457D"/>
            </w:tcBorders>
            <w:shd w:val="clear" w:color="auto" w:fill="auto"/>
            <w:vAlign w:val="center"/>
            <w:hideMark/>
          </w:tcPr>
          <w:p w14:paraId="14506226" w14:textId="77777777" w:rsidR="00C55EE6" w:rsidRPr="00D44AA7"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D44AA7">
              <w:rPr>
                <w:rFonts w:eastAsia="Times New Roman" w:cs="Calibri"/>
                <w:color w:val="auto"/>
                <w:sz w:val="20"/>
                <w:szCs w:val="20"/>
                <w:bdr w:val="none" w:sz="0" w:space="0" w:color="auto"/>
              </w:rPr>
              <w:t>Note:</w:t>
            </w:r>
          </w:p>
          <w:p w14:paraId="6AD20AF8" w14:textId="77777777" w:rsidR="00C55EE6" w:rsidRPr="00D44AA7" w:rsidRDefault="00C55EE6" w:rsidP="00C55EE6">
            <w:pPr>
              <w:pStyle w:val="Paragrafoelenc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D44AA7">
              <w:rPr>
                <w:rFonts w:eastAsia="Times New Roman" w:cs="Calibri"/>
                <w:color w:val="auto"/>
                <w:sz w:val="20"/>
                <w:szCs w:val="20"/>
                <w:bdr w:val="none" w:sz="0" w:space="0" w:color="auto"/>
              </w:rPr>
              <w:t>I dati della Regione Sicilia risentono di ricalcoli avvenuti nell’ultima settimana.</w:t>
            </w:r>
          </w:p>
          <w:p w14:paraId="16FBAAA8" w14:textId="77777777" w:rsidR="00C55EE6" w:rsidRPr="00D44AA7" w:rsidRDefault="00C55EE6" w:rsidP="00C55EE6">
            <w:pPr>
              <w:pStyle w:val="Paragrafoelenc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eastAsia="Times New Roman" w:cs="Calibri"/>
                <w:color w:val="auto"/>
                <w:sz w:val="20"/>
                <w:szCs w:val="20"/>
                <w:bdr w:val="none" w:sz="0" w:space="0" w:color="auto"/>
              </w:rPr>
            </w:pPr>
            <w:r w:rsidRPr="00D44AA7">
              <w:rPr>
                <w:rFonts w:eastAsia="Times New Roman" w:cs="Calibri"/>
                <w:sz w:val="20"/>
                <w:szCs w:val="20"/>
              </w:rPr>
              <w:t>A seguito di comunicazione ricevuta dalla Regione Basilicata si segnala che il numero dei casi attualmente positivi della Regione Basilicata è in corso di revisione da parte della stessa.</w:t>
            </w:r>
          </w:p>
          <w:p w14:paraId="4FCEAB7F" w14:textId="77777777" w:rsidR="00C55EE6" w:rsidRPr="00C55EE6" w:rsidRDefault="00C55EE6" w:rsidP="00C55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Pr>
                <w:rFonts w:eastAsia="Times New Roman" w:cs="Calibri"/>
                <w:color w:val="auto"/>
                <w:sz w:val="20"/>
                <w:szCs w:val="20"/>
                <w:bdr w:val="none" w:sz="0" w:space="0" w:color="auto"/>
              </w:rPr>
              <w:t>N</w:t>
            </w:r>
            <w:r w:rsidRPr="004D2B35">
              <w:rPr>
                <w:rFonts w:eastAsia="Times New Roman" w:cs="Calibri"/>
                <w:color w:val="auto"/>
                <w:sz w:val="20"/>
                <w:szCs w:val="20"/>
                <w:bdr w:val="none" w:sz="0" w:space="0" w:color="auto"/>
              </w:rPr>
              <w:t>ella prima colonna i colori rosso, verde e giallo indicano rispettivamente una performance regionale in peggioramento, in miglioramento o stabile, rispetto alla settimana precedente.</w:t>
            </w:r>
            <w:r w:rsidRPr="004D2B35">
              <w:rPr>
                <w:rFonts w:eastAsia="Times New Roman" w:cs="Calibri"/>
                <w:color w:val="auto"/>
                <w:sz w:val="20"/>
                <w:szCs w:val="20"/>
                <w:bdr w:val="none" w:sz="0" w:space="0" w:color="auto"/>
              </w:rPr>
              <w:br/>
              <w:t>Nella seconda colonna i colori rosso e verde indicano rispettivamente un aumento o una diminuzione percentuale dei nuovi casi rispetto alla settimana precedente.</w:t>
            </w:r>
            <w:r w:rsidRPr="004D2B35">
              <w:rPr>
                <w:rFonts w:eastAsia="Times New Roman" w:cs="Calibri"/>
                <w:color w:val="auto"/>
                <w:sz w:val="20"/>
                <w:szCs w:val="20"/>
                <w:bdr w:val="none" w:sz="0" w:space="0" w:color="auto"/>
              </w:rPr>
              <w:br/>
              <w:t>Nelle ultime 2 colonne i colori rosso e verde indicano rispettivamente un valore superiore o inferiore rispetto alla media nazionale (dati Agenas).</w:t>
            </w:r>
            <w:r w:rsidRPr="00C55EE6">
              <w:rPr>
                <w:rFonts w:eastAsia="Times New Roman" w:cs="Calibri"/>
                <w:color w:val="auto"/>
                <w:sz w:val="20"/>
                <w:szCs w:val="20"/>
                <w:bdr w:val="none" w:sz="0" w:space="0" w:color="auto"/>
              </w:rPr>
              <w:t xml:space="preserve"> </w:t>
            </w:r>
          </w:p>
        </w:tc>
      </w:tr>
    </w:tbl>
    <w:p w14:paraId="070BC1D4" w14:textId="77777777" w:rsidR="006B059A" w:rsidRDefault="006B059A">
      <w:pPr>
        <w:spacing w:after="0" w:line="240" w:lineRule="auto"/>
        <w:rPr>
          <w:b/>
          <w:bCs/>
          <w:color w:val="00457D"/>
          <w:sz w:val="24"/>
          <w:szCs w:val="24"/>
          <w:u w:color="00457D"/>
        </w:rPr>
      </w:pPr>
    </w:p>
    <w:p w14:paraId="69179078" w14:textId="77777777" w:rsidR="00C55EE6" w:rsidRDefault="00C55EE6">
      <w:pPr>
        <w:spacing w:after="0" w:line="240" w:lineRule="auto"/>
        <w:rPr>
          <w:b/>
          <w:bCs/>
          <w:color w:val="00457D"/>
          <w:sz w:val="24"/>
          <w:szCs w:val="24"/>
          <w:u w:color="00457D"/>
        </w:rPr>
      </w:pPr>
    </w:p>
    <w:p w14:paraId="480E3D1C" w14:textId="77777777" w:rsidR="004D16FF" w:rsidRPr="00D44AA7" w:rsidRDefault="004D16FF" w:rsidP="008955B7">
      <w:pPr>
        <w:spacing w:after="80" w:line="240" w:lineRule="auto"/>
        <w:jc w:val="center"/>
        <w:rPr>
          <w:b/>
          <w:bCs/>
          <w:color w:val="00457D"/>
          <w:sz w:val="24"/>
          <w:szCs w:val="24"/>
          <w:u w:color="00457D"/>
        </w:rPr>
      </w:pPr>
      <w:r w:rsidRPr="00D44AA7">
        <w:rPr>
          <w:b/>
          <w:bCs/>
          <w:color w:val="00457D"/>
          <w:sz w:val="24"/>
          <w:szCs w:val="24"/>
          <w:u w:color="00457D"/>
        </w:rPr>
        <w:t>Tabella 2. Nuovi casi nell’ultima se</w:t>
      </w:r>
      <w:r w:rsidR="008955B7" w:rsidRPr="00D44AA7">
        <w:rPr>
          <w:b/>
          <w:bCs/>
          <w:color w:val="00457D"/>
          <w:sz w:val="24"/>
          <w:szCs w:val="24"/>
          <w:u w:color="00457D"/>
        </w:rPr>
        <w:t>ttimana suddivisi per provincia</w:t>
      </w:r>
    </w:p>
    <w:tbl>
      <w:tblPr>
        <w:tblStyle w:val="TableNormal"/>
        <w:tblW w:w="82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985"/>
        <w:gridCol w:w="2260"/>
        <w:gridCol w:w="2281"/>
        <w:gridCol w:w="1701"/>
      </w:tblGrid>
      <w:tr w:rsidR="00745BD1" w:rsidRPr="00D44AA7" w14:paraId="749EB746" w14:textId="77777777" w:rsidTr="005E3077">
        <w:trPr>
          <w:trHeight w:val="481"/>
          <w:tblHeader/>
          <w:jc w:val="center"/>
        </w:trPr>
        <w:tc>
          <w:tcPr>
            <w:tcW w:w="1985" w:type="dxa"/>
            <w:tcBorders>
              <w:top w:val="single" w:sz="4" w:space="0" w:color="00457D"/>
              <w:left w:val="single" w:sz="4" w:space="0" w:color="00457D"/>
              <w:bottom w:val="single" w:sz="4" w:space="0" w:color="00457D"/>
              <w:right w:val="single" w:sz="4" w:space="0" w:color="FFFFFF"/>
            </w:tcBorders>
            <w:shd w:val="clear" w:color="auto" w:fill="00457D"/>
            <w:tcMar>
              <w:top w:w="80" w:type="dxa"/>
              <w:left w:w="80" w:type="dxa"/>
              <w:bottom w:w="80" w:type="dxa"/>
              <w:right w:w="80" w:type="dxa"/>
            </w:tcMar>
            <w:vAlign w:val="center"/>
          </w:tcPr>
          <w:p w14:paraId="654B3C21" w14:textId="77777777" w:rsidR="00745BD1" w:rsidRPr="00D44AA7" w:rsidRDefault="00745BD1" w:rsidP="00775550">
            <w:pPr>
              <w:spacing w:after="0" w:line="240" w:lineRule="auto"/>
              <w:rPr>
                <w:rFonts w:cs="Calibri"/>
                <w:szCs w:val="20"/>
              </w:rPr>
            </w:pPr>
            <w:r w:rsidRPr="00D44AA7">
              <w:rPr>
                <w:rFonts w:cs="Calibri"/>
                <w:b/>
                <w:bCs/>
                <w:color w:val="FFFFFF"/>
                <w:szCs w:val="20"/>
                <w:u w:color="FFFFFF"/>
              </w:rPr>
              <w:lastRenderedPageBreak/>
              <w:t>Regione</w:t>
            </w:r>
          </w:p>
        </w:tc>
        <w:tc>
          <w:tcPr>
            <w:tcW w:w="2260" w:type="dxa"/>
            <w:tcBorders>
              <w:top w:val="single" w:sz="4" w:space="0" w:color="00457D"/>
              <w:left w:val="single" w:sz="4" w:space="0" w:color="FFFFFF"/>
              <w:bottom w:val="single" w:sz="4" w:space="0" w:color="00457D"/>
              <w:right w:val="single" w:sz="4" w:space="0" w:color="FFFFFF"/>
            </w:tcBorders>
            <w:shd w:val="clear" w:color="auto" w:fill="00457D"/>
            <w:tcMar>
              <w:top w:w="80" w:type="dxa"/>
              <w:left w:w="80" w:type="dxa"/>
              <w:bottom w:w="80" w:type="dxa"/>
              <w:right w:w="80" w:type="dxa"/>
            </w:tcMar>
            <w:vAlign w:val="center"/>
          </w:tcPr>
          <w:p w14:paraId="124E997B" w14:textId="77777777" w:rsidR="00745BD1" w:rsidRPr="00D44AA7" w:rsidRDefault="00745BD1" w:rsidP="00775550">
            <w:pPr>
              <w:spacing w:after="0" w:line="240" w:lineRule="auto"/>
              <w:rPr>
                <w:rFonts w:cs="Calibri"/>
                <w:szCs w:val="20"/>
              </w:rPr>
            </w:pPr>
            <w:r w:rsidRPr="00D44AA7">
              <w:rPr>
                <w:rFonts w:cs="Calibri"/>
                <w:b/>
                <w:bCs/>
                <w:color w:val="FFFFFF"/>
                <w:szCs w:val="20"/>
                <w:u w:color="FFFFFF"/>
              </w:rPr>
              <w:t>Provincia</w:t>
            </w:r>
          </w:p>
        </w:tc>
        <w:tc>
          <w:tcPr>
            <w:tcW w:w="2281" w:type="dxa"/>
            <w:tcBorders>
              <w:top w:val="single" w:sz="4" w:space="0" w:color="00457D"/>
              <w:left w:val="single" w:sz="4" w:space="0" w:color="FFFFFF"/>
              <w:bottom w:val="single" w:sz="4" w:space="0" w:color="00457D"/>
              <w:right w:val="single" w:sz="4" w:space="0" w:color="FFFFFF" w:themeColor="background1"/>
            </w:tcBorders>
            <w:shd w:val="clear" w:color="auto" w:fill="00457D"/>
            <w:tcMar>
              <w:top w:w="80" w:type="dxa"/>
              <w:left w:w="80" w:type="dxa"/>
              <w:bottom w:w="80" w:type="dxa"/>
              <w:right w:w="80" w:type="dxa"/>
            </w:tcMar>
            <w:vAlign w:val="center"/>
          </w:tcPr>
          <w:p w14:paraId="6C62AED7" w14:textId="77777777" w:rsidR="00745BD1" w:rsidRPr="00D44AA7" w:rsidRDefault="00745BD1" w:rsidP="00410DFB">
            <w:pPr>
              <w:spacing w:after="0" w:line="240" w:lineRule="auto"/>
              <w:jc w:val="center"/>
              <w:rPr>
                <w:rFonts w:cs="Calibri"/>
                <w:szCs w:val="20"/>
              </w:rPr>
            </w:pPr>
            <w:r w:rsidRPr="00D44AA7">
              <w:rPr>
                <w:rFonts w:cs="Calibri"/>
                <w:b/>
                <w:bCs/>
                <w:color w:val="FFFFFF"/>
                <w:szCs w:val="20"/>
                <w:u w:color="FFFFFF"/>
              </w:rPr>
              <w:t xml:space="preserve">Nuovi casi per </w:t>
            </w:r>
            <w:r w:rsidR="00936C2E" w:rsidRPr="00D44AA7">
              <w:rPr>
                <w:rFonts w:cs="Calibri"/>
                <w:b/>
                <w:bCs/>
                <w:color w:val="FFFFFF"/>
                <w:szCs w:val="20"/>
                <w:u w:color="FFFFFF"/>
              </w:rPr>
              <w:br/>
            </w:r>
            <w:r w:rsidRPr="00D44AA7">
              <w:rPr>
                <w:rFonts w:cs="Calibri"/>
                <w:b/>
                <w:bCs/>
                <w:color w:val="FFFFFF"/>
                <w:szCs w:val="20"/>
                <w:u w:color="FFFFFF"/>
              </w:rPr>
              <w:t xml:space="preserve">100.000 abitanti </w:t>
            </w:r>
            <w:r w:rsidRPr="00D44AA7">
              <w:rPr>
                <w:rFonts w:cs="Calibri"/>
                <w:b/>
                <w:bCs/>
                <w:color w:val="FFFFFF"/>
                <w:szCs w:val="20"/>
                <w:u w:color="FFFFFF"/>
              </w:rPr>
              <w:br/>
            </w:r>
            <w:r w:rsidR="00410DFB">
              <w:rPr>
                <w:rFonts w:cs="Calibri"/>
                <w:b/>
                <w:bCs/>
                <w:color w:val="FFFFFF"/>
                <w:szCs w:val="20"/>
                <w:u w:color="FFFFFF"/>
              </w:rPr>
              <w:t>6-12</w:t>
            </w:r>
            <w:r w:rsidR="009D4010" w:rsidRPr="009D4010">
              <w:rPr>
                <w:rFonts w:cs="Calibri"/>
                <w:b/>
                <w:bCs/>
                <w:color w:val="FFFFFF"/>
                <w:szCs w:val="20"/>
                <w:u w:color="FFFFFF"/>
              </w:rPr>
              <w:t xml:space="preserve"> luglio</w:t>
            </w:r>
            <w:r w:rsidRPr="00D44AA7">
              <w:rPr>
                <w:rFonts w:cs="Calibri"/>
                <w:b/>
                <w:bCs/>
                <w:color w:val="FFFFFF"/>
                <w:szCs w:val="20"/>
                <w:u w:color="FFFFFF"/>
              </w:rPr>
              <w:t xml:space="preserve"> 2022</w:t>
            </w:r>
          </w:p>
        </w:tc>
        <w:tc>
          <w:tcPr>
            <w:tcW w:w="1701" w:type="dxa"/>
            <w:tcBorders>
              <w:top w:val="single" w:sz="4" w:space="0" w:color="00457D"/>
              <w:left w:val="single" w:sz="4" w:space="0" w:color="FFFFFF" w:themeColor="background1"/>
              <w:bottom w:val="single" w:sz="4" w:space="0" w:color="00457D"/>
              <w:right w:val="single" w:sz="4" w:space="0" w:color="00457D"/>
            </w:tcBorders>
            <w:shd w:val="clear" w:color="auto" w:fill="00457D"/>
            <w:vAlign w:val="center"/>
          </w:tcPr>
          <w:p w14:paraId="20DA5FEC" w14:textId="77777777" w:rsidR="00745BD1" w:rsidRPr="00D44AA7" w:rsidRDefault="00745BD1" w:rsidP="006013F1">
            <w:pPr>
              <w:spacing w:after="0" w:line="240" w:lineRule="auto"/>
              <w:jc w:val="center"/>
              <w:rPr>
                <w:rFonts w:cs="Calibri"/>
                <w:b/>
                <w:bCs/>
                <w:color w:val="FFFFFF"/>
                <w:szCs w:val="20"/>
                <w:u w:color="FFFFFF"/>
              </w:rPr>
            </w:pPr>
            <w:r w:rsidRPr="00D44AA7">
              <w:rPr>
                <w:rFonts w:cs="Calibri"/>
                <w:b/>
                <w:bCs/>
                <w:color w:val="FFFFFF"/>
                <w:szCs w:val="20"/>
                <w:u w:color="FFFFFF"/>
              </w:rPr>
              <w:t>Variazione % nuovi casi</w:t>
            </w:r>
          </w:p>
        </w:tc>
      </w:tr>
      <w:tr w:rsidR="00410DFB" w:rsidRPr="009D4010" w14:paraId="1D41C39E"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E9F0C5" w14:textId="77777777" w:rsidR="00410DFB" w:rsidRPr="00CB1313" w:rsidRDefault="00410DFB" w:rsidP="00410DFB">
            <w:pPr>
              <w:spacing w:after="0"/>
            </w:pPr>
            <w: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4C65E41" w14:textId="77777777" w:rsidR="00410DFB" w:rsidRPr="00CB1313" w:rsidRDefault="00410DFB" w:rsidP="00410DFB">
            <w:pPr>
              <w:spacing w:after="0"/>
            </w:pPr>
            <w:r>
              <w:t>Chieti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1AAF4B" w14:textId="77777777" w:rsidR="00410DFB" w:rsidRPr="00CB1313" w:rsidRDefault="00410DFB" w:rsidP="00410DFB">
            <w:pPr>
              <w:spacing w:after="0"/>
              <w:jc w:val="center"/>
            </w:pPr>
            <w:r>
              <w:t xml:space="preserve">        1.458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FC39541"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25,3%</w:t>
            </w:r>
          </w:p>
        </w:tc>
      </w:tr>
      <w:tr w:rsidR="00410DFB" w:rsidRPr="009D4010" w14:paraId="0992AD3D"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FA588A" w14:textId="77777777" w:rsidR="00410DFB" w:rsidRPr="00CB1313" w:rsidRDefault="00410DFB" w:rsidP="00410DFB">
            <w:pPr>
              <w:spacing w:after="0"/>
            </w:pPr>
            <w: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23A5A9" w14:textId="77777777" w:rsidR="00410DFB" w:rsidRPr="00CB1313" w:rsidRDefault="00410DFB" w:rsidP="00410DFB">
            <w:pPr>
              <w:spacing w:after="0"/>
            </w:pPr>
            <w:r>
              <w:t>Pescara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97243B" w14:textId="77777777" w:rsidR="00410DFB" w:rsidRPr="00CB1313" w:rsidRDefault="00410DFB" w:rsidP="00410DFB">
            <w:pPr>
              <w:spacing w:after="0"/>
              <w:jc w:val="center"/>
            </w:pPr>
            <w:r>
              <w:t xml:space="preserve">        1.386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855AB1F"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23,5%</w:t>
            </w:r>
          </w:p>
        </w:tc>
      </w:tr>
      <w:tr w:rsidR="00410DFB" w:rsidRPr="009D4010" w14:paraId="1D310D8C"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0CC311" w14:textId="77777777" w:rsidR="00410DFB" w:rsidRPr="00CB1313" w:rsidRDefault="00410DFB" w:rsidP="00410DFB">
            <w:pPr>
              <w:spacing w:after="0"/>
            </w:pPr>
            <w: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A44F13" w14:textId="77777777" w:rsidR="00410DFB" w:rsidRPr="00CB1313" w:rsidRDefault="00410DFB" w:rsidP="00410DFB">
            <w:pPr>
              <w:spacing w:after="0"/>
            </w:pPr>
            <w:r>
              <w:t>Teramo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7A54F6" w14:textId="77777777" w:rsidR="00410DFB" w:rsidRPr="00CB1313" w:rsidRDefault="00410DFB" w:rsidP="00410DFB">
            <w:pPr>
              <w:spacing w:after="0"/>
              <w:jc w:val="center"/>
            </w:pPr>
            <w:r>
              <w:t xml:space="preserve">        1.377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D1A18A9"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21,9%</w:t>
            </w:r>
          </w:p>
        </w:tc>
      </w:tr>
      <w:tr w:rsidR="00410DFB" w:rsidRPr="009D4010" w14:paraId="0449B097"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E17AF6" w14:textId="77777777" w:rsidR="00410DFB" w:rsidRPr="00CB1313" w:rsidRDefault="00410DFB" w:rsidP="00410DFB">
            <w:pPr>
              <w:spacing w:after="0"/>
            </w:pPr>
            <w: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373E08" w14:textId="77777777" w:rsidR="00410DFB" w:rsidRPr="00CB1313" w:rsidRDefault="00410DFB" w:rsidP="00410DFB">
            <w:pPr>
              <w:spacing w:after="0"/>
            </w:pPr>
            <w:r>
              <w:t>L'Aquila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538CC0" w14:textId="77777777" w:rsidR="00410DFB" w:rsidRPr="00CB1313" w:rsidRDefault="00410DFB" w:rsidP="00410DFB">
            <w:pPr>
              <w:spacing w:after="0"/>
              <w:jc w:val="center"/>
            </w:pPr>
            <w:r>
              <w:t xml:space="preserve">        1.178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84B8567"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12,5%</w:t>
            </w:r>
          </w:p>
        </w:tc>
      </w:tr>
      <w:tr w:rsidR="00410DFB" w:rsidRPr="009D4010" w14:paraId="4B4EF5BE"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084130" w14:textId="77777777" w:rsidR="00410DFB" w:rsidRPr="00CB1313" w:rsidRDefault="00410DFB" w:rsidP="00410DFB">
            <w:pPr>
              <w:spacing w:after="0"/>
            </w:pPr>
            <w: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B987FB" w14:textId="77777777" w:rsidR="00410DFB" w:rsidRPr="00CB1313" w:rsidRDefault="00410DFB" w:rsidP="00410DFB">
            <w:pPr>
              <w:spacing w:after="0"/>
            </w:pPr>
            <w:r>
              <w:t>Matera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A29534" w14:textId="77777777" w:rsidR="00410DFB" w:rsidRPr="00CB1313" w:rsidRDefault="00410DFB" w:rsidP="00410DFB">
            <w:pPr>
              <w:spacing w:after="0"/>
              <w:jc w:val="center"/>
            </w:pPr>
            <w:r>
              <w:t xml:space="preserve">        1.422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142D0BF"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41,2%</w:t>
            </w:r>
          </w:p>
        </w:tc>
      </w:tr>
      <w:tr w:rsidR="00410DFB" w:rsidRPr="009D4010" w14:paraId="17DE2407"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36695E" w14:textId="77777777" w:rsidR="00410DFB" w:rsidRPr="00CB1313" w:rsidRDefault="00410DFB" w:rsidP="00410DFB">
            <w:pPr>
              <w:spacing w:after="0"/>
            </w:pPr>
            <w: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7511D7" w14:textId="77777777" w:rsidR="00410DFB" w:rsidRPr="00CB1313" w:rsidRDefault="00410DFB" w:rsidP="00410DFB">
            <w:pPr>
              <w:spacing w:after="0"/>
            </w:pPr>
            <w:r>
              <w:t>Potenza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3A4504" w14:textId="77777777" w:rsidR="00410DFB" w:rsidRPr="00CB1313" w:rsidRDefault="00410DFB" w:rsidP="00410DFB">
            <w:pPr>
              <w:spacing w:after="0"/>
              <w:jc w:val="center"/>
            </w:pPr>
            <w:r>
              <w:t xml:space="preserve">        1.147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176711C"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33,3%</w:t>
            </w:r>
          </w:p>
        </w:tc>
      </w:tr>
      <w:tr w:rsidR="00410DFB" w:rsidRPr="009D4010" w14:paraId="6619BC2D"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18E6C0" w14:textId="77777777" w:rsidR="00410DFB" w:rsidRPr="00CB1313" w:rsidRDefault="00410DFB" w:rsidP="00410DFB">
            <w:pPr>
              <w:spacing w:after="0"/>
            </w:pPr>
            <w: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593529" w14:textId="77777777" w:rsidR="00410DFB" w:rsidRPr="00CB1313" w:rsidRDefault="00410DFB" w:rsidP="00410DFB">
            <w:pPr>
              <w:spacing w:after="0"/>
            </w:pPr>
            <w:r>
              <w:t>Reggio di Calabria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591E76" w14:textId="77777777" w:rsidR="00410DFB" w:rsidRPr="00CB1313" w:rsidRDefault="00410DFB" w:rsidP="00410DFB">
            <w:pPr>
              <w:spacing w:after="0"/>
              <w:jc w:val="center"/>
            </w:pPr>
            <w:r>
              <w:t xml:space="preserve">        1.236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0F29A64"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44,3%</w:t>
            </w:r>
          </w:p>
        </w:tc>
      </w:tr>
      <w:tr w:rsidR="00410DFB" w:rsidRPr="009D4010" w14:paraId="0A8A07C9"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54FFFD" w14:textId="77777777" w:rsidR="00410DFB" w:rsidRPr="00CB1313" w:rsidRDefault="00410DFB" w:rsidP="00410DFB">
            <w:pPr>
              <w:spacing w:after="0"/>
            </w:pPr>
            <w: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ED4721" w14:textId="77777777" w:rsidR="00410DFB" w:rsidRPr="00CB1313" w:rsidRDefault="00410DFB" w:rsidP="00410DFB">
            <w:pPr>
              <w:spacing w:after="0"/>
            </w:pPr>
            <w:r>
              <w:t>Catanzaro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CE9BFF" w14:textId="77777777" w:rsidR="00410DFB" w:rsidRPr="00CB1313" w:rsidRDefault="00410DFB" w:rsidP="00410DFB">
            <w:pPr>
              <w:spacing w:after="0"/>
              <w:jc w:val="center"/>
            </w:pPr>
            <w:r>
              <w:t xml:space="preserve">        1.160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9436BC3"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34,7%</w:t>
            </w:r>
          </w:p>
        </w:tc>
      </w:tr>
      <w:tr w:rsidR="00410DFB" w:rsidRPr="009D4010" w14:paraId="4CA794A4"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596BBB" w14:textId="77777777" w:rsidR="00410DFB" w:rsidRPr="00CB1313" w:rsidRDefault="00410DFB" w:rsidP="00410DFB">
            <w:pPr>
              <w:spacing w:after="0"/>
            </w:pPr>
            <w: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86CA3D" w14:textId="77777777" w:rsidR="00410DFB" w:rsidRPr="00CB1313" w:rsidRDefault="00410DFB" w:rsidP="00410DFB">
            <w:pPr>
              <w:spacing w:after="0"/>
            </w:pPr>
            <w:r>
              <w:t>Cosenza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094FD0" w14:textId="77777777" w:rsidR="00410DFB" w:rsidRPr="00CB1313" w:rsidRDefault="00410DFB" w:rsidP="00410DFB">
            <w:pPr>
              <w:spacing w:after="0"/>
              <w:jc w:val="center"/>
            </w:pPr>
            <w:r>
              <w:t xml:space="preserve">        1.115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B47CD9B"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35,3%</w:t>
            </w:r>
          </w:p>
        </w:tc>
      </w:tr>
      <w:tr w:rsidR="00410DFB" w:rsidRPr="009D4010" w14:paraId="3DE7ABD4"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FE2F8B" w14:textId="77777777" w:rsidR="00410DFB" w:rsidRPr="00CB1313" w:rsidRDefault="00410DFB" w:rsidP="00410DFB">
            <w:pPr>
              <w:spacing w:after="0"/>
            </w:pPr>
            <w: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72CAC6" w14:textId="77777777" w:rsidR="00410DFB" w:rsidRPr="00CB1313" w:rsidRDefault="00410DFB" w:rsidP="00410DFB">
            <w:pPr>
              <w:spacing w:after="0"/>
            </w:pPr>
            <w:r>
              <w:t>Crotone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DA019F" w14:textId="77777777" w:rsidR="00410DFB" w:rsidRPr="00CB1313" w:rsidRDefault="00410DFB" w:rsidP="00410DFB">
            <w:pPr>
              <w:spacing w:after="0"/>
              <w:jc w:val="center"/>
            </w:pPr>
            <w:r>
              <w:t xml:space="preserve">           867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D7CF59E"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48,9%</w:t>
            </w:r>
          </w:p>
        </w:tc>
      </w:tr>
      <w:tr w:rsidR="00410DFB" w:rsidRPr="009D4010" w14:paraId="0AC4888F"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B7C08C" w14:textId="77777777" w:rsidR="00410DFB" w:rsidRPr="00CB1313" w:rsidRDefault="00410DFB" w:rsidP="00410DFB">
            <w:pPr>
              <w:spacing w:after="0"/>
            </w:pPr>
            <w: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62C793" w14:textId="77777777" w:rsidR="00410DFB" w:rsidRPr="00CB1313" w:rsidRDefault="00410DFB" w:rsidP="00410DFB">
            <w:pPr>
              <w:spacing w:after="0"/>
            </w:pPr>
            <w:r>
              <w:t>Vibo Valentia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8F310A" w14:textId="77777777" w:rsidR="00410DFB" w:rsidRPr="00CB1313" w:rsidRDefault="00410DFB" w:rsidP="00410DFB">
            <w:pPr>
              <w:spacing w:after="0"/>
              <w:jc w:val="center"/>
            </w:pPr>
            <w:r>
              <w:t xml:space="preserve">           627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3590FEC"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101,1%</w:t>
            </w:r>
          </w:p>
        </w:tc>
      </w:tr>
      <w:tr w:rsidR="00410DFB" w:rsidRPr="009D4010" w14:paraId="20412B93"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B795CA" w14:textId="77777777" w:rsidR="00410DFB" w:rsidRPr="00CB1313" w:rsidRDefault="00410DFB" w:rsidP="00410DFB">
            <w:pPr>
              <w:spacing w:after="0"/>
            </w:pPr>
            <w: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FA36EF" w14:textId="77777777" w:rsidR="00410DFB" w:rsidRPr="00CB1313" w:rsidRDefault="00410DFB" w:rsidP="00410DFB">
            <w:pPr>
              <w:spacing w:after="0"/>
            </w:pPr>
            <w:r>
              <w:t>Napoli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1A2C6A" w14:textId="77777777" w:rsidR="00410DFB" w:rsidRPr="00CB1313" w:rsidRDefault="00410DFB" w:rsidP="00410DFB">
            <w:pPr>
              <w:spacing w:after="0"/>
              <w:jc w:val="center"/>
            </w:pPr>
            <w:r>
              <w:t xml:space="preserve">        1.622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E26C430"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13,2%</w:t>
            </w:r>
          </w:p>
        </w:tc>
      </w:tr>
      <w:tr w:rsidR="00410DFB" w:rsidRPr="009D4010" w14:paraId="28FBC520"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315A79" w14:textId="77777777" w:rsidR="00410DFB" w:rsidRPr="00CB1313" w:rsidRDefault="00410DFB" w:rsidP="00410DFB">
            <w:pPr>
              <w:spacing w:after="0"/>
            </w:pPr>
            <w: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68DD61" w14:textId="77777777" w:rsidR="00410DFB" w:rsidRPr="00CB1313" w:rsidRDefault="00410DFB" w:rsidP="00410DFB">
            <w:pPr>
              <w:spacing w:after="0"/>
            </w:pPr>
            <w:r>
              <w:t>Caserta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018AD0" w14:textId="77777777" w:rsidR="00410DFB" w:rsidRPr="00CB1313" w:rsidRDefault="00410DFB" w:rsidP="00410DFB">
            <w:pPr>
              <w:spacing w:after="0"/>
              <w:jc w:val="center"/>
            </w:pPr>
            <w:r>
              <w:t xml:space="preserve">        1.561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B37065C"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27,7%</w:t>
            </w:r>
          </w:p>
        </w:tc>
      </w:tr>
      <w:tr w:rsidR="00410DFB" w:rsidRPr="009D4010" w14:paraId="29FD8D31"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C61DF6" w14:textId="77777777" w:rsidR="00410DFB" w:rsidRPr="00CB1313" w:rsidRDefault="00410DFB" w:rsidP="00410DFB">
            <w:pPr>
              <w:spacing w:after="0"/>
            </w:pPr>
            <w: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784F32" w14:textId="77777777" w:rsidR="00410DFB" w:rsidRPr="00CB1313" w:rsidRDefault="00410DFB" w:rsidP="00410DFB">
            <w:pPr>
              <w:spacing w:after="0"/>
            </w:pPr>
            <w:r>
              <w:t>Salerno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82E90F" w14:textId="77777777" w:rsidR="00410DFB" w:rsidRPr="00CB1313" w:rsidRDefault="00410DFB" w:rsidP="00410DFB">
            <w:pPr>
              <w:spacing w:after="0"/>
              <w:jc w:val="center"/>
            </w:pPr>
            <w:r>
              <w:t xml:space="preserve">        1.526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733D19F"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23,5%</w:t>
            </w:r>
          </w:p>
        </w:tc>
      </w:tr>
      <w:tr w:rsidR="00410DFB" w:rsidRPr="009D4010" w14:paraId="6665391A"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1E4EC3" w14:textId="77777777" w:rsidR="00410DFB" w:rsidRPr="00CB1313" w:rsidRDefault="00410DFB" w:rsidP="00410DFB">
            <w:pPr>
              <w:spacing w:after="0"/>
            </w:pPr>
            <w: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C0975C" w14:textId="77777777" w:rsidR="00410DFB" w:rsidRPr="00CB1313" w:rsidRDefault="00410DFB" w:rsidP="00410DFB">
            <w:pPr>
              <w:spacing w:after="0"/>
            </w:pPr>
            <w:r>
              <w:t>Avellino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7B7C77" w14:textId="77777777" w:rsidR="00410DFB" w:rsidRPr="00CB1313" w:rsidRDefault="00410DFB" w:rsidP="00410DFB">
            <w:pPr>
              <w:spacing w:after="0"/>
              <w:jc w:val="center"/>
            </w:pPr>
            <w:r>
              <w:t xml:space="preserve">        1.304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F62A51D"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31,0%</w:t>
            </w:r>
          </w:p>
        </w:tc>
      </w:tr>
      <w:tr w:rsidR="00410DFB" w:rsidRPr="009D4010" w14:paraId="5E0FFFBF"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4C860B" w14:textId="77777777" w:rsidR="00410DFB" w:rsidRPr="00CB1313" w:rsidRDefault="00410DFB" w:rsidP="00410DFB">
            <w:pPr>
              <w:spacing w:after="0"/>
            </w:pPr>
            <w: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BF278B" w14:textId="77777777" w:rsidR="00410DFB" w:rsidRPr="00CB1313" w:rsidRDefault="00410DFB" w:rsidP="00410DFB">
            <w:pPr>
              <w:spacing w:after="0"/>
            </w:pPr>
            <w:r>
              <w:t>Benevento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5CC747" w14:textId="77777777" w:rsidR="00410DFB" w:rsidRPr="00CB1313" w:rsidRDefault="00410DFB" w:rsidP="00410DFB">
            <w:pPr>
              <w:spacing w:after="0"/>
              <w:jc w:val="center"/>
            </w:pPr>
            <w:r>
              <w:t xml:space="preserve">        1.058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855C916"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36,2%</w:t>
            </w:r>
          </w:p>
        </w:tc>
      </w:tr>
      <w:tr w:rsidR="00410DFB" w:rsidRPr="009D4010" w14:paraId="65DDC0FE"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D3296A" w14:textId="77777777" w:rsidR="00410DFB" w:rsidRPr="00CB1313" w:rsidRDefault="00410DFB" w:rsidP="00410DFB">
            <w:pPr>
              <w:spacing w:after="0"/>
            </w:pPr>
            <w: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E897FC" w14:textId="77777777" w:rsidR="00410DFB" w:rsidRPr="00CB1313" w:rsidRDefault="00410DFB" w:rsidP="00410DFB">
            <w:pPr>
              <w:spacing w:after="0"/>
            </w:pPr>
            <w:r>
              <w:t>Rimini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1B552C" w14:textId="77777777" w:rsidR="00410DFB" w:rsidRPr="00CB1313" w:rsidRDefault="00410DFB" w:rsidP="00410DFB">
            <w:pPr>
              <w:spacing w:after="0"/>
              <w:jc w:val="center"/>
            </w:pPr>
            <w:r>
              <w:t xml:space="preserve">        1.410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69F3C6B"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16,6%</w:t>
            </w:r>
          </w:p>
        </w:tc>
      </w:tr>
      <w:tr w:rsidR="00410DFB" w:rsidRPr="009D4010" w14:paraId="6F1020AA"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41AE3D" w14:textId="77777777" w:rsidR="00410DFB" w:rsidRPr="00CB1313" w:rsidRDefault="00410DFB" w:rsidP="00410DFB">
            <w:pPr>
              <w:spacing w:after="0"/>
            </w:pPr>
            <w: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C60517" w14:textId="77777777" w:rsidR="00410DFB" w:rsidRPr="00CB1313" w:rsidRDefault="00410DFB" w:rsidP="00410DFB">
            <w:pPr>
              <w:spacing w:after="0"/>
            </w:pPr>
            <w:r>
              <w:t>Forlì-Cesena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BE46A2" w14:textId="77777777" w:rsidR="00410DFB" w:rsidRPr="00CB1313" w:rsidRDefault="00410DFB" w:rsidP="00410DFB">
            <w:pPr>
              <w:spacing w:after="0"/>
              <w:jc w:val="center"/>
            </w:pPr>
            <w:r>
              <w:t xml:space="preserve">        1.340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EA87152"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15,5%</w:t>
            </w:r>
          </w:p>
        </w:tc>
      </w:tr>
      <w:tr w:rsidR="00410DFB" w:rsidRPr="009D4010" w14:paraId="47B3DB30"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C21DB5" w14:textId="77777777" w:rsidR="00410DFB" w:rsidRPr="00CB1313" w:rsidRDefault="00410DFB" w:rsidP="00410DFB">
            <w:pPr>
              <w:spacing w:after="0"/>
            </w:pPr>
            <w: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FA7DA6" w14:textId="77777777" w:rsidR="00410DFB" w:rsidRPr="00CB1313" w:rsidRDefault="00410DFB" w:rsidP="00410DFB">
            <w:pPr>
              <w:spacing w:after="0"/>
            </w:pPr>
            <w:r>
              <w:t>Ravenna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B31B6E" w14:textId="77777777" w:rsidR="00410DFB" w:rsidRPr="00CB1313" w:rsidRDefault="00410DFB" w:rsidP="00410DFB">
            <w:pPr>
              <w:spacing w:after="0"/>
              <w:jc w:val="center"/>
            </w:pPr>
            <w:r>
              <w:t xml:space="preserve">        1.257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730016F"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9,7%</w:t>
            </w:r>
          </w:p>
        </w:tc>
      </w:tr>
      <w:tr w:rsidR="00410DFB" w:rsidRPr="009D4010" w14:paraId="39ABE75D"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EC8E70" w14:textId="77777777" w:rsidR="00410DFB" w:rsidRPr="00CB1313" w:rsidRDefault="00410DFB" w:rsidP="00410DFB">
            <w:pPr>
              <w:spacing w:after="0"/>
            </w:pPr>
            <w: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213BE5" w14:textId="77777777" w:rsidR="00410DFB" w:rsidRPr="00CB1313" w:rsidRDefault="00410DFB" w:rsidP="00410DFB">
            <w:pPr>
              <w:spacing w:after="0"/>
            </w:pPr>
            <w:r>
              <w:t>Bologna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03BEE6" w14:textId="77777777" w:rsidR="00410DFB" w:rsidRPr="00CB1313" w:rsidRDefault="00410DFB" w:rsidP="00410DFB">
            <w:pPr>
              <w:spacing w:after="0"/>
              <w:jc w:val="center"/>
            </w:pPr>
            <w:r>
              <w:t xml:space="preserve">        1.153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3BF36F3"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26,5%</w:t>
            </w:r>
          </w:p>
        </w:tc>
      </w:tr>
      <w:tr w:rsidR="00410DFB" w:rsidRPr="009D4010" w14:paraId="15EA5E0C"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D7A185" w14:textId="77777777" w:rsidR="00410DFB" w:rsidRPr="00CB1313" w:rsidRDefault="00410DFB" w:rsidP="00410DFB">
            <w:pPr>
              <w:spacing w:after="0"/>
            </w:pPr>
            <w: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5C30C6" w14:textId="77777777" w:rsidR="00410DFB" w:rsidRPr="00CB1313" w:rsidRDefault="00410DFB" w:rsidP="00410DFB">
            <w:pPr>
              <w:spacing w:after="0"/>
            </w:pPr>
            <w:r>
              <w:t>Reggio nell'Emilia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C80461" w14:textId="77777777" w:rsidR="00410DFB" w:rsidRPr="00CB1313" w:rsidRDefault="00410DFB" w:rsidP="00410DFB">
            <w:pPr>
              <w:spacing w:after="0"/>
              <w:jc w:val="center"/>
            </w:pPr>
            <w:r>
              <w:t xml:space="preserve">        1.066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05CDF2B"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22,3%</w:t>
            </w:r>
          </w:p>
        </w:tc>
      </w:tr>
      <w:tr w:rsidR="00410DFB" w:rsidRPr="009D4010" w14:paraId="562F9CC9"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26BBA3" w14:textId="77777777" w:rsidR="00410DFB" w:rsidRPr="00CB1313" w:rsidRDefault="00410DFB" w:rsidP="00410DFB">
            <w:pPr>
              <w:spacing w:after="0"/>
            </w:pPr>
            <w: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F94EC7" w14:textId="77777777" w:rsidR="00410DFB" w:rsidRPr="00CB1313" w:rsidRDefault="00410DFB" w:rsidP="00410DFB">
            <w:pPr>
              <w:spacing w:after="0"/>
            </w:pPr>
            <w:r>
              <w:t>Ferrara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501E15" w14:textId="77777777" w:rsidR="00410DFB" w:rsidRPr="00CB1313" w:rsidRDefault="00410DFB" w:rsidP="00410DFB">
            <w:pPr>
              <w:spacing w:after="0"/>
              <w:jc w:val="center"/>
            </w:pPr>
            <w:r>
              <w:t xml:space="preserve">        1.043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69ED3C9"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19,2%</w:t>
            </w:r>
          </w:p>
        </w:tc>
      </w:tr>
      <w:tr w:rsidR="00410DFB" w:rsidRPr="009D4010" w14:paraId="0BFFCC84"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9EB1E5" w14:textId="77777777" w:rsidR="00410DFB" w:rsidRPr="00CB1313" w:rsidRDefault="00410DFB" w:rsidP="00410DFB">
            <w:pPr>
              <w:spacing w:after="0"/>
            </w:pPr>
            <w: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1B8718" w14:textId="77777777" w:rsidR="00410DFB" w:rsidRPr="00CB1313" w:rsidRDefault="00410DFB" w:rsidP="00410DFB">
            <w:pPr>
              <w:spacing w:after="0"/>
            </w:pPr>
            <w:r>
              <w:t>Modena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1A6295" w14:textId="77777777" w:rsidR="00410DFB" w:rsidRPr="00CB1313" w:rsidRDefault="00410DFB" w:rsidP="00410DFB">
            <w:pPr>
              <w:spacing w:after="0"/>
              <w:jc w:val="center"/>
            </w:pPr>
            <w:r>
              <w:t xml:space="preserve">           987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044D72E"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17,8%</w:t>
            </w:r>
          </w:p>
        </w:tc>
      </w:tr>
      <w:tr w:rsidR="00410DFB" w:rsidRPr="009D4010" w14:paraId="4096D8B6"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559E65" w14:textId="77777777" w:rsidR="00410DFB" w:rsidRPr="00CB1313" w:rsidRDefault="00410DFB" w:rsidP="00410DFB">
            <w:pPr>
              <w:spacing w:after="0"/>
            </w:pPr>
            <w: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AA7C9B" w14:textId="77777777" w:rsidR="00410DFB" w:rsidRPr="00CB1313" w:rsidRDefault="00410DFB" w:rsidP="00410DFB">
            <w:pPr>
              <w:spacing w:after="0"/>
            </w:pPr>
            <w:r>
              <w:t>Parma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7B2026" w14:textId="77777777" w:rsidR="00410DFB" w:rsidRPr="00CB1313" w:rsidRDefault="00410DFB" w:rsidP="00410DFB">
            <w:pPr>
              <w:spacing w:after="0"/>
              <w:jc w:val="center"/>
            </w:pPr>
            <w:r>
              <w:t xml:space="preserve">           793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B8D237B"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12,9%</w:t>
            </w:r>
          </w:p>
        </w:tc>
      </w:tr>
      <w:tr w:rsidR="00410DFB" w:rsidRPr="009D4010" w14:paraId="2F3BF46A"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048C57" w14:textId="77777777" w:rsidR="00410DFB" w:rsidRPr="00CB1313" w:rsidRDefault="00410DFB" w:rsidP="00410DFB">
            <w:pPr>
              <w:spacing w:after="0"/>
            </w:pPr>
            <w: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88D7B9" w14:textId="77777777" w:rsidR="00410DFB" w:rsidRPr="00CB1313" w:rsidRDefault="00410DFB" w:rsidP="00410DFB">
            <w:pPr>
              <w:spacing w:after="0"/>
            </w:pPr>
            <w:r>
              <w:t>Piacenza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C8A042" w14:textId="77777777" w:rsidR="00410DFB" w:rsidRPr="00CB1313" w:rsidRDefault="00410DFB" w:rsidP="00410DFB">
            <w:pPr>
              <w:spacing w:after="0"/>
              <w:jc w:val="center"/>
            </w:pPr>
            <w:r>
              <w:t xml:space="preserve">           740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6B8EBD3"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27,5%</w:t>
            </w:r>
          </w:p>
        </w:tc>
      </w:tr>
      <w:tr w:rsidR="00410DFB" w:rsidRPr="009D4010" w14:paraId="3078B60F"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1C5C9A" w14:textId="77777777" w:rsidR="00410DFB" w:rsidRPr="00CB1313" w:rsidRDefault="00410DFB" w:rsidP="00410DFB">
            <w:pPr>
              <w:spacing w:after="0"/>
            </w:pPr>
            <w: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194E79" w14:textId="77777777" w:rsidR="00410DFB" w:rsidRPr="00CB1313" w:rsidRDefault="00410DFB" w:rsidP="00410DFB">
            <w:pPr>
              <w:spacing w:after="0"/>
            </w:pPr>
            <w:r>
              <w:t>Pordenone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E43938" w14:textId="77777777" w:rsidR="00410DFB" w:rsidRPr="00CB1313" w:rsidRDefault="00410DFB" w:rsidP="00410DFB">
            <w:pPr>
              <w:spacing w:after="0"/>
              <w:jc w:val="center"/>
            </w:pPr>
            <w:r>
              <w:t xml:space="preserve">        1.163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473FB33"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23,7%</w:t>
            </w:r>
          </w:p>
        </w:tc>
      </w:tr>
      <w:tr w:rsidR="00410DFB" w:rsidRPr="009D4010" w14:paraId="5E9FCE2C"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ED31D2" w14:textId="77777777" w:rsidR="00410DFB" w:rsidRPr="00CB1313" w:rsidRDefault="00410DFB" w:rsidP="00410DFB">
            <w:pPr>
              <w:spacing w:after="0"/>
            </w:pPr>
            <w: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9D0CFF" w14:textId="77777777" w:rsidR="00410DFB" w:rsidRPr="00CB1313" w:rsidRDefault="00410DFB" w:rsidP="00410DFB">
            <w:pPr>
              <w:spacing w:after="0"/>
            </w:pPr>
            <w:r>
              <w:t>Trieste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0865F5" w14:textId="77777777" w:rsidR="00410DFB" w:rsidRPr="00CB1313" w:rsidRDefault="00410DFB" w:rsidP="00410DFB">
            <w:pPr>
              <w:spacing w:after="0"/>
              <w:jc w:val="center"/>
            </w:pPr>
            <w:r>
              <w:t xml:space="preserve">           992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C3C413E"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18,5%</w:t>
            </w:r>
          </w:p>
        </w:tc>
      </w:tr>
      <w:tr w:rsidR="00410DFB" w:rsidRPr="009D4010" w14:paraId="3D08A3D8"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B5687E" w14:textId="77777777" w:rsidR="00410DFB" w:rsidRPr="00CB1313" w:rsidRDefault="00410DFB" w:rsidP="00410DFB">
            <w:pPr>
              <w:spacing w:after="0"/>
            </w:pPr>
            <w: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7682F0" w14:textId="77777777" w:rsidR="00410DFB" w:rsidRPr="00CB1313" w:rsidRDefault="00410DFB" w:rsidP="00410DFB">
            <w:pPr>
              <w:spacing w:after="0"/>
            </w:pPr>
            <w:r>
              <w:t>Udine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8A10DF" w14:textId="77777777" w:rsidR="00410DFB" w:rsidRPr="00CB1313" w:rsidRDefault="00410DFB" w:rsidP="00410DFB">
            <w:pPr>
              <w:spacing w:after="0"/>
              <w:jc w:val="center"/>
            </w:pPr>
            <w:r>
              <w:t xml:space="preserve">           978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DB61321"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11,9%</w:t>
            </w:r>
          </w:p>
        </w:tc>
      </w:tr>
      <w:tr w:rsidR="00410DFB" w:rsidRPr="009D4010" w14:paraId="11F0EDFC"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825A8E" w14:textId="77777777" w:rsidR="00410DFB" w:rsidRPr="00CB1313" w:rsidRDefault="00410DFB" w:rsidP="00410DFB">
            <w:pPr>
              <w:spacing w:after="0"/>
            </w:pPr>
            <w: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D8BF32" w14:textId="77777777" w:rsidR="00410DFB" w:rsidRPr="00CB1313" w:rsidRDefault="00410DFB" w:rsidP="00410DFB">
            <w:pPr>
              <w:spacing w:after="0"/>
            </w:pPr>
            <w:r>
              <w:t>Gorizia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2BB131" w14:textId="77777777" w:rsidR="00410DFB" w:rsidRPr="00CB1313" w:rsidRDefault="00410DFB" w:rsidP="00410DFB">
            <w:pPr>
              <w:spacing w:after="0"/>
              <w:jc w:val="center"/>
            </w:pPr>
            <w:r>
              <w:t xml:space="preserve">           941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B3957F9"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21,1%</w:t>
            </w:r>
          </w:p>
        </w:tc>
      </w:tr>
      <w:tr w:rsidR="00410DFB" w:rsidRPr="009D4010" w14:paraId="4DF8054C"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E6A035" w14:textId="77777777" w:rsidR="00410DFB" w:rsidRPr="00CB1313" w:rsidRDefault="00410DFB" w:rsidP="00410DFB">
            <w:pPr>
              <w:spacing w:after="0"/>
            </w:pPr>
            <w: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9CEBEB" w14:textId="77777777" w:rsidR="00410DFB" w:rsidRPr="00CB1313" w:rsidRDefault="00410DFB" w:rsidP="00410DFB">
            <w:pPr>
              <w:spacing w:after="0"/>
            </w:pPr>
            <w:r>
              <w:t>Latina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1367F8" w14:textId="77777777" w:rsidR="00410DFB" w:rsidRPr="00CB1313" w:rsidRDefault="00410DFB" w:rsidP="00410DFB">
            <w:pPr>
              <w:spacing w:after="0"/>
              <w:jc w:val="center"/>
            </w:pPr>
            <w:r>
              <w:t xml:space="preserve">        1.583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A886784"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29,4%</w:t>
            </w:r>
          </w:p>
        </w:tc>
      </w:tr>
      <w:tr w:rsidR="00410DFB" w:rsidRPr="009D4010" w14:paraId="2A6CBE5F"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F0265A" w14:textId="77777777" w:rsidR="00410DFB" w:rsidRPr="00CB1313" w:rsidRDefault="00410DFB" w:rsidP="00410DFB">
            <w:pPr>
              <w:spacing w:after="0"/>
            </w:pPr>
            <w: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FC1A32" w14:textId="77777777" w:rsidR="00410DFB" w:rsidRPr="00CB1313" w:rsidRDefault="00410DFB" w:rsidP="00410DFB">
            <w:pPr>
              <w:spacing w:after="0"/>
            </w:pPr>
            <w:r>
              <w:t>Frosinone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85BF49" w14:textId="77777777" w:rsidR="00410DFB" w:rsidRPr="00CB1313" w:rsidRDefault="00410DFB" w:rsidP="00410DFB">
            <w:pPr>
              <w:spacing w:after="0"/>
              <w:jc w:val="center"/>
            </w:pPr>
            <w:r>
              <w:t xml:space="preserve">        1.235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5084C88"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19,3%</w:t>
            </w:r>
          </w:p>
        </w:tc>
      </w:tr>
      <w:tr w:rsidR="00410DFB" w:rsidRPr="009D4010" w14:paraId="7964B963" w14:textId="77777777" w:rsidTr="00410DFB">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D0087F" w14:textId="77777777" w:rsidR="00410DFB" w:rsidRPr="00CB1313" w:rsidRDefault="00410DFB" w:rsidP="00410DFB">
            <w:pPr>
              <w:spacing w:after="0"/>
            </w:pPr>
            <w: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E2BCA3" w14:textId="77777777" w:rsidR="00410DFB" w:rsidRPr="00CB1313" w:rsidRDefault="00410DFB" w:rsidP="00410DFB">
            <w:pPr>
              <w:spacing w:after="0"/>
            </w:pPr>
            <w:r>
              <w:t>Roma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6BA483" w14:textId="77777777" w:rsidR="00410DFB" w:rsidRPr="00CB1313" w:rsidRDefault="00410DFB" w:rsidP="00410DFB">
            <w:pPr>
              <w:spacing w:after="0"/>
              <w:jc w:val="center"/>
            </w:pPr>
            <w:r>
              <w:t xml:space="preserve">        1.203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493139F" w14:textId="77777777" w:rsidR="00410DFB" w:rsidRPr="00410DFB" w:rsidRDefault="00410DFB" w:rsidP="00410DFB">
            <w:pPr>
              <w:spacing w:after="0" w:line="240" w:lineRule="auto"/>
              <w:jc w:val="center"/>
              <w:rPr>
                <w:rFonts w:eastAsia="Times New Roman" w:cs="Calibri"/>
                <w:color w:val="006100"/>
                <w:bdr w:val="none" w:sz="0" w:space="0" w:color="auto"/>
              </w:rPr>
            </w:pPr>
            <w:r w:rsidRPr="00410DFB">
              <w:rPr>
                <w:rFonts w:eastAsia="Times New Roman" w:cs="Calibri"/>
                <w:color w:val="006100"/>
                <w:bdr w:val="none" w:sz="0" w:space="0" w:color="auto"/>
              </w:rPr>
              <w:t>-0,3%</w:t>
            </w:r>
          </w:p>
        </w:tc>
      </w:tr>
      <w:tr w:rsidR="00410DFB" w:rsidRPr="009D4010" w14:paraId="16B542D8"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290A1F" w14:textId="77777777" w:rsidR="00410DFB" w:rsidRPr="00CB1313" w:rsidRDefault="00410DFB" w:rsidP="00410DFB">
            <w:pPr>
              <w:spacing w:after="0"/>
            </w:pPr>
            <w: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76042E" w14:textId="77777777" w:rsidR="00410DFB" w:rsidRPr="00CB1313" w:rsidRDefault="00410DFB" w:rsidP="00410DFB">
            <w:pPr>
              <w:spacing w:after="0"/>
            </w:pPr>
            <w:r>
              <w:t>Rieti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8B2609" w14:textId="77777777" w:rsidR="00410DFB" w:rsidRPr="00CB1313" w:rsidRDefault="00410DFB" w:rsidP="00410DFB">
            <w:pPr>
              <w:spacing w:after="0"/>
              <w:jc w:val="center"/>
            </w:pPr>
            <w:r>
              <w:t xml:space="preserve">           986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83F127E"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6,9%</w:t>
            </w:r>
          </w:p>
        </w:tc>
      </w:tr>
      <w:tr w:rsidR="00410DFB" w:rsidRPr="009D4010" w14:paraId="393B07D1"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D20E7E" w14:textId="77777777" w:rsidR="00410DFB" w:rsidRPr="00CB1313" w:rsidRDefault="00410DFB" w:rsidP="00410DFB">
            <w:pPr>
              <w:spacing w:after="0"/>
            </w:pPr>
            <w: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82D031" w14:textId="77777777" w:rsidR="00410DFB" w:rsidRPr="00CB1313" w:rsidRDefault="00410DFB" w:rsidP="00410DFB">
            <w:pPr>
              <w:spacing w:after="0"/>
            </w:pPr>
            <w:r>
              <w:t>Viterbo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79A82A" w14:textId="77777777" w:rsidR="00410DFB" w:rsidRPr="00CB1313" w:rsidRDefault="00410DFB" w:rsidP="00410DFB">
            <w:pPr>
              <w:spacing w:after="0"/>
              <w:jc w:val="center"/>
            </w:pPr>
            <w:r>
              <w:t xml:space="preserve">           868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E352E38"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20,1%</w:t>
            </w:r>
          </w:p>
        </w:tc>
      </w:tr>
      <w:tr w:rsidR="00410DFB" w:rsidRPr="009D4010" w14:paraId="23DD0202"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A79EDD" w14:textId="77777777" w:rsidR="00410DFB" w:rsidRPr="00CB1313" w:rsidRDefault="00410DFB" w:rsidP="00410DFB">
            <w:pPr>
              <w:spacing w:after="0"/>
            </w:pPr>
            <w: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865821" w14:textId="77777777" w:rsidR="00410DFB" w:rsidRPr="00CB1313" w:rsidRDefault="00410DFB" w:rsidP="00410DFB">
            <w:pPr>
              <w:spacing w:after="0"/>
            </w:pPr>
            <w:r>
              <w:t>La Spezia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EFCDA4" w14:textId="77777777" w:rsidR="00410DFB" w:rsidRPr="00CB1313" w:rsidRDefault="00410DFB" w:rsidP="00410DFB">
            <w:pPr>
              <w:spacing w:after="0"/>
              <w:jc w:val="center"/>
            </w:pPr>
            <w:r>
              <w:t xml:space="preserve">        1.092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FB0FCBF"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16,2%</w:t>
            </w:r>
          </w:p>
        </w:tc>
      </w:tr>
      <w:tr w:rsidR="00410DFB" w:rsidRPr="009D4010" w14:paraId="5B9BFA81"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A2B94D" w14:textId="77777777" w:rsidR="00410DFB" w:rsidRPr="00CB1313" w:rsidRDefault="00410DFB" w:rsidP="00410DFB">
            <w:pPr>
              <w:spacing w:after="0"/>
            </w:pPr>
            <w: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ABB01E" w14:textId="77777777" w:rsidR="00410DFB" w:rsidRPr="00CB1313" w:rsidRDefault="00410DFB" w:rsidP="00410DFB">
            <w:pPr>
              <w:spacing w:after="0"/>
            </w:pPr>
            <w:r>
              <w:t>Genova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902D2A" w14:textId="77777777" w:rsidR="00410DFB" w:rsidRPr="00CB1313" w:rsidRDefault="00410DFB" w:rsidP="00410DFB">
            <w:pPr>
              <w:spacing w:after="0"/>
              <w:jc w:val="center"/>
            </w:pPr>
            <w:r>
              <w:t xml:space="preserve">        1.011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C217BEC"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20,6%</w:t>
            </w:r>
          </w:p>
        </w:tc>
      </w:tr>
      <w:tr w:rsidR="00410DFB" w:rsidRPr="009D4010" w14:paraId="75D0BB93"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E604C1" w14:textId="77777777" w:rsidR="00410DFB" w:rsidRPr="00CB1313" w:rsidRDefault="00410DFB" w:rsidP="00410DFB">
            <w:pPr>
              <w:spacing w:after="0"/>
            </w:pPr>
            <w: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510414" w14:textId="77777777" w:rsidR="00410DFB" w:rsidRPr="00CB1313" w:rsidRDefault="00410DFB" w:rsidP="00410DFB">
            <w:pPr>
              <w:spacing w:after="0"/>
            </w:pPr>
            <w:r>
              <w:t>Imperia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16544C" w14:textId="77777777" w:rsidR="00410DFB" w:rsidRPr="00CB1313" w:rsidRDefault="00410DFB" w:rsidP="00410DFB">
            <w:pPr>
              <w:spacing w:after="0"/>
              <w:jc w:val="center"/>
            </w:pPr>
            <w:r>
              <w:t xml:space="preserve">           842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EACCA10"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35,7%</w:t>
            </w:r>
          </w:p>
        </w:tc>
      </w:tr>
      <w:tr w:rsidR="00410DFB" w:rsidRPr="009D4010" w14:paraId="50DDD5CF"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B8E8AB" w14:textId="77777777" w:rsidR="00410DFB" w:rsidRPr="00CB1313" w:rsidRDefault="00410DFB" w:rsidP="00410DFB">
            <w:pPr>
              <w:spacing w:after="0"/>
            </w:pPr>
            <w:r>
              <w:lastRenderedPageBreak/>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C2C21C" w14:textId="77777777" w:rsidR="00410DFB" w:rsidRPr="00CB1313" w:rsidRDefault="00410DFB" w:rsidP="00410DFB">
            <w:pPr>
              <w:spacing w:after="0"/>
            </w:pPr>
            <w:r>
              <w:t>Savona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9D8BC9" w14:textId="77777777" w:rsidR="00410DFB" w:rsidRPr="00CB1313" w:rsidRDefault="00410DFB" w:rsidP="00410DFB">
            <w:pPr>
              <w:spacing w:after="0"/>
              <w:jc w:val="center"/>
            </w:pPr>
            <w:r>
              <w:t xml:space="preserve">           748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80848CD"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35,4%</w:t>
            </w:r>
          </w:p>
        </w:tc>
      </w:tr>
      <w:tr w:rsidR="00410DFB" w:rsidRPr="009D4010" w14:paraId="4C6E1BBB" w14:textId="77777777" w:rsidTr="00410DFB">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605145" w14:textId="77777777" w:rsidR="00410DFB" w:rsidRPr="00CB1313" w:rsidRDefault="00410DFB" w:rsidP="00410DFB">
            <w:pPr>
              <w:spacing w:after="0"/>
            </w:pPr>
            <w: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1AB390" w14:textId="77777777" w:rsidR="00410DFB" w:rsidRPr="00CB1313" w:rsidRDefault="00410DFB" w:rsidP="00410DFB">
            <w:pPr>
              <w:spacing w:after="0"/>
            </w:pPr>
            <w:r>
              <w:t>Pavia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675994" w14:textId="77777777" w:rsidR="00410DFB" w:rsidRPr="00CB1313" w:rsidRDefault="00410DFB" w:rsidP="00410DFB">
            <w:pPr>
              <w:spacing w:after="0"/>
              <w:jc w:val="center"/>
            </w:pPr>
            <w:r>
              <w:t xml:space="preserve">           973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DE45A6E" w14:textId="77777777" w:rsidR="00410DFB" w:rsidRPr="00410DFB" w:rsidRDefault="00410DFB" w:rsidP="00410DFB">
            <w:pPr>
              <w:spacing w:after="0" w:line="240" w:lineRule="auto"/>
              <w:jc w:val="center"/>
              <w:rPr>
                <w:rFonts w:eastAsia="Times New Roman" w:cs="Calibri"/>
                <w:color w:val="006100"/>
                <w:bdr w:val="none" w:sz="0" w:space="0" w:color="auto"/>
              </w:rPr>
            </w:pPr>
            <w:r w:rsidRPr="00410DFB">
              <w:rPr>
                <w:rFonts w:eastAsia="Times New Roman" w:cs="Calibri"/>
                <w:color w:val="006100"/>
                <w:bdr w:val="none" w:sz="0" w:space="0" w:color="auto"/>
              </w:rPr>
              <w:t>-5,7%</w:t>
            </w:r>
          </w:p>
        </w:tc>
      </w:tr>
      <w:tr w:rsidR="00410DFB" w:rsidRPr="009D4010" w14:paraId="0190FEA6"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2AB2BF" w14:textId="77777777" w:rsidR="00410DFB" w:rsidRPr="00CB1313" w:rsidRDefault="00410DFB" w:rsidP="00410DFB">
            <w:pPr>
              <w:spacing w:after="0"/>
            </w:pPr>
            <w: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180CBE" w14:textId="77777777" w:rsidR="00410DFB" w:rsidRPr="00CB1313" w:rsidRDefault="00410DFB" w:rsidP="00410DFB">
            <w:pPr>
              <w:spacing w:after="0"/>
            </w:pPr>
            <w:r>
              <w:t>Mantova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ADE08A" w14:textId="77777777" w:rsidR="00410DFB" w:rsidRPr="00CB1313" w:rsidRDefault="00410DFB" w:rsidP="00410DFB">
            <w:pPr>
              <w:spacing w:after="0"/>
              <w:jc w:val="center"/>
            </w:pPr>
            <w:r>
              <w:t xml:space="preserve">           950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68BF05D"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6,2%</w:t>
            </w:r>
          </w:p>
        </w:tc>
      </w:tr>
      <w:tr w:rsidR="00410DFB" w:rsidRPr="009D4010" w14:paraId="24A1FF04"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85D822" w14:textId="77777777" w:rsidR="00410DFB" w:rsidRPr="00CB1313" w:rsidRDefault="00410DFB" w:rsidP="00410DFB">
            <w:pPr>
              <w:spacing w:after="0"/>
            </w:pPr>
            <w: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C1622C" w14:textId="77777777" w:rsidR="00410DFB" w:rsidRPr="00CB1313" w:rsidRDefault="00410DFB" w:rsidP="00410DFB">
            <w:pPr>
              <w:spacing w:after="0"/>
            </w:pPr>
            <w:r>
              <w:t>Lodi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E024D0" w14:textId="77777777" w:rsidR="00410DFB" w:rsidRPr="00CB1313" w:rsidRDefault="00410DFB" w:rsidP="00410DFB">
            <w:pPr>
              <w:spacing w:after="0"/>
              <w:jc w:val="center"/>
            </w:pPr>
            <w:r>
              <w:t xml:space="preserve">           918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DF1143A"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11,2%</w:t>
            </w:r>
          </w:p>
        </w:tc>
      </w:tr>
      <w:tr w:rsidR="00410DFB" w:rsidRPr="009D4010" w14:paraId="7D8E4003" w14:textId="77777777" w:rsidTr="00410DFB">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C0FF5C" w14:textId="77777777" w:rsidR="00410DFB" w:rsidRPr="00CB1313" w:rsidRDefault="00410DFB" w:rsidP="00410DFB">
            <w:pPr>
              <w:spacing w:after="0"/>
            </w:pPr>
            <w: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11747F" w14:textId="77777777" w:rsidR="00410DFB" w:rsidRPr="00CB1313" w:rsidRDefault="00410DFB" w:rsidP="00410DFB">
            <w:pPr>
              <w:spacing w:after="0"/>
            </w:pPr>
            <w:r>
              <w:t>Milano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AEDA38" w14:textId="77777777" w:rsidR="00410DFB" w:rsidRPr="00CB1313" w:rsidRDefault="00410DFB" w:rsidP="00410DFB">
            <w:pPr>
              <w:spacing w:after="0"/>
              <w:jc w:val="center"/>
            </w:pPr>
            <w:r>
              <w:t xml:space="preserve">           876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EF66504"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006100"/>
              </w:rPr>
              <w:t>-12,2%</w:t>
            </w:r>
          </w:p>
        </w:tc>
      </w:tr>
      <w:tr w:rsidR="00410DFB" w:rsidRPr="009D4010" w14:paraId="604E7D77"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3AB324" w14:textId="77777777" w:rsidR="00410DFB" w:rsidRPr="00CB1313" w:rsidRDefault="00410DFB" w:rsidP="00410DFB">
            <w:pPr>
              <w:spacing w:after="0"/>
            </w:pPr>
            <w: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F75640" w14:textId="77777777" w:rsidR="00410DFB" w:rsidRPr="00CB1313" w:rsidRDefault="00410DFB" w:rsidP="00410DFB">
            <w:pPr>
              <w:spacing w:after="0"/>
            </w:pPr>
            <w:r>
              <w:t>Cremona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B4BDD9" w14:textId="77777777" w:rsidR="00410DFB" w:rsidRPr="00CB1313" w:rsidRDefault="00410DFB" w:rsidP="00410DFB">
            <w:pPr>
              <w:spacing w:after="0"/>
              <w:jc w:val="center"/>
            </w:pPr>
            <w:r>
              <w:t xml:space="preserve">           857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EE41D8E"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11,6%</w:t>
            </w:r>
          </w:p>
        </w:tc>
      </w:tr>
      <w:tr w:rsidR="00410DFB" w:rsidRPr="009D4010" w14:paraId="1EC0F80D" w14:textId="77777777" w:rsidTr="00410DFB">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3036DE" w14:textId="77777777" w:rsidR="00410DFB" w:rsidRPr="00CB1313" w:rsidRDefault="00410DFB" w:rsidP="00410DFB">
            <w:pPr>
              <w:spacing w:after="0"/>
            </w:pPr>
            <w: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B5A70F" w14:textId="77777777" w:rsidR="00410DFB" w:rsidRPr="00CB1313" w:rsidRDefault="00410DFB" w:rsidP="00410DFB">
            <w:pPr>
              <w:spacing w:after="0"/>
            </w:pPr>
            <w:r>
              <w:t>Monza e della Brianza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D6BE13" w14:textId="77777777" w:rsidR="00410DFB" w:rsidRPr="00CB1313" w:rsidRDefault="00410DFB" w:rsidP="00410DFB">
            <w:pPr>
              <w:spacing w:after="0"/>
              <w:jc w:val="center"/>
            </w:pPr>
            <w:r>
              <w:t xml:space="preserve">           853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A46874B"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006100"/>
              </w:rPr>
              <w:t>-10,2%</w:t>
            </w:r>
          </w:p>
        </w:tc>
      </w:tr>
      <w:tr w:rsidR="00410DFB" w:rsidRPr="009D4010" w14:paraId="440C0CDC" w14:textId="77777777" w:rsidTr="00410DFB">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F8E037" w14:textId="77777777" w:rsidR="00410DFB" w:rsidRPr="00CB1313" w:rsidRDefault="00410DFB" w:rsidP="00410DFB">
            <w:pPr>
              <w:spacing w:after="0"/>
            </w:pPr>
            <w: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BE817C" w14:textId="77777777" w:rsidR="00410DFB" w:rsidRPr="00CB1313" w:rsidRDefault="00410DFB" w:rsidP="00410DFB">
            <w:pPr>
              <w:spacing w:after="0"/>
            </w:pPr>
            <w:r>
              <w:t>Brescia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7A5447" w14:textId="77777777" w:rsidR="00410DFB" w:rsidRPr="00CB1313" w:rsidRDefault="00410DFB" w:rsidP="00410DFB">
            <w:pPr>
              <w:spacing w:after="0"/>
              <w:jc w:val="center"/>
            </w:pPr>
            <w:r>
              <w:t xml:space="preserve">           846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80006A7"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006100"/>
              </w:rPr>
              <w:t>-0,5%</w:t>
            </w:r>
          </w:p>
        </w:tc>
      </w:tr>
      <w:tr w:rsidR="00410DFB" w:rsidRPr="009D4010" w14:paraId="5CBF1B6A" w14:textId="77777777" w:rsidTr="00410DFB">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5625BF" w14:textId="77777777" w:rsidR="00410DFB" w:rsidRPr="00CB1313" w:rsidRDefault="00410DFB" w:rsidP="00410DFB">
            <w:pPr>
              <w:spacing w:after="0"/>
            </w:pPr>
            <w: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F2D15A" w14:textId="77777777" w:rsidR="00410DFB" w:rsidRPr="00CB1313" w:rsidRDefault="00410DFB" w:rsidP="00410DFB">
            <w:pPr>
              <w:spacing w:after="0"/>
            </w:pPr>
            <w:r>
              <w:t>Varese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562FAD" w14:textId="77777777" w:rsidR="00410DFB" w:rsidRPr="00CB1313" w:rsidRDefault="00410DFB" w:rsidP="00410DFB">
            <w:pPr>
              <w:spacing w:after="0"/>
              <w:jc w:val="center"/>
            </w:pPr>
            <w:r>
              <w:t xml:space="preserve">           803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76FF2B7"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006100"/>
              </w:rPr>
              <w:t>-9,2%</w:t>
            </w:r>
          </w:p>
        </w:tc>
      </w:tr>
      <w:tr w:rsidR="00410DFB" w:rsidRPr="009D4010" w14:paraId="6420FE05" w14:textId="77777777" w:rsidTr="00410DFB">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8B8F8B" w14:textId="77777777" w:rsidR="00410DFB" w:rsidRPr="00CB1313" w:rsidRDefault="00410DFB" w:rsidP="00410DFB">
            <w:pPr>
              <w:spacing w:after="0"/>
            </w:pPr>
            <w: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0E9FC3" w14:textId="77777777" w:rsidR="00410DFB" w:rsidRPr="00CB1313" w:rsidRDefault="00410DFB" w:rsidP="00410DFB">
            <w:pPr>
              <w:spacing w:after="0"/>
            </w:pPr>
            <w:r>
              <w:t>Como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13D4A2" w14:textId="77777777" w:rsidR="00410DFB" w:rsidRPr="00CB1313" w:rsidRDefault="00410DFB" w:rsidP="00410DFB">
            <w:pPr>
              <w:spacing w:after="0"/>
              <w:jc w:val="center"/>
            </w:pPr>
            <w:r>
              <w:t xml:space="preserve">           748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ED107B1"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006100"/>
              </w:rPr>
              <w:t>-8,2%</w:t>
            </w:r>
          </w:p>
        </w:tc>
      </w:tr>
      <w:tr w:rsidR="00410DFB" w:rsidRPr="009D4010" w14:paraId="7E49A8FE"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BDF53C" w14:textId="77777777" w:rsidR="00410DFB" w:rsidRPr="00CB1313" w:rsidRDefault="00410DFB" w:rsidP="00410DFB">
            <w:pPr>
              <w:spacing w:after="0"/>
            </w:pPr>
            <w: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75DC74" w14:textId="77777777" w:rsidR="00410DFB" w:rsidRPr="00CB1313" w:rsidRDefault="00410DFB" w:rsidP="00410DFB">
            <w:pPr>
              <w:spacing w:after="0"/>
            </w:pPr>
            <w:r>
              <w:t>Sondrio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97504B" w14:textId="77777777" w:rsidR="00410DFB" w:rsidRPr="00CB1313" w:rsidRDefault="00410DFB" w:rsidP="00410DFB">
            <w:pPr>
              <w:spacing w:after="0"/>
              <w:jc w:val="center"/>
            </w:pPr>
            <w:r>
              <w:t xml:space="preserve">           740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DF01459"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5,3%</w:t>
            </w:r>
          </w:p>
        </w:tc>
      </w:tr>
      <w:tr w:rsidR="00410DFB" w:rsidRPr="009D4010" w14:paraId="2DC8ACBF" w14:textId="77777777" w:rsidTr="00410DFB">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E5127B" w14:textId="77777777" w:rsidR="00410DFB" w:rsidRPr="00CB1313" w:rsidRDefault="00410DFB" w:rsidP="00410DFB">
            <w:pPr>
              <w:spacing w:after="0"/>
            </w:pPr>
            <w: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02DC69" w14:textId="77777777" w:rsidR="00410DFB" w:rsidRPr="00CB1313" w:rsidRDefault="00410DFB" w:rsidP="00410DFB">
            <w:pPr>
              <w:spacing w:after="0"/>
            </w:pPr>
            <w:r>
              <w:t>Lecco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CE9F5C" w14:textId="77777777" w:rsidR="00410DFB" w:rsidRPr="00CB1313" w:rsidRDefault="00410DFB" w:rsidP="00410DFB">
            <w:pPr>
              <w:spacing w:after="0"/>
              <w:jc w:val="center"/>
            </w:pPr>
            <w:r>
              <w:t xml:space="preserve">           701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2C43F99"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006100"/>
              </w:rPr>
              <w:t>-21,0%</w:t>
            </w:r>
          </w:p>
        </w:tc>
      </w:tr>
      <w:tr w:rsidR="00410DFB" w:rsidRPr="009D4010" w14:paraId="2313253E"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97DEE7" w14:textId="77777777" w:rsidR="00410DFB" w:rsidRPr="00CB1313" w:rsidRDefault="00410DFB" w:rsidP="00410DFB">
            <w:pPr>
              <w:spacing w:after="0"/>
            </w:pPr>
            <w: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4EEA49" w14:textId="77777777" w:rsidR="00410DFB" w:rsidRPr="00CB1313" w:rsidRDefault="00410DFB" w:rsidP="00410DFB">
            <w:pPr>
              <w:spacing w:after="0"/>
            </w:pPr>
            <w:r>
              <w:t>Bergamo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7EA5FE" w14:textId="77777777" w:rsidR="00410DFB" w:rsidRPr="00CB1313" w:rsidRDefault="00410DFB" w:rsidP="00410DFB">
            <w:pPr>
              <w:spacing w:after="0"/>
              <w:jc w:val="center"/>
            </w:pPr>
            <w:r>
              <w:t xml:space="preserve">           647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EB2F94F"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10,3%</w:t>
            </w:r>
          </w:p>
        </w:tc>
      </w:tr>
      <w:tr w:rsidR="00410DFB" w:rsidRPr="009D4010" w14:paraId="51DA0223"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887153" w14:textId="77777777" w:rsidR="00410DFB" w:rsidRPr="00CB1313" w:rsidRDefault="00410DFB" w:rsidP="00410DFB">
            <w:pPr>
              <w:spacing w:after="0"/>
            </w:pPr>
            <w: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7040A9" w14:textId="77777777" w:rsidR="00410DFB" w:rsidRPr="00CB1313" w:rsidRDefault="00410DFB" w:rsidP="00410DFB">
            <w:pPr>
              <w:spacing w:after="0"/>
            </w:pPr>
            <w:r>
              <w:t>Ascoli Piceno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6D867C" w14:textId="77777777" w:rsidR="00410DFB" w:rsidRPr="00CB1313" w:rsidRDefault="00410DFB" w:rsidP="00410DFB">
            <w:pPr>
              <w:spacing w:after="0"/>
              <w:jc w:val="center"/>
            </w:pPr>
            <w:r>
              <w:t xml:space="preserve">        1.620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2CD1CE3"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51,7%</w:t>
            </w:r>
          </w:p>
        </w:tc>
      </w:tr>
      <w:tr w:rsidR="00410DFB" w:rsidRPr="009D4010" w14:paraId="3F424A6A"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90D21B" w14:textId="77777777" w:rsidR="00410DFB" w:rsidRPr="00CB1313" w:rsidRDefault="00410DFB" w:rsidP="00410DFB">
            <w:pPr>
              <w:spacing w:after="0"/>
            </w:pPr>
            <w: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D92408" w14:textId="77777777" w:rsidR="00410DFB" w:rsidRPr="00CB1313" w:rsidRDefault="00410DFB" w:rsidP="00410DFB">
            <w:pPr>
              <w:spacing w:after="0"/>
            </w:pPr>
            <w:r>
              <w:t>Ancona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483907" w14:textId="77777777" w:rsidR="00410DFB" w:rsidRPr="00CB1313" w:rsidRDefault="00410DFB" w:rsidP="00410DFB">
            <w:pPr>
              <w:spacing w:after="0"/>
              <w:jc w:val="center"/>
            </w:pPr>
            <w:r>
              <w:t xml:space="preserve">        1.252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BC06729"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24,2%</w:t>
            </w:r>
          </w:p>
        </w:tc>
      </w:tr>
      <w:tr w:rsidR="00410DFB" w:rsidRPr="009D4010" w14:paraId="0493130E"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2D9906" w14:textId="77777777" w:rsidR="00410DFB" w:rsidRPr="00CB1313" w:rsidRDefault="00410DFB" w:rsidP="00410DFB">
            <w:pPr>
              <w:spacing w:after="0"/>
            </w:pPr>
            <w: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547731" w14:textId="77777777" w:rsidR="00410DFB" w:rsidRPr="00CB1313" w:rsidRDefault="00410DFB" w:rsidP="00410DFB">
            <w:pPr>
              <w:spacing w:after="0"/>
            </w:pPr>
            <w:r>
              <w:t>Macerata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6D3798" w14:textId="77777777" w:rsidR="00410DFB" w:rsidRPr="00CB1313" w:rsidRDefault="00410DFB" w:rsidP="00410DFB">
            <w:pPr>
              <w:spacing w:after="0"/>
              <w:jc w:val="center"/>
            </w:pPr>
            <w:r>
              <w:t xml:space="preserve">        1.248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0FA7CD0"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26,9%</w:t>
            </w:r>
          </w:p>
        </w:tc>
      </w:tr>
      <w:tr w:rsidR="00410DFB" w:rsidRPr="009D4010" w14:paraId="4E1C350B"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4EAB3F" w14:textId="77777777" w:rsidR="00410DFB" w:rsidRPr="00CB1313" w:rsidRDefault="00410DFB" w:rsidP="00410DFB">
            <w:pPr>
              <w:spacing w:after="0"/>
            </w:pPr>
            <w: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0C5B56" w14:textId="77777777" w:rsidR="00410DFB" w:rsidRPr="00CB1313" w:rsidRDefault="00410DFB" w:rsidP="00410DFB">
            <w:pPr>
              <w:spacing w:after="0"/>
            </w:pPr>
            <w:r>
              <w:t>Fermo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18EF13" w14:textId="77777777" w:rsidR="00410DFB" w:rsidRPr="00CB1313" w:rsidRDefault="00410DFB" w:rsidP="00410DFB">
            <w:pPr>
              <w:spacing w:after="0"/>
              <w:jc w:val="center"/>
            </w:pPr>
            <w:r>
              <w:t xml:space="preserve">        1.232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298770F"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28,4%</w:t>
            </w:r>
          </w:p>
        </w:tc>
      </w:tr>
      <w:tr w:rsidR="00410DFB" w:rsidRPr="009D4010" w14:paraId="21355987"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2BC27C" w14:textId="77777777" w:rsidR="00410DFB" w:rsidRPr="00CB1313" w:rsidRDefault="00410DFB" w:rsidP="00410DFB">
            <w:pPr>
              <w:spacing w:after="0"/>
            </w:pPr>
            <w: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D0E092" w14:textId="77777777" w:rsidR="00410DFB" w:rsidRPr="00CB1313" w:rsidRDefault="00410DFB" w:rsidP="00410DFB">
            <w:pPr>
              <w:spacing w:after="0"/>
            </w:pPr>
            <w:r>
              <w:t>Pesaro e Urbino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440C7F" w14:textId="77777777" w:rsidR="00410DFB" w:rsidRPr="00CB1313" w:rsidRDefault="00410DFB" w:rsidP="00410DFB">
            <w:pPr>
              <w:spacing w:after="0"/>
              <w:jc w:val="center"/>
            </w:pPr>
            <w:r>
              <w:t xml:space="preserve">           995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DA0143E"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33,3%</w:t>
            </w:r>
          </w:p>
        </w:tc>
      </w:tr>
      <w:tr w:rsidR="00410DFB" w:rsidRPr="009D4010" w14:paraId="61901FA0"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B86311" w14:textId="77777777" w:rsidR="00410DFB" w:rsidRPr="00CB1313" w:rsidRDefault="00410DFB" w:rsidP="00410DFB">
            <w:pPr>
              <w:spacing w:after="0"/>
            </w:pPr>
            <w: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BD408B" w14:textId="77777777" w:rsidR="00410DFB" w:rsidRPr="00CB1313" w:rsidRDefault="00410DFB" w:rsidP="00410DFB">
            <w:pPr>
              <w:spacing w:after="0"/>
            </w:pPr>
            <w:r>
              <w:t>Isernia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61E546" w14:textId="77777777" w:rsidR="00410DFB" w:rsidRPr="00CB1313" w:rsidRDefault="00410DFB" w:rsidP="00410DFB">
            <w:pPr>
              <w:spacing w:after="0"/>
              <w:jc w:val="center"/>
            </w:pPr>
            <w:r>
              <w:t xml:space="preserve">        1.002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BA55A91"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33,1%</w:t>
            </w:r>
          </w:p>
        </w:tc>
      </w:tr>
      <w:tr w:rsidR="00410DFB" w:rsidRPr="009D4010" w14:paraId="2AA95C8C"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1A2ABE" w14:textId="77777777" w:rsidR="00410DFB" w:rsidRPr="00CB1313" w:rsidRDefault="00410DFB" w:rsidP="00410DFB">
            <w:pPr>
              <w:spacing w:after="0"/>
            </w:pPr>
            <w: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E6B143" w14:textId="77777777" w:rsidR="00410DFB" w:rsidRPr="00CB1313" w:rsidRDefault="00410DFB" w:rsidP="00410DFB">
            <w:pPr>
              <w:spacing w:after="0"/>
            </w:pPr>
            <w:r>
              <w:t>Campobasso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2B2318" w14:textId="77777777" w:rsidR="00410DFB" w:rsidRPr="00CB1313" w:rsidRDefault="00410DFB" w:rsidP="00410DFB">
            <w:pPr>
              <w:spacing w:after="0"/>
              <w:jc w:val="center"/>
            </w:pPr>
            <w:r>
              <w:t xml:space="preserve">           989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5EE1BB2"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6,5%</w:t>
            </w:r>
          </w:p>
        </w:tc>
      </w:tr>
      <w:tr w:rsidR="00410DFB" w:rsidRPr="009D4010" w14:paraId="2B256AA3"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503B61" w14:textId="77777777" w:rsidR="00410DFB" w:rsidRPr="00CB1313" w:rsidRDefault="00410DFB" w:rsidP="00410DFB">
            <w:pPr>
              <w:spacing w:after="0"/>
            </w:pPr>
            <w:r>
              <w:t>P.A. Bolzano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02CDE2" w14:textId="77777777" w:rsidR="00410DFB" w:rsidRPr="00CB1313" w:rsidRDefault="00410DFB" w:rsidP="00410DFB">
            <w:pPr>
              <w:spacing w:after="0"/>
            </w:pPr>
            <w:r>
              <w:t>Bolzano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A1222E" w14:textId="77777777" w:rsidR="00410DFB" w:rsidRPr="00CB1313" w:rsidRDefault="00410DFB" w:rsidP="00410DFB">
            <w:pPr>
              <w:spacing w:after="0"/>
              <w:jc w:val="center"/>
            </w:pPr>
            <w:r>
              <w:t xml:space="preserve">           814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DA918B4"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14,8%</w:t>
            </w:r>
          </w:p>
        </w:tc>
      </w:tr>
      <w:tr w:rsidR="00410DFB" w:rsidRPr="009D4010" w14:paraId="78B37E52"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78C05C" w14:textId="77777777" w:rsidR="00410DFB" w:rsidRPr="00CB1313" w:rsidRDefault="00410DFB" w:rsidP="00410DFB">
            <w:pPr>
              <w:spacing w:after="0"/>
            </w:pPr>
            <w:r>
              <w:t>P.A. Trento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787EC3" w14:textId="77777777" w:rsidR="00410DFB" w:rsidRPr="00CB1313" w:rsidRDefault="00410DFB" w:rsidP="00410DFB">
            <w:pPr>
              <w:spacing w:after="0"/>
            </w:pPr>
            <w:r>
              <w:t>Trento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A3C38C" w14:textId="77777777" w:rsidR="00410DFB" w:rsidRPr="00CB1313" w:rsidRDefault="00410DFB" w:rsidP="00410DFB">
            <w:pPr>
              <w:spacing w:after="0"/>
              <w:jc w:val="center"/>
            </w:pPr>
            <w:r>
              <w:t xml:space="preserve">           876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E91C15A"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28,4%</w:t>
            </w:r>
          </w:p>
        </w:tc>
      </w:tr>
      <w:tr w:rsidR="00410DFB" w:rsidRPr="009D4010" w14:paraId="74988982"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020DD2" w14:textId="77777777" w:rsidR="00410DFB" w:rsidRPr="00CB1313" w:rsidRDefault="00410DFB" w:rsidP="00410DFB">
            <w:pPr>
              <w:spacing w:after="0"/>
            </w:pPr>
            <w: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D8F8D8" w14:textId="77777777" w:rsidR="00410DFB" w:rsidRPr="00CB1313" w:rsidRDefault="00410DFB" w:rsidP="00410DFB">
            <w:pPr>
              <w:spacing w:after="0"/>
            </w:pPr>
            <w:r>
              <w:t>Biella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CF6237" w14:textId="77777777" w:rsidR="00410DFB" w:rsidRPr="00CB1313" w:rsidRDefault="00410DFB" w:rsidP="00410DFB">
            <w:pPr>
              <w:spacing w:after="0"/>
              <w:jc w:val="center"/>
            </w:pPr>
            <w:r>
              <w:t xml:space="preserve">           903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2F7B99E"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33,5%</w:t>
            </w:r>
          </w:p>
        </w:tc>
      </w:tr>
      <w:tr w:rsidR="00410DFB" w:rsidRPr="009D4010" w14:paraId="658A4410"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E03964" w14:textId="77777777" w:rsidR="00410DFB" w:rsidRPr="00CB1313" w:rsidRDefault="00410DFB" w:rsidP="00410DFB">
            <w:pPr>
              <w:spacing w:after="0"/>
            </w:pPr>
            <w: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0670CB" w14:textId="77777777" w:rsidR="00410DFB" w:rsidRPr="00CB1313" w:rsidRDefault="00410DFB" w:rsidP="00410DFB">
            <w:pPr>
              <w:spacing w:after="0"/>
            </w:pPr>
            <w:r>
              <w:t>Torino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21EFD1" w14:textId="77777777" w:rsidR="00410DFB" w:rsidRPr="00CB1313" w:rsidRDefault="00410DFB" w:rsidP="00410DFB">
            <w:pPr>
              <w:spacing w:after="0"/>
              <w:jc w:val="center"/>
            </w:pPr>
            <w:r>
              <w:t xml:space="preserve">           888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9F9F71F"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23,8%</w:t>
            </w:r>
          </w:p>
        </w:tc>
      </w:tr>
      <w:tr w:rsidR="00410DFB" w:rsidRPr="009D4010" w14:paraId="15CB99A2"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6217EC" w14:textId="77777777" w:rsidR="00410DFB" w:rsidRPr="00CB1313" w:rsidRDefault="00410DFB" w:rsidP="00410DFB">
            <w:pPr>
              <w:spacing w:after="0"/>
            </w:pPr>
            <w: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3C60BF" w14:textId="77777777" w:rsidR="00410DFB" w:rsidRPr="00CB1313" w:rsidRDefault="00410DFB" w:rsidP="00410DFB">
            <w:pPr>
              <w:spacing w:after="0"/>
            </w:pPr>
            <w:r>
              <w:t>Verbano-Cusio-Ossola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585914" w14:textId="77777777" w:rsidR="00410DFB" w:rsidRPr="00CB1313" w:rsidRDefault="00410DFB" w:rsidP="00410DFB">
            <w:pPr>
              <w:spacing w:after="0"/>
              <w:jc w:val="center"/>
            </w:pPr>
            <w:r>
              <w:t xml:space="preserve">           858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55E1800"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12,8%</w:t>
            </w:r>
          </w:p>
        </w:tc>
      </w:tr>
      <w:tr w:rsidR="00410DFB" w:rsidRPr="009D4010" w14:paraId="2A990B65"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D1A954" w14:textId="77777777" w:rsidR="00410DFB" w:rsidRPr="00CB1313" w:rsidRDefault="00410DFB" w:rsidP="00410DFB">
            <w:pPr>
              <w:spacing w:after="0"/>
            </w:pPr>
            <w: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59CE51" w14:textId="77777777" w:rsidR="00410DFB" w:rsidRPr="00CB1313" w:rsidRDefault="00410DFB" w:rsidP="00410DFB">
            <w:pPr>
              <w:spacing w:after="0"/>
            </w:pPr>
            <w:r>
              <w:t>Novara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4CA1E2" w14:textId="77777777" w:rsidR="00410DFB" w:rsidRPr="00CB1313" w:rsidRDefault="00410DFB" w:rsidP="00410DFB">
            <w:pPr>
              <w:spacing w:after="0"/>
              <w:jc w:val="center"/>
            </w:pPr>
            <w:r>
              <w:t xml:space="preserve">           774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2EB5E9A"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12,6%</w:t>
            </w:r>
          </w:p>
        </w:tc>
      </w:tr>
      <w:tr w:rsidR="00410DFB" w:rsidRPr="009D4010" w14:paraId="067B9C92"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C56E62D" w14:textId="77777777" w:rsidR="00410DFB" w:rsidRPr="00CB1313" w:rsidRDefault="00410DFB" w:rsidP="00410DFB">
            <w:pPr>
              <w:spacing w:after="0"/>
            </w:pPr>
            <w: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C926F0" w14:textId="77777777" w:rsidR="00410DFB" w:rsidRPr="00CB1313" w:rsidRDefault="00410DFB" w:rsidP="00410DFB">
            <w:pPr>
              <w:spacing w:after="0"/>
            </w:pPr>
            <w:r>
              <w:t>Vercelli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E78FD2" w14:textId="77777777" w:rsidR="00410DFB" w:rsidRPr="00CB1313" w:rsidRDefault="00410DFB" w:rsidP="00410DFB">
            <w:pPr>
              <w:spacing w:after="0"/>
              <w:jc w:val="center"/>
            </w:pPr>
            <w:r>
              <w:t xml:space="preserve">           725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D851B78"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14,2%</w:t>
            </w:r>
          </w:p>
        </w:tc>
      </w:tr>
      <w:tr w:rsidR="00410DFB" w:rsidRPr="009D4010" w14:paraId="6B1542BD"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323593" w14:textId="77777777" w:rsidR="00410DFB" w:rsidRPr="00CB1313" w:rsidRDefault="00410DFB" w:rsidP="00410DFB">
            <w:pPr>
              <w:spacing w:after="0"/>
            </w:pPr>
            <w: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3E2C81" w14:textId="77777777" w:rsidR="00410DFB" w:rsidRPr="00CB1313" w:rsidRDefault="00410DFB" w:rsidP="00410DFB">
            <w:pPr>
              <w:spacing w:after="0"/>
            </w:pPr>
            <w:r>
              <w:t>Alessandria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3E447A" w14:textId="77777777" w:rsidR="00410DFB" w:rsidRPr="00CB1313" w:rsidRDefault="00410DFB" w:rsidP="00410DFB">
            <w:pPr>
              <w:spacing w:after="0"/>
              <w:jc w:val="center"/>
            </w:pPr>
            <w:r>
              <w:t xml:space="preserve">           702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FD5E094"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24,2%</w:t>
            </w:r>
          </w:p>
        </w:tc>
      </w:tr>
      <w:tr w:rsidR="00410DFB" w:rsidRPr="009D4010" w14:paraId="60ACBE03"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AE369C" w14:textId="77777777" w:rsidR="00410DFB" w:rsidRPr="00CB1313" w:rsidRDefault="00410DFB" w:rsidP="00410DFB">
            <w:pPr>
              <w:spacing w:after="0"/>
            </w:pPr>
            <w: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71D285" w14:textId="77777777" w:rsidR="00410DFB" w:rsidRPr="00CB1313" w:rsidRDefault="00410DFB" w:rsidP="00410DFB">
            <w:pPr>
              <w:spacing w:after="0"/>
            </w:pPr>
            <w:r>
              <w:t>Asti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A5F59B" w14:textId="77777777" w:rsidR="00410DFB" w:rsidRPr="00CB1313" w:rsidRDefault="00410DFB" w:rsidP="00410DFB">
            <w:pPr>
              <w:spacing w:after="0"/>
              <w:jc w:val="center"/>
            </w:pPr>
            <w:r>
              <w:t xml:space="preserve">           699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1CC2B7B"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45,6%</w:t>
            </w:r>
          </w:p>
        </w:tc>
      </w:tr>
      <w:tr w:rsidR="00410DFB" w:rsidRPr="009D4010" w14:paraId="0D3BE9E5"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0258FF" w14:textId="77777777" w:rsidR="00410DFB" w:rsidRPr="00CB1313" w:rsidRDefault="00410DFB" w:rsidP="00410DFB">
            <w:pPr>
              <w:spacing w:after="0"/>
            </w:pPr>
            <w: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1D1BA9" w14:textId="77777777" w:rsidR="00410DFB" w:rsidRPr="00CB1313" w:rsidRDefault="00410DFB" w:rsidP="00410DFB">
            <w:pPr>
              <w:spacing w:after="0"/>
            </w:pPr>
            <w:r>
              <w:t>Cuneo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BAE0E2" w14:textId="77777777" w:rsidR="00410DFB" w:rsidRPr="00CB1313" w:rsidRDefault="00410DFB" w:rsidP="00410DFB">
            <w:pPr>
              <w:spacing w:after="0"/>
              <w:jc w:val="center"/>
            </w:pPr>
            <w:r>
              <w:t xml:space="preserve">           567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A522AAD"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33,5%</w:t>
            </w:r>
          </w:p>
        </w:tc>
      </w:tr>
      <w:tr w:rsidR="00410DFB" w:rsidRPr="009D4010" w14:paraId="0FC6B545"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88AEC3" w14:textId="77777777" w:rsidR="00410DFB" w:rsidRPr="00CB1313" w:rsidRDefault="00410DFB" w:rsidP="00410DFB">
            <w:pPr>
              <w:spacing w:after="0"/>
            </w:pPr>
            <w: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A54DFF" w14:textId="77777777" w:rsidR="00410DFB" w:rsidRPr="00CB1313" w:rsidRDefault="00410DFB" w:rsidP="00410DFB">
            <w:pPr>
              <w:spacing w:after="0"/>
            </w:pPr>
            <w:r>
              <w:t>Lecce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AE23B4" w14:textId="77777777" w:rsidR="00410DFB" w:rsidRPr="00CB1313" w:rsidRDefault="00410DFB" w:rsidP="00410DFB">
            <w:pPr>
              <w:spacing w:after="0"/>
              <w:jc w:val="center"/>
            </w:pPr>
            <w:r>
              <w:t xml:space="preserve">        1.703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F9C71CD"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22,1%</w:t>
            </w:r>
          </w:p>
        </w:tc>
      </w:tr>
      <w:tr w:rsidR="00410DFB" w:rsidRPr="009D4010" w14:paraId="4AA9A586"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24CBD7" w14:textId="77777777" w:rsidR="00410DFB" w:rsidRPr="00CB1313" w:rsidRDefault="00410DFB" w:rsidP="00410DFB">
            <w:pPr>
              <w:spacing w:after="0"/>
            </w:pPr>
            <w: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ACE4A6" w14:textId="77777777" w:rsidR="00410DFB" w:rsidRPr="00CB1313" w:rsidRDefault="00410DFB" w:rsidP="00410DFB">
            <w:pPr>
              <w:spacing w:after="0"/>
            </w:pPr>
            <w:r>
              <w:t>Brindisi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CCA393" w14:textId="77777777" w:rsidR="00410DFB" w:rsidRPr="00CB1313" w:rsidRDefault="00410DFB" w:rsidP="00410DFB">
            <w:pPr>
              <w:spacing w:after="0"/>
              <w:jc w:val="center"/>
            </w:pPr>
            <w:r>
              <w:t xml:space="preserve">        1.595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3AC0E34"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26,4%</w:t>
            </w:r>
          </w:p>
        </w:tc>
      </w:tr>
      <w:tr w:rsidR="00410DFB" w:rsidRPr="009D4010" w14:paraId="7EAD3199"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3FEE34" w14:textId="77777777" w:rsidR="00410DFB" w:rsidRPr="00CB1313" w:rsidRDefault="00410DFB" w:rsidP="00410DFB">
            <w:pPr>
              <w:spacing w:after="0"/>
            </w:pPr>
            <w: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A229A4" w14:textId="77777777" w:rsidR="00410DFB" w:rsidRPr="00CB1313" w:rsidRDefault="00410DFB" w:rsidP="00410DFB">
            <w:pPr>
              <w:spacing w:after="0"/>
            </w:pPr>
            <w:r>
              <w:t>Taranto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244FDE" w14:textId="77777777" w:rsidR="00410DFB" w:rsidRPr="00CB1313" w:rsidRDefault="00410DFB" w:rsidP="00410DFB">
            <w:pPr>
              <w:spacing w:after="0"/>
              <w:jc w:val="center"/>
            </w:pPr>
            <w:r>
              <w:t xml:space="preserve">        1.458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818E8F1"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38,2%</w:t>
            </w:r>
          </w:p>
        </w:tc>
      </w:tr>
      <w:tr w:rsidR="00410DFB" w:rsidRPr="009D4010" w14:paraId="555D9E34"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54C8CC" w14:textId="77777777" w:rsidR="00410DFB" w:rsidRPr="00CB1313" w:rsidRDefault="00410DFB" w:rsidP="00410DFB">
            <w:pPr>
              <w:spacing w:after="0"/>
            </w:pPr>
            <w: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A80AA9" w14:textId="77777777" w:rsidR="00410DFB" w:rsidRPr="00CB1313" w:rsidRDefault="00410DFB" w:rsidP="00410DFB">
            <w:pPr>
              <w:spacing w:after="0"/>
            </w:pPr>
            <w:r>
              <w:t>Bari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ADB2FC" w14:textId="77777777" w:rsidR="00410DFB" w:rsidRPr="00CB1313" w:rsidRDefault="00410DFB" w:rsidP="00410DFB">
            <w:pPr>
              <w:spacing w:after="0"/>
              <w:jc w:val="center"/>
            </w:pPr>
            <w:r>
              <w:t xml:space="preserve">        1.412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7B85339"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24,5%</w:t>
            </w:r>
          </w:p>
        </w:tc>
      </w:tr>
      <w:tr w:rsidR="00410DFB" w:rsidRPr="009D4010" w14:paraId="68100951"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8B0B55" w14:textId="77777777" w:rsidR="00410DFB" w:rsidRPr="00CB1313" w:rsidRDefault="00410DFB" w:rsidP="00410DFB">
            <w:pPr>
              <w:spacing w:after="0"/>
            </w:pPr>
            <w: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3E7893" w14:textId="77777777" w:rsidR="00410DFB" w:rsidRPr="00CB1313" w:rsidRDefault="00410DFB" w:rsidP="00410DFB">
            <w:pPr>
              <w:spacing w:after="0"/>
            </w:pPr>
            <w:r>
              <w:t>Barletta-Andria-Trani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A457D2" w14:textId="77777777" w:rsidR="00410DFB" w:rsidRPr="00CB1313" w:rsidRDefault="00410DFB" w:rsidP="00410DFB">
            <w:pPr>
              <w:spacing w:after="0"/>
              <w:jc w:val="center"/>
            </w:pPr>
            <w:r>
              <w:t xml:space="preserve">        1.182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ECA0AE0"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11,9%</w:t>
            </w:r>
          </w:p>
        </w:tc>
      </w:tr>
      <w:tr w:rsidR="00410DFB" w:rsidRPr="009D4010" w14:paraId="3B88FDCA"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424F60" w14:textId="77777777" w:rsidR="00410DFB" w:rsidRPr="00CB1313" w:rsidRDefault="00410DFB" w:rsidP="00410DFB">
            <w:pPr>
              <w:spacing w:after="0"/>
            </w:pPr>
            <w: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EC05BE" w14:textId="77777777" w:rsidR="00410DFB" w:rsidRPr="00CB1313" w:rsidRDefault="00410DFB" w:rsidP="00410DFB">
            <w:pPr>
              <w:spacing w:after="0"/>
            </w:pPr>
            <w:r>
              <w:t>Foggia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A52B22" w14:textId="77777777" w:rsidR="00410DFB" w:rsidRPr="00CB1313" w:rsidRDefault="00410DFB" w:rsidP="00410DFB">
            <w:pPr>
              <w:spacing w:after="0"/>
              <w:jc w:val="center"/>
            </w:pPr>
            <w:r>
              <w:t xml:space="preserve">        1.009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C747A6A"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6,8%</w:t>
            </w:r>
          </w:p>
        </w:tc>
      </w:tr>
      <w:tr w:rsidR="00410DFB" w:rsidRPr="009D4010" w14:paraId="7AFDEE13"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7CFA97" w14:textId="77777777" w:rsidR="00410DFB" w:rsidRPr="00CB1313" w:rsidRDefault="00410DFB" w:rsidP="00410DFB">
            <w:pPr>
              <w:spacing w:after="0"/>
            </w:pPr>
            <w: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A61BEC" w14:textId="77777777" w:rsidR="00410DFB" w:rsidRPr="00CB1313" w:rsidRDefault="00410DFB" w:rsidP="00410DFB">
            <w:pPr>
              <w:spacing w:after="0"/>
            </w:pPr>
            <w:r>
              <w:t>Cagliari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89CE87" w14:textId="77777777" w:rsidR="00410DFB" w:rsidRPr="00CB1313" w:rsidRDefault="00410DFB" w:rsidP="00410DFB">
            <w:pPr>
              <w:spacing w:after="0"/>
              <w:jc w:val="center"/>
            </w:pPr>
            <w:r>
              <w:t xml:space="preserve">        1.295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6C4E7CF"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1,9%</w:t>
            </w:r>
          </w:p>
        </w:tc>
      </w:tr>
      <w:tr w:rsidR="00410DFB" w:rsidRPr="009D4010" w14:paraId="7131C85A"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A35518" w14:textId="77777777" w:rsidR="00410DFB" w:rsidRPr="00CB1313" w:rsidRDefault="00410DFB" w:rsidP="00410DFB">
            <w:pPr>
              <w:spacing w:after="0"/>
            </w:pPr>
            <w:r>
              <w:lastRenderedPageBreak/>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048635" w14:textId="77777777" w:rsidR="00410DFB" w:rsidRPr="00CB1313" w:rsidRDefault="00410DFB" w:rsidP="00410DFB">
            <w:pPr>
              <w:spacing w:after="0"/>
            </w:pPr>
            <w:r>
              <w:t>Oristano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9D8F46" w14:textId="77777777" w:rsidR="00410DFB" w:rsidRPr="00CB1313" w:rsidRDefault="00410DFB" w:rsidP="00410DFB">
            <w:pPr>
              <w:spacing w:after="0"/>
              <w:jc w:val="center"/>
            </w:pPr>
            <w:r>
              <w:t xml:space="preserve">        1.274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E8E391C"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18,2%</w:t>
            </w:r>
          </w:p>
        </w:tc>
      </w:tr>
      <w:tr w:rsidR="00410DFB" w:rsidRPr="009D4010" w14:paraId="5C59759D"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E01517" w14:textId="77777777" w:rsidR="00410DFB" w:rsidRPr="00CB1313" w:rsidRDefault="00410DFB" w:rsidP="00410DFB">
            <w:pPr>
              <w:spacing w:after="0"/>
            </w:pPr>
            <w: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95D884" w14:textId="77777777" w:rsidR="00410DFB" w:rsidRPr="00CB1313" w:rsidRDefault="00410DFB" w:rsidP="00410DFB">
            <w:pPr>
              <w:spacing w:after="0"/>
            </w:pPr>
            <w:r>
              <w:t>Sud Sardegna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A00C87" w14:textId="77777777" w:rsidR="00410DFB" w:rsidRPr="00CB1313" w:rsidRDefault="00410DFB" w:rsidP="00410DFB">
            <w:pPr>
              <w:spacing w:after="0"/>
              <w:jc w:val="center"/>
            </w:pPr>
            <w:r>
              <w:t xml:space="preserve">        1.209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20D8950"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5,8%</w:t>
            </w:r>
          </w:p>
        </w:tc>
      </w:tr>
      <w:tr w:rsidR="00410DFB" w:rsidRPr="009D4010" w14:paraId="277BF8D0"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01E0AD" w14:textId="77777777" w:rsidR="00410DFB" w:rsidRPr="00CB1313" w:rsidRDefault="00410DFB" w:rsidP="00410DFB">
            <w:pPr>
              <w:spacing w:after="0"/>
            </w:pPr>
            <w: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15391F" w14:textId="77777777" w:rsidR="00410DFB" w:rsidRPr="00CB1313" w:rsidRDefault="00410DFB" w:rsidP="00410DFB">
            <w:pPr>
              <w:spacing w:after="0"/>
            </w:pPr>
            <w:r>
              <w:t>Sassari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3D1FDE" w14:textId="77777777" w:rsidR="00410DFB" w:rsidRPr="00CB1313" w:rsidRDefault="00410DFB" w:rsidP="00410DFB">
            <w:pPr>
              <w:spacing w:after="0"/>
              <w:jc w:val="center"/>
            </w:pPr>
            <w:r>
              <w:t xml:space="preserve">        1.095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EFC7E09"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30,1%</w:t>
            </w:r>
          </w:p>
        </w:tc>
      </w:tr>
      <w:tr w:rsidR="00410DFB" w:rsidRPr="009D4010" w14:paraId="4181184D"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04F95C" w14:textId="77777777" w:rsidR="00410DFB" w:rsidRPr="00CB1313" w:rsidRDefault="00410DFB" w:rsidP="00410DFB">
            <w:pPr>
              <w:spacing w:after="0"/>
            </w:pPr>
            <w: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DF284D" w14:textId="77777777" w:rsidR="00410DFB" w:rsidRPr="00CB1313" w:rsidRDefault="00410DFB" w:rsidP="00410DFB">
            <w:pPr>
              <w:spacing w:after="0"/>
            </w:pPr>
            <w:r>
              <w:t>Nuoro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19B857" w14:textId="77777777" w:rsidR="00410DFB" w:rsidRPr="00CB1313" w:rsidRDefault="00410DFB" w:rsidP="00410DFB">
            <w:pPr>
              <w:spacing w:after="0"/>
              <w:jc w:val="center"/>
            </w:pPr>
            <w:r>
              <w:t xml:space="preserve">        1.093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4C19514"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33,8%</w:t>
            </w:r>
          </w:p>
        </w:tc>
      </w:tr>
      <w:tr w:rsidR="00410DFB" w:rsidRPr="009D4010" w14:paraId="19065609"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8E1B84" w14:textId="77777777" w:rsidR="00410DFB" w:rsidRPr="00CB1313" w:rsidRDefault="00410DFB" w:rsidP="00410DFB">
            <w:pPr>
              <w:spacing w:after="0"/>
            </w:pPr>
            <w: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C24CC1" w14:textId="77777777" w:rsidR="00410DFB" w:rsidRPr="00CB1313" w:rsidRDefault="00410DFB" w:rsidP="00410DFB">
            <w:pPr>
              <w:spacing w:after="0"/>
            </w:pPr>
            <w:r>
              <w:t>Messina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074B9F" w14:textId="77777777" w:rsidR="00410DFB" w:rsidRPr="00CB1313" w:rsidRDefault="00410DFB" w:rsidP="00410DFB">
            <w:pPr>
              <w:spacing w:after="0"/>
              <w:jc w:val="center"/>
            </w:pPr>
            <w:r>
              <w:t xml:space="preserve">        1.574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DED05DA"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44,0%</w:t>
            </w:r>
          </w:p>
        </w:tc>
      </w:tr>
      <w:tr w:rsidR="00410DFB" w:rsidRPr="009D4010" w14:paraId="72863755"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1F68F2" w14:textId="77777777" w:rsidR="00410DFB" w:rsidRPr="00CB1313" w:rsidRDefault="00410DFB" w:rsidP="00410DFB">
            <w:pPr>
              <w:spacing w:after="0"/>
            </w:pPr>
            <w: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09BEF2" w14:textId="77777777" w:rsidR="00410DFB" w:rsidRPr="00CB1313" w:rsidRDefault="00410DFB" w:rsidP="00410DFB">
            <w:pPr>
              <w:spacing w:after="0"/>
            </w:pPr>
            <w:r>
              <w:t>Siracusa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EEF1C7" w14:textId="77777777" w:rsidR="00410DFB" w:rsidRPr="00CB1313" w:rsidRDefault="00410DFB" w:rsidP="00410DFB">
            <w:pPr>
              <w:spacing w:after="0"/>
              <w:jc w:val="center"/>
            </w:pPr>
            <w:r>
              <w:t xml:space="preserve">        1.552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8BE2B0C"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26,1%</w:t>
            </w:r>
          </w:p>
        </w:tc>
      </w:tr>
      <w:tr w:rsidR="00410DFB" w:rsidRPr="009D4010" w14:paraId="2B8B6FBB"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05BF20" w14:textId="77777777" w:rsidR="00410DFB" w:rsidRPr="00CB1313" w:rsidRDefault="00410DFB" w:rsidP="00410DFB">
            <w:pPr>
              <w:spacing w:after="0"/>
            </w:pPr>
            <w: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820338" w14:textId="77777777" w:rsidR="00410DFB" w:rsidRPr="00CB1313" w:rsidRDefault="00410DFB" w:rsidP="00410DFB">
            <w:pPr>
              <w:spacing w:after="0"/>
            </w:pPr>
            <w:r>
              <w:t>Agrigento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C257F6" w14:textId="77777777" w:rsidR="00410DFB" w:rsidRPr="00CB1313" w:rsidRDefault="00410DFB" w:rsidP="00410DFB">
            <w:pPr>
              <w:spacing w:after="0"/>
              <w:jc w:val="center"/>
            </w:pPr>
            <w:r>
              <w:t xml:space="preserve">        1.442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1B518F6"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37,7%</w:t>
            </w:r>
          </w:p>
        </w:tc>
      </w:tr>
      <w:tr w:rsidR="00410DFB" w:rsidRPr="009D4010" w14:paraId="18F1894A"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4A3506" w14:textId="77777777" w:rsidR="00410DFB" w:rsidRPr="00CB1313" w:rsidRDefault="00410DFB" w:rsidP="00410DFB">
            <w:pPr>
              <w:spacing w:after="0"/>
            </w:pPr>
            <w: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E0E3B8" w14:textId="77777777" w:rsidR="00410DFB" w:rsidRPr="00CB1313" w:rsidRDefault="00410DFB" w:rsidP="00410DFB">
            <w:pPr>
              <w:spacing w:after="0"/>
            </w:pPr>
            <w:r>
              <w:t>Ragusa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8D010E" w14:textId="77777777" w:rsidR="00410DFB" w:rsidRPr="00CB1313" w:rsidRDefault="00410DFB" w:rsidP="00410DFB">
            <w:pPr>
              <w:spacing w:after="0"/>
              <w:jc w:val="center"/>
            </w:pPr>
            <w:r>
              <w:t xml:space="preserve">        1.344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E6E4F9F"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24,9%</w:t>
            </w:r>
          </w:p>
        </w:tc>
      </w:tr>
      <w:tr w:rsidR="00410DFB" w:rsidRPr="009D4010" w14:paraId="18991483"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2C9F8C" w14:textId="77777777" w:rsidR="00410DFB" w:rsidRPr="00CB1313" w:rsidRDefault="00410DFB" w:rsidP="00410DFB">
            <w:pPr>
              <w:spacing w:after="0"/>
            </w:pPr>
            <w: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F17229" w14:textId="77777777" w:rsidR="00410DFB" w:rsidRPr="00CB1313" w:rsidRDefault="00410DFB" w:rsidP="00410DFB">
            <w:pPr>
              <w:spacing w:after="0"/>
            </w:pPr>
            <w:r>
              <w:t>Catania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B5607F" w14:textId="77777777" w:rsidR="00410DFB" w:rsidRPr="00CB1313" w:rsidRDefault="00410DFB" w:rsidP="00410DFB">
            <w:pPr>
              <w:spacing w:after="0"/>
              <w:jc w:val="center"/>
            </w:pPr>
            <w:r>
              <w:t xml:space="preserve">        1.268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1439433"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10,4%</w:t>
            </w:r>
          </w:p>
        </w:tc>
      </w:tr>
      <w:tr w:rsidR="00410DFB" w:rsidRPr="009D4010" w14:paraId="06CCC75C"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B4B0F8" w14:textId="77777777" w:rsidR="00410DFB" w:rsidRPr="00CB1313" w:rsidRDefault="00410DFB" w:rsidP="00410DFB">
            <w:pPr>
              <w:spacing w:after="0"/>
            </w:pPr>
            <w: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F5F519" w14:textId="77777777" w:rsidR="00410DFB" w:rsidRPr="00CB1313" w:rsidRDefault="00410DFB" w:rsidP="00410DFB">
            <w:pPr>
              <w:spacing w:after="0"/>
            </w:pPr>
            <w:r>
              <w:t>Trapani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C87787" w14:textId="77777777" w:rsidR="00410DFB" w:rsidRPr="00CB1313" w:rsidRDefault="00410DFB" w:rsidP="00410DFB">
            <w:pPr>
              <w:spacing w:after="0"/>
              <w:jc w:val="center"/>
            </w:pPr>
            <w:r>
              <w:t xml:space="preserve">        1.193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09E5FC4"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46,6%</w:t>
            </w:r>
          </w:p>
        </w:tc>
      </w:tr>
      <w:tr w:rsidR="00410DFB" w:rsidRPr="009D4010" w14:paraId="3B981895"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08D049" w14:textId="77777777" w:rsidR="00410DFB" w:rsidRPr="00CB1313" w:rsidRDefault="00410DFB" w:rsidP="00410DFB">
            <w:pPr>
              <w:spacing w:after="0"/>
            </w:pPr>
            <w: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2B85BE" w14:textId="77777777" w:rsidR="00410DFB" w:rsidRPr="00CB1313" w:rsidRDefault="00410DFB" w:rsidP="00410DFB">
            <w:pPr>
              <w:spacing w:after="0"/>
            </w:pPr>
            <w:r>
              <w:t>Enna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B6A25D" w14:textId="77777777" w:rsidR="00410DFB" w:rsidRPr="00CB1313" w:rsidRDefault="00410DFB" w:rsidP="00410DFB">
            <w:pPr>
              <w:spacing w:after="0"/>
              <w:jc w:val="center"/>
            </w:pPr>
            <w:r>
              <w:t xml:space="preserve">        1.161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B7FA98C"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39,8%</w:t>
            </w:r>
          </w:p>
        </w:tc>
      </w:tr>
      <w:tr w:rsidR="00410DFB" w:rsidRPr="009D4010" w14:paraId="7DC34F12"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F3D2DC" w14:textId="77777777" w:rsidR="00410DFB" w:rsidRPr="00CB1313" w:rsidRDefault="00410DFB" w:rsidP="00410DFB">
            <w:pPr>
              <w:spacing w:after="0"/>
            </w:pPr>
            <w: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ED2DBF" w14:textId="77777777" w:rsidR="00410DFB" w:rsidRPr="00CB1313" w:rsidRDefault="00410DFB" w:rsidP="00410DFB">
            <w:pPr>
              <w:spacing w:after="0"/>
            </w:pPr>
            <w:r>
              <w:t>Palermo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00BA7A" w14:textId="77777777" w:rsidR="00410DFB" w:rsidRPr="00CB1313" w:rsidRDefault="00410DFB" w:rsidP="00410DFB">
            <w:pPr>
              <w:spacing w:after="0"/>
              <w:jc w:val="center"/>
            </w:pPr>
            <w:r>
              <w:t xml:space="preserve">        1.159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CFE95BC"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8,6%</w:t>
            </w:r>
          </w:p>
        </w:tc>
      </w:tr>
      <w:tr w:rsidR="00410DFB" w:rsidRPr="009D4010" w14:paraId="58C481BE"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BD5675" w14:textId="77777777" w:rsidR="00410DFB" w:rsidRPr="00CB1313" w:rsidRDefault="00410DFB" w:rsidP="00410DFB">
            <w:pPr>
              <w:spacing w:after="0"/>
            </w:pPr>
            <w: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AA9628" w14:textId="77777777" w:rsidR="00410DFB" w:rsidRPr="00CB1313" w:rsidRDefault="00410DFB" w:rsidP="00410DFB">
            <w:pPr>
              <w:spacing w:after="0"/>
            </w:pPr>
            <w:r>
              <w:t>Caltanissetta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4F333C" w14:textId="77777777" w:rsidR="00410DFB" w:rsidRPr="00CB1313" w:rsidRDefault="00410DFB" w:rsidP="00410DFB">
            <w:pPr>
              <w:spacing w:after="0"/>
              <w:jc w:val="center"/>
            </w:pPr>
            <w:r>
              <w:t xml:space="preserve">        1.116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A6D28D6"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34,3%</w:t>
            </w:r>
          </w:p>
        </w:tc>
      </w:tr>
      <w:tr w:rsidR="00410DFB" w:rsidRPr="009D4010" w14:paraId="27E1C744"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B2345D" w14:textId="77777777" w:rsidR="00410DFB" w:rsidRPr="00CB1313" w:rsidRDefault="00410DFB" w:rsidP="00410DFB">
            <w:pPr>
              <w:spacing w:after="0"/>
            </w:pPr>
            <w: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8F7B33" w14:textId="77777777" w:rsidR="00410DFB" w:rsidRPr="00CB1313" w:rsidRDefault="00410DFB" w:rsidP="00410DFB">
            <w:pPr>
              <w:spacing w:after="0"/>
            </w:pPr>
            <w:r>
              <w:t>Siena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B761BD5" w14:textId="77777777" w:rsidR="00410DFB" w:rsidRPr="00CB1313" w:rsidRDefault="00410DFB" w:rsidP="00410DFB">
            <w:pPr>
              <w:spacing w:after="0"/>
              <w:jc w:val="center"/>
            </w:pPr>
            <w:r>
              <w:t xml:space="preserve">        1.316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D169F15"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42,4%</w:t>
            </w:r>
          </w:p>
        </w:tc>
      </w:tr>
      <w:tr w:rsidR="00410DFB" w:rsidRPr="009D4010" w14:paraId="534DD81C"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A63EFE" w14:textId="77777777" w:rsidR="00410DFB" w:rsidRPr="00CB1313" w:rsidRDefault="00410DFB" w:rsidP="00410DFB">
            <w:pPr>
              <w:spacing w:after="0"/>
            </w:pPr>
            <w: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CB4E18" w14:textId="77777777" w:rsidR="00410DFB" w:rsidRPr="00CB1313" w:rsidRDefault="00410DFB" w:rsidP="00410DFB">
            <w:pPr>
              <w:spacing w:after="0"/>
            </w:pPr>
            <w:r>
              <w:t>Lucca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7FD4EC" w14:textId="77777777" w:rsidR="00410DFB" w:rsidRPr="00CB1313" w:rsidRDefault="00410DFB" w:rsidP="00410DFB">
            <w:pPr>
              <w:spacing w:after="0"/>
              <w:jc w:val="center"/>
            </w:pPr>
            <w:r>
              <w:t xml:space="preserve">        1.005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8183247"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8,0%</w:t>
            </w:r>
          </w:p>
        </w:tc>
      </w:tr>
      <w:tr w:rsidR="00410DFB" w:rsidRPr="009D4010" w14:paraId="79B8CFF8"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688FFF" w14:textId="77777777" w:rsidR="00410DFB" w:rsidRPr="00CB1313" w:rsidRDefault="00410DFB" w:rsidP="00410DFB">
            <w:pPr>
              <w:spacing w:after="0"/>
            </w:pPr>
            <w: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692413" w14:textId="77777777" w:rsidR="00410DFB" w:rsidRPr="00CB1313" w:rsidRDefault="00410DFB" w:rsidP="00410DFB">
            <w:pPr>
              <w:spacing w:after="0"/>
            </w:pPr>
            <w:r>
              <w:t>Pisa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9998E3" w14:textId="77777777" w:rsidR="00410DFB" w:rsidRPr="00CB1313" w:rsidRDefault="00410DFB" w:rsidP="00410DFB">
            <w:pPr>
              <w:spacing w:after="0"/>
              <w:jc w:val="center"/>
            </w:pPr>
            <w:r>
              <w:t xml:space="preserve">           925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D8B07D9"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2,5%</w:t>
            </w:r>
          </w:p>
        </w:tc>
      </w:tr>
      <w:tr w:rsidR="00410DFB" w:rsidRPr="009D4010" w14:paraId="5A57449B"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0F4984" w14:textId="77777777" w:rsidR="00410DFB" w:rsidRPr="00CB1313" w:rsidRDefault="00410DFB" w:rsidP="00410DFB">
            <w:pPr>
              <w:spacing w:after="0"/>
            </w:pPr>
            <w: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84207F" w14:textId="77777777" w:rsidR="00410DFB" w:rsidRPr="00CB1313" w:rsidRDefault="00410DFB" w:rsidP="00410DFB">
            <w:pPr>
              <w:spacing w:after="0"/>
            </w:pPr>
            <w:r>
              <w:t>Grosseto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DF9647" w14:textId="77777777" w:rsidR="00410DFB" w:rsidRPr="00CB1313" w:rsidRDefault="00410DFB" w:rsidP="00410DFB">
            <w:pPr>
              <w:spacing w:after="0"/>
              <w:jc w:val="center"/>
            </w:pPr>
            <w:r>
              <w:t xml:space="preserve">           905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E952272"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26,7%</w:t>
            </w:r>
          </w:p>
        </w:tc>
      </w:tr>
      <w:tr w:rsidR="00410DFB" w:rsidRPr="009D4010" w14:paraId="5C660DCC"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EFDC4D" w14:textId="77777777" w:rsidR="00410DFB" w:rsidRPr="00CB1313" w:rsidRDefault="00410DFB" w:rsidP="00410DFB">
            <w:pPr>
              <w:spacing w:after="0"/>
            </w:pPr>
            <w: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E368AF" w14:textId="77777777" w:rsidR="00410DFB" w:rsidRPr="00CB1313" w:rsidRDefault="00410DFB" w:rsidP="00410DFB">
            <w:pPr>
              <w:spacing w:after="0"/>
            </w:pPr>
            <w:r>
              <w:t>Firenze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34054C" w14:textId="77777777" w:rsidR="00410DFB" w:rsidRPr="00CB1313" w:rsidRDefault="00410DFB" w:rsidP="00410DFB">
            <w:pPr>
              <w:spacing w:after="0"/>
              <w:jc w:val="center"/>
            </w:pPr>
            <w:r>
              <w:t xml:space="preserve">           900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5BC1B09"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0,1%</w:t>
            </w:r>
          </w:p>
        </w:tc>
      </w:tr>
      <w:tr w:rsidR="00410DFB" w:rsidRPr="009D4010" w14:paraId="7AB15555"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2C29AB" w14:textId="77777777" w:rsidR="00410DFB" w:rsidRPr="00CB1313" w:rsidRDefault="00410DFB" w:rsidP="00410DFB">
            <w:pPr>
              <w:spacing w:after="0"/>
            </w:pPr>
            <w: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4767CE" w14:textId="77777777" w:rsidR="00410DFB" w:rsidRPr="00CB1313" w:rsidRDefault="00410DFB" w:rsidP="00410DFB">
            <w:pPr>
              <w:spacing w:after="0"/>
            </w:pPr>
            <w:r>
              <w:t>Arezzo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6605C7" w14:textId="77777777" w:rsidR="00410DFB" w:rsidRPr="00CB1313" w:rsidRDefault="00410DFB" w:rsidP="00410DFB">
            <w:pPr>
              <w:spacing w:after="0"/>
              <w:jc w:val="center"/>
            </w:pPr>
            <w:r>
              <w:t xml:space="preserve">           891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5F88920"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11,7%</w:t>
            </w:r>
          </w:p>
        </w:tc>
      </w:tr>
      <w:tr w:rsidR="00410DFB" w:rsidRPr="009D4010" w14:paraId="132F1CBB"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238D60" w14:textId="77777777" w:rsidR="00410DFB" w:rsidRPr="00CB1313" w:rsidRDefault="00410DFB" w:rsidP="00410DFB">
            <w:pPr>
              <w:spacing w:after="0"/>
            </w:pPr>
            <w: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F35A23" w14:textId="77777777" w:rsidR="00410DFB" w:rsidRPr="00CB1313" w:rsidRDefault="00410DFB" w:rsidP="00410DFB">
            <w:pPr>
              <w:spacing w:after="0"/>
            </w:pPr>
            <w:r>
              <w:t>Livorno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D5EEC0" w14:textId="77777777" w:rsidR="00410DFB" w:rsidRPr="00CB1313" w:rsidRDefault="00410DFB" w:rsidP="00410DFB">
            <w:pPr>
              <w:spacing w:after="0"/>
              <w:jc w:val="center"/>
            </w:pPr>
            <w:r>
              <w:t xml:space="preserve">           888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234EB2F"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5,9%</w:t>
            </w:r>
          </w:p>
        </w:tc>
      </w:tr>
      <w:tr w:rsidR="00410DFB" w:rsidRPr="009D4010" w14:paraId="001EFC93"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6DDD52" w14:textId="77777777" w:rsidR="00410DFB" w:rsidRPr="00CB1313" w:rsidRDefault="00410DFB" w:rsidP="00410DFB">
            <w:pPr>
              <w:spacing w:after="0"/>
            </w:pPr>
            <w: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D04CC9" w14:textId="77777777" w:rsidR="00410DFB" w:rsidRPr="00CB1313" w:rsidRDefault="00410DFB" w:rsidP="00410DFB">
            <w:pPr>
              <w:spacing w:after="0"/>
            </w:pPr>
            <w:r>
              <w:t>Pistoia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1E851F" w14:textId="77777777" w:rsidR="00410DFB" w:rsidRPr="00CB1313" w:rsidRDefault="00410DFB" w:rsidP="00410DFB">
            <w:pPr>
              <w:spacing w:after="0"/>
              <w:jc w:val="center"/>
            </w:pPr>
            <w:r>
              <w:t xml:space="preserve">           816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5E5E8C1"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8,1%</w:t>
            </w:r>
          </w:p>
        </w:tc>
      </w:tr>
      <w:tr w:rsidR="00410DFB" w:rsidRPr="009D4010" w14:paraId="5055D89C"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CC3951" w14:textId="77777777" w:rsidR="00410DFB" w:rsidRPr="00CB1313" w:rsidRDefault="00410DFB" w:rsidP="00410DFB">
            <w:pPr>
              <w:spacing w:after="0"/>
            </w:pPr>
            <w: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BFAED3" w14:textId="77777777" w:rsidR="00410DFB" w:rsidRPr="00CB1313" w:rsidRDefault="00410DFB" w:rsidP="00410DFB">
            <w:pPr>
              <w:spacing w:after="0"/>
            </w:pPr>
            <w:r>
              <w:t>Prato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A280B7" w14:textId="77777777" w:rsidR="00410DFB" w:rsidRPr="00CB1313" w:rsidRDefault="00410DFB" w:rsidP="00410DFB">
            <w:pPr>
              <w:spacing w:after="0"/>
              <w:jc w:val="center"/>
            </w:pPr>
            <w:r>
              <w:t xml:space="preserve">           797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1309876"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9,3%</w:t>
            </w:r>
          </w:p>
        </w:tc>
      </w:tr>
      <w:tr w:rsidR="00410DFB" w:rsidRPr="009D4010" w14:paraId="5DBA8798"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63A82D" w14:textId="77777777" w:rsidR="00410DFB" w:rsidRPr="00CB1313" w:rsidRDefault="00410DFB" w:rsidP="00410DFB">
            <w:pPr>
              <w:spacing w:after="0"/>
            </w:pPr>
            <w: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376F1B" w14:textId="77777777" w:rsidR="00410DFB" w:rsidRPr="00CB1313" w:rsidRDefault="00410DFB" w:rsidP="00410DFB">
            <w:pPr>
              <w:spacing w:after="0"/>
            </w:pPr>
            <w:r>
              <w:t>Massa Carrara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AE57D1" w14:textId="77777777" w:rsidR="00410DFB" w:rsidRPr="00CB1313" w:rsidRDefault="00410DFB" w:rsidP="00410DFB">
            <w:pPr>
              <w:spacing w:after="0"/>
              <w:jc w:val="center"/>
            </w:pPr>
            <w:r>
              <w:t xml:space="preserve">           789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26BD440"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6,8%</w:t>
            </w:r>
          </w:p>
        </w:tc>
      </w:tr>
      <w:tr w:rsidR="00410DFB" w:rsidRPr="009D4010" w14:paraId="5843CD30"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F0C515" w14:textId="77777777" w:rsidR="00410DFB" w:rsidRPr="00CB1313" w:rsidRDefault="00410DFB" w:rsidP="00410DFB">
            <w:pPr>
              <w:spacing w:after="0"/>
            </w:pPr>
            <w: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C5A1ED" w14:textId="77777777" w:rsidR="00410DFB" w:rsidRPr="00CB1313" w:rsidRDefault="00410DFB" w:rsidP="00410DFB">
            <w:pPr>
              <w:spacing w:after="0"/>
            </w:pPr>
            <w:r>
              <w:t>Perugia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E1DF23" w14:textId="77777777" w:rsidR="00410DFB" w:rsidRPr="00CB1313" w:rsidRDefault="00410DFB" w:rsidP="00410DFB">
            <w:pPr>
              <w:spacing w:after="0"/>
              <w:jc w:val="center"/>
            </w:pPr>
            <w:r>
              <w:t xml:space="preserve">        1.407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639F39D"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21,0%</w:t>
            </w:r>
          </w:p>
        </w:tc>
      </w:tr>
      <w:tr w:rsidR="00410DFB" w:rsidRPr="009D4010" w14:paraId="147506CA"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238DA5" w14:textId="77777777" w:rsidR="00410DFB" w:rsidRPr="00CB1313" w:rsidRDefault="00410DFB" w:rsidP="00410DFB">
            <w:pPr>
              <w:spacing w:after="0"/>
            </w:pPr>
            <w: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FDB94D" w14:textId="77777777" w:rsidR="00410DFB" w:rsidRPr="00CB1313" w:rsidRDefault="00410DFB" w:rsidP="00410DFB">
            <w:pPr>
              <w:spacing w:after="0"/>
            </w:pPr>
            <w:r>
              <w:t>Terni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BA87F4" w14:textId="77777777" w:rsidR="00410DFB" w:rsidRPr="00CB1313" w:rsidRDefault="00410DFB" w:rsidP="00410DFB">
            <w:pPr>
              <w:spacing w:after="0"/>
              <w:jc w:val="center"/>
            </w:pPr>
            <w:r>
              <w:t xml:space="preserve">        1.138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8FE7255"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21,6%</w:t>
            </w:r>
          </w:p>
        </w:tc>
      </w:tr>
      <w:tr w:rsidR="00410DFB" w:rsidRPr="009D4010" w14:paraId="579FEAC5"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923A0A" w14:textId="77777777" w:rsidR="00410DFB" w:rsidRPr="00CB1313" w:rsidRDefault="00410DFB" w:rsidP="00410DFB">
            <w:pPr>
              <w:spacing w:after="0"/>
            </w:pPr>
            <w:r>
              <w:t>Valle d'Aosta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CC9767C" w14:textId="77777777" w:rsidR="00410DFB" w:rsidRPr="00CB1313" w:rsidRDefault="00410DFB" w:rsidP="00410DFB">
            <w:pPr>
              <w:spacing w:after="0"/>
            </w:pPr>
            <w:r>
              <w:t>Aosta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D35F9E" w14:textId="77777777" w:rsidR="00410DFB" w:rsidRPr="00CB1313" w:rsidRDefault="00410DFB" w:rsidP="00410DFB">
            <w:pPr>
              <w:spacing w:after="0"/>
              <w:jc w:val="center"/>
            </w:pPr>
            <w:r>
              <w:t xml:space="preserve">           657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30811CE"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45,5%</w:t>
            </w:r>
          </w:p>
        </w:tc>
      </w:tr>
      <w:tr w:rsidR="00410DFB" w:rsidRPr="009D4010" w14:paraId="2CCE67CE"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FE66BA" w14:textId="77777777" w:rsidR="00410DFB" w:rsidRPr="00CB1313" w:rsidRDefault="00410DFB" w:rsidP="00410DFB">
            <w:pPr>
              <w:spacing w:after="0"/>
            </w:pPr>
            <w: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B7BB46" w14:textId="77777777" w:rsidR="00410DFB" w:rsidRPr="00CB1313" w:rsidRDefault="00410DFB" w:rsidP="00410DFB">
            <w:pPr>
              <w:spacing w:after="0"/>
            </w:pPr>
            <w:r>
              <w:t>Padova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982DC4" w14:textId="77777777" w:rsidR="00410DFB" w:rsidRPr="00CB1313" w:rsidRDefault="00410DFB" w:rsidP="00410DFB">
            <w:pPr>
              <w:spacing w:after="0"/>
              <w:jc w:val="center"/>
            </w:pPr>
            <w:r>
              <w:t xml:space="preserve">        1.364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620A108"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10,6%</w:t>
            </w:r>
          </w:p>
        </w:tc>
      </w:tr>
      <w:tr w:rsidR="00410DFB" w:rsidRPr="009D4010" w14:paraId="07975A37"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7110A6" w14:textId="77777777" w:rsidR="00410DFB" w:rsidRPr="00CB1313" w:rsidRDefault="00410DFB" w:rsidP="00410DFB">
            <w:pPr>
              <w:spacing w:after="0"/>
            </w:pPr>
            <w: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98565E" w14:textId="77777777" w:rsidR="00410DFB" w:rsidRPr="00CB1313" w:rsidRDefault="00410DFB" w:rsidP="00410DFB">
            <w:pPr>
              <w:spacing w:after="0"/>
            </w:pPr>
            <w:r>
              <w:t>Vicenza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36387A" w14:textId="77777777" w:rsidR="00410DFB" w:rsidRPr="00CB1313" w:rsidRDefault="00410DFB" w:rsidP="00410DFB">
            <w:pPr>
              <w:spacing w:after="0"/>
              <w:jc w:val="center"/>
            </w:pPr>
            <w:r>
              <w:t xml:space="preserve">        1.318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321827B"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22,0%</w:t>
            </w:r>
          </w:p>
        </w:tc>
      </w:tr>
      <w:tr w:rsidR="00410DFB" w:rsidRPr="009D4010" w14:paraId="3EA59765"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6CA5EE" w14:textId="77777777" w:rsidR="00410DFB" w:rsidRPr="00CB1313" w:rsidRDefault="00410DFB" w:rsidP="00410DFB">
            <w:pPr>
              <w:spacing w:after="0"/>
            </w:pPr>
            <w: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266CE8" w14:textId="77777777" w:rsidR="00410DFB" w:rsidRPr="00CB1313" w:rsidRDefault="00410DFB" w:rsidP="00410DFB">
            <w:pPr>
              <w:spacing w:after="0"/>
            </w:pPr>
            <w:r>
              <w:t>Venezia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2CEB21" w14:textId="77777777" w:rsidR="00410DFB" w:rsidRPr="00CB1313" w:rsidRDefault="00410DFB" w:rsidP="00410DFB">
            <w:pPr>
              <w:spacing w:after="0"/>
              <w:jc w:val="center"/>
            </w:pPr>
            <w:r>
              <w:t xml:space="preserve">        1.299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E452B93"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15,9%</w:t>
            </w:r>
          </w:p>
        </w:tc>
      </w:tr>
      <w:tr w:rsidR="00410DFB" w:rsidRPr="009D4010" w14:paraId="0EE0CC6E"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ADD43B" w14:textId="77777777" w:rsidR="00410DFB" w:rsidRPr="00CB1313" w:rsidRDefault="00410DFB" w:rsidP="00410DFB">
            <w:pPr>
              <w:spacing w:after="0"/>
            </w:pPr>
            <w: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4B3D3C5" w14:textId="77777777" w:rsidR="00410DFB" w:rsidRPr="00CB1313" w:rsidRDefault="00410DFB" w:rsidP="00410DFB">
            <w:pPr>
              <w:spacing w:after="0"/>
            </w:pPr>
            <w:r>
              <w:t>Treviso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CFFB9D" w14:textId="77777777" w:rsidR="00410DFB" w:rsidRPr="00CB1313" w:rsidRDefault="00410DFB" w:rsidP="00410DFB">
            <w:pPr>
              <w:spacing w:after="0"/>
              <w:jc w:val="center"/>
            </w:pPr>
            <w:r>
              <w:t xml:space="preserve">        1.265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2F4A813"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14,4%</w:t>
            </w:r>
          </w:p>
        </w:tc>
      </w:tr>
      <w:tr w:rsidR="00410DFB" w:rsidRPr="009D4010" w14:paraId="15F60CD3"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10F3E2C" w14:textId="77777777" w:rsidR="00410DFB" w:rsidRPr="00CB1313" w:rsidRDefault="00410DFB" w:rsidP="00410DFB">
            <w:pPr>
              <w:spacing w:after="0"/>
            </w:pPr>
            <w: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D11041" w14:textId="77777777" w:rsidR="00410DFB" w:rsidRPr="00CB1313" w:rsidRDefault="00410DFB" w:rsidP="00410DFB">
            <w:pPr>
              <w:spacing w:after="0"/>
            </w:pPr>
            <w:r>
              <w:t>Rovigo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69412B" w14:textId="77777777" w:rsidR="00410DFB" w:rsidRPr="00CB1313" w:rsidRDefault="00410DFB" w:rsidP="00410DFB">
            <w:pPr>
              <w:spacing w:after="0"/>
              <w:jc w:val="center"/>
            </w:pPr>
            <w:r>
              <w:t xml:space="preserve">        1.217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3F5C0E6"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14,0%</w:t>
            </w:r>
          </w:p>
        </w:tc>
      </w:tr>
      <w:tr w:rsidR="00410DFB" w:rsidRPr="009D4010" w14:paraId="1E3B2A17"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56C941" w14:textId="77777777" w:rsidR="00410DFB" w:rsidRPr="00CB1313" w:rsidRDefault="00410DFB" w:rsidP="00410DFB">
            <w:pPr>
              <w:spacing w:after="0"/>
            </w:pPr>
            <w: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738AD8" w14:textId="77777777" w:rsidR="00410DFB" w:rsidRPr="00CB1313" w:rsidRDefault="00410DFB" w:rsidP="00410DFB">
            <w:pPr>
              <w:spacing w:after="0"/>
            </w:pPr>
            <w:r>
              <w:t>Verona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A25E34" w14:textId="77777777" w:rsidR="00410DFB" w:rsidRPr="00CB1313" w:rsidRDefault="00410DFB" w:rsidP="00410DFB">
            <w:pPr>
              <w:spacing w:after="0"/>
              <w:jc w:val="center"/>
            </w:pPr>
            <w:r>
              <w:t xml:space="preserve">        1.096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204D3B8"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25,1%</w:t>
            </w:r>
          </w:p>
        </w:tc>
      </w:tr>
      <w:tr w:rsidR="00410DFB" w:rsidRPr="009D4010" w14:paraId="1BE3D70B" w14:textId="77777777" w:rsidTr="00586E57">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CA6B93" w14:textId="77777777" w:rsidR="00410DFB" w:rsidRPr="00CB1313" w:rsidRDefault="00410DFB" w:rsidP="00410DFB">
            <w:pPr>
              <w:spacing w:after="0"/>
            </w:pPr>
            <w: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8DE196" w14:textId="77777777" w:rsidR="00410DFB" w:rsidRPr="00CB1313" w:rsidRDefault="00410DFB" w:rsidP="00410DFB">
            <w:pPr>
              <w:spacing w:after="0"/>
            </w:pPr>
            <w:r>
              <w:t>Belluno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1402A5" w14:textId="77777777" w:rsidR="00410DFB" w:rsidRPr="00CB1313" w:rsidRDefault="00410DFB" w:rsidP="00410DFB">
            <w:pPr>
              <w:spacing w:after="0"/>
              <w:jc w:val="center"/>
            </w:pPr>
            <w:r>
              <w:t xml:space="preserve">        1.080 </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6B654E7" w14:textId="77777777" w:rsidR="00410DFB" w:rsidRPr="009D4010" w:rsidRDefault="00410DFB" w:rsidP="00410DFB">
            <w:pPr>
              <w:spacing w:after="0" w:line="240" w:lineRule="auto"/>
              <w:jc w:val="center"/>
              <w:rPr>
                <w:rFonts w:eastAsia="Times New Roman" w:cs="Times New Roman"/>
                <w:color w:val="9C0006"/>
                <w:bdr w:val="none" w:sz="0" w:space="0" w:color="auto"/>
              </w:rPr>
            </w:pPr>
            <w:r>
              <w:rPr>
                <w:color w:val="9C0006"/>
              </w:rPr>
              <w:t>2,7%</w:t>
            </w:r>
          </w:p>
        </w:tc>
      </w:tr>
      <w:tr w:rsidR="00D91289" w:rsidRPr="00D44AA7" w14:paraId="19AAC3C6" w14:textId="77777777" w:rsidTr="005E3077">
        <w:tblPrEx>
          <w:shd w:val="clear" w:color="auto" w:fill="CDD4E9"/>
        </w:tblPrEx>
        <w:trPr>
          <w:trHeight w:val="567"/>
          <w:jc w:val="center"/>
        </w:trPr>
        <w:tc>
          <w:tcPr>
            <w:tcW w:w="8227" w:type="dxa"/>
            <w:gridSpan w:val="4"/>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EBD9285" w14:textId="77777777" w:rsidR="00D91289" w:rsidRPr="00D44AA7" w:rsidRDefault="002B5E81" w:rsidP="00C61C68">
            <w:pPr>
              <w:spacing w:after="0" w:line="240" w:lineRule="auto"/>
              <w:contextualSpacing/>
              <w:rPr>
                <w:rFonts w:cs="Calibri"/>
              </w:rPr>
            </w:pPr>
            <w:r w:rsidRPr="00D44AA7">
              <w:rPr>
                <w:rFonts w:eastAsia="Times New Roman" w:cs="Calibri"/>
                <w:color w:val="auto"/>
                <w:sz w:val="20"/>
                <w:szCs w:val="20"/>
                <w:bdr w:val="none" w:sz="0" w:space="0" w:color="auto"/>
              </w:rPr>
              <w:t>Nella quarta colonna i colori rosso e verde indicano rispettivamente un aumento o una diminuzione percentuale dei nuovi casi rispetto alla settimana precedente.</w:t>
            </w:r>
          </w:p>
        </w:tc>
      </w:tr>
    </w:tbl>
    <w:p w14:paraId="47253309" w14:textId="77777777" w:rsidR="0080409E" w:rsidRPr="00D44AA7" w:rsidRDefault="0080409E" w:rsidP="004D16FF"/>
    <w:p w14:paraId="7923AB45" w14:textId="77777777" w:rsidR="00764162" w:rsidRPr="00D44AA7" w:rsidRDefault="00764162"/>
    <w:p w14:paraId="686E6F73" w14:textId="77777777" w:rsidR="005E38B7" w:rsidRPr="00D44AA7" w:rsidRDefault="005E38B7" w:rsidP="005E38B7">
      <w:pPr>
        <w:widowControl w:val="0"/>
        <w:spacing w:after="80" w:line="240" w:lineRule="auto"/>
        <w:jc w:val="center"/>
      </w:pPr>
    </w:p>
    <w:p w14:paraId="6FB67281" w14:textId="77777777" w:rsidR="005E38B7" w:rsidRPr="00D44AA7" w:rsidRDefault="005E38B7"/>
    <w:sectPr w:rsidR="005E38B7" w:rsidRPr="00D44AA7" w:rsidSect="005B4AE1">
      <w:pgSz w:w="11900" w:h="16840"/>
      <w:pgMar w:top="1134"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E0FFB" w14:textId="77777777" w:rsidR="005D4218" w:rsidRDefault="005D4218">
      <w:pPr>
        <w:spacing w:after="0" w:line="240" w:lineRule="auto"/>
      </w:pPr>
      <w:r>
        <w:separator/>
      </w:r>
    </w:p>
  </w:endnote>
  <w:endnote w:type="continuationSeparator" w:id="0">
    <w:p w14:paraId="5923B7F8" w14:textId="77777777" w:rsidR="005D4218" w:rsidRDefault="005D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DC77D" w14:textId="77777777" w:rsidR="005D4218" w:rsidRDefault="005D4218">
      <w:pPr>
        <w:spacing w:after="0" w:line="240" w:lineRule="auto"/>
      </w:pPr>
      <w:r>
        <w:separator/>
      </w:r>
    </w:p>
  </w:footnote>
  <w:footnote w:type="continuationSeparator" w:id="0">
    <w:p w14:paraId="6AA453E5" w14:textId="77777777" w:rsidR="005D4218" w:rsidRDefault="005D4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D155" w14:textId="2B01F550" w:rsidR="005E1FCD" w:rsidRPr="00C717E5" w:rsidRDefault="005E1FCD" w:rsidP="006B3273">
    <w:pPr>
      <w:pStyle w:val="Intestazione"/>
      <w:spacing w:after="160"/>
      <w:rPr>
        <w:b/>
        <w:color w:val="FF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4E8"/>
    <w:multiLevelType w:val="hybridMultilevel"/>
    <w:tmpl w:val="D040A854"/>
    <w:styleLink w:val="Stileimportato2"/>
    <w:lvl w:ilvl="0" w:tplc="1DBC22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4C6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ADE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4C8A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812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A4D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4A17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C8E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E0B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EA64BC"/>
    <w:multiLevelType w:val="hybridMultilevel"/>
    <w:tmpl w:val="96F6CF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AA843EA"/>
    <w:multiLevelType w:val="hybridMultilevel"/>
    <w:tmpl w:val="3F8C4CC8"/>
    <w:styleLink w:val="Stileimportato1"/>
    <w:lvl w:ilvl="0" w:tplc="1130B0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64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41F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65A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6D5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B8BE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C80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CEC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5C6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862197"/>
    <w:multiLevelType w:val="hybridMultilevel"/>
    <w:tmpl w:val="869440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21779F4"/>
    <w:multiLevelType w:val="hybridMultilevel"/>
    <w:tmpl w:val="BC9ADE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C575F"/>
    <w:multiLevelType w:val="hybridMultilevel"/>
    <w:tmpl w:val="1F6485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B41235F"/>
    <w:multiLevelType w:val="hybridMultilevel"/>
    <w:tmpl w:val="652CA2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FF87F41"/>
    <w:multiLevelType w:val="hybridMultilevel"/>
    <w:tmpl w:val="43D6B9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7E7BAF"/>
    <w:multiLevelType w:val="hybridMultilevel"/>
    <w:tmpl w:val="75583F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2093871"/>
    <w:multiLevelType w:val="hybridMultilevel"/>
    <w:tmpl w:val="EB22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9A6A66"/>
    <w:multiLevelType w:val="hybridMultilevel"/>
    <w:tmpl w:val="11F64F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3A32E7B"/>
    <w:multiLevelType w:val="hybridMultilevel"/>
    <w:tmpl w:val="BD90AF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40A12CA"/>
    <w:multiLevelType w:val="hybridMultilevel"/>
    <w:tmpl w:val="26388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175159"/>
    <w:multiLevelType w:val="hybridMultilevel"/>
    <w:tmpl w:val="14CC1B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D6928C1"/>
    <w:multiLevelType w:val="hybridMultilevel"/>
    <w:tmpl w:val="42A400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59F1D45"/>
    <w:multiLevelType w:val="hybridMultilevel"/>
    <w:tmpl w:val="44BAFC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C076C38"/>
    <w:multiLevelType w:val="hybridMultilevel"/>
    <w:tmpl w:val="038C6C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26C30FE"/>
    <w:multiLevelType w:val="hybridMultilevel"/>
    <w:tmpl w:val="8DD6BF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A930BDF"/>
    <w:multiLevelType w:val="hybridMultilevel"/>
    <w:tmpl w:val="3BB858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18B5854"/>
    <w:multiLevelType w:val="hybridMultilevel"/>
    <w:tmpl w:val="9A5C2F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A480D13"/>
    <w:multiLevelType w:val="hybridMultilevel"/>
    <w:tmpl w:val="986AB3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F5E423A"/>
    <w:multiLevelType w:val="hybridMultilevel"/>
    <w:tmpl w:val="BC8848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29E6319"/>
    <w:multiLevelType w:val="hybridMultilevel"/>
    <w:tmpl w:val="E8FEFF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A416E13"/>
    <w:multiLevelType w:val="hybridMultilevel"/>
    <w:tmpl w:val="40660F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7"/>
  </w:num>
  <w:num w:numId="4">
    <w:abstractNumId w:val="18"/>
  </w:num>
  <w:num w:numId="5">
    <w:abstractNumId w:val="6"/>
  </w:num>
  <w:num w:numId="6">
    <w:abstractNumId w:val="10"/>
  </w:num>
  <w:num w:numId="7">
    <w:abstractNumId w:val="5"/>
  </w:num>
  <w:num w:numId="8">
    <w:abstractNumId w:val="15"/>
  </w:num>
  <w:num w:numId="9">
    <w:abstractNumId w:val="16"/>
  </w:num>
  <w:num w:numId="10">
    <w:abstractNumId w:val="13"/>
  </w:num>
  <w:num w:numId="11">
    <w:abstractNumId w:val="8"/>
  </w:num>
  <w:num w:numId="12">
    <w:abstractNumId w:val="21"/>
  </w:num>
  <w:num w:numId="13">
    <w:abstractNumId w:val="23"/>
  </w:num>
  <w:num w:numId="14">
    <w:abstractNumId w:val="4"/>
  </w:num>
  <w:num w:numId="15">
    <w:abstractNumId w:val="19"/>
  </w:num>
  <w:num w:numId="16">
    <w:abstractNumId w:val="17"/>
  </w:num>
  <w:num w:numId="17">
    <w:abstractNumId w:val="20"/>
  </w:num>
  <w:num w:numId="18">
    <w:abstractNumId w:val="11"/>
  </w:num>
  <w:num w:numId="19">
    <w:abstractNumId w:val="14"/>
  </w:num>
  <w:num w:numId="20">
    <w:abstractNumId w:val="1"/>
  </w:num>
  <w:num w:numId="21">
    <w:abstractNumId w:val="3"/>
  </w:num>
  <w:num w:numId="22">
    <w:abstractNumId w:val="22"/>
  </w:num>
  <w:num w:numId="23">
    <w:abstractNumId w:val="9"/>
  </w:num>
  <w:num w:numId="2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82B"/>
    <w:rsid w:val="00000FEF"/>
    <w:rsid w:val="000022A7"/>
    <w:rsid w:val="00002300"/>
    <w:rsid w:val="0000244C"/>
    <w:rsid w:val="000027F8"/>
    <w:rsid w:val="000043C6"/>
    <w:rsid w:val="00004BE3"/>
    <w:rsid w:val="00004BF7"/>
    <w:rsid w:val="00004CA3"/>
    <w:rsid w:val="00004D92"/>
    <w:rsid w:val="00005129"/>
    <w:rsid w:val="00005172"/>
    <w:rsid w:val="000056DE"/>
    <w:rsid w:val="000066F6"/>
    <w:rsid w:val="0000714A"/>
    <w:rsid w:val="000078FA"/>
    <w:rsid w:val="00007BF9"/>
    <w:rsid w:val="00007D52"/>
    <w:rsid w:val="00010548"/>
    <w:rsid w:val="00010F65"/>
    <w:rsid w:val="0001119D"/>
    <w:rsid w:val="0001122C"/>
    <w:rsid w:val="00011791"/>
    <w:rsid w:val="00011E61"/>
    <w:rsid w:val="00011F4F"/>
    <w:rsid w:val="00012113"/>
    <w:rsid w:val="0001299A"/>
    <w:rsid w:val="00012B67"/>
    <w:rsid w:val="0001337E"/>
    <w:rsid w:val="00013655"/>
    <w:rsid w:val="00014385"/>
    <w:rsid w:val="00014C7B"/>
    <w:rsid w:val="00015574"/>
    <w:rsid w:val="00015BAE"/>
    <w:rsid w:val="00016690"/>
    <w:rsid w:val="00017890"/>
    <w:rsid w:val="0002043C"/>
    <w:rsid w:val="000206F4"/>
    <w:rsid w:val="0002125E"/>
    <w:rsid w:val="00021C19"/>
    <w:rsid w:val="000222A5"/>
    <w:rsid w:val="00023784"/>
    <w:rsid w:val="00024C2D"/>
    <w:rsid w:val="00024FD2"/>
    <w:rsid w:val="0002522B"/>
    <w:rsid w:val="00026518"/>
    <w:rsid w:val="00026849"/>
    <w:rsid w:val="00027033"/>
    <w:rsid w:val="000276DE"/>
    <w:rsid w:val="000300C2"/>
    <w:rsid w:val="00030535"/>
    <w:rsid w:val="0003144B"/>
    <w:rsid w:val="00031CD6"/>
    <w:rsid w:val="00032112"/>
    <w:rsid w:val="0003262E"/>
    <w:rsid w:val="00032658"/>
    <w:rsid w:val="00033800"/>
    <w:rsid w:val="00033A78"/>
    <w:rsid w:val="00033CE4"/>
    <w:rsid w:val="0003499E"/>
    <w:rsid w:val="00034A98"/>
    <w:rsid w:val="0003516A"/>
    <w:rsid w:val="000352B4"/>
    <w:rsid w:val="000354CC"/>
    <w:rsid w:val="000356DF"/>
    <w:rsid w:val="00036428"/>
    <w:rsid w:val="000365C2"/>
    <w:rsid w:val="00036D4B"/>
    <w:rsid w:val="00036D6B"/>
    <w:rsid w:val="000373F1"/>
    <w:rsid w:val="00037451"/>
    <w:rsid w:val="00037A0A"/>
    <w:rsid w:val="00037F01"/>
    <w:rsid w:val="00040108"/>
    <w:rsid w:val="000403D3"/>
    <w:rsid w:val="00040D5E"/>
    <w:rsid w:val="000410EA"/>
    <w:rsid w:val="000415C2"/>
    <w:rsid w:val="00041695"/>
    <w:rsid w:val="00041719"/>
    <w:rsid w:val="00041D6E"/>
    <w:rsid w:val="000421A9"/>
    <w:rsid w:val="00042A2C"/>
    <w:rsid w:val="00042E7E"/>
    <w:rsid w:val="000430E9"/>
    <w:rsid w:val="00043C39"/>
    <w:rsid w:val="00044665"/>
    <w:rsid w:val="00044ABB"/>
    <w:rsid w:val="00044C9B"/>
    <w:rsid w:val="00044EB9"/>
    <w:rsid w:val="000453E7"/>
    <w:rsid w:val="0004577B"/>
    <w:rsid w:val="00046B65"/>
    <w:rsid w:val="0004762F"/>
    <w:rsid w:val="00047BCE"/>
    <w:rsid w:val="0005001A"/>
    <w:rsid w:val="00051038"/>
    <w:rsid w:val="0005206B"/>
    <w:rsid w:val="000523C5"/>
    <w:rsid w:val="00052578"/>
    <w:rsid w:val="000531D1"/>
    <w:rsid w:val="000542D3"/>
    <w:rsid w:val="0005433B"/>
    <w:rsid w:val="00054A26"/>
    <w:rsid w:val="00054D1D"/>
    <w:rsid w:val="000552E2"/>
    <w:rsid w:val="0005613E"/>
    <w:rsid w:val="0005670B"/>
    <w:rsid w:val="00056C03"/>
    <w:rsid w:val="000572F4"/>
    <w:rsid w:val="00057324"/>
    <w:rsid w:val="0005772C"/>
    <w:rsid w:val="00057C36"/>
    <w:rsid w:val="00057E5F"/>
    <w:rsid w:val="00057F3D"/>
    <w:rsid w:val="0006040F"/>
    <w:rsid w:val="00060FAC"/>
    <w:rsid w:val="00061647"/>
    <w:rsid w:val="00061D4E"/>
    <w:rsid w:val="00062223"/>
    <w:rsid w:val="000625F5"/>
    <w:rsid w:val="00062A6E"/>
    <w:rsid w:val="00063061"/>
    <w:rsid w:val="00063092"/>
    <w:rsid w:val="000636C7"/>
    <w:rsid w:val="00063723"/>
    <w:rsid w:val="00063DA8"/>
    <w:rsid w:val="0006525F"/>
    <w:rsid w:val="000653E7"/>
    <w:rsid w:val="0006599B"/>
    <w:rsid w:val="00065C95"/>
    <w:rsid w:val="00066602"/>
    <w:rsid w:val="0006669C"/>
    <w:rsid w:val="000668DA"/>
    <w:rsid w:val="00067039"/>
    <w:rsid w:val="000673B6"/>
    <w:rsid w:val="00067A2E"/>
    <w:rsid w:val="00067B8B"/>
    <w:rsid w:val="00070D71"/>
    <w:rsid w:val="00071568"/>
    <w:rsid w:val="00071A13"/>
    <w:rsid w:val="00071C3B"/>
    <w:rsid w:val="0007243C"/>
    <w:rsid w:val="00072AFD"/>
    <w:rsid w:val="00072C04"/>
    <w:rsid w:val="00072F7C"/>
    <w:rsid w:val="00073532"/>
    <w:rsid w:val="00073A8A"/>
    <w:rsid w:val="00073DFF"/>
    <w:rsid w:val="000743B7"/>
    <w:rsid w:val="000747A9"/>
    <w:rsid w:val="00074E5F"/>
    <w:rsid w:val="00074FDD"/>
    <w:rsid w:val="000753BA"/>
    <w:rsid w:val="0007555B"/>
    <w:rsid w:val="00075694"/>
    <w:rsid w:val="00075EF2"/>
    <w:rsid w:val="00076216"/>
    <w:rsid w:val="000762C3"/>
    <w:rsid w:val="00077B4C"/>
    <w:rsid w:val="00077B7F"/>
    <w:rsid w:val="00077DC5"/>
    <w:rsid w:val="00080225"/>
    <w:rsid w:val="000803DA"/>
    <w:rsid w:val="0008040C"/>
    <w:rsid w:val="00080BE8"/>
    <w:rsid w:val="00080F14"/>
    <w:rsid w:val="00081240"/>
    <w:rsid w:val="000814C4"/>
    <w:rsid w:val="000814F9"/>
    <w:rsid w:val="00081B96"/>
    <w:rsid w:val="0008254A"/>
    <w:rsid w:val="0008271E"/>
    <w:rsid w:val="0008362E"/>
    <w:rsid w:val="00083804"/>
    <w:rsid w:val="00083DE2"/>
    <w:rsid w:val="0008457A"/>
    <w:rsid w:val="00084E0B"/>
    <w:rsid w:val="00085386"/>
    <w:rsid w:val="00085AF6"/>
    <w:rsid w:val="00085D13"/>
    <w:rsid w:val="000867DD"/>
    <w:rsid w:val="000871FB"/>
    <w:rsid w:val="00087236"/>
    <w:rsid w:val="00087B77"/>
    <w:rsid w:val="00087ED7"/>
    <w:rsid w:val="00091A87"/>
    <w:rsid w:val="00091D56"/>
    <w:rsid w:val="00092022"/>
    <w:rsid w:val="0009249D"/>
    <w:rsid w:val="00093AE7"/>
    <w:rsid w:val="0009411D"/>
    <w:rsid w:val="00095584"/>
    <w:rsid w:val="00095667"/>
    <w:rsid w:val="00095DC5"/>
    <w:rsid w:val="00096350"/>
    <w:rsid w:val="00096577"/>
    <w:rsid w:val="000A00BA"/>
    <w:rsid w:val="000A0380"/>
    <w:rsid w:val="000A08BA"/>
    <w:rsid w:val="000A0920"/>
    <w:rsid w:val="000A0EDA"/>
    <w:rsid w:val="000A1093"/>
    <w:rsid w:val="000A1424"/>
    <w:rsid w:val="000A3264"/>
    <w:rsid w:val="000A39B8"/>
    <w:rsid w:val="000A422E"/>
    <w:rsid w:val="000A53F4"/>
    <w:rsid w:val="000A57A1"/>
    <w:rsid w:val="000A6581"/>
    <w:rsid w:val="000A6DB2"/>
    <w:rsid w:val="000A72BA"/>
    <w:rsid w:val="000A7D97"/>
    <w:rsid w:val="000A7DDA"/>
    <w:rsid w:val="000A7E95"/>
    <w:rsid w:val="000A7EA7"/>
    <w:rsid w:val="000B0339"/>
    <w:rsid w:val="000B0548"/>
    <w:rsid w:val="000B0AC0"/>
    <w:rsid w:val="000B119C"/>
    <w:rsid w:val="000B1B66"/>
    <w:rsid w:val="000B1D1D"/>
    <w:rsid w:val="000B211A"/>
    <w:rsid w:val="000B21CF"/>
    <w:rsid w:val="000B242E"/>
    <w:rsid w:val="000B2449"/>
    <w:rsid w:val="000B25F9"/>
    <w:rsid w:val="000B3CDF"/>
    <w:rsid w:val="000B4554"/>
    <w:rsid w:val="000B47B9"/>
    <w:rsid w:val="000B4A82"/>
    <w:rsid w:val="000B53A4"/>
    <w:rsid w:val="000B5AC9"/>
    <w:rsid w:val="000B6238"/>
    <w:rsid w:val="000B68AC"/>
    <w:rsid w:val="000B6BAC"/>
    <w:rsid w:val="000C07AC"/>
    <w:rsid w:val="000C0A45"/>
    <w:rsid w:val="000C0B9A"/>
    <w:rsid w:val="000C1E98"/>
    <w:rsid w:val="000C22FE"/>
    <w:rsid w:val="000C2BD2"/>
    <w:rsid w:val="000C3C3C"/>
    <w:rsid w:val="000C3DE4"/>
    <w:rsid w:val="000C4285"/>
    <w:rsid w:val="000C46E0"/>
    <w:rsid w:val="000C63F8"/>
    <w:rsid w:val="000C645E"/>
    <w:rsid w:val="000C6B69"/>
    <w:rsid w:val="000C7105"/>
    <w:rsid w:val="000C789B"/>
    <w:rsid w:val="000C7A89"/>
    <w:rsid w:val="000D0625"/>
    <w:rsid w:val="000D08C8"/>
    <w:rsid w:val="000D0980"/>
    <w:rsid w:val="000D1250"/>
    <w:rsid w:val="000D1503"/>
    <w:rsid w:val="000D1F5C"/>
    <w:rsid w:val="000D24D7"/>
    <w:rsid w:val="000D2A90"/>
    <w:rsid w:val="000D2CAA"/>
    <w:rsid w:val="000D3B36"/>
    <w:rsid w:val="000D40CB"/>
    <w:rsid w:val="000D4255"/>
    <w:rsid w:val="000D4370"/>
    <w:rsid w:val="000D57B4"/>
    <w:rsid w:val="000D5878"/>
    <w:rsid w:val="000D5B61"/>
    <w:rsid w:val="000D5C61"/>
    <w:rsid w:val="000D67CD"/>
    <w:rsid w:val="000D7077"/>
    <w:rsid w:val="000D75CD"/>
    <w:rsid w:val="000D7645"/>
    <w:rsid w:val="000D7A69"/>
    <w:rsid w:val="000D7DCE"/>
    <w:rsid w:val="000D7E45"/>
    <w:rsid w:val="000D7EE3"/>
    <w:rsid w:val="000E07A2"/>
    <w:rsid w:val="000E0BCB"/>
    <w:rsid w:val="000E0C48"/>
    <w:rsid w:val="000E1A5A"/>
    <w:rsid w:val="000E1ABF"/>
    <w:rsid w:val="000E1C12"/>
    <w:rsid w:val="000E238A"/>
    <w:rsid w:val="000E2D17"/>
    <w:rsid w:val="000E3472"/>
    <w:rsid w:val="000E476D"/>
    <w:rsid w:val="000E4901"/>
    <w:rsid w:val="000E4A1A"/>
    <w:rsid w:val="000E506B"/>
    <w:rsid w:val="000E5ABA"/>
    <w:rsid w:val="000E60E1"/>
    <w:rsid w:val="000E60EB"/>
    <w:rsid w:val="000E64DA"/>
    <w:rsid w:val="000E6F3B"/>
    <w:rsid w:val="000E770E"/>
    <w:rsid w:val="000E781A"/>
    <w:rsid w:val="000E7A53"/>
    <w:rsid w:val="000F0385"/>
    <w:rsid w:val="000F09AA"/>
    <w:rsid w:val="000F159D"/>
    <w:rsid w:val="000F1839"/>
    <w:rsid w:val="000F1EC4"/>
    <w:rsid w:val="000F2082"/>
    <w:rsid w:val="000F2389"/>
    <w:rsid w:val="000F387B"/>
    <w:rsid w:val="000F3AC7"/>
    <w:rsid w:val="000F4209"/>
    <w:rsid w:val="000F4917"/>
    <w:rsid w:val="000F5019"/>
    <w:rsid w:val="000F50A4"/>
    <w:rsid w:val="000F63CB"/>
    <w:rsid w:val="000F6D38"/>
    <w:rsid w:val="000F6EBD"/>
    <w:rsid w:val="000F6FE7"/>
    <w:rsid w:val="000F704A"/>
    <w:rsid w:val="000F7752"/>
    <w:rsid w:val="00100D0A"/>
    <w:rsid w:val="001014E8"/>
    <w:rsid w:val="00101803"/>
    <w:rsid w:val="00101EE1"/>
    <w:rsid w:val="00102089"/>
    <w:rsid w:val="001022BC"/>
    <w:rsid w:val="00102EF5"/>
    <w:rsid w:val="00103B2C"/>
    <w:rsid w:val="001043C7"/>
    <w:rsid w:val="0010442F"/>
    <w:rsid w:val="001047B6"/>
    <w:rsid w:val="00104974"/>
    <w:rsid w:val="00104B88"/>
    <w:rsid w:val="00104DDA"/>
    <w:rsid w:val="0010568D"/>
    <w:rsid w:val="00106801"/>
    <w:rsid w:val="00106888"/>
    <w:rsid w:val="00106B84"/>
    <w:rsid w:val="00110316"/>
    <w:rsid w:val="001104E4"/>
    <w:rsid w:val="00111ED5"/>
    <w:rsid w:val="00111EF8"/>
    <w:rsid w:val="00111F9A"/>
    <w:rsid w:val="00112328"/>
    <w:rsid w:val="00112E06"/>
    <w:rsid w:val="001130FB"/>
    <w:rsid w:val="00113933"/>
    <w:rsid w:val="00113F04"/>
    <w:rsid w:val="00113F85"/>
    <w:rsid w:val="00114088"/>
    <w:rsid w:val="00114459"/>
    <w:rsid w:val="00114A78"/>
    <w:rsid w:val="00115B80"/>
    <w:rsid w:val="00115C48"/>
    <w:rsid w:val="00116006"/>
    <w:rsid w:val="00116B12"/>
    <w:rsid w:val="00116C56"/>
    <w:rsid w:val="00116C93"/>
    <w:rsid w:val="00117C6A"/>
    <w:rsid w:val="00117E10"/>
    <w:rsid w:val="001203E4"/>
    <w:rsid w:val="0012099D"/>
    <w:rsid w:val="00120DCD"/>
    <w:rsid w:val="00120F46"/>
    <w:rsid w:val="00121EB7"/>
    <w:rsid w:val="00122302"/>
    <w:rsid w:val="0012327E"/>
    <w:rsid w:val="0012383F"/>
    <w:rsid w:val="00123878"/>
    <w:rsid w:val="00123934"/>
    <w:rsid w:val="0012399B"/>
    <w:rsid w:val="00123A0D"/>
    <w:rsid w:val="00123B8F"/>
    <w:rsid w:val="0012436D"/>
    <w:rsid w:val="00124890"/>
    <w:rsid w:val="00124C08"/>
    <w:rsid w:val="00124EFF"/>
    <w:rsid w:val="0012540D"/>
    <w:rsid w:val="00126291"/>
    <w:rsid w:val="00126938"/>
    <w:rsid w:val="00126C0E"/>
    <w:rsid w:val="00127096"/>
    <w:rsid w:val="00127307"/>
    <w:rsid w:val="00127892"/>
    <w:rsid w:val="00127AA8"/>
    <w:rsid w:val="00130464"/>
    <w:rsid w:val="001304B0"/>
    <w:rsid w:val="0013062E"/>
    <w:rsid w:val="0013077F"/>
    <w:rsid w:val="00130B71"/>
    <w:rsid w:val="00131B77"/>
    <w:rsid w:val="00131B83"/>
    <w:rsid w:val="00131BD2"/>
    <w:rsid w:val="00131ECD"/>
    <w:rsid w:val="001324D5"/>
    <w:rsid w:val="00132966"/>
    <w:rsid w:val="00132BF8"/>
    <w:rsid w:val="001343AE"/>
    <w:rsid w:val="00134D05"/>
    <w:rsid w:val="00135006"/>
    <w:rsid w:val="00135D77"/>
    <w:rsid w:val="00135DBC"/>
    <w:rsid w:val="00136196"/>
    <w:rsid w:val="00136581"/>
    <w:rsid w:val="001367B8"/>
    <w:rsid w:val="00136FF5"/>
    <w:rsid w:val="001378AD"/>
    <w:rsid w:val="0014031D"/>
    <w:rsid w:val="001410D3"/>
    <w:rsid w:val="0014184C"/>
    <w:rsid w:val="00141D1E"/>
    <w:rsid w:val="00141E72"/>
    <w:rsid w:val="00141F0A"/>
    <w:rsid w:val="00141F2B"/>
    <w:rsid w:val="00141F2F"/>
    <w:rsid w:val="00142677"/>
    <w:rsid w:val="001429C0"/>
    <w:rsid w:val="001434A9"/>
    <w:rsid w:val="00143D58"/>
    <w:rsid w:val="001440A0"/>
    <w:rsid w:val="00144669"/>
    <w:rsid w:val="00144E5A"/>
    <w:rsid w:val="0014500F"/>
    <w:rsid w:val="00145D4E"/>
    <w:rsid w:val="00146286"/>
    <w:rsid w:val="00147243"/>
    <w:rsid w:val="001473B8"/>
    <w:rsid w:val="0014788C"/>
    <w:rsid w:val="00147D1B"/>
    <w:rsid w:val="00150022"/>
    <w:rsid w:val="00150920"/>
    <w:rsid w:val="00150E81"/>
    <w:rsid w:val="00150F3B"/>
    <w:rsid w:val="001513A9"/>
    <w:rsid w:val="001518FD"/>
    <w:rsid w:val="001520F7"/>
    <w:rsid w:val="00152127"/>
    <w:rsid w:val="001527E3"/>
    <w:rsid w:val="00152D1F"/>
    <w:rsid w:val="001532BC"/>
    <w:rsid w:val="001533C7"/>
    <w:rsid w:val="001533DC"/>
    <w:rsid w:val="00153627"/>
    <w:rsid w:val="001536E7"/>
    <w:rsid w:val="001546C9"/>
    <w:rsid w:val="00154EE5"/>
    <w:rsid w:val="00156214"/>
    <w:rsid w:val="00157CBE"/>
    <w:rsid w:val="00157E6E"/>
    <w:rsid w:val="00157F8B"/>
    <w:rsid w:val="00160B7B"/>
    <w:rsid w:val="00161281"/>
    <w:rsid w:val="00161433"/>
    <w:rsid w:val="00161AEE"/>
    <w:rsid w:val="001626C3"/>
    <w:rsid w:val="00162B3C"/>
    <w:rsid w:val="00162BE4"/>
    <w:rsid w:val="00162D8C"/>
    <w:rsid w:val="0016301A"/>
    <w:rsid w:val="0016350E"/>
    <w:rsid w:val="00163CCF"/>
    <w:rsid w:val="00164036"/>
    <w:rsid w:val="001647A3"/>
    <w:rsid w:val="001649D7"/>
    <w:rsid w:val="00164A5D"/>
    <w:rsid w:val="00165554"/>
    <w:rsid w:val="00165DE9"/>
    <w:rsid w:val="001667ED"/>
    <w:rsid w:val="00166F65"/>
    <w:rsid w:val="0016753E"/>
    <w:rsid w:val="0016781B"/>
    <w:rsid w:val="00167984"/>
    <w:rsid w:val="00167C65"/>
    <w:rsid w:val="00170F6D"/>
    <w:rsid w:val="00171468"/>
    <w:rsid w:val="001715BB"/>
    <w:rsid w:val="00171FB8"/>
    <w:rsid w:val="0017205A"/>
    <w:rsid w:val="0017383E"/>
    <w:rsid w:val="00173E38"/>
    <w:rsid w:val="001749DD"/>
    <w:rsid w:val="001753F4"/>
    <w:rsid w:val="00175571"/>
    <w:rsid w:val="00175709"/>
    <w:rsid w:val="0017618E"/>
    <w:rsid w:val="00176234"/>
    <w:rsid w:val="00176590"/>
    <w:rsid w:val="00176B1E"/>
    <w:rsid w:val="00177874"/>
    <w:rsid w:val="00180318"/>
    <w:rsid w:val="001803BE"/>
    <w:rsid w:val="0018079D"/>
    <w:rsid w:val="00181994"/>
    <w:rsid w:val="00181F5C"/>
    <w:rsid w:val="00182713"/>
    <w:rsid w:val="0018288F"/>
    <w:rsid w:val="00183B21"/>
    <w:rsid w:val="00183FA3"/>
    <w:rsid w:val="00184068"/>
    <w:rsid w:val="00184E2C"/>
    <w:rsid w:val="001857E7"/>
    <w:rsid w:val="00185D5F"/>
    <w:rsid w:val="00186142"/>
    <w:rsid w:val="00186853"/>
    <w:rsid w:val="00186E2D"/>
    <w:rsid w:val="00186FBE"/>
    <w:rsid w:val="001876F5"/>
    <w:rsid w:val="00187DC9"/>
    <w:rsid w:val="00187EBF"/>
    <w:rsid w:val="0019090A"/>
    <w:rsid w:val="00190ADC"/>
    <w:rsid w:val="00190DB2"/>
    <w:rsid w:val="00191EB1"/>
    <w:rsid w:val="00192428"/>
    <w:rsid w:val="0019345D"/>
    <w:rsid w:val="00194070"/>
    <w:rsid w:val="001940FA"/>
    <w:rsid w:val="00194F60"/>
    <w:rsid w:val="001956DC"/>
    <w:rsid w:val="001956DE"/>
    <w:rsid w:val="0019613B"/>
    <w:rsid w:val="00196E72"/>
    <w:rsid w:val="00197134"/>
    <w:rsid w:val="00197435"/>
    <w:rsid w:val="001A09E4"/>
    <w:rsid w:val="001A1015"/>
    <w:rsid w:val="001A156C"/>
    <w:rsid w:val="001A1A34"/>
    <w:rsid w:val="001A1D07"/>
    <w:rsid w:val="001A1D6C"/>
    <w:rsid w:val="001A25C7"/>
    <w:rsid w:val="001A2A7F"/>
    <w:rsid w:val="001A2CC0"/>
    <w:rsid w:val="001A2F1B"/>
    <w:rsid w:val="001A2F4F"/>
    <w:rsid w:val="001A3572"/>
    <w:rsid w:val="001A37AC"/>
    <w:rsid w:val="001A3E0F"/>
    <w:rsid w:val="001A3E43"/>
    <w:rsid w:val="001A49EA"/>
    <w:rsid w:val="001A4ADB"/>
    <w:rsid w:val="001A503E"/>
    <w:rsid w:val="001A50D6"/>
    <w:rsid w:val="001A5713"/>
    <w:rsid w:val="001A5A00"/>
    <w:rsid w:val="001A633C"/>
    <w:rsid w:val="001A65C5"/>
    <w:rsid w:val="001A6AD7"/>
    <w:rsid w:val="001A6B1D"/>
    <w:rsid w:val="001A7237"/>
    <w:rsid w:val="001A78A9"/>
    <w:rsid w:val="001A791A"/>
    <w:rsid w:val="001A7CDE"/>
    <w:rsid w:val="001B0254"/>
    <w:rsid w:val="001B0691"/>
    <w:rsid w:val="001B0764"/>
    <w:rsid w:val="001B1084"/>
    <w:rsid w:val="001B1836"/>
    <w:rsid w:val="001B28CF"/>
    <w:rsid w:val="001B2CE3"/>
    <w:rsid w:val="001B3047"/>
    <w:rsid w:val="001B3764"/>
    <w:rsid w:val="001B3D34"/>
    <w:rsid w:val="001B3DE6"/>
    <w:rsid w:val="001B405E"/>
    <w:rsid w:val="001B4527"/>
    <w:rsid w:val="001B4571"/>
    <w:rsid w:val="001B4670"/>
    <w:rsid w:val="001B4693"/>
    <w:rsid w:val="001B4998"/>
    <w:rsid w:val="001B4F73"/>
    <w:rsid w:val="001B51CC"/>
    <w:rsid w:val="001B5BA0"/>
    <w:rsid w:val="001B71EA"/>
    <w:rsid w:val="001B723C"/>
    <w:rsid w:val="001B75D8"/>
    <w:rsid w:val="001C0240"/>
    <w:rsid w:val="001C0EBF"/>
    <w:rsid w:val="001C167C"/>
    <w:rsid w:val="001C20F5"/>
    <w:rsid w:val="001C3537"/>
    <w:rsid w:val="001C3B3C"/>
    <w:rsid w:val="001C3D01"/>
    <w:rsid w:val="001C3E66"/>
    <w:rsid w:val="001C5BEA"/>
    <w:rsid w:val="001C6ED6"/>
    <w:rsid w:val="001C70B3"/>
    <w:rsid w:val="001C7926"/>
    <w:rsid w:val="001C7E16"/>
    <w:rsid w:val="001D0234"/>
    <w:rsid w:val="001D082E"/>
    <w:rsid w:val="001D0883"/>
    <w:rsid w:val="001D0943"/>
    <w:rsid w:val="001D0E98"/>
    <w:rsid w:val="001D1070"/>
    <w:rsid w:val="001D12A5"/>
    <w:rsid w:val="001D13C8"/>
    <w:rsid w:val="001D1905"/>
    <w:rsid w:val="001D1D16"/>
    <w:rsid w:val="001D213D"/>
    <w:rsid w:val="001D224C"/>
    <w:rsid w:val="001D22BD"/>
    <w:rsid w:val="001D26AD"/>
    <w:rsid w:val="001D28BD"/>
    <w:rsid w:val="001D33A7"/>
    <w:rsid w:val="001D4639"/>
    <w:rsid w:val="001D48DB"/>
    <w:rsid w:val="001D4C72"/>
    <w:rsid w:val="001D4DDE"/>
    <w:rsid w:val="001D5639"/>
    <w:rsid w:val="001D5B10"/>
    <w:rsid w:val="001D5E5A"/>
    <w:rsid w:val="001D6F38"/>
    <w:rsid w:val="001D7E62"/>
    <w:rsid w:val="001D7FE5"/>
    <w:rsid w:val="001E1327"/>
    <w:rsid w:val="001E1FB2"/>
    <w:rsid w:val="001E2196"/>
    <w:rsid w:val="001E2453"/>
    <w:rsid w:val="001E297F"/>
    <w:rsid w:val="001E3B61"/>
    <w:rsid w:val="001E4641"/>
    <w:rsid w:val="001E4724"/>
    <w:rsid w:val="001E481E"/>
    <w:rsid w:val="001E49E6"/>
    <w:rsid w:val="001E4ABD"/>
    <w:rsid w:val="001E509A"/>
    <w:rsid w:val="001E5259"/>
    <w:rsid w:val="001E5653"/>
    <w:rsid w:val="001E5977"/>
    <w:rsid w:val="001E6262"/>
    <w:rsid w:val="001E7AB9"/>
    <w:rsid w:val="001E7D8F"/>
    <w:rsid w:val="001F00E4"/>
    <w:rsid w:val="001F0400"/>
    <w:rsid w:val="001F0985"/>
    <w:rsid w:val="001F1661"/>
    <w:rsid w:val="001F1DD8"/>
    <w:rsid w:val="001F1DEB"/>
    <w:rsid w:val="001F1E82"/>
    <w:rsid w:val="001F2A2D"/>
    <w:rsid w:val="001F2BEC"/>
    <w:rsid w:val="001F2C8A"/>
    <w:rsid w:val="001F2C8F"/>
    <w:rsid w:val="001F30E7"/>
    <w:rsid w:val="001F3785"/>
    <w:rsid w:val="001F4334"/>
    <w:rsid w:val="001F48D1"/>
    <w:rsid w:val="001F4A7E"/>
    <w:rsid w:val="001F4AD2"/>
    <w:rsid w:val="001F50EF"/>
    <w:rsid w:val="001F63AA"/>
    <w:rsid w:val="001F64EF"/>
    <w:rsid w:val="001F668D"/>
    <w:rsid w:val="001F67CE"/>
    <w:rsid w:val="001F6835"/>
    <w:rsid w:val="001F7135"/>
    <w:rsid w:val="001F7366"/>
    <w:rsid w:val="001F7612"/>
    <w:rsid w:val="00200155"/>
    <w:rsid w:val="00200400"/>
    <w:rsid w:val="002006FB"/>
    <w:rsid w:val="002008E2"/>
    <w:rsid w:val="00200DB8"/>
    <w:rsid w:val="00201768"/>
    <w:rsid w:val="00201A2D"/>
    <w:rsid w:val="00201D62"/>
    <w:rsid w:val="0020223B"/>
    <w:rsid w:val="00202793"/>
    <w:rsid w:val="00202D0A"/>
    <w:rsid w:val="00204993"/>
    <w:rsid w:val="00204BD9"/>
    <w:rsid w:val="00204D79"/>
    <w:rsid w:val="002054E6"/>
    <w:rsid w:val="002059AE"/>
    <w:rsid w:val="00205B01"/>
    <w:rsid w:val="0020699D"/>
    <w:rsid w:val="002075B3"/>
    <w:rsid w:val="00207D85"/>
    <w:rsid w:val="00207EFE"/>
    <w:rsid w:val="00210040"/>
    <w:rsid w:val="002101D9"/>
    <w:rsid w:val="00210AF9"/>
    <w:rsid w:val="002110E3"/>
    <w:rsid w:val="00211453"/>
    <w:rsid w:val="00211923"/>
    <w:rsid w:val="00211CA6"/>
    <w:rsid w:val="002122FF"/>
    <w:rsid w:val="002127CE"/>
    <w:rsid w:val="002127D1"/>
    <w:rsid w:val="00212F66"/>
    <w:rsid w:val="00213464"/>
    <w:rsid w:val="00213768"/>
    <w:rsid w:val="00213DE0"/>
    <w:rsid w:val="00213F85"/>
    <w:rsid w:val="00214B7C"/>
    <w:rsid w:val="0021525D"/>
    <w:rsid w:val="002158E7"/>
    <w:rsid w:val="00216973"/>
    <w:rsid w:val="00216F85"/>
    <w:rsid w:val="00217016"/>
    <w:rsid w:val="002171F6"/>
    <w:rsid w:val="00217A58"/>
    <w:rsid w:val="00217C57"/>
    <w:rsid w:val="002202C1"/>
    <w:rsid w:val="00220BCF"/>
    <w:rsid w:val="002222F6"/>
    <w:rsid w:val="0022308F"/>
    <w:rsid w:val="00223DBB"/>
    <w:rsid w:val="00223F5C"/>
    <w:rsid w:val="00224675"/>
    <w:rsid w:val="0022481D"/>
    <w:rsid w:val="0022544D"/>
    <w:rsid w:val="00226698"/>
    <w:rsid w:val="00226C11"/>
    <w:rsid w:val="00227577"/>
    <w:rsid w:val="002330ED"/>
    <w:rsid w:val="002344C4"/>
    <w:rsid w:val="002348FC"/>
    <w:rsid w:val="002349E6"/>
    <w:rsid w:val="00234AD6"/>
    <w:rsid w:val="00234B97"/>
    <w:rsid w:val="00234E8A"/>
    <w:rsid w:val="002351A0"/>
    <w:rsid w:val="00235552"/>
    <w:rsid w:val="00235E4D"/>
    <w:rsid w:val="00236626"/>
    <w:rsid w:val="0023670C"/>
    <w:rsid w:val="002369FF"/>
    <w:rsid w:val="00236FB0"/>
    <w:rsid w:val="0023721D"/>
    <w:rsid w:val="00240195"/>
    <w:rsid w:val="002408C1"/>
    <w:rsid w:val="00240E19"/>
    <w:rsid w:val="00240E86"/>
    <w:rsid w:val="00241542"/>
    <w:rsid w:val="0024188A"/>
    <w:rsid w:val="002427A3"/>
    <w:rsid w:val="0024292A"/>
    <w:rsid w:val="00242AB2"/>
    <w:rsid w:val="00242C77"/>
    <w:rsid w:val="00242F2C"/>
    <w:rsid w:val="00243535"/>
    <w:rsid w:val="00243949"/>
    <w:rsid w:val="0024483B"/>
    <w:rsid w:val="00244900"/>
    <w:rsid w:val="00244983"/>
    <w:rsid w:val="00244CFB"/>
    <w:rsid w:val="00245030"/>
    <w:rsid w:val="00245DC3"/>
    <w:rsid w:val="00246244"/>
    <w:rsid w:val="002462E0"/>
    <w:rsid w:val="00246954"/>
    <w:rsid w:val="0024739E"/>
    <w:rsid w:val="00247670"/>
    <w:rsid w:val="00247B4B"/>
    <w:rsid w:val="00247BA3"/>
    <w:rsid w:val="00247F6D"/>
    <w:rsid w:val="00250437"/>
    <w:rsid w:val="002515D1"/>
    <w:rsid w:val="002517CA"/>
    <w:rsid w:val="00251947"/>
    <w:rsid w:val="002519DD"/>
    <w:rsid w:val="00251A96"/>
    <w:rsid w:val="00252425"/>
    <w:rsid w:val="00252D32"/>
    <w:rsid w:val="0025323D"/>
    <w:rsid w:val="00253DD5"/>
    <w:rsid w:val="002540D8"/>
    <w:rsid w:val="00254613"/>
    <w:rsid w:val="00254744"/>
    <w:rsid w:val="002549B0"/>
    <w:rsid w:val="00254CC7"/>
    <w:rsid w:val="00254DBE"/>
    <w:rsid w:val="00255240"/>
    <w:rsid w:val="002557F4"/>
    <w:rsid w:val="002560A9"/>
    <w:rsid w:val="002569A9"/>
    <w:rsid w:val="00257103"/>
    <w:rsid w:val="002572A2"/>
    <w:rsid w:val="002573BE"/>
    <w:rsid w:val="0026223C"/>
    <w:rsid w:val="00262272"/>
    <w:rsid w:val="00262672"/>
    <w:rsid w:val="00262F80"/>
    <w:rsid w:val="002634F1"/>
    <w:rsid w:val="00263869"/>
    <w:rsid w:val="00263A36"/>
    <w:rsid w:val="00263BCF"/>
    <w:rsid w:val="00263DA4"/>
    <w:rsid w:val="002642CF"/>
    <w:rsid w:val="0026464D"/>
    <w:rsid w:val="00264850"/>
    <w:rsid w:val="00265C72"/>
    <w:rsid w:val="00265ECF"/>
    <w:rsid w:val="00266358"/>
    <w:rsid w:val="00266588"/>
    <w:rsid w:val="002667D7"/>
    <w:rsid w:val="002669FF"/>
    <w:rsid w:val="00266BBA"/>
    <w:rsid w:val="00266BEA"/>
    <w:rsid w:val="00266D51"/>
    <w:rsid w:val="00266FB9"/>
    <w:rsid w:val="0026717A"/>
    <w:rsid w:val="0026724E"/>
    <w:rsid w:val="0026757D"/>
    <w:rsid w:val="002676BD"/>
    <w:rsid w:val="0026792F"/>
    <w:rsid w:val="00267F98"/>
    <w:rsid w:val="00267FC6"/>
    <w:rsid w:val="00272094"/>
    <w:rsid w:val="002723FF"/>
    <w:rsid w:val="002739E8"/>
    <w:rsid w:val="00273C22"/>
    <w:rsid w:val="00275060"/>
    <w:rsid w:val="00275641"/>
    <w:rsid w:val="00275B6C"/>
    <w:rsid w:val="00275C72"/>
    <w:rsid w:val="00275FFE"/>
    <w:rsid w:val="002763EA"/>
    <w:rsid w:val="00276F49"/>
    <w:rsid w:val="00276FFD"/>
    <w:rsid w:val="00277B40"/>
    <w:rsid w:val="00281537"/>
    <w:rsid w:val="00282D8E"/>
    <w:rsid w:val="0028387B"/>
    <w:rsid w:val="00283CCD"/>
    <w:rsid w:val="002846B6"/>
    <w:rsid w:val="00284E3A"/>
    <w:rsid w:val="002851AE"/>
    <w:rsid w:val="00285319"/>
    <w:rsid w:val="00286961"/>
    <w:rsid w:val="00286F0E"/>
    <w:rsid w:val="002870DE"/>
    <w:rsid w:val="002879EE"/>
    <w:rsid w:val="0029023D"/>
    <w:rsid w:val="00290AD4"/>
    <w:rsid w:val="00290DF8"/>
    <w:rsid w:val="00290E33"/>
    <w:rsid w:val="00290E59"/>
    <w:rsid w:val="00291E7C"/>
    <w:rsid w:val="00291ECD"/>
    <w:rsid w:val="0029275F"/>
    <w:rsid w:val="0029423D"/>
    <w:rsid w:val="00294E1A"/>
    <w:rsid w:val="0029562D"/>
    <w:rsid w:val="00295927"/>
    <w:rsid w:val="00296666"/>
    <w:rsid w:val="00296AF1"/>
    <w:rsid w:val="00296E5F"/>
    <w:rsid w:val="002970AF"/>
    <w:rsid w:val="00297573"/>
    <w:rsid w:val="00297667"/>
    <w:rsid w:val="00297DEB"/>
    <w:rsid w:val="002A0FB9"/>
    <w:rsid w:val="002A1AA7"/>
    <w:rsid w:val="002A1EB7"/>
    <w:rsid w:val="002A225E"/>
    <w:rsid w:val="002A22E3"/>
    <w:rsid w:val="002A22FA"/>
    <w:rsid w:val="002A2549"/>
    <w:rsid w:val="002A264E"/>
    <w:rsid w:val="002A2883"/>
    <w:rsid w:val="002A300B"/>
    <w:rsid w:val="002A35BD"/>
    <w:rsid w:val="002A407A"/>
    <w:rsid w:val="002A4098"/>
    <w:rsid w:val="002A4509"/>
    <w:rsid w:val="002A4857"/>
    <w:rsid w:val="002A50E7"/>
    <w:rsid w:val="002A53C2"/>
    <w:rsid w:val="002A62EC"/>
    <w:rsid w:val="002A6E01"/>
    <w:rsid w:val="002A6F90"/>
    <w:rsid w:val="002A7BEE"/>
    <w:rsid w:val="002B0423"/>
    <w:rsid w:val="002B0A30"/>
    <w:rsid w:val="002B0ADF"/>
    <w:rsid w:val="002B20E2"/>
    <w:rsid w:val="002B2371"/>
    <w:rsid w:val="002B2992"/>
    <w:rsid w:val="002B2CCB"/>
    <w:rsid w:val="002B3E49"/>
    <w:rsid w:val="002B3EF3"/>
    <w:rsid w:val="002B47C0"/>
    <w:rsid w:val="002B4F83"/>
    <w:rsid w:val="002B50CC"/>
    <w:rsid w:val="002B538C"/>
    <w:rsid w:val="002B53AA"/>
    <w:rsid w:val="002B59E2"/>
    <w:rsid w:val="002B5AE9"/>
    <w:rsid w:val="002B5E81"/>
    <w:rsid w:val="002B66F4"/>
    <w:rsid w:val="002B6B31"/>
    <w:rsid w:val="002B7A43"/>
    <w:rsid w:val="002B7BFA"/>
    <w:rsid w:val="002B7F50"/>
    <w:rsid w:val="002C0EEE"/>
    <w:rsid w:val="002C162D"/>
    <w:rsid w:val="002C16AA"/>
    <w:rsid w:val="002C1743"/>
    <w:rsid w:val="002C181E"/>
    <w:rsid w:val="002C19C1"/>
    <w:rsid w:val="002C1E12"/>
    <w:rsid w:val="002C23F8"/>
    <w:rsid w:val="002C29AD"/>
    <w:rsid w:val="002C2AF9"/>
    <w:rsid w:val="002C2DB1"/>
    <w:rsid w:val="002C3E8F"/>
    <w:rsid w:val="002C43D7"/>
    <w:rsid w:val="002C449C"/>
    <w:rsid w:val="002C4B09"/>
    <w:rsid w:val="002C4CF0"/>
    <w:rsid w:val="002C5910"/>
    <w:rsid w:val="002C5E04"/>
    <w:rsid w:val="002C672C"/>
    <w:rsid w:val="002C6B93"/>
    <w:rsid w:val="002C7BFD"/>
    <w:rsid w:val="002C7D11"/>
    <w:rsid w:val="002D0F1A"/>
    <w:rsid w:val="002D13D6"/>
    <w:rsid w:val="002D15EC"/>
    <w:rsid w:val="002D19DA"/>
    <w:rsid w:val="002D1ACC"/>
    <w:rsid w:val="002D270C"/>
    <w:rsid w:val="002D287E"/>
    <w:rsid w:val="002D288E"/>
    <w:rsid w:val="002D30A6"/>
    <w:rsid w:val="002D3E70"/>
    <w:rsid w:val="002D4262"/>
    <w:rsid w:val="002D4591"/>
    <w:rsid w:val="002D49A9"/>
    <w:rsid w:val="002D4F74"/>
    <w:rsid w:val="002D5592"/>
    <w:rsid w:val="002D61FA"/>
    <w:rsid w:val="002D66EF"/>
    <w:rsid w:val="002D6D0C"/>
    <w:rsid w:val="002D7021"/>
    <w:rsid w:val="002D7B0F"/>
    <w:rsid w:val="002E0B40"/>
    <w:rsid w:val="002E0CF7"/>
    <w:rsid w:val="002E1056"/>
    <w:rsid w:val="002E11E1"/>
    <w:rsid w:val="002E1532"/>
    <w:rsid w:val="002E1669"/>
    <w:rsid w:val="002E1C4C"/>
    <w:rsid w:val="002E2285"/>
    <w:rsid w:val="002E246A"/>
    <w:rsid w:val="002E3070"/>
    <w:rsid w:val="002E30C9"/>
    <w:rsid w:val="002E37EA"/>
    <w:rsid w:val="002E3A5D"/>
    <w:rsid w:val="002E42FC"/>
    <w:rsid w:val="002E452A"/>
    <w:rsid w:val="002E63F1"/>
    <w:rsid w:val="002E732B"/>
    <w:rsid w:val="002E76BD"/>
    <w:rsid w:val="002E7BAF"/>
    <w:rsid w:val="002E7DDE"/>
    <w:rsid w:val="002F0760"/>
    <w:rsid w:val="002F0B13"/>
    <w:rsid w:val="002F1A2D"/>
    <w:rsid w:val="002F1D1A"/>
    <w:rsid w:val="002F262E"/>
    <w:rsid w:val="002F33CD"/>
    <w:rsid w:val="002F3559"/>
    <w:rsid w:val="002F4065"/>
    <w:rsid w:val="002F4AE2"/>
    <w:rsid w:val="002F5606"/>
    <w:rsid w:val="002F58DD"/>
    <w:rsid w:val="002F6010"/>
    <w:rsid w:val="002F60B6"/>
    <w:rsid w:val="002F6277"/>
    <w:rsid w:val="002F6530"/>
    <w:rsid w:val="002F6B9C"/>
    <w:rsid w:val="002F6D59"/>
    <w:rsid w:val="002F6DDF"/>
    <w:rsid w:val="002F76B6"/>
    <w:rsid w:val="002F7E69"/>
    <w:rsid w:val="002F7EF9"/>
    <w:rsid w:val="00300770"/>
    <w:rsid w:val="00301555"/>
    <w:rsid w:val="00301A05"/>
    <w:rsid w:val="00301F67"/>
    <w:rsid w:val="00302173"/>
    <w:rsid w:val="00302774"/>
    <w:rsid w:val="00302DFF"/>
    <w:rsid w:val="003033A7"/>
    <w:rsid w:val="00303AA0"/>
    <w:rsid w:val="00304225"/>
    <w:rsid w:val="00304954"/>
    <w:rsid w:val="003049F6"/>
    <w:rsid w:val="00305C43"/>
    <w:rsid w:val="00305D40"/>
    <w:rsid w:val="00305FD6"/>
    <w:rsid w:val="00306478"/>
    <w:rsid w:val="00306641"/>
    <w:rsid w:val="003068D2"/>
    <w:rsid w:val="00306EC3"/>
    <w:rsid w:val="003076C1"/>
    <w:rsid w:val="00310449"/>
    <w:rsid w:val="003106B8"/>
    <w:rsid w:val="00310997"/>
    <w:rsid w:val="003120AF"/>
    <w:rsid w:val="00312170"/>
    <w:rsid w:val="0031239E"/>
    <w:rsid w:val="00312A53"/>
    <w:rsid w:val="00312D49"/>
    <w:rsid w:val="00312E2D"/>
    <w:rsid w:val="00312EB1"/>
    <w:rsid w:val="0031336F"/>
    <w:rsid w:val="003148FC"/>
    <w:rsid w:val="00314B03"/>
    <w:rsid w:val="003159C9"/>
    <w:rsid w:val="00315A37"/>
    <w:rsid w:val="00315CB0"/>
    <w:rsid w:val="003163EB"/>
    <w:rsid w:val="003178F9"/>
    <w:rsid w:val="00317A4C"/>
    <w:rsid w:val="00317E3D"/>
    <w:rsid w:val="003201CB"/>
    <w:rsid w:val="00320817"/>
    <w:rsid w:val="00320D4F"/>
    <w:rsid w:val="00320D92"/>
    <w:rsid w:val="00321347"/>
    <w:rsid w:val="00321C2D"/>
    <w:rsid w:val="00321CCA"/>
    <w:rsid w:val="00321D29"/>
    <w:rsid w:val="00322491"/>
    <w:rsid w:val="00322631"/>
    <w:rsid w:val="00322C39"/>
    <w:rsid w:val="00322F21"/>
    <w:rsid w:val="0032323D"/>
    <w:rsid w:val="0032415F"/>
    <w:rsid w:val="003245C8"/>
    <w:rsid w:val="00324695"/>
    <w:rsid w:val="00325B76"/>
    <w:rsid w:val="00325C89"/>
    <w:rsid w:val="00325D76"/>
    <w:rsid w:val="00326426"/>
    <w:rsid w:val="0032674E"/>
    <w:rsid w:val="003267E9"/>
    <w:rsid w:val="00326AB4"/>
    <w:rsid w:val="003274E5"/>
    <w:rsid w:val="0032773F"/>
    <w:rsid w:val="00330F1C"/>
    <w:rsid w:val="00330F23"/>
    <w:rsid w:val="00331A02"/>
    <w:rsid w:val="00332BC9"/>
    <w:rsid w:val="00332E22"/>
    <w:rsid w:val="00332FBA"/>
    <w:rsid w:val="003332F1"/>
    <w:rsid w:val="00333BB6"/>
    <w:rsid w:val="00333C20"/>
    <w:rsid w:val="00333D4F"/>
    <w:rsid w:val="00333EDF"/>
    <w:rsid w:val="00334710"/>
    <w:rsid w:val="003350E5"/>
    <w:rsid w:val="0033511B"/>
    <w:rsid w:val="00337022"/>
    <w:rsid w:val="00337427"/>
    <w:rsid w:val="003375DC"/>
    <w:rsid w:val="00337B53"/>
    <w:rsid w:val="00340152"/>
    <w:rsid w:val="00340216"/>
    <w:rsid w:val="003408FB"/>
    <w:rsid w:val="00340B2D"/>
    <w:rsid w:val="0034119B"/>
    <w:rsid w:val="00341691"/>
    <w:rsid w:val="00342065"/>
    <w:rsid w:val="0034228C"/>
    <w:rsid w:val="003422C4"/>
    <w:rsid w:val="00342417"/>
    <w:rsid w:val="00342A3A"/>
    <w:rsid w:val="0034324C"/>
    <w:rsid w:val="00345444"/>
    <w:rsid w:val="00345585"/>
    <w:rsid w:val="0034565E"/>
    <w:rsid w:val="003457D9"/>
    <w:rsid w:val="00346171"/>
    <w:rsid w:val="003461BD"/>
    <w:rsid w:val="00347032"/>
    <w:rsid w:val="003477C3"/>
    <w:rsid w:val="00347F09"/>
    <w:rsid w:val="00347F76"/>
    <w:rsid w:val="00350108"/>
    <w:rsid w:val="0035087A"/>
    <w:rsid w:val="0035163C"/>
    <w:rsid w:val="00351746"/>
    <w:rsid w:val="003519B6"/>
    <w:rsid w:val="003534DD"/>
    <w:rsid w:val="00353CBD"/>
    <w:rsid w:val="00354B9D"/>
    <w:rsid w:val="0035543D"/>
    <w:rsid w:val="00356213"/>
    <w:rsid w:val="003562C6"/>
    <w:rsid w:val="003565D0"/>
    <w:rsid w:val="00357327"/>
    <w:rsid w:val="00357363"/>
    <w:rsid w:val="00360D63"/>
    <w:rsid w:val="00360F67"/>
    <w:rsid w:val="003612F6"/>
    <w:rsid w:val="003614B8"/>
    <w:rsid w:val="00361905"/>
    <w:rsid w:val="00361FB1"/>
    <w:rsid w:val="003621FC"/>
    <w:rsid w:val="003628BF"/>
    <w:rsid w:val="00362BBB"/>
    <w:rsid w:val="00362CAB"/>
    <w:rsid w:val="00362FDB"/>
    <w:rsid w:val="00363039"/>
    <w:rsid w:val="003631E5"/>
    <w:rsid w:val="0036469A"/>
    <w:rsid w:val="003649A1"/>
    <w:rsid w:val="00364ED4"/>
    <w:rsid w:val="0036518B"/>
    <w:rsid w:val="00365280"/>
    <w:rsid w:val="0036535A"/>
    <w:rsid w:val="0036634C"/>
    <w:rsid w:val="00366CCB"/>
    <w:rsid w:val="00367020"/>
    <w:rsid w:val="00367AEB"/>
    <w:rsid w:val="00367BA7"/>
    <w:rsid w:val="0037023A"/>
    <w:rsid w:val="0037026E"/>
    <w:rsid w:val="003709B0"/>
    <w:rsid w:val="00370F56"/>
    <w:rsid w:val="003719ED"/>
    <w:rsid w:val="00371C1D"/>
    <w:rsid w:val="003726E1"/>
    <w:rsid w:val="003727A7"/>
    <w:rsid w:val="00372AFA"/>
    <w:rsid w:val="00372B2C"/>
    <w:rsid w:val="0037304B"/>
    <w:rsid w:val="00373C60"/>
    <w:rsid w:val="00373CA2"/>
    <w:rsid w:val="0037430E"/>
    <w:rsid w:val="003744DF"/>
    <w:rsid w:val="0037469D"/>
    <w:rsid w:val="003747F1"/>
    <w:rsid w:val="0037564C"/>
    <w:rsid w:val="003763C5"/>
    <w:rsid w:val="00376A63"/>
    <w:rsid w:val="00376B57"/>
    <w:rsid w:val="00376B91"/>
    <w:rsid w:val="00376E88"/>
    <w:rsid w:val="00380127"/>
    <w:rsid w:val="00380531"/>
    <w:rsid w:val="00382074"/>
    <w:rsid w:val="00382557"/>
    <w:rsid w:val="0038374F"/>
    <w:rsid w:val="00383A18"/>
    <w:rsid w:val="00383FBD"/>
    <w:rsid w:val="00384423"/>
    <w:rsid w:val="00385025"/>
    <w:rsid w:val="00385142"/>
    <w:rsid w:val="00385C48"/>
    <w:rsid w:val="0038657C"/>
    <w:rsid w:val="003874BF"/>
    <w:rsid w:val="003874D0"/>
    <w:rsid w:val="003879A8"/>
    <w:rsid w:val="00387D4E"/>
    <w:rsid w:val="00387ED6"/>
    <w:rsid w:val="003908B8"/>
    <w:rsid w:val="00390F8F"/>
    <w:rsid w:val="00391515"/>
    <w:rsid w:val="00391BD8"/>
    <w:rsid w:val="00391D3F"/>
    <w:rsid w:val="00392041"/>
    <w:rsid w:val="003920FB"/>
    <w:rsid w:val="0039217B"/>
    <w:rsid w:val="0039246E"/>
    <w:rsid w:val="003924CD"/>
    <w:rsid w:val="003932D6"/>
    <w:rsid w:val="0039345B"/>
    <w:rsid w:val="00393652"/>
    <w:rsid w:val="00393F02"/>
    <w:rsid w:val="00393F63"/>
    <w:rsid w:val="00394375"/>
    <w:rsid w:val="00394447"/>
    <w:rsid w:val="00394992"/>
    <w:rsid w:val="00394FF8"/>
    <w:rsid w:val="0039505A"/>
    <w:rsid w:val="003950EC"/>
    <w:rsid w:val="00395E21"/>
    <w:rsid w:val="00396346"/>
    <w:rsid w:val="003965BE"/>
    <w:rsid w:val="00396D1B"/>
    <w:rsid w:val="00397CA5"/>
    <w:rsid w:val="003A051C"/>
    <w:rsid w:val="003A0661"/>
    <w:rsid w:val="003A0BC9"/>
    <w:rsid w:val="003A0D49"/>
    <w:rsid w:val="003A149B"/>
    <w:rsid w:val="003A1AA3"/>
    <w:rsid w:val="003A1AD0"/>
    <w:rsid w:val="003A1C93"/>
    <w:rsid w:val="003A2395"/>
    <w:rsid w:val="003A27B9"/>
    <w:rsid w:val="003A3BE0"/>
    <w:rsid w:val="003A422A"/>
    <w:rsid w:val="003A4755"/>
    <w:rsid w:val="003A5301"/>
    <w:rsid w:val="003A5C42"/>
    <w:rsid w:val="003A5F87"/>
    <w:rsid w:val="003A60C1"/>
    <w:rsid w:val="003A6257"/>
    <w:rsid w:val="003A62BF"/>
    <w:rsid w:val="003A72B8"/>
    <w:rsid w:val="003A742F"/>
    <w:rsid w:val="003A7981"/>
    <w:rsid w:val="003B0176"/>
    <w:rsid w:val="003B0299"/>
    <w:rsid w:val="003B02F3"/>
    <w:rsid w:val="003B0352"/>
    <w:rsid w:val="003B037E"/>
    <w:rsid w:val="003B0622"/>
    <w:rsid w:val="003B0F67"/>
    <w:rsid w:val="003B19AE"/>
    <w:rsid w:val="003B1EF7"/>
    <w:rsid w:val="003B28FB"/>
    <w:rsid w:val="003B3D1D"/>
    <w:rsid w:val="003B3D8B"/>
    <w:rsid w:val="003B4640"/>
    <w:rsid w:val="003B4A61"/>
    <w:rsid w:val="003B4F88"/>
    <w:rsid w:val="003B53A4"/>
    <w:rsid w:val="003B5F29"/>
    <w:rsid w:val="003B632B"/>
    <w:rsid w:val="003B6513"/>
    <w:rsid w:val="003B6B24"/>
    <w:rsid w:val="003B6F85"/>
    <w:rsid w:val="003B720F"/>
    <w:rsid w:val="003C0321"/>
    <w:rsid w:val="003C0756"/>
    <w:rsid w:val="003C0BF8"/>
    <w:rsid w:val="003C0C5D"/>
    <w:rsid w:val="003C113B"/>
    <w:rsid w:val="003C1341"/>
    <w:rsid w:val="003C17AF"/>
    <w:rsid w:val="003C186F"/>
    <w:rsid w:val="003C1BE8"/>
    <w:rsid w:val="003C1DF7"/>
    <w:rsid w:val="003C2801"/>
    <w:rsid w:val="003C29FE"/>
    <w:rsid w:val="003C2DBB"/>
    <w:rsid w:val="003C3E71"/>
    <w:rsid w:val="003C47EA"/>
    <w:rsid w:val="003C4E72"/>
    <w:rsid w:val="003C5AEF"/>
    <w:rsid w:val="003C620D"/>
    <w:rsid w:val="003C69BE"/>
    <w:rsid w:val="003C6C3F"/>
    <w:rsid w:val="003C724A"/>
    <w:rsid w:val="003C7263"/>
    <w:rsid w:val="003C7892"/>
    <w:rsid w:val="003D049D"/>
    <w:rsid w:val="003D05A8"/>
    <w:rsid w:val="003D1170"/>
    <w:rsid w:val="003D18B2"/>
    <w:rsid w:val="003D28CD"/>
    <w:rsid w:val="003D29ED"/>
    <w:rsid w:val="003D2A0B"/>
    <w:rsid w:val="003D3137"/>
    <w:rsid w:val="003D353F"/>
    <w:rsid w:val="003D3799"/>
    <w:rsid w:val="003D3E69"/>
    <w:rsid w:val="003D3EE4"/>
    <w:rsid w:val="003D4011"/>
    <w:rsid w:val="003D4106"/>
    <w:rsid w:val="003D430C"/>
    <w:rsid w:val="003D4657"/>
    <w:rsid w:val="003D4BA4"/>
    <w:rsid w:val="003D4BF6"/>
    <w:rsid w:val="003D4D75"/>
    <w:rsid w:val="003D514B"/>
    <w:rsid w:val="003D5397"/>
    <w:rsid w:val="003D5649"/>
    <w:rsid w:val="003D66C3"/>
    <w:rsid w:val="003D7565"/>
    <w:rsid w:val="003D75C5"/>
    <w:rsid w:val="003D7D3B"/>
    <w:rsid w:val="003E083A"/>
    <w:rsid w:val="003E1BA0"/>
    <w:rsid w:val="003E1DB5"/>
    <w:rsid w:val="003E200D"/>
    <w:rsid w:val="003E230A"/>
    <w:rsid w:val="003E25C2"/>
    <w:rsid w:val="003E2622"/>
    <w:rsid w:val="003E293F"/>
    <w:rsid w:val="003E33FF"/>
    <w:rsid w:val="003E3422"/>
    <w:rsid w:val="003E35A0"/>
    <w:rsid w:val="003E3679"/>
    <w:rsid w:val="003E3C44"/>
    <w:rsid w:val="003E3EB4"/>
    <w:rsid w:val="003E3FDD"/>
    <w:rsid w:val="003E4620"/>
    <w:rsid w:val="003E49D4"/>
    <w:rsid w:val="003E4B31"/>
    <w:rsid w:val="003E512B"/>
    <w:rsid w:val="003E5430"/>
    <w:rsid w:val="003E5A8B"/>
    <w:rsid w:val="003E5AB8"/>
    <w:rsid w:val="003E5D4D"/>
    <w:rsid w:val="003E5E24"/>
    <w:rsid w:val="003E609A"/>
    <w:rsid w:val="003E6288"/>
    <w:rsid w:val="003E6CDA"/>
    <w:rsid w:val="003E6CFB"/>
    <w:rsid w:val="003E6E27"/>
    <w:rsid w:val="003E6F3B"/>
    <w:rsid w:val="003E77B8"/>
    <w:rsid w:val="003F042E"/>
    <w:rsid w:val="003F07EE"/>
    <w:rsid w:val="003F08D1"/>
    <w:rsid w:val="003F0B7E"/>
    <w:rsid w:val="003F0EDE"/>
    <w:rsid w:val="003F1259"/>
    <w:rsid w:val="003F1D57"/>
    <w:rsid w:val="003F1E58"/>
    <w:rsid w:val="003F2282"/>
    <w:rsid w:val="003F23CF"/>
    <w:rsid w:val="003F26A1"/>
    <w:rsid w:val="003F28D2"/>
    <w:rsid w:val="003F2987"/>
    <w:rsid w:val="003F2CF1"/>
    <w:rsid w:val="003F3D44"/>
    <w:rsid w:val="003F434E"/>
    <w:rsid w:val="003F4BBB"/>
    <w:rsid w:val="003F5167"/>
    <w:rsid w:val="003F534E"/>
    <w:rsid w:val="003F5612"/>
    <w:rsid w:val="003F6A5F"/>
    <w:rsid w:val="003F6A89"/>
    <w:rsid w:val="003F6C05"/>
    <w:rsid w:val="003F7223"/>
    <w:rsid w:val="003F7469"/>
    <w:rsid w:val="003F7493"/>
    <w:rsid w:val="003F77B9"/>
    <w:rsid w:val="00400FA8"/>
    <w:rsid w:val="0040190A"/>
    <w:rsid w:val="00401C4B"/>
    <w:rsid w:val="004024E8"/>
    <w:rsid w:val="00402E63"/>
    <w:rsid w:val="00403151"/>
    <w:rsid w:val="0040351E"/>
    <w:rsid w:val="00403BEB"/>
    <w:rsid w:val="00403D87"/>
    <w:rsid w:val="00403F26"/>
    <w:rsid w:val="004041F5"/>
    <w:rsid w:val="004044E5"/>
    <w:rsid w:val="00405588"/>
    <w:rsid w:val="004055EE"/>
    <w:rsid w:val="00406554"/>
    <w:rsid w:val="004066D0"/>
    <w:rsid w:val="004071AC"/>
    <w:rsid w:val="00407426"/>
    <w:rsid w:val="00407F58"/>
    <w:rsid w:val="0041023E"/>
    <w:rsid w:val="00410DFB"/>
    <w:rsid w:val="004127E6"/>
    <w:rsid w:val="004129D3"/>
    <w:rsid w:val="00412F07"/>
    <w:rsid w:val="0041325C"/>
    <w:rsid w:val="0041381B"/>
    <w:rsid w:val="00413881"/>
    <w:rsid w:val="00413AEA"/>
    <w:rsid w:val="00414033"/>
    <w:rsid w:val="00414839"/>
    <w:rsid w:val="0041483C"/>
    <w:rsid w:val="00414912"/>
    <w:rsid w:val="004149C0"/>
    <w:rsid w:val="00414E88"/>
    <w:rsid w:val="004150D5"/>
    <w:rsid w:val="004156CA"/>
    <w:rsid w:val="00415795"/>
    <w:rsid w:val="00415E66"/>
    <w:rsid w:val="004167BB"/>
    <w:rsid w:val="00417326"/>
    <w:rsid w:val="00417C5E"/>
    <w:rsid w:val="00417D75"/>
    <w:rsid w:val="00420736"/>
    <w:rsid w:val="00421389"/>
    <w:rsid w:val="004222A8"/>
    <w:rsid w:val="0042267C"/>
    <w:rsid w:val="00422E3F"/>
    <w:rsid w:val="004230E7"/>
    <w:rsid w:val="0042340E"/>
    <w:rsid w:val="004235BB"/>
    <w:rsid w:val="00423EC1"/>
    <w:rsid w:val="00424111"/>
    <w:rsid w:val="004243B2"/>
    <w:rsid w:val="004254C7"/>
    <w:rsid w:val="00426290"/>
    <w:rsid w:val="004262FC"/>
    <w:rsid w:val="00431177"/>
    <w:rsid w:val="004315A5"/>
    <w:rsid w:val="004317DC"/>
    <w:rsid w:val="00431BFD"/>
    <w:rsid w:val="0043242C"/>
    <w:rsid w:val="00432864"/>
    <w:rsid w:val="0043299D"/>
    <w:rsid w:val="00432C1D"/>
    <w:rsid w:val="00433412"/>
    <w:rsid w:val="00434350"/>
    <w:rsid w:val="00435333"/>
    <w:rsid w:val="004358B8"/>
    <w:rsid w:val="00435DD8"/>
    <w:rsid w:val="0043665F"/>
    <w:rsid w:val="00436FD3"/>
    <w:rsid w:val="00437754"/>
    <w:rsid w:val="0043788D"/>
    <w:rsid w:val="00437B7B"/>
    <w:rsid w:val="00440059"/>
    <w:rsid w:val="0044051F"/>
    <w:rsid w:val="004405AB"/>
    <w:rsid w:val="00440642"/>
    <w:rsid w:val="00440DA1"/>
    <w:rsid w:val="00440DF1"/>
    <w:rsid w:val="004410BB"/>
    <w:rsid w:val="00441E41"/>
    <w:rsid w:val="0044264D"/>
    <w:rsid w:val="004428D2"/>
    <w:rsid w:val="00442D9F"/>
    <w:rsid w:val="00443A0B"/>
    <w:rsid w:val="00443AF2"/>
    <w:rsid w:val="00443EDD"/>
    <w:rsid w:val="00443F5B"/>
    <w:rsid w:val="004445AB"/>
    <w:rsid w:val="00444814"/>
    <w:rsid w:val="00444CD7"/>
    <w:rsid w:val="00444DCE"/>
    <w:rsid w:val="0044576F"/>
    <w:rsid w:val="00445E8D"/>
    <w:rsid w:val="00446432"/>
    <w:rsid w:val="00446B62"/>
    <w:rsid w:val="00446BB6"/>
    <w:rsid w:val="00447C34"/>
    <w:rsid w:val="00447CB6"/>
    <w:rsid w:val="00450520"/>
    <w:rsid w:val="00450606"/>
    <w:rsid w:val="00450FC6"/>
    <w:rsid w:val="0045113F"/>
    <w:rsid w:val="00451468"/>
    <w:rsid w:val="00451CF0"/>
    <w:rsid w:val="00451EEA"/>
    <w:rsid w:val="00453366"/>
    <w:rsid w:val="004535DC"/>
    <w:rsid w:val="0045421C"/>
    <w:rsid w:val="00455764"/>
    <w:rsid w:val="0045576F"/>
    <w:rsid w:val="00455AE7"/>
    <w:rsid w:val="00455C5F"/>
    <w:rsid w:val="00455FD5"/>
    <w:rsid w:val="00456315"/>
    <w:rsid w:val="00457225"/>
    <w:rsid w:val="004572B2"/>
    <w:rsid w:val="00457621"/>
    <w:rsid w:val="00457942"/>
    <w:rsid w:val="00460941"/>
    <w:rsid w:val="00460B6D"/>
    <w:rsid w:val="00460D0D"/>
    <w:rsid w:val="00460F8A"/>
    <w:rsid w:val="0046121C"/>
    <w:rsid w:val="00461433"/>
    <w:rsid w:val="004619B5"/>
    <w:rsid w:val="00462A52"/>
    <w:rsid w:val="00463915"/>
    <w:rsid w:val="004642E7"/>
    <w:rsid w:val="004649D9"/>
    <w:rsid w:val="00464CCF"/>
    <w:rsid w:val="00465094"/>
    <w:rsid w:val="00465213"/>
    <w:rsid w:val="00465C37"/>
    <w:rsid w:val="00465DF9"/>
    <w:rsid w:val="004668E6"/>
    <w:rsid w:val="00466C2D"/>
    <w:rsid w:val="00467C34"/>
    <w:rsid w:val="00470C75"/>
    <w:rsid w:val="00470CE3"/>
    <w:rsid w:val="00471002"/>
    <w:rsid w:val="004712F1"/>
    <w:rsid w:val="0047216B"/>
    <w:rsid w:val="00472289"/>
    <w:rsid w:val="00472A13"/>
    <w:rsid w:val="00472A43"/>
    <w:rsid w:val="00472A5B"/>
    <w:rsid w:val="00472EFF"/>
    <w:rsid w:val="00473630"/>
    <w:rsid w:val="004738E2"/>
    <w:rsid w:val="00474D7E"/>
    <w:rsid w:val="00475624"/>
    <w:rsid w:val="004759A5"/>
    <w:rsid w:val="00476376"/>
    <w:rsid w:val="004765D7"/>
    <w:rsid w:val="00476F59"/>
    <w:rsid w:val="004770F1"/>
    <w:rsid w:val="0047724F"/>
    <w:rsid w:val="00477725"/>
    <w:rsid w:val="0047778D"/>
    <w:rsid w:val="004777C6"/>
    <w:rsid w:val="00477B91"/>
    <w:rsid w:val="00477E2C"/>
    <w:rsid w:val="00477F83"/>
    <w:rsid w:val="0048071C"/>
    <w:rsid w:val="00480E53"/>
    <w:rsid w:val="004813DC"/>
    <w:rsid w:val="00481B8E"/>
    <w:rsid w:val="00481C78"/>
    <w:rsid w:val="00481FF9"/>
    <w:rsid w:val="004821B7"/>
    <w:rsid w:val="004824DB"/>
    <w:rsid w:val="0048254D"/>
    <w:rsid w:val="0048276B"/>
    <w:rsid w:val="00482785"/>
    <w:rsid w:val="00482E79"/>
    <w:rsid w:val="0048371B"/>
    <w:rsid w:val="00483722"/>
    <w:rsid w:val="00483C7A"/>
    <w:rsid w:val="00483FB7"/>
    <w:rsid w:val="0048430C"/>
    <w:rsid w:val="00484921"/>
    <w:rsid w:val="0048493A"/>
    <w:rsid w:val="00484A42"/>
    <w:rsid w:val="00485372"/>
    <w:rsid w:val="00485811"/>
    <w:rsid w:val="004858C1"/>
    <w:rsid w:val="004865A6"/>
    <w:rsid w:val="004867DF"/>
    <w:rsid w:val="00486DBE"/>
    <w:rsid w:val="0048730A"/>
    <w:rsid w:val="0048747E"/>
    <w:rsid w:val="004875F7"/>
    <w:rsid w:val="00487710"/>
    <w:rsid w:val="0048771D"/>
    <w:rsid w:val="00487CF1"/>
    <w:rsid w:val="00490739"/>
    <w:rsid w:val="00490CAB"/>
    <w:rsid w:val="0049135C"/>
    <w:rsid w:val="00491484"/>
    <w:rsid w:val="004919DD"/>
    <w:rsid w:val="00491C1A"/>
    <w:rsid w:val="004920AE"/>
    <w:rsid w:val="0049213B"/>
    <w:rsid w:val="0049218A"/>
    <w:rsid w:val="004921A6"/>
    <w:rsid w:val="0049267B"/>
    <w:rsid w:val="004929EF"/>
    <w:rsid w:val="00492A5B"/>
    <w:rsid w:val="00492C7A"/>
    <w:rsid w:val="00493216"/>
    <w:rsid w:val="004939F2"/>
    <w:rsid w:val="00494847"/>
    <w:rsid w:val="00494E98"/>
    <w:rsid w:val="00495029"/>
    <w:rsid w:val="0049544D"/>
    <w:rsid w:val="0049549E"/>
    <w:rsid w:val="00495A9F"/>
    <w:rsid w:val="004960A6"/>
    <w:rsid w:val="00496B48"/>
    <w:rsid w:val="00497D65"/>
    <w:rsid w:val="00497E19"/>
    <w:rsid w:val="004A07F8"/>
    <w:rsid w:val="004A0F1A"/>
    <w:rsid w:val="004A19D1"/>
    <w:rsid w:val="004A3027"/>
    <w:rsid w:val="004A309A"/>
    <w:rsid w:val="004A3673"/>
    <w:rsid w:val="004A3B4B"/>
    <w:rsid w:val="004A447F"/>
    <w:rsid w:val="004A51BE"/>
    <w:rsid w:val="004A5D10"/>
    <w:rsid w:val="004A5D67"/>
    <w:rsid w:val="004A671F"/>
    <w:rsid w:val="004A702F"/>
    <w:rsid w:val="004A7619"/>
    <w:rsid w:val="004A7793"/>
    <w:rsid w:val="004A7B51"/>
    <w:rsid w:val="004A7CFD"/>
    <w:rsid w:val="004A7D7C"/>
    <w:rsid w:val="004B0168"/>
    <w:rsid w:val="004B0317"/>
    <w:rsid w:val="004B0AA5"/>
    <w:rsid w:val="004B102C"/>
    <w:rsid w:val="004B1639"/>
    <w:rsid w:val="004B1E0F"/>
    <w:rsid w:val="004B248A"/>
    <w:rsid w:val="004B316D"/>
    <w:rsid w:val="004B3E0A"/>
    <w:rsid w:val="004B3EBB"/>
    <w:rsid w:val="004B4ECE"/>
    <w:rsid w:val="004B512D"/>
    <w:rsid w:val="004B5C6E"/>
    <w:rsid w:val="004B5CB6"/>
    <w:rsid w:val="004B6407"/>
    <w:rsid w:val="004B6438"/>
    <w:rsid w:val="004B6A39"/>
    <w:rsid w:val="004B6B3C"/>
    <w:rsid w:val="004B6DC2"/>
    <w:rsid w:val="004B7A79"/>
    <w:rsid w:val="004C00B7"/>
    <w:rsid w:val="004C0E6D"/>
    <w:rsid w:val="004C18D7"/>
    <w:rsid w:val="004C3357"/>
    <w:rsid w:val="004C465D"/>
    <w:rsid w:val="004C59D8"/>
    <w:rsid w:val="004C62E3"/>
    <w:rsid w:val="004C68B9"/>
    <w:rsid w:val="004C6AAC"/>
    <w:rsid w:val="004C70BD"/>
    <w:rsid w:val="004C7110"/>
    <w:rsid w:val="004C731C"/>
    <w:rsid w:val="004C75FC"/>
    <w:rsid w:val="004C774D"/>
    <w:rsid w:val="004C7EE1"/>
    <w:rsid w:val="004D0234"/>
    <w:rsid w:val="004D0247"/>
    <w:rsid w:val="004D0641"/>
    <w:rsid w:val="004D0801"/>
    <w:rsid w:val="004D090A"/>
    <w:rsid w:val="004D0D54"/>
    <w:rsid w:val="004D0E27"/>
    <w:rsid w:val="004D0E65"/>
    <w:rsid w:val="004D0E8A"/>
    <w:rsid w:val="004D0F04"/>
    <w:rsid w:val="004D16FF"/>
    <w:rsid w:val="004D1763"/>
    <w:rsid w:val="004D1B4B"/>
    <w:rsid w:val="004D1C78"/>
    <w:rsid w:val="004D26F0"/>
    <w:rsid w:val="004D291A"/>
    <w:rsid w:val="004D2A97"/>
    <w:rsid w:val="004D2B35"/>
    <w:rsid w:val="004D2E6B"/>
    <w:rsid w:val="004D3112"/>
    <w:rsid w:val="004D39E9"/>
    <w:rsid w:val="004D3C41"/>
    <w:rsid w:val="004D3CD7"/>
    <w:rsid w:val="004D3DFD"/>
    <w:rsid w:val="004D49EC"/>
    <w:rsid w:val="004D4C65"/>
    <w:rsid w:val="004D52D6"/>
    <w:rsid w:val="004D5525"/>
    <w:rsid w:val="004D562D"/>
    <w:rsid w:val="004D5881"/>
    <w:rsid w:val="004D5CB3"/>
    <w:rsid w:val="004D5CBF"/>
    <w:rsid w:val="004D7ABD"/>
    <w:rsid w:val="004D7C29"/>
    <w:rsid w:val="004D7E87"/>
    <w:rsid w:val="004E0DD7"/>
    <w:rsid w:val="004E102A"/>
    <w:rsid w:val="004E117D"/>
    <w:rsid w:val="004E18F8"/>
    <w:rsid w:val="004E1B35"/>
    <w:rsid w:val="004E220C"/>
    <w:rsid w:val="004E289D"/>
    <w:rsid w:val="004E3F56"/>
    <w:rsid w:val="004E3F72"/>
    <w:rsid w:val="004E4163"/>
    <w:rsid w:val="004E43E7"/>
    <w:rsid w:val="004E506C"/>
    <w:rsid w:val="004E555F"/>
    <w:rsid w:val="004E6084"/>
    <w:rsid w:val="004E61A3"/>
    <w:rsid w:val="004E6816"/>
    <w:rsid w:val="004E6C61"/>
    <w:rsid w:val="004E7F6E"/>
    <w:rsid w:val="004F00F6"/>
    <w:rsid w:val="004F0669"/>
    <w:rsid w:val="004F07A7"/>
    <w:rsid w:val="004F0A96"/>
    <w:rsid w:val="004F0F06"/>
    <w:rsid w:val="004F1605"/>
    <w:rsid w:val="004F17AF"/>
    <w:rsid w:val="004F2030"/>
    <w:rsid w:val="004F2DBC"/>
    <w:rsid w:val="004F2DDA"/>
    <w:rsid w:val="004F2E6B"/>
    <w:rsid w:val="004F4849"/>
    <w:rsid w:val="004F5848"/>
    <w:rsid w:val="004F5DA1"/>
    <w:rsid w:val="004F6556"/>
    <w:rsid w:val="004F70C6"/>
    <w:rsid w:val="004F798A"/>
    <w:rsid w:val="0050002C"/>
    <w:rsid w:val="00500148"/>
    <w:rsid w:val="00500C6B"/>
    <w:rsid w:val="00500CDB"/>
    <w:rsid w:val="00501B5F"/>
    <w:rsid w:val="00502D2D"/>
    <w:rsid w:val="00502EE7"/>
    <w:rsid w:val="00503C5E"/>
    <w:rsid w:val="00504F29"/>
    <w:rsid w:val="00505750"/>
    <w:rsid w:val="00505A98"/>
    <w:rsid w:val="00505C8D"/>
    <w:rsid w:val="00505EB9"/>
    <w:rsid w:val="00506825"/>
    <w:rsid w:val="0050695E"/>
    <w:rsid w:val="00506BF3"/>
    <w:rsid w:val="00507254"/>
    <w:rsid w:val="00507572"/>
    <w:rsid w:val="00510F4E"/>
    <w:rsid w:val="005110E4"/>
    <w:rsid w:val="00511BFE"/>
    <w:rsid w:val="00512377"/>
    <w:rsid w:val="00513024"/>
    <w:rsid w:val="00513780"/>
    <w:rsid w:val="005143A1"/>
    <w:rsid w:val="00514887"/>
    <w:rsid w:val="00514F57"/>
    <w:rsid w:val="00515A0B"/>
    <w:rsid w:val="00516521"/>
    <w:rsid w:val="00516F1E"/>
    <w:rsid w:val="00517884"/>
    <w:rsid w:val="005200F6"/>
    <w:rsid w:val="005200FB"/>
    <w:rsid w:val="005206D7"/>
    <w:rsid w:val="005207B1"/>
    <w:rsid w:val="00520CC0"/>
    <w:rsid w:val="00521427"/>
    <w:rsid w:val="00521485"/>
    <w:rsid w:val="005216C3"/>
    <w:rsid w:val="005220BB"/>
    <w:rsid w:val="005223FE"/>
    <w:rsid w:val="005236EA"/>
    <w:rsid w:val="005239E5"/>
    <w:rsid w:val="00524CDB"/>
    <w:rsid w:val="00525431"/>
    <w:rsid w:val="005265EC"/>
    <w:rsid w:val="005268E4"/>
    <w:rsid w:val="00526970"/>
    <w:rsid w:val="00526D10"/>
    <w:rsid w:val="00526D94"/>
    <w:rsid w:val="00526DCB"/>
    <w:rsid w:val="00527260"/>
    <w:rsid w:val="005278CA"/>
    <w:rsid w:val="00527AB3"/>
    <w:rsid w:val="005302FF"/>
    <w:rsid w:val="0053071C"/>
    <w:rsid w:val="00530B88"/>
    <w:rsid w:val="00530CC1"/>
    <w:rsid w:val="00531712"/>
    <w:rsid w:val="00531EFE"/>
    <w:rsid w:val="005322FE"/>
    <w:rsid w:val="005329DE"/>
    <w:rsid w:val="00532DB6"/>
    <w:rsid w:val="0053386F"/>
    <w:rsid w:val="005338CD"/>
    <w:rsid w:val="00533987"/>
    <w:rsid w:val="00533B1C"/>
    <w:rsid w:val="00533BE8"/>
    <w:rsid w:val="00533FCB"/>
    <w:rsid w:val="005354A9"/>
    <w:rsid w:val="0053578B"/>
    <w:rsid w:val="00535B9E"/>
    <w:rsid w:val="0053669F"/>
    <w:rsid w:val="0053670D"/>
    <w:rsid w:val="00536726"/>
    <w:rsid w:val="00536DC0"/>
    <w:rsid w:val="00537521"/>
    <w:rsid w:val="005378B1"/>
    <w:rsid w:val="005402F8"/>
    <w:rsid w:val="00540EB3"/>
    <w:rsid w:val="005416FD"/>
    <w:rsid w:val="0054238C"/>
    <w:rsid w:val="00542585"/>
    <w:rsid w:val="0054316E"/>
    <w:rsid w:val="005433E2"/>
    <w:rsid w:val="00544321"/>
    <w:rsid w:val="00544794"/>
    <w:rsid w:val="00544A7D"/>
    <w:rsid w:val="00545404"/>
    <w:rsid w:val="005455CA"/>
    <w:rsid w:val="0054617C"/>
    <w:rsid w:val="00547203"/>
    <w:rsid w:val="00547B69"/>
    <w:rsid w:val="00547F28"/>
    <w:rsid w:val="00550D02"/>
    <w:rsid w:val="00551035"/>
    <w:rsid w:val="00551283"/>
    <w:rsid w:val="00551C90"/>
    <w:rsid w:val="005521C0"/>
    <w:rsid w:val="00552753"/>
    <w:rsid w:val="005529BC"/>
    <w:rsid w:val="00553106"/>
    <w:rsid w:val="00553823"/>
    <w:rsid w:val="00553D22"/>
    <w:rsid w:val="00553FF4"/>
    <w:rsid w:val="005549FE"/>
    <w:rsid w:val="00554C0B"/>
    <w:rsid w:val="00554DEA"/>
    <w:rsid w:val="00554F5B"/>
    <w:rsid w:val="00555BDA"/>
    <w:rsid w:val="00555D82"/>
    <w:rsid w:val="005568AB"/>
    <w:rsid w:val="00556F81"/>
    <w:rsid w:val="00557000"/>
    <w:rsid w:val="005574C5"/>
    <w:rsid w:val="0055798A"/>
    <w:rsid w:val="00557ACD"/>
    <w:rsid w:val="00557FA5"/>
    <w:rsid w:val="0056003D"/>
    <w:rsid w:val="00560DC0"/>
    <w:rsid w:val="00561D9B"/>
    <w:rsid w:val="00562977"/>
    <w:rsid w:val="0056300B"/>
    <w:rsid w:val="00563184"/>
    <w:rsid w:val="005644D5"/>
    <w:rsid w:val="00565708"/>
    <w:rsid w:val="00565C39"/>
    <w:rsid w:val="00566BD9"/>
    <w:rsid w:val="005672CD"/>
    <w:rsid w:val="005675F6"/>
    <w:rsid w:val="00567C14"/>
    <w:rsid w:val="00567F60"/>
    <w:rsid w:val="00570647"/>
    <w:rsid w:val="00570A0E"/>
    <w:rsid w:val="005713EB"/>
    <w:rsid w:val="00571451"/>
    <w:rsid w:val="00571B0C"/>
    <w:rsid w:val="005724C2"/>
    <w:rsid w:val="00572677"/>
    <w:rsid w:val="0057319F"/>
    <w:rsid w:val="00573388"/>
    <w:rsid w:val="0057352F"/>
    <w:rsid w:val="005736A8"/>
    <w:rsid w:val="00573A36"/>
    <w:rsid w:val="00573CC2"/>
    <w:rsid w:val="00574EAE"/>
    <w:rsid w:val="00575515"/>
    <w:rsid w:val="0057592B"/>
    <w:rsid w:val="00575C7D"/>
    <w:rsid w:val="00576241"/>
    <w:rsid w:val="00576364"/>
    <w:rsid w:val="00576516"/>
    <w:rsid w:val="0057742F"/>
    <w:rsid w:val="005776BB"/>
    <w:rsid w:val="00580465"/>
    <w:rsid w:val="00580D28"/>
    <w:rsid w:val="00581005"/>
    <w:rsid w:val="00582285"/>
    <w:rsid w:val="005829B3"/>
    <w:rsid w:val="00582A9A"/>
    <w:rsid w:val="00582BAE"/>
    <w:rsid w:val="00583951"/>
    <w:rsid w:val="00584564"/>
    <w:rsid w:val="00584F59"/>
    <w:rsid w:val="0058585F"/>
    <w:rsid w:val="00585ADD"/>
    <w:rsid w:val="00585B70"/>
    <w:rsid w:val="005862A2"/>
    <w:rsid w:val="0058640B"/>
    <w:rsid w:val="00586DA6"/>
    <w:rsid w:val="00586E57"/>
    <w:rsid w:val="005870B9"/>
    <w:rsid w:val="0058746E"/>
    <w:rsid w:val="00587698"/>
    <w:rsid w:val="0058785D"/>
    <w:rsid w:val="00590266"/>
    <w:rsid w:val="005906F8"/>
    <w:rsid w:val="005912B5"/>
    <w:rsid w:val="005913E3"/>
    <w:rsid w:val="00591406"/>
    <w:rsid w:val="00592B6E"/>
    <w:rsid w:val="0059338C"/>
    <w:rsid w:val="00594286"/>
    <w:rsid w:val="005943D6"/>
    <w:rsid w:val="00594D45"/>
    <w:rsid w:val="00594D89"/>
    <w:rsid w:val="00594FA3"/>
    <w:rsid w:val="0059524A"/>
    <w:rsid w:val="005956D4"/>
    <w:rsid w:val="00595E1C"/>
    <w:rsid w:val="00595E53"/>
    <w:rsid w:val="00595F72"/>
    <w:rsid w:val="00596109"/>
    <w:rsid w:val="00596736"/>
    <w:rsid w:val="00596E5A"/>
    <w:rsid w:val="005979B2"/>
    <w:rsid w:val="005A05A2"/>
    <w:rsid w:val="005A0E50"/>
    <w:rsid w:val="005A102B"/>
    <w:rsid w:val="005A115D"/>
    <w:rsid w:val="005A1383"/>
    <w:rsid w:val="005A138A"/>
    <w:rsid w:val="005A14F7"/>
    <w:rsid w:val="005A162B"/>
    <w:rsid w:val="005A1874"/>
    <w:rsid w:val="005A2F3C"/>
    <w:rsid w:val="005A2F89"/>
    <w:rsid w:val="005A3332"/>
    <w:rsid w:val="005A3333"/>
    <w:rsid w:val="005A3C0A"/>
    <w:rsid w:val="005A434C"/>
    <w:rsid w:val="005A4857"/>
    <w:rsid w:val="005A52DD"/>
    <w:rsid w:val="005A57C5"/>
    <w:rsid w:val="005A6770"/>
    <w:rsid w:val="005A7316"/>
    <w:rsid w:val="005A735E"/>
    <w:rsid w:val="005A755B"/>
    <w:rsid w:val="005A7880"/>
    <w:rsid w:val="005B083D"/>
    <w:rsid w:val="005B103D"/>
    <w:rsid w:val="005B129C"/>
    <w:rsid w:val="005B13D3"/>
    <w:rsid w:val="005B1AF1"/>
    <w:rsid w:val="005B3275"/>
    <w:rsid w:val="005B3D56"/>
    <w:rsid w:val="005B44BB"/>
    <w:rsid w:val="005B44F2"/>
    <w:rsid w:val="005B4786"/>
    <w:rsid w:val="005B48EF"/>
    <w:rsid w:val="005B4AE1"/>
    <w:rsid w:val="005B4F2F"/>
    <w:rsid w:val="005B4F47"/>
    <w:rsid w:val="005B5096"/>
    <w:rsid w:val="005B58F8"/>
    <w:rsid w:val="005B5BD7"/>
    <w:rsid w:val="005B5F58"/>
    <w:rsid w:val="005B6229"/>
    <w:rsid w:val="005B6ACD"/>
    <w:rsid w:val="005B7EE7"/>
    <w:rsid w:val="005C09B4"/>
    <w:rsid w:val="005C1BAF"/>
    <w:rsid w:val="005C1E30"/>
    <w:rsid w:val="005C1E56"/>
    <w:rsid w:val="005C2379"/>
    <w:rsid w:val="005C2C9D"/>
    <w:rsid w:val="005C2D0A"/>
    <w:rsid w:val="005C335F"/>
    <w:rsid w:val="005C385F"/>
    <w:rsid w:val="005C40D9"/>
    <w:rsid w:val="005C4488"/>
    <w:rsid w:val="005C459F"/>
    <w:rsid w:val="005C52AD"/>
    <w:rsid w:val="005C59B7"/>
    <w:rsid w:val="005C61A2"/>
    <w:rsid w:val="005C6FBE"/>
    <w:rsid w:val="005C7C17"/>
    <w:rsid w:val="005D08F1"/>
    <w:rsid w:val="005D0ED7"/>
    <w:rsid w:val="005D1496"/>
    <w:rsid w:val="005D1676"/>
    <w:rsid w:val="005D18C9"/>
    <w:rsid w:val="005D1A29"/>
    <w:rsid w:val="005D1D1E"/>
    <w:rsid w:val="005D1E21"/>
    <w:rsid w:val="005D214D"/>
    <w:rsid w:val="005D3686"/>
    <w:rsid w:val="005D4218"/>
    <w:rsid w:val="005D485D"/>
    <w:rsid w:val="005D5B02"/>
    <w:rsid w:val="005D5D21"/>
    <w:rsid w:val="005D5E08"/>
    <w:rsid w:val="005D5E18"/>
    <w:rsid w:val="005D63FA"/>
    <w:rsid w:val="005D672E"/>
    <w:rsid w:val="005D750D"/>
    <w:rsid w:val="005E0753"/>
    <w:rsid w:val="005E0815"/>
    <w:rsid w:val="005E0EA1"/>
    <w:rsid w:val="005E19B1"/>
    <w:rsid w:val="005E19F0"/>
    <w:rsid w:val="005E1B40"/>
    <w:rsid w:val="005E1FCD"/>
    <w:rsid w:val="005E20FC"/>
    <w:rsid w:val="005E236E"/>
    <w:rsid w:val="005E23F3"/>
    <w:rsid w:val="005E26E5"/>
    <w:rsid w:val="005E3077"/>
    <w:rsid w:val="005E375E"/>
    <w:rsid w:val="005E3824"/>
    <w:rsid w:val="005E38B7"/>
    <w:rsid w:val="005E3BF0"/>
    <w:rsid w:val="005E3CC5"/>
    <w:rsid w:val="005E411F"/>
    <w:rsid w:val="005E4188"/>
    <w:rsid w:val="005E5FFA"/>
    <w:rsid w:val="005E7D0A"/>
    <w:rsid w:val="005E7ECA"/>
    <w:rsid w:val="005E7EE5"/>
    <w:rsid w:val="005F08A7"/>
    <w:rsid w:val="005F14E1"/>
    <w:rsid w:val="005F1527"/>
    <w:rsid w:val="005F1683"/>
    <w:rsid w:val="005F172A"/>
    <w:rsid w:val="005F1AA6"/>
    <w:rsid w:val="005F1BEA"/>
    <w:rsid w:val="005F1C90"/>
    <w:rsid w:val="005F25FD"/>
    <w:rsid w:val="005F2C47"/>
    <w:rsid w:val="005F3757"/>
    <w:rsid w:val="005F41F7"/>
    <w:rsid w:val="005F423E"/>
    <w:rsid w:val="005F43B2"/>
    <w:rsid w:val="005F47B7"/>
    <w:rsid w:val="005F493D"/>
    <w:rsid w:val="005F4AAD"/>
    <w:rsid w:val="005F5079"/>
    <w:rsid w:val="005F5521"/>
    <w:rsid w:val="005F57E7"/>
    <w:rsid w:val="005F5920"/>
    <w:rsid w:val="005F59C3"/>
    <w:rsid w:val="005F5E37"/>
    <w:rsid w:val="005F69C0"/>
    <w:rsid w:val="005F766B"/>
    <w:rsid w:val="00600184"/>
    <w:rsid w:val="00601177"/>
    <w:rsid w:val="006013F1"/>
    <w:rsid w:val="00601546"/>
    <w:rsid w:val="00601ECC"/>
    <w:rsid w:val="006026F8"/>
    <w:rsid w:val="00602E7A"/>
    <w:rsid w:val="006031AD"/>
    <w:rsid w:val="00603956"/>
    <w:rsid w:val="006042E7"/>
    <w:rsid w:val="006049EE"/>
    <w:rsid w:val="00605B30"/>
    <w:rsid w:val="00605F09"/>
    <w:rsid w:val="0060662B"/>
    <w:rsid w:val="0060713D"/>
    <w:rsid w:val="00607BE6"/>
    <w:rsid w:val="00607C48"/>
    <w:rsid w:val="00610E6C"/>
    <w:rsid w:val="00611AD3"/>
    <w:rsid w:val="00612146"/>
    <w:rsid w:val="0061216F"/>
    <w:rsid w:val="006121D4"/>
    <w:rsid w:val="00612689"/>
    <w:rsid w:val="006126F6"/>
    <w:rsid w:val="0061375F"/>
    <w:rsid w:val="00613848"/>
    <w:rsid w:val="006140B8"/>
    <w:rsid w:val="00614210"/>
    <w:rsid w:val="006147A5"/>
    <w:rsid w:val="00614835"/>
    <w:rsid w:val="00614FDF"/>
    <w:rsid w:val="0061581B"/>
    <w:rsid w:val="0061588C"/>
    <w:rsid w:val="00615BC9"/>
    <w:rsid w:val="00615C81"/>
    <w:rsid w:val="00615DC1"/>
    <w:rsid w:val="00616316"/>
    <w:rsid w:val="006163E5"/>
    <w:rsid w:val="0061675A"/>
    <w:rsid w:val="00617672"/>
    <w:rsid w:val="006176B8"/>
    <w:rsid w:val="006179CD"/>
    <w:rsid w:val="00617ADC"/>
    <w:rsid w:val="00617D14"/>
    <w:rsid w:val="0062012B"/>
    <w:rsid w:val="006203EA"/>
    <w:rsid w:val="006204CC"/>
    <w:rsid w:val="00621BD2"/>
    <w:rsid w:val="006222EF"/>
    <w:rsid w:val="00622991"/>
    <w:rsid w:val="00623175"/>
    <w:rsid w:val="006236A4"/>
    <w:rsid w:val="006237F8"/>
    <w:rsid w:val="00624679"/>
    <w:rsid w:val="00624898"/>
    <w:rsid w:val="006248CB"/>
    <w:rsid w:val="00624DFE"/>
    <w:rsid w:val="00626103"/>
    <w:rsid w:val="0062682F"/>
    <w:rsid w:val="00630C5C"/>
    <w:rsid w:val="00630FF7"/>
    <w:rsid w:val="0063151F"/>
    <w:rsid w:val="00631870"/>
    <w:rsid w:val="00631DF0"/>
    <w:rsid w:val="00632644"/>
    <w:rsid w:val="006326CC"/>
    <w:rsid w:val="00632798"/>
    <w:rsid w:val="00632B7B"/>
    <w:rsid w:val="00632CB0"/>
    <w:rsid w:val="00632D66"/>
    <w:rsid w:val="006334BF"/>
    <w:rsid w:val="00633B10"/>
    <w:rsid w:val="00634030"/>
    <w:rsid w:val="00634433"/>
    <w:rsid w:val="00634936"/>
    <w:rsid w:val="00634E23"/>
    <w:rsid w:val="006352F9"/>
    <w:rsid w:val="00635705"/>
    <w:rsid w:val="006362D6"/>
    <w:rsid w:val="0063692A"/>
    <w:rsid w:val="006369E2"/>
    <w:rsid w:val="00636A4A"/>
    <w:rsid w:val="00636D6F"/>
    <w:rsid w:val="006370BE"/>
    <w:rsid w:val="006372AB"/>
    <w:rsid w:val="00637C16"/>
    <w:rsid w:val="00637ECB"/>
    <w:rsid w:val="00637F15"/>
    <w:rsid w:val="00640005"/>
    <w:rsid w:val="006404C4"/>
    <w:rsid w:val="006404C6"/>
    <w:rsid w:val="00640F5E"/>
    <w:rsid w:val="00641764"/>
    <w:rsid w:val="00641859"/>
    <w:rsid w:val="00641BE8"/>
    <w:rsid w:val="00641EC1"/>
    <w:rsid w:val="0064366A"/>
    <w:rsid w:val="00643731"/>
    <w:rsid w:val="00643937"/>
    <w:rsid w:val="00643C9B"/>
    <w:rsid w:val="00643DAD"/>
    <w:rsid w:val="0064474F"/>
    <w:rsid w:val="00645CFD"/>
    <w:rsid w:val="0064624A"/>
    <w:rsid w:val="0064650F"/>
    <w:rsid w:val="00646CE4"/>
    <w:rsid w:val="006473B3"/>
    <w:rsid w:val="006479B3"/>
    <w:rsid w:val="00647D99"/>
    <w:rsid w:val="00647FC0"/>
    <w:rsid w:val="006501A2"/>
    <w:rsid w:val="00650970"/>
    <w:rsid w:val="00650E66"/>
    <w:rsid w:val="00650ED3"/>
    <w:rsid w:val="00651045"/>
    <w:rsid w:val="00651334"/>
    <w:rsid w:val="00651524"/>
    <w:rsid w:val="00652231"/>
    <w:rsid w:val="00652242"/>
    <w:rsid w:val="006525C2"/>
    <w:rsid w:val="00652B36"/>
    <w:rsid w:val="0065334C"/>
    <w:rsid w:val="006533D4"/>
    <w:rsid w:val="00653636"/>
    <w:rsid w:val="0065366C"/>
    <w:rsid w:val="006537D6"/>
    <w:rsid w:val="00653A32"/>
    <w:rsid w:val="006557A4"/>
    <w:rsid w:val="00655803"/>
    <w:rsid w:val="00655A1E"/>
    <w:rsid w:val="00656118"/>
    <w:rsid w:val="00656F03"/>
    <w:rsid w:val="00657CF1"/>
    <w:rsid w:val="00657DDC"/>
    <w:rsid w:val="006603AC"/>
    <w:rsid w:val="00660463"/>
    <w:rsid w:val="006608D4"/>
    <w:rsid w:val="00660954"/>
    <w:rsid w:val="00662466"/>
    <w:rsid w:val="006625AC"/>
    <w:rsid w:val="0066298A"/>
    <w:rsid w:val="00662C85"/>
    <w:rsid w:val="00662EB9"/>
    <w:rsid w:val="006632AC"/>
    <w:rsid w:val="00663407"/>
    <w:rsid w:val="00663B72"/>
    <w:rsid w:val="00663DCF"/>
    <w:rsid w:val="006642BB"/>
    <w:rsid w:val="006642F5"/>
    <w:rsid w:val="00664489"/>
    <w:rsid w:val="00664A58"/>
    <w:rsid w:val="00664F82"/>
    <w:rsid w:val="00665951"/>
    <w:rsid w:val="006662C5"/>
    <w:rsid w:val="006666A9"/>
    <w:rsid w:val="00666867"/>
    <w:rsid w:val="00666A47"/>
    <w:rsid w:val="00670CB5"/>
    <w:rsid w:val="00670CBD"/>
    <w:rsid w:val="00670CE4"/>
    <w:rsid w:val="006728CC"/>
    <w:rsid w:val="00672BE3"/>
    <w:rsid w:val="00672C34"/>
    <w:rsid w:val="00672F5A"/>
    <w:rsid w:val="0067334A"/>
    <w:rsid w:val="0067368F"/>
    <w:rsid w:val="00673E96"/>
    <w:rsid w:val="006743B7"/>
    <w:rsid w:val="0067511C"/>
    <w:rsid w:val="0067561F"/>
    <w:rsid w:val="006761A1"/>
    <w:rsid w:val="00676314"/>
    <w:rsid w:val="00676B7B"/>
    <w:rsid w:val="006771CE"/>
    <w:rsid w:val="00677ADA"/>
    <w:rsid w:val="00677B01"/>
    <w:rsid w:val="0068026F"/>
    <w:rsid w:val="0068195B"/>
    <w:rsid w:val="0068281C"/>
    <w:rsid w:val="00684004"/>
    <w:rsid w:val="0068405E"/>
    <w:rsid w:val="006847E4"/>
    <w:rsid w:val="006850DD"/>
    <w:rsid w:val="0068557B"/>
    <w:rsid w:val="00686C1B"/>
    <w:rsid w:val="006908CD"/>
    <w:rsid w:val="00690B90"/>
    <w:rsid w:val="00691000"/>
    <w:rsid w:val="00691A52"/>
    <w:rsid w:val="00691E7E"/>
    <w:rsid w:val="006927A5"/>
    <w:rsid w:val="00692A2C"/>
    <w:rsid w:val="00692CF0"/>
    <w:rsid w:val="00692DB1"/>
    <w:rsid w:val="006933AC"/>
    <w:rsid w:val="006934A7"/>
    <w:rsid w:val="00693BF3"/>
    <w:rsid w:val="00694315"/>
    <w:rsid w:val="00694ABC"/>
    <w:rsid w:val="00694C16"/>
    <w:rsid w:val="00694C54"/>
    <w:rsid w:val="00694C8E"/>
    <w:rsid w:val="00695005"/>
    <w:rsid w:val="0069612A"/>
    <w:rsid w:val="00696746"/>
    <w:rsid w:val="00696979"/>
    <w:rsid w:val="00697E35"/>
    <w:rsid w:val="006A02B7"/>
    <w:rsid w:val="006A03AB"/>
    <w:rsid w:val="006A145D"/>
    <w:rsid w:val="006A164A"/>
    <w:rsid w:val="006A2040"/>
    <w:rsid w:val="006A204B"/>
    <w:rsid w:val="006A22DD"/>
    <w:rsid w:val="006A2366"/>
    <w:rsid w:val="006A2CD0"/>
    <w:rsid w:val="006A2F4C"/>
    <w:rsid w:val="006A305E"/>
    <w:rsid w:val="006A37A7"/>
    <w:rsid w:val="006A3AEF"/>
    <w:rsid w:val="006A3F3C"/>
    <w:rsid w:val="006A4C22"/>
    <w:rsid w:val="006A5D49"/>
    <w:rsid w:val="006A6A5C"/>
    <w:rsid w:val="006A6CAC"/>
    <w:rsid w:val="006A7099"/>
    <w:rsid w:val="006A7F61"/>
    <w:rsid w:val="006B059A"/>
    <w:rsid w:val="006B0B88"/>
    <w:rsid w:val="006B0D74"/>
    <w:rsid w:val="006B1CCB"/>
    <w:rsid w:val="006B2137"/>
    <w:rsid w:val="006B2A7B"/>
    <w:rsid w:val="006B3273"/>
    <w:rsid w:val="006B344A"/>
    <w:rsid w:val="006B3522"/>
    <w:rsid w:val="006B365C"/>
    <w:rsid w:val="006B3B3A"/>
    <w:rsid w:val="006B3B7F"/>
    <w:rsid w:val="006B4376"/>
    <w:rsid w:val="006B5BED"/>
    <w:rsid w:val="006B627D"/>
    <w:rsid w:val="006B6E29"/>
    <w:rsid w:val="006B7129"/>
    <w:rsid w:val="006B75AC"/>
    <w:rsid w:val="006B77FA"/>
    <w:rsid w:val="006C08D3"/>
    <w:rsid w:val="006C142C"/>
    <w:rsid w:val="006C147D"/>
    <w:rsid w:val="006C178A"/>
    <w:rsid w:val="006C1992"/>
    <w:rsid w:val="006C1AB3"/>
    <w:rsid w:val="006C1B58"/>
    <w:rsid w:val="006C20A6"/>
    <w:rsid w:val="006C2126"/>
    <w:rsid w:val="006C2782"/>
    <w:rsid w:val="006C2933"/>
    <w:rsid w:val="006C2BF6"/>
    <w:rsid w:val="006C2C82"/>
    <w:rsid w:val="006C2FDF"/>
    <w:rsid w:val="006C322E"/>
    <w:rsid w:val="006C324F"/>
    <w:rsid w:val="006C32BF"/>
    <w:rsid w:val="006C3678"/>
    <w:rsid w:val="006C3703"/>
    <w:rsid w:val="006C3AEE"/>
    <w:rsid w:val="006C3F83"/>
    <w:rsid w:val="006C45F4"/>
    <w:rsid w:val="006C515D"/>
    <w:rsid w:val="006C6333"/>
    <w:rsid w:val="006C7761"/>
    <w:rsid w:val="006C78E5"/>
    <w:rsid w:val="006C79D4"/>
    <w:rsid w:val="006D0DB7"/>
    <w:rsid w:val="006D1931"/>
    <w:rsid w:val="006D20F2"/>
    <w:rsid w:val="006D26E1"/>
    <w:rsid w:val="006D2706"/>
    <w:rsid w:val="006D2CEA"/>
    <w:rsid w:val="006D2D8B"/>
    <w:rsid w:val="006D2E9D"/>
    <w:rsid w:val="006D32F4"/>
    <w:rsid w:val="006D3C23"/>
    <w:rsid w:val="006D4401"/>
    <w:rsid w:val="006D4E18"/>
    <w:rsid w:val="006D4FE3"/>
    <w:rsid w:val="006D60A3"/>
    <w:rsid w:val="006D67CC"/>
    <w:rsid w:val="006D6A4B"/>
    <w:rsid w:val="006D749A"/>
    <w:rsid w:val="006D7865"/>
    <w:rsid w:val="006D7CA8"/>
    <w:rsid w:val="006E14AA"/>
    <w:rsid w:val="006E1DA9"/>
    <w:rsid w:val="006E1DF1"/>
    <w:rsid w:val="006E201D"/>
    <w:rsid w:val="006E2AC2"/>
    <w:rsid w:val="006E2BA6"/>
    <w:rsid w:val="006E2BC3"/>
    <w:rsid w:val="006E2D9D"/>
    <w:rsid w:val="006E2DDC"/>
    <w:rsid w:val="006E2E12"/>
    <w:rsid w:val="006E34DC"/>
    <w:rsid w:val="006E4065"/>
    <w:rsid w:val="006E4555"/>
    <w:rsid w:val="006E4773"/>
    <w:rsid w:val="006E4B58"/>
    <w:rsid w:val="006E4E9A"/>
    <w:rsid w:val="006E4EC3"/>
    <w:rsid w:val="006E55DD"/>
    <w:rsid w:val="006E5F58"/>
    <w:rsid w:val="006E6EF5"/>
    <w:rsid w:val="006E6F88"/>
    <w:rsid w:val="006E759D"/>
    <w:rsid w:val="006E75AD"/>
    <w:rsid w:val="006F0419"/>
    <w:rsid w:val="006F05AA"/>
    <w:rsid w:val="006F0750"/>
    <w:rsid w:val="006F1B45"/>
    <w:rsid w:val="006F1E1A"/>
    <w:rsid w:val="006F2768"/>
    <w:rsid w:val="006F2F78"/>
    <w:rsid w:val="006F3DD6"/>
    <w:rsid w:val="006F4447"/>
    <w:rsid w:val="006F46F1"/>
    <w:rsid w:val="006F5548"/>
    <w:rsid w:val="006F581B"/>
    <w:rsid w:val="006F58B0"/>
    <w:rsid w:val="006F5A3D"/>
    <w:rsid w:val="006F626D"/>
    <w:rsid w:val="006F6446"/>
    <w:rsid w:val="006F6B3E"/>
    <w:rsid w:val="006F7494"/>
    <w:rsid w:val="006F7DB6"/>
    <w:rsid w:val="00700DD0"/>
    <w:rsid w:val="00701098"/>
    <w:rsid w:val="007013E8"/>
    <w:rsid w:val="00701FEB"/>
    <w:rsid w:val="007022B0"/>
    <w:rsid w:val="00702D43"/>
    <w:rsid w:val="007044C6"/>
    <w:rsid w:val="00705146"/>
    <w:rsid w:val="00705A25"/>
    <w:rsid w:val="00705BEA"/>
    <w:rsid w:val="00706165"/>
    <w:rsid w:val="00707895"/>
    <w:rsid w:val="00707C7F"/>
    <w:rsid w:val="007101B3"/>
    <w:rsid w:val="00710276"/>
    <w:rsid w:val="00710506"/>
    <w:rsid w:val="00710899"/>
    <w:rsid w:val="00710B07"/>
    <w:rsid w:val="00710CF6"/>
    <w:rsid w:val="007111CC"/>
    <w:rsid w:val="00711B02"/>
    <w:rsid w:val="0071234A"/>
    <w:rsid w:val="0071252F"/>
    <w:rsid w:val="007126C0"/>
    <w:rsid w:val="0071308F"/>
    <w:rsid w:val="0071337F"/>
    <w:rsid w:val="007135C5"/>
    <w:rsid w:val="00713E29"/>
    <w:rsid w:val="00713F55"/>
    <w:rsid w:val="007145F8"/>
    <w:rsid w:val="00714C4E"/>
    <w:rsid w:val="00715C90"/>
    <w:rsid w:val="00715CA2"/>
    <w:rsid w:val="00715F55"/>
    <w:rsid w:val="00716422"/>
    <w:rsid w:val="00716676"/>
    <w:rsid w:val="00716FA6"/>
    <w:rsid w:val="00717415"/>
    <w:rsid w:val="007176F0"/>
    <w:rsid w:val="0072059E"/>
    <w:rsid w:val="00720639"/>
    <w:rsid w:val="00720EB2"/>
    <w:rsid w:val="0072103C"/>
    <w:rsid w:val="00721048"/>
    <w:rsid w:val="00721D49"/>
    <w:rsid w:val="007230A4"/>
    <w:rsid w:val="007232FF"/>
    <w:rsid w:val="007237EA"/>
    <w:rsid w:val="007243DC"/>
    <w:rsid w:val="00724FE4"/>
    <w:rsid w:val="00725AE5"/>
    <w:rsid w:val="007267B6"/>
    <w:rsid w:val="00726D38"/>
    <w:rsid w:val="00726EE0"/>
    <w:rsid w:val="00727126"/>
    <w:rsid w:val="007273EF"/>
    <w:rsid w:val="007275D3"/>
    <w:rsid w:val="007277B1"/>
    <w:rsid w:val="00727B91"/>
    <w:rsid w:val="00730711"/>
    <w:rsid w:val="007308B2"/>
    <w:rsid w:val="00731284"/>
    <w:rsid w:val="00731555"/>
    <w:rsid w:val="0073276E"/>
    <w:rsid w:val="007328D1"/>
    <w:rsid w:val="00732E1A"/>
    <w:rsid w:val="00733177"/>
    <w:rsid w:val="007334AB"/>
    <w:rsid w:val="00733812"/>
    <w:rsid w:val="00733C9C"/>
    <w:rsid w:val="00733EC8"/>
    <w:rsid w:val="00733EDF"/>
    <w:rsid w:val="00734C40"/>
    <w:rsid w:val="007355A6"/>
    <w:rsid w:val="00735B0D"/>
    <w:rsid w:val="00736022"/>
    <w:rsid w:val="00736793"/>
    <w:rsid w:val="00736B4B"/>
    <w:rsid w:val="00736C14"/>
    <w:rsid w:val="00737DCD"/>
    <w:rsid w:val="007403B2"/>
    <w:rsid w:val="00741566"/>
    <w:rsid w:val="00741703"/>
    <w:rsid w:val="00741B18"/>
    <w:rsid w:val="00741B46"/>
    <w:rsid w:val="00742773"/>
    <w:rsid w:val="007433AC"/>
    <w:rsid w:val="00743F51"/>
    <w:rsid w:val="00744BCD"/>
    <w:rsid w:val="00745607"/>
    <w:rsid w:val="007459B0"/>
    <w:rsid w:val="00745BD1"/>
    <w:rsid w:val="00745D53"/>
    <w:rsid w:val="00746998"/>
    <w:rsid w:val="00746D21"/>
    <w:rsid w:val="0074714C"/>
    <w:rsid w:val="00747B61"/>
    <w:rsid w:val="00750B6D"/>
    <w:rsid w:val="0075139D"/>
    <w:rsid w:val="0075163A"/>
    <w:rsid w:val="00751D3E"/>
    <w:rsid w:val="00752906"/>
    <w:rsid w:val="00752DD8"/>
    <w:rsid w:val="00753317"/>
    <w:rsid w:val="00753DEA"/>
    <w:rsid w:val="00753E57"/>
    <w:rsid w:val="00754FB8"/>
    <w:rsid w:val="007553D7"/>
    <w:rsid w:val="00755427"/>
    <w:rsid w:val="007567B7"/>
    <w:rsid w:val="00756894"/>
    <w:rsid w:val="007575B8"/>
    <w:rsid w:val="00757965"/>
    <w:rsid w:val="00757CE0"/>
    <w:rsid w:val="00760751"/>
    <w:rsid w:val="00760CD8"/>
    <w:rsid w:val="00760FA9"/>
    <w:rsid w:val="0076144A"/>
    <w:rsid w:val="00761498"/>
    <w:rsid w:val="007625BD"/>
    <w:rsid w:val="007627B7"/>
    <w:rsid w:val="00763128"/>
    <w:rsid w:val="007631BC"/>
    <w:rsid w:val="007633D4"/>
    <w:rsid w:val="007634C0"/>
    <w:rsid w:val="007636F9"/>
    <w:rsid w:val="00763956"/>
    <w:rsid w:val="00763B97"/>
    <w:rsid w:val="00764162"/>
    <w:rsid w:val="0076453A"/>
    <w:rsid w:val="0076460C"/>
    <w:rsid w:val="00764772"/>
    <w:rsid w:val="007649D3"/>
    <w:rsid w:val="00765343"/>
    <w:rsid w:val="007654A2"/>
    <w:rsid w:val="007654DA"/>
    <w:rsid w:val="00765822"/>
    <w:rsid w:val="00765C16"/>
    <w:rsid w:val="007663B3"/>
    <w:rsid w:val="00766C89"/>
    <w:rsid w:val="00767214"/>
    <w:rsid w:val="007672F4"/>
    <w:rsid w:val="007700E8"/>
    <w:rsid w:val="007702E4"/>
    <w:rsid w:val="00770441"/>
    <w:rsid w:val="00770468"/>
    <w:rsid w:val="00770A3F"/>
    <w:rsid w:val="00770A60"/>
    <w:rsid w:val="007713D9"/>
    <w:rsid w:val="00772548"/>
    <w:rsid w:val="007726C7"/>
    <w:rsid w:val="00774250"/>
    <w:rsid w:val="00774A36"/>
    <w:rsid w:val="00775180"/>
    <w:rsid w:val="00775550"/>
    <w:rsid w:val="007756ED"/>
    <w:rsid w:val="00775DC3"/>
    <w:rsid w:val="00775ED7"/>
    <w:rsid w:val="00776FE3"/>
    <w:rsid w:val="00777916"/>
    <w:rsid w:val="00777B99"/>
    <w:rsid w:val="00777C82"/>
    <w:rsid w:val="0078021F"/>
    <w:rsid w:val="00781526"/>
    <w:rsid w:val="007825E9"/>
    <w:rsid w:val="00782610"/>
    <w:rsid w:val="00782A95"/>
    <w:rsid w:val="00782F7C"/>
    <w:rsid w:val="007831C1"/>
    <w:rsid w:val="00783670"/>
    <w:rsid w:val="00783A99"/>
    <w:rsid w:val="00784341"/>
    <w:rsid w:val="00784AC9"/>
    <w:rsid w:val="00784E4D"/>
    <w:rsid w:val="007869FF"/>
    <w:rsid w:val="00790569"/>
    <w:rsid w:val="00790AC7"/>
    <w:rsid w:val="00790EA2"/>
    <w:rsid w:val="0079118B"/>
    <w:rsid w:val="007915AC"/>
    <w:rsid w:val="007917C5"/>
    <w:rsid w:val="00791E54"/>
    <w:rsid w:val="00792A25"/>
    <w:rsid w:val="0079301A"/>
    <w:rsid w:val="007936A8"/>
    <w:rsid w:val="00793A6D"/>
    <w:rsid w:val="00793BD4"/>
    <w:rsid w:val="00793D2F"/>
    <w:rsid w:val="00793FA3"/>
    <w:rsid w:val="007945DD"/>
    <w:rsid w:val="007946AF"/>
    <w:rsid w:val="00794F6E"/>
    <w:rsid w:val="00795D4B"/>
    <w:rsid w:val="00796271"/>
    <w:rsid w:val="00796514"/>
    <w:rsid w:val="00796744"/>
    <w:rsid w:val="00796F41"/>
    <w:rsid w:val="00797493"/>
    <w:rsid w:val="00797AB7"/>
    <w:rsid w:val="007A01BF"/>
    <w:rsid w:val="007A0D05"/>
    <w:rsid w:val="007A2B0B"/>
    <w:rsid w:val="007A2D20"/>
    <w:rsid w:val="007A3184"/>
    <w:rsid w:val="007A3A16"/>
    <w:rsid w:val="007A3E8B"/>
    <w:rsid w:val="007A3F1B"/>
    <w:rsid w:val="007A45A3"/>
    <w:rsid w:val="007A4810"/>
    <w:rsid w:val="007A4C12"/>
    <w:rsid w:val="007A5044"/>
    <w:rsid w:val="007A602C"/>
    <w:rsid w:val="007A6242"/>
    <w:rsid w:val="007A69F8"/>
    <w:rsid w:val="007A6C37"/>
    <w:rsid w:val="007A6E24"/>
    <w:rsid w:val="007A7FFB"/>
    <w:rsid w:val="007B0611"/>
    <w:rsid w:val="007B06BC"/>
    <w:rsid w:val="007B07C6"/>
    <w:rsid w:val="007B0A1A"/>
    <w:rsid w:val="007B0BD2"/>
    <w:rsid w:val="007B1735"/>
    <w:rsid w:val="007B1C55"/>
    <w:rsid w:val="007B2AD3"/>
    <w:rsid w:val="007B2B6D"/>
    <w:rsid w:val="007B2C2A"/>
    <w:rsid w:val="007B2CD4"/>
    <w:rsid w:val="007B33B7"/>
    <w:rsid w:val="007B36FD"/>
    <w:rsid w:val="007B398D"/>
    <w:rsid w:val="007B43CC"/>
    <w:rsid w:val="007B4655"/>
    <w:rsid w:val="007B4B60"/>
    <w:rsid w:val="007B5BBD"/>
    <w:rsid w:val="007B682B"/>
    <w:rsid w:val="007B6DAF"/>
    <w:rsid w:val="007C10A6"/>
    <w:rsid w:val="007C1124"/>
    <w:rsid w:val="007C11CB"/>
    <w:rsid w:val="007C16E7"/>
    <w:rsid w:val="007C1D27"/>
    <w:rsid w:val="007C22C2"/>
    <w:rsid w:val="007C27F4"/>
    <w:rsid w:val="007C4150"/>
    <w:rsid w:val="007C4320"/>
    <w:rsid w:val="007C4ED4"/>
    <w:rsid w:val="007C52BF"/>
    <w:rsid w:val="007C5375"/>
    <w:rsid w:val="007C5961"/>
    <w:rsid w:val="007C59CB"/>
    <w:rsid w:val="007C6181"/>
    <w:rsid w:val="007C6E4D"/>
    <w:rsid w:val="007C7630"/>
    <w:rsid w:val="007C7E75"/>
    <w:rsid w:val="007D03C2"/>
    <w:rsid w:val="007D0AAB"/>
    <w:rsid w:val="007D101B"/>
    <w:rsid w:val="007D10E0"/>
    <w:rsid w:val="007D1633"/>
    <w:rsid w:val="007D1A69"/>
    <w:rsid w:val="007D2352"/>
    <w:rsid w:val="007D2680"/>
    <w:rsid w:val="007D29FD"/>
    <w:rsid w:val="007D2BB8"/>
    <w:rsid w:val="007D2CB1"/>
    <w:rsid w:val="007D3167"/>
    <w:rsid w:val="007D3363"/>
    <w:rsid w:val="007D47A3"/>
    <w:rsid w:val="007D50FA"/>
    <w:rsid w:val="007D5A05"/>
    <w:rsid w:val="007D5F8C"/>
    <w:rsid w:val="007D70D0"/>
    <w:rsid w:val="007D79B3"/>
    <w:rsid w:val="007E07AE"/>
    <w:rsid w:val="007E098F"/>
    <w:rsid w:val="007E0A27"/>
    <w:rsid w:val="007E1912"/>
    <w:rsid w:val="007E1AAC"/>
    <w:rsid w:val="007E1E21"/>
    <w:rsid w:val="007E1F3B"/>
    <w:rsid w:val="007E2283"/>
    <w:rsid w:val="007E2586"/>
    <w:rsid w:val="007E2D98"/>
    <w:rsid w:val="007E2E6E"/>
    <w:rsid w:val="007E30D5"/>
    <w:rsid w:val="007E34D2"/>
    <w:rsid w:val="007E3BE5"/>
    <w:rsid w:val="007E3D23"/>
    <w:rsid w:val="007E445B"/>
    <w:rsid w:val="007E4710"/>
    <w:rsid w:val="007E4775"/>
    <w:rsid w:val="007E5441"/>
    <w:rsid w:val="007E5D35"/>
    <w:rsid w:val="007E61A7"/>
    <w:rsid w:val="007E629F"/>
    <w:rsid w:val="007E6506"/>
    <w:rsid w:val="007E6E8F"/>
    <w:rsid w:val="007E73DE"/>
    <w:rsid w:val="007E79D7"/>
    <w:rsid w:val="007F1012"/>
    <w:rsid w:val="007F139F"/>
    <w:rsid w:val="007F1BAD"/>
    <w:rsid w:val="007F1FA7"/>
    <w:rsid w:val="007F2079"/>
    <w:rsid w:val="007F3431"/>
    <w:rsid w:val="007F368C"/>
    <w:rsid w:val="007F391B"/>
    <w:rsid w:val="007F3C98"/>
    <w:rsid w:val="007F4A99"/>
    <w:rsid w:val="007F4BE5"/>
    <w:rsid w:val="007F4CB5"/>
    <w:rsid w:val="007F4E31"/>
    <w:rsid w:val="007F4EC6"/>
    <w:rsid w:val="007F5B75"/>
    <w:rsid w:val="007F5EB4"/>
    <w:rsid w:val="007F6B7E"/>
    <w:rsid w:val="007F6C2C"/>
    <w:rsid w:val="007F6D39"/>
    <w:rsid w:val="007F79CD"/>
    <w:rsid w:val="007F79F1"/>
    <w:rsid w:val="007F7AC7"/>
    <w:rsid w:val="008002F6"/>
    <w:rsid w:val="008005C0"/>
    <w:rsid w:val="00801062"/>
    <w:rsid w:val="00801454"/>
    <w:rsid w:val="00801B23"/>
    <w:rsid w:val="00801F3C"/>
    <w:rsid w:val="008020E7"/>
    <w:rsid w:val="00802B83"/>
    <w:rsid w:val="00803E96"/>
    <w:rsid w:val="0080409E"/>
    <w:rsid w:val="0080443D"/>
    <w:rsid w:val="008048C9"/>
    <w:rsid w:val="008049CF"/>
    <w:rsid w:val="00804F16"/>
    <w:rsid w:val="0080523E"/>
    <w:rsid w:val="008061EC"/>
    <w:rsid w:val="00806579"/>
    <w:rsid w:val="00806876"/>
    <w:rsid w:val="00810AA6"/>
    <w:rsid w:val="00811174"/>
    <w:rsid w:val="00811762"/>
    <w:rsid w:val="008119C5"/>
    <w:rsid w:val="00811B49"/>
    <w:rsid w:val="00811CBC"/>
    <w:rsid w:val="00812023"/>
    <w:rsid w:val="0081273D"/>
    <w:rsid w:val="008127B8"/>
    <w:rsid w:val="008134AE"/>
    <w:rsid w:val="00813661"/>
    <w:rsid w:val="00813DD6"/>
    <w:rsid w:val="00813F9F"/>
    <w:rsid w:val="00814786"/>
    <w:rsid w:val="00814DCC"/>
    <w:rsid w:val="00815D0F"/>
    <w:rsid w:val="00815E48"/>
    <w:rsid w:val="008160C8"/>
    <w:rsid w:val="0081624D"/>
    <w:rsid w:val="008163F2"/>
    <w:rsid w:val="00816802"/>
    <w:rsid w:val="00816811"/>
    <w:rsid w:val="008178D9"/>
    <w:rsid w:val="00820300"/>
    <w:rsid w:val="008204D8"/>
    <w:rsid w:val="00821434"/>
    <w:rsid w:val="00822041"/>
    <w:rsid w:val="00822759"/>
    <w:rsid w:val="0082308F"/>
    <w:rsid w:val="00824DF6"/>
    <w:rsid w:val="0082558A"/>
    <w:rsid w:val="00825C99"/>
    <w:rsid w:val="00826C47"/>
    <w:rsid w:val="00826F29"/>
    <w:rsid w:val="00827B8E"/>
    <w:rsid w:val="00830F30"/>
    <w:rsid w:val="0083203D"/>
    <w:rsid w:val="008327BE"/>
    <w:rsid w:val="0083354D"/>
    <w:rsid w:val="00833A0A"/>
    <w:rsid w:val="00833D33"/>
    <w:rsid w:val="008363A4"/>
    <w:rsid w:val="00836403"/>
    <w:rsid w:val="00836563"/>
    <w:rsid w:val="0083661E"/>
    <w:rsid w:val="00836759"/>
    <w:rsid w:val="008376AB"/>
    <w:rsid w:val="00837F1E"/>
    <w:rsid w:val="00840EBB"/>
    <w:rsid w:val="008416D6"/>
    <w:rsid w:val="0084280A"/>
    <w:rsid w:val="0084299B"/>
    <w:rsid w:val="00842C8F"/>
    <w:rsid w:val="008434F4"/>
    <w:rsid w:val="008436F7"/>
    <w:rsid w:val="00843B66"/>
    <w:rsid w:val="00843C5C"/>
    <w:rsid w:val="008444B0"/>
    <w:rsid w:val="00844619"/>
    <w:rsid w:val="0084461E"/>
    <w:rsid w:val="00844B03"/>
    <w:rsid w:val="008456D9"/>
    <w:rsid w:val="0084571A"/>
    <w:rsid w:val="00845A3F"/>
    <w:rsid w:val="00845D3F"/>
    <w:rsid w:val="00846200"/>
    <w:rsid w:val="008463FF"/>
    <w:rsid w:val="0084641B"/>
    <w:rsid w:val="0084665B"/>
    <w:rsid w:val="00846966"/>
    <w:rsid w:val="0085003A"/>
    <w:rsid w:val="008502AF"/>
    <w:rsid w:val="00850638"/>
    <w:rsid w:val="00851CCD"/>
    <w:rsid w:val="0085291E"/>
    <w:rsid w:val="00852C4B"/>
    <w:rsid w:val="00853E22"/>
    <w:rsid w:val="00854918"/>
    <w:rsid w:val="0085491E"/>
    <w:rsid w:val="008551BE"/>
    <w:rsid w:val="008552D6"/>
    <w:rsid w:val="00855694"/>
    <w:rsid w:val="00855BD1"/>
    <w:rsid w:val="0085654E"/>
    <w:rsid w:val="0085655A"/>
    <w:rsid w:val="008568BE"/>
    <w:rsid w:val="008574A0"/>
    <w:rsid w:val="00857AB0"/>
    <w:rsid w:val="008602F0"/>
    <w:rsid w:val="00860D87"/>
    <w:rsid w:val="00860EFA"/>
    <w:rsid w:val="008610FE"/>
    <w:rsid w:val="008617F3"/>
    <w:rsid w:val="00861A3B"/>
    <w:rsid w:val="00862034"/>
    <w:rsid w:val="00863261"/>
    <w:rsid w:val="00864639"/>
    <w:rsid w:val="00865743"/>
    <w:rsid w:val="008663EB"/>
    <w:rsid w:val="0086656A"/>
    <w:rsid w:val="008665CF"/>
    <w:rsid w:val="00866738"/>
    <w:rsid w:val="00866C02"/>
    <w:rsid w:val="00867307"/>
    <w:rsid w:val="008673F0"/>
    <w:rsid w:val="00867620"/>
    <w:rsid w:val="00867F5D"/>
    <w:rsid w:val="008703FF"/>
    <w:rsid w:val="00870881"/>
    <w:rsid w:val="0087125A"/>
    <w:rsid w:val="00871650"/>
    <w:rsid w:val="008717BA"/>
    <w:rsid w:val="00872355"/>
    <w:rsid w:val="0087236F"/>
    <w:rsid w:val="00872CB5"/>
    <w:rsid w:val="008731C5"/>
    <w:rsid w:val="008738A0"/>
    <w:rsid w:val="00874044"/>
    <w:rsid w:val="008740CE"/>
    <w:rsid w:val="00874AEA"/>
    <w:rsid w:val="00874C62"/>
    <w:rsid w:val="00874C6D"/>
    <w:rsid w:val="008751B7"/>
    <w:rsid w:val="00875B0E"/>
    <w:rsid w:val="00875CFB"/>
    <w:rsid w:val="00875EAF"/>
    <w:rsid w:val="00875ED5"/>
    <w:rsid w:val="008762B7"/>
    <w:rsid w:val="00876CA0"/>
    <w:rsid w:val="00876E0A"/>
    <w:rsid w:val="00877372"/>
    <w:rsid w:val="008777DB"/>
    <w:rsid w:val="00877870"/>
    <w:rsid w:val="00877BE6"/>
    <w:rsid w:val="008807AE"/>
    <w:rsid w:val="0088094C"/>
    <w:rsid w:val="00880B59"/>
    <w:rsid w:val="00880B5D"/>
    <w:rsid w:val="00880BAA"/>
    <w:rsid w:val="00880C14"/>
    <w:rsid w:val="0088142A"/>
    <w:rsid w:val="00881788"/>
    <w:rsid w:val="00881A83"/>
    <w:rsid w:val="008823A3"/>
    <w:rsid w:val="0088256B"/>
    <w:rsid w:val="008828C6"/>
    <w:rsid w:val="008828FB"/>
    <w:rsid w:val="00883915"/>
    <w:rsid w:val="00883E2B"/>
    <w:rsid w:val="00884B82"/>
    <w:rsid w:val="00885CF3"/>
    <w:rsid w:val="00885D48"/>
    <w:rsid w:val="00885FFC"/>
    <w:rsid w:val="008864FB"/>
    <w:rsid w:val="008866A2"/>
    <w:rsid w:val="008867EF"/>
    <w:rsid w:val="0088732A"/>
    <w:rsid w:val="00887401"/>
    <w:rsid w:val="008904B8"/>
    <w:rsid w:val="00890638"/>
    <w:rsid w:val="00890898"/>
    <w:rsid w:val="00891337"/>
    <w:rsid w:val="00891DCD"/>
    <w:rsid w:val="008927DE"/>
    <w:rsid w:val="0089305C"/>
    <w:rsid w:val="008943CE"/>
    <w:rsid w:val="008947F5"/>
    <w:rsid w:val="008948AD"/>
    <w:rsid w:val="00894BA6"/>
    <w:rsid w:val="00894C91"/>
    <w:rsid w:val="008955B7"/>
    <w:rsid w:val="00896078"/>
    <w:rsid w:val="008966F1"/>
    <w:rsid w:val="00896A21"/>
    <w:rsid w:val="0089751D"/>
    <w:rsid w:val="008A00D7"/>
    <w:rsid w:val="008A0975"/>
    <w:rsid w:val="008A1064"/>
    <w:rsid w:val="008A1771"/>
    <w:rsid w:val="008A19F3"/>
    <w:rsid w:val="008A1ACA"/>
    <w:rsid w:val="008A2274"/>
    <w:rsid w:val="008A228F"/>
    <w:rsid w:val="008A297F"/>
    <w:rsid w:val="008A299E"/>
    <w:rsid w:val="008A2D98"/>
    <w:rsid w:val="008A3887"/>
    <w:rsid w:val="008A3B8C"/>
    <w:rsid w:val="008A44E1"/>
    <w:rsid w:val="008A5F85"/>
    <w:rsid w:val="008A6515"/>
    <w:rsid w:val="008A658E"/>
    <w:rsid w:val="008A68D1"/>
    <w:rsid w:val="008A6C7F"/>
    <w:rsid w:val="008A6E52"/>
    <w:rsid w:val="008A7927"/>
    <w:rsid w:val="008A7B7E"/>
    <w:rsid w:val="008B0CE2"/>
    <w:rsid w:val="008B1464"/>
    <w:rsid w:val="008B15D8"/>
    <w:rsid w:val="008B1D8F"/>
    <w:rsid w:val="008B22E8"/>
    <w:rsid w:val="008B2AAF"/>
    <w:rsid w:val="008B33A7"/>
    <w:rsid w:val="008B3468"/>
    <w:rsid w:val="008B3B5E"/>
    <w:rsid w:val="008B3E08"/>
    <w:rsid w:val="008B4CFE"/>
    <w:rsid w:val="008B5868"/>
    <w:rsid w:val="008B58B8"/>
    <w:rsid w:val="008B58F8"/>
    <w:rsid w:val="008B5F68"/>
    <w:rsid w:val="008B625F"/>
    <w:rsid w:val="008B68E4"/>
    <w:rsid w:val="008B7B4B"/>
    <w:rsid w:val="008C0406"/>
    <w:rsid w:val="008C05C3"/>
    <w:rsid w:val="008C0877"/>
    <w:rsid w:val="008C1196"/>
    <w:rsid w:val="008C1577"/>
    <w:rsid w:val="008C1A88"/>
    <w:rsid w:val="008C1B1B"/>
    <w:rsid w:val="008C1F7C"/>
    <w:rsid w:val="008C20AE"/>
    <w:rsid w:val="008C27CE"/>
    <w:rsid w:val="008C3364"/>
    <w:rsid w:val="008C369D"/>
    <w:rsid w:val="008C4763"/>
    <w:rsid w:val="008C5BE0"/>
    <w:rsid w:val="008C5E4E"/>
    <w:rsid w:val="008C626F"/>
    <w:rsid w:val="008C6321"/>
    <w:rsid w:val="008C677D"/>
    <w:rsid w:val="008C684A"/>
    <w:rsid w:val="008C6E0A"/>
    <w:rsid w:val="008C7A58"/>
    <w:rsid w:val="008D00D2"/>
    <w:rsid w:val="008D030B"/>
    <w:rsid w:val="008D21DE"/>
    <w:rsid w:val="008D22CA"/>
    <w:rsid w:val="008D2843"/>
    <w:rsid w:val="008D2E90"/>
    <w:rsid w:val="008D351A"/>
    <w:rsid w:val="008D395A"/>
    <w:rsid w:val="008D3A27"/>
    <w:rsid w:val="008D3CA5"/>
    <w:rsid w:val="008D4D59"/>
    <w:rsid w:val="008D5B8B"/>
    <w:rsid w:val="008D5FB8"/>
    <w:rsid w:val="008D6312"/>
    <w:rsid w:val="008D6B31"/>
    <w:rsid w:val="008D799E"/>
    <w:rsid w:val="008D7A1D"/>
    <w:rsid w:val="008D7A28"/>
    <w:rsid w:val="008D7B00"/>
    <w:rsid w:val="008E0517"/>
    <w:rsid w:val="008E1A1B"/>
    <w:rsid w:val="008E1CD0"/>
    <w:rsid w:val="008E2689"/>
    <w:rsid w:val="008E304D"/>
    <w:rsid w:val="008E33A1"/>
    <w:rsid w:val="008E3E46"/>
    <w:rsid w:val="008E4092"/>
    <w:rsid w:val="008E4B12"/>
    <w:rsid w:val="008E50A0"/>
    <w:rsid w:val="008E68B1"/>
    <w:rsid w:val="008E7049"/>
    <w:rsid w:val="008E70C3"/>
    <w:rsid w:val="008F01DF"/>
    <w:rsid w:val="008F022F"/>
    <w:rsid w:val="008F039D"/>
    <w:rsid w:val="008F04B0"/>
    <w:rsid w:val="008F0A73"/>
    <w:rsid w:val="008F11C8"/>
    <w:rsid w:val="008F2195"/>
    <w:rsid w:val="008F284F"/>
    <w:rsid w:val="008F29A1"/>
    <w:rsid w:val="008F2AB2"/>
    <w:rsid w:val="008F3730"/>
    <w:rsid w:val="008F3DF3"/>
    <w:rsid w:val="008F41E1"/>
    <w:rsid w:val="008F4656"/>
    <w:rsid w:val="008F4EDC"/>
    <w:rsid w:val="008F66E7"/>
    <w:rsid w:val="008F76A3"/>
    <w:rsid w:val="00900B1E"/>
    <w:rsid w:val="00900C2C"/>
    <w:rsid w:val="00900FCD"/>
    <w:rsid w:val="00902C3F"/>
    <w:rsid w:val="0090300F"/>
    <w:rsid w:val="00903588"/>
    <w:rsid w:val="009039F1"/>
    <w:rsid w:val="00903B7D"/>
    <w:rsid w:val="00903DE5"/>
    <w:rsid w:val="009041E2"/>
    <w:rsid w:val="00904498"/>
    <w:rsid w:val="00904C80"/>
    <w:rsid w:val="00905176"/>
    <w:rsid w:val="009057D9"/>
    <w:rsid w:val="009057E2"/>
    <w:rsid w:val="00905FCC"/>
    <w:rsid w:val="009061FE"/>
    <w:rsid w:val="009062E9"/>
    <w:rsid w:val="00906BDB"/>
    <w:rsid w:val="00906FB7"/>
    <w:rsid w:val="00907463"/>
    <w:rsid w:val="00907D11"/>
    <w:rsid w:val="00910EAA"/>
    <w:rsid w:val="00910F5F"/>
    <w:rsid w:val="0091168C"/>
    <w:rsid w:val="00911864"/>
    <w:rsid w:val="00911933"/>
    <w:rsid w:val="00912454"/>
    <w:rsid w:val="00912637"/>
    <w:rsid w:val="009129F1"/>
    <w:rsid w:val="00913182"/>
    <w:rsid w:val="00913ACC"/>
    <w:rsid w:val="00913BEB"/>
    <w:rsid w:val="00913E30"/>
    <w:rsid w:val="00914317"/>
    <w:rsid w:val="00914EEE"/>
    <w:rsid w:val="009152C6"/>
    <w:rsid w:val="00915E90"/>
    <w:rsid w:val="00916DF2"/>
    <w:rsid w:val="00916F3D"/>
    <w:rsid w:val="00917B70"/>
    <w:rsid w:val="00920965"/>
    <w:rsid w:val="00921171"/>
    <w:rsid w:val="009216B6"/>
    <w:rsid w:val="00922A53"/>
    <w:rsid w:val="0092307C"/>
    <w:rsid w:val="009231D3"/>
    <w:rsid w:val="0092344C"/>
    <w:rsid w:val="00923E84"/>
    <w:rsid w:val="00924945"/>
    <w:rsid w:val="00924D28"/>
    <w:rsid w:val="00924D62"/>
    <w:rsid w:val="0092555D"/>
    <w:rsid w:val="00925643"/>
    <w:rsid w:val="0092593F"/>
    <w:rsid w:val="009260B9"/>
    <w:rsid w:val="009269C8"/>
    <w:rsid w:val="00927630"/>
    <w:rsid w:val="00927D5F"/>
    <w:rsid w:val="00930098"/>
    <w:rsid w:val="00930C08"/>
    <w:rsid w:val="00930D8E"/>
    <w:rsid w:val="0093102A"/>
    <w:rsid w:val="00931764"/>
    <w:rsid w:val="00931814"/>
    <w:rsid w:val="00931C11"/>
    <w:rsid w:val="0093219B"/>
    <w:rsid w:val="009322D3"/>
    <w:rsid w:val="009326A6"/>
    <w:rsid w:val="00932D7B"/>
    <w:rsid w:val="00932E57"/>
    <w:rsid w:val="009332D3"/>
    <w:rsid w:val="0093388F"/>
    <w:rsid w:val="00933AAF"/>
    <w:rsid w:val="00933FD7"/>
    <w:rsid w:val="009341DB"/>
    <w:rsid w:val="0093429F"/>
    <w:rsid w:val="009346D0"/>
    <w:rsid w:val="00935100"/>
    <w:rsid w:val="00935328"/>
    <w:rsid w:val="00935401"/>
    <w:rsid w:val="009358D0"/>
    <w:rsid w:val="009362CC"/>
    <w:rsid w:val="0093662D"/>
    <w:rsid w:val="00936B4D"/>
    <w:rsid w:val="00936BBD"/>
    <w:rsid w:val="00936C2E"/>
    <w:rsid w:val="00936D85"/>
    <w:rsid w:val="00937D72"/>
    <w:rsid w:val="009403CB"/>
    <w:rsid w:val="00940E5B"/>
    <w:rsid w:val="00941445"/>
    <w:rsid w:val="00941A30"/>
    <w:rsid w:val="009427FE"/>
    <w:rsid w:val="00942B70"/>
    <w:rsid w:val="00942F02"/>
    <w:rsid w:val="00943F90"/>
    <w:rsid w:val="00944092"/>
    <w:rsid w:val="009450D2"/>
    <w:rsid w:val="009454D3"/>
    <w:rsid w:val="00945A99"/>
    <w:rsid w:val="00945FC3"/>
    <w:rsid w:val="00945FDF"/>
    <w:rsid w:val="00946299"/>
    <w:rsid w:val="0094638F"/>
    <w:rsid w:val="009466A4"/>
    <w:rsid w:val="00946F06"/>
    <w:rsid w:val="00946F37"/>
    <w:rsid w:val="00947096"/>
    <w:rsid w:val="00947330"/>
    <w:rsid w:val="00947865"/>
    <w:rsid w:val="00947B4E"/>
    <w:rsid w:val="00950BAE"/>
    <w:rsid w:val="009516EB"/>
    <w:rsid w:val="00951CAA"/>
    <w:rsid w:val="00952462"/>
    <w:rsid w:val="0095311B"/>
    <w:rsid w:val="00953951"/>
    <w:rsid w:val="00953D24"/>
    <w:rsid w:val="00954497"/>
    <w:rsid w:val="00955021"/>
    <w:rsid w:val="0095508A"/>
    <w:rsid w:val="00955123"/>
    <w:rsid w:val="00955B70"/>
    <w:rsid w:val="00955C34"/>
    <w:rsid w:val="009562A0"/>
    <w:rsid w:val="0095662D"/>
    <w:rsid w:val="00956F70"/>
    <w:rsid w:val="00957769"/>
    <w:rsid w:val="00957E32"/>
    <w:rsid w:val="00957FD4"/>
    <w:rsid w:val="0096086B"/>
    <w:rsid w:val="00960BCD"/>
    <w:rsid w:val="00960D54"/>
    <w:rsid w:val="00960FEE"/>
    <w:rsid w:val="00961084"/>
    <w:rsid w:val="009615E6"/>
    <w:rsid w:val="0096190C"/>
    <w:rsid w:val="009619D7"/>
    <w:rsid w:val="00961C02"/>
    <w:rsid w:val="00961D34"/>
    <w:rsid w:val="00962F4F"/>
    <w:rsid w:val="009630F6"/>
    <w:rsid w:val="009643C6"/>
    <w:rsid w:val="0096539F"/>
    <w:rsid w:val="0096573D"/>
    <w:rsid w:val="00966416"/>
    <w:rsid w:val="0096654A"/>
    <w:rsid w:val="009670AB"/>
    <w:rsid w:val="00967927"/>
    <w:rsid w:val="00970EC3"/>
    <w:rsid w:val="00971726"/>
    <w:rsid w:val="00971802"/>
    <w:rsid w:val="00971D6F"/>
    <w:rsid w:val="00972412"/>
    <w:rsid w:val="009726A7"/>
    <w:rsid w:val="00972DD8"/>
    <w:rsid w:val="00972F01"/>
    <w:rsid w:val="00973B91"/>
    <w:rsid w:val="00973BE7"/>
    <w:rsid w:val="00973EE1"/>
    <w:rsid w:val="00974518"/>
    <w:rsid w:val="0097494A"/>
    <w:rsid w:val="00975A2D"/>
    <w:rsid w:val="00975FC3"/>
    <w:rsid w:val="009762C3"/>
    <w:rsid w:val="00977496"/>
    <w:rsid w:val="009775C7"/>
    <w:rsid w:val="009775E6"/>
    <w:rsid w:val="0097785F"/>
    <w:rsid w:val="00977923"/>
    <w:rsid w:val="00977E03"/>
    <w:rsid w:val="009809FC"/>
    <w:rsid w:val="00980BB4"/>
    <w:rsid w:val="00981668"/>
    <w:rsid w:val="00981B80"/>
    <w:rsid w:val="00981E1A"/>
    <w:rsid w:val="0098244A"/>
    <w:rsid w:val="0098299E"/>
    <w:rsid w:val="00982AA4"/>
    <w:rsid w:val="00982C0A"/>
    <w:rsid w:val="00982C68"/>
    <w:rsid w:val="00982E58"/>
    <w:rsid w:val="00982FBA"/>
    <w:rsid w:val="00983763"/>
    <w:rsid w:val="00984496"/>
    <w:rsid w:val="0098487C"/>
    <w:rsid w:val="00984930"/>
    <w:rsid w:val="00984C2B"/>
    <w:rsid w:val="00984E02"/>
    <w:rsid w:val="00984FFB"/>
    <w:rsid w:val="009850EA"/>
    <w:rsid w:val="009851D2"/>
    <w:rsid w:val="00985E6B"/>
    <w:rsid w:val="00985F02"/>
    <w:rsid w:val="00986267"/>
    <w:rsid w:val="00986C25"/>
    <w:rsid w:val="0098713B"/>
    <w:rsid w:val="0098799E"/>
    <w:rsid w:val="0099024A"/>
    <w:rsid w:val="00990312"/>
    <w:rsid w:val="009905F1"/>
    <w:rsid w:val="00990A83"/>
    <w:rsid w:val="00991024"/>
    <w:rsid w:val="00991CB2"/>
    <w:rsid w:val="00991D73"/>
    <w:rsid w:val="00991EFB"/>
    <w:rsid w:val="00992766"/>
    <w:rsid w:val="00992960"/>
    <w:rsid w:val="00992CAE"/>
    <w:rsid w:val="00992CF1"/>
    <w:rsid w:val="00993209"/>
    <w:rsid w:val="00993472"/>
    <w:rsid w:val="00993DFA"/>
    <w:rsid w:val="00993E22"/>
    <w:rsid w:val="00994E84"/>
    <w:rsid w:val="0099603C"/>
    <w:rsid w:val="00996B6E"/>
    <w:rsid w:val="009972A4"/>
    <w:rsid w:val="00997759"/>
    <w:rsid w:val="00997C03"/>
    <w:rsid w:val="00997E70"/>
    <w:rsid w:val="009A174E"/>
    <w:rsid w:val="009A1C72"/>
    <w:rsid w:val="009A1DFB"/>
    <w:rsid w:val="009A1E61"/>
    <w:rsid w:val="009A2286"/>
    <w:rsid w:val="009A25F3"/>
    <w:rsid w:val="009A3154"/>
    <w:rsid w:val="009A341F"/>
    <w:rsid w:val="009A34E5"/>
    <w:rsid w:val="009A389D"/>
    <w:rsid w:val="009A3BFF"/>
    <w:rsid w:val="009A4229"/>
    <w:rsid w:val="009A4F94"/>
    <w:rsid w:val="009A505C"/>
    <w:rsid w:val="009A5F9F"/>
    <w:rsid w:val="009A647E"/>
    <w:rsid w:val="009A6621"/>
    <w:rsid w:val="009A6947"/>
    <w:rsid w:val="009A72B7"/>
    <w:rsid w:val="009A79D2"/>
    <w:rsid w:val="009B067C"/>
    <w:rsid w:val="009B13A0"/>
    <w:rsid w:val="009B286F"/>
    <w:rsid w:val="009B2C8D"/>
    <w:rsid w:val="009B2F08"/>
    <w:rsid w:val="009B356B"/>
    <w:rsid w:val="009B371B"/>
    <w:rsid w:val="009B392C"/>
    <w:rsid w:val="009B4B46"/>
    <w:rsid w:val="009B563A"/>
    <w:rsid w:val="009B582D"/>
    <w:rsid w:val="009B5DA0"/>
    <w:rsid w:val="009B6252"/>
    <w:rsid w:val="009B71E8"/>
    <w:rsid w:val="009B7C08"/>
    <w:rsid w:val="009B7CBC"/>
    <w:rsid w:val="009B7DFF"/>
    <w:rsid w:val="009C0E68"/>
    <w:rsid w:val="009C0F77"/>
    <w:rsid w:val="009C1CD8"/>
    <w:rsid w:val="009C2E47"/>
    <w:rsid w:val="009C32CB"/>
    <w:rsid w:val="009C36F3"/>
    <w:rsid w:val="009C37A0"/>
    <w:rsid w:val="009C41D8"/>
    <w:rsid w:val="009C44C5"/>
    <w:rsid w:val="009C468E"/>
    <w:rsid w:val="009C46A5"/>
    <w:rsid w:val="009C4704"/>
    <w:rsid w:val="009C48C9"/>
    <w:rsid w:val="009C4904"/>
    <w:rsid w:val="009C7A93"/>
    <w:rsid w:val="009D052A"/>
    <w:rsid w:val="009D0980"/>
    <w:rsid w:val="009D0C36"/>
    <w:rsid w:val="009D1699"/>
    <w:rsid w:val="009D2A6C"/>
    <w:rsid w:val="009D348E"/>
    <w:rsid w:val="009D4010"/>
    <w:rsid w:val="009D4A03"/>
    <w:rsid w:val="009D4FEE"/>
    <w:rsid w:val="009D5082"/>
    <w:rsid w:val="009D50D1"/>
    <w:rsid w:val="009D560A"/>
    <w:rsid w:val="009D5C3E"/>
    <w:rsid w:val="009D710A"/>
    <w:rsid w:val="009D726A"/>
    <w:rsid w:val="009D74BC"/>
    <w:rsid w:val="009E0CAE"/>
    <w:rsid w:val="009E269C"/>
    <w:rsid w:val="009E2750"/>
    <w:rsid w:val="009E27B4"/>
    <w:rsid w:val="009E40E3"/>
    <w:rsid w:val="009E41F3"/>
    <w:rsid w:val="009E42F7"/>
    <w:rsid w:val="009E4CC9"/>
    <w:rsid w:val="009E53C6"/>
    <w:rsid w:val="009E6107"/>
    <w:rsid w:val="009E6B01"/>
    <w:rsid w:val="009E6CF1"/>
    <w:rsid w:val="009E72FB"/>
    <w:rsid w:val="009E7E3F"/>
    <w:rsid w:val="009F0FD6"/>
    <w:rsid w:val="009F12CA"/>
    <w:rsid w:val="009F18AC"/>
    <w:rsid w:val="009F2420"/>
    <w:rsid w:val="009F3002"/>
    <w:rsid w:val="009F31F4"/>
    <w:rsid w:val="009F33ED"/>
    <w:rsid w:val="009F4D03"/>
    <w:rsid w:val="009F5279"/>
    <w:rsid w:val="009F5E07"/>
    <w:rsid w:val="009F5E5D"/>
    <w:rsid w:val="009F5E8D"/>
    <w:rsid w:val="009F62FA"/>
    <w:rsid w:val="009F6A3E"/>
    <w:rsid w:val="009F73FD"/>
    <w:rsid w:val="009F764A"/>
    <w:rsid w:val="009F7725"/>
    <w:rsid w:val="009F77A2"/>
    <w:rsid w:val="009F7F37"/>
    <w:rsid w:val="00A00F54"/>
    <w:rsid w:val="00A014E1"/>
    <w:rsid w:val="00A01528"/>
    <w:rsid w:val="00A018E7"/>
    <w:rsid w:val="00A02710"/>
    <w:rsid w:val="00A02B6E"/>
    <w:rsid w:val="00A02FE6"/>
    <w:rsid w:val="00A0358E"/>
    <w:rsid w:val="00A03998"/>
    <w:rsid w:val="00A03AAC"/>
    <w:rsid w:val="00A03BAF"/>
    <w:rsid w:val="00A03F9C"/>
    <w:rsid w:val="00A0466D"/>
    <w:rsid w:val="00A047C6"/>
    <w:rsid w:val="00A058D9"/>
    <w:rsid w:val="00A06A84"/>
    <w:rsid w:val="00A06C04"/>
    <w:rsid w:val="00A06C7A"/>
    <w:rsid w:val="00A06D49"/>
    <w:rsid w:val="00A07987"/>
    <w:rsid w:val="00A10167"/>
    <w:rsid w:val="00A108BA"/>
    <w:rsid w:val="00A10F2D"/>
    <w:rsid w:val="00A110EF"/>
    <w:rsid w:val="00A119AD"/>
    <w:rsid w:val="00A1291F"/>
    <w:rsid w:val="00A12C1B"/>
    <w:rsid w:val="00A12ECD"/>
    <w:rsid w:val="00A13012"/>
    <w:rsid w:val="00A13133"/>
    <w:rsid w:val="00A13153"/>
    <w:rsid w:val="00A1387C"/>
    <w:rsid w:val="00A13A12"/>
    <w:rsid w:val="00A13AE3"/>
    <w:rsid w:val="00A13E57"/>
    <w:rsid w:val="00A13EAB"/>
    <w:rsid w:val="00A13F38"/>
    <w:rsid w:val="00A14CE0"/>
    <w:rsid w:val="00A15056"/>
    <w:rsid w:val="00A150BB"/>
    <w:rsid w:val="00A15244"/>
    <w:rsid w:val="00A153C5"/>
    <w:rsid w:val="00A15BB4"/>
    <w:rsid w:val="00A160F0"/>
    <w:rsid w:val="00A16713"/>
    <w:rsid w:val="00A168AD"/>
    <w:rsid w:val="00A16BE4"/>
    <w:rsid w:val="00A16EF0"/>
    <w:rsid w:val="00A1731E"/>
    <w:rsid w:val="00A17AAF"/>
    <w:rsid w:val="00A20EFA"/>
    <w:rsid w:val="00A22D49"/>
    <w:rsid w:val="00A230BC"/>
    <w:rsid w:val="00A23E61"/>
    <w:rsid w:val="00A24D7C"/>
    <w:rsid w:val="00A25280"/>
    <w:rsid w:val="00A25891"/>
    <w:rsid w:val="00A25D04"/>
    <w:rsid w:val="00A26307"/>
    <w:rsid w:val="00A263C6"/>
    <w:rsid w:val="00A2657B"/>
    <w:rsid w:val="00A269CF"/>
    <w:rsid w:val="00A26D24"/>
    <w:rsid w:val="00A27021"/>
    <w:rsid w:val="00A2742D"/>
    <w:rsid w:val="00A27BA7"/>
    <w:rsid w:val="00A30316"/>
    <w:rsid w:val="00A303CB"/>
    <w:rsid w:val="00A303F6"/>
    <w:rsid w:val="00A30596"/>
    <w:rsid w:val="00A3065C"/>
    <w:rsid w:val="00A306BD"/>
    <w:rsid w:val="00A309A5"/>
    <w:rsid w:val="00A314DD"/>
    <w:rsid w:val="00A31B1F"/>
    <w:rsid w:val="00A321C6"/>
    <w:rsid w:val="00A32AD4"/>
    <w:rsid w:val="00A3302D"/>
    <w:rsid w:val="00A33529"/>
    <w:rsid w:val="00A33BE7"/>
    <w:rsid w:val="00A33F59"/>
    <w:rsid w:val="00A3467B"/>
    <w:rsid w:val="00A346DD"/>
    <w:rsid w:val="00A3560E"/>
    <w:rsid w:val="00A359A1"/>
    <w:rsid w:val="00A36909"/>
    <w:rsid w:val="00A3777A"/>
    <w:rsid w:val="00A37905"/>
    <w:rsid w:val="00A37F61"/>
    <w:rsid w:val="00A40F01"/>
    <w:rsid w:val="00A42390"/>
    <w:rsid w:val="00A4253C"/>
    <w:rsid w:val="00A42754"/>
    <w:rsid w:val="00A42F56"/>
    <w:rsid w:val="00A438B3"/>
    <w:rsid w:val="00A43AD7"/>
    <w:rsid w:val="00A44550"/>
    <w:rsid w:val="00A44B67"/>
    <w:rsid w:val="00A44EAA"/>
    <w:rsid w:val="00A44EAC"/>
    <w:rsid w:val="00A45C23"/>
    <w:rsid w:val="00A46150"/>
    <w:rsid w:val="00A462EE"/>
    <w:rsid w:val="00A46611"/>
    <w:rsid w:val="00A46946"/>
    <w:rsid w:val="00A46CEC"/>
    <w:rsid w:val="00A46E1B"/>
    <w:rsid w:val="00A46F1D"/>
    <w:rsid w:val="00A47155"/>
    <w:rsid w:val="00A474BF"/>
    <w:rsid w:val="00A47542"/>
    <w:rsid w:val="00A47A28"/>
    <w:rsid w:val="00A47F6F"/>
    <w:rsid w:val="00A50579"/>
    <w:rsid w:val="00A5060E"/>
    <w:rsid w:val="00A5083C"/>
    <w:rsid w:val="00A50F88"/>
    <w:rsid w:val="00A51744"/>
    <w:rsid w:val="00A51B01"/>
    <w:rsid w:val="00A51CC9"/>
    <w:rsid w:val="00A51DC5"/>
    <w:rsid w:val="00A525F7"/>
    <w:rsid w:val="00A52B8F"/>
    <w:rsid w:val="00A52BDE"/>
    <w:rsid w:val="00A52D83"/>
    <w:rsid w:val="00A5313A"/>
    <w:rsid w:val="00A53412"/>
    <w:rsid w:val="00A53C37"/>
    <w:rsid w:val="00A5410B"/>
    <w:rsid w:val="00A54479"/>
    <w:rsid w:val="00A553F8"/>
    <w:rsid w:val="00A554EF"/>
    <w:rsid w:val="00A5573C"/>
    <w:rsid w:val="00A5586E"/>
    <w:rsid w:val="00A564F2"/>
    <w:rsid w:val="00A56ABF"/>
    <w:rsid w:val="00A56D3A"/>
    <w:rsid w:val="00A57606"/>
    <w:rsid w:val="00A576FD"/>
    <w:rsid w:val="00A5775A"/>
    <w:rsid w:val="00A57927"/>
    <w:rsid w:val="00A5799D"/>
    <w:rsid w:val="00A57B1C"/>
    <w:rsid w:val="00A57B6F"/>
    <w:rsid w:val="00A60B78"/>
    <w:rsid w:val="00A60D85"/>
    <w:rsid w:val="00A61C84"/>
    <w:rsid w:val="00A62994"/>
    <w:rsid w:val="00A63F18"/>
    <w:rsid w:val="00A64725"/>
    <w:rsid w:val="00A64FB3"/>
    <w:rsid w:val="00A65245"/>
    <w:rsid w:val="00A65462"/>
    <w:rsid w:val="00A66BCF"/>
    <w:rsid w:val="00A6754C"/>
    <w:rsid w:val="00A700EF"/>
    <w:rsid w:val="00A701A5"/>
    <w:rsid w:val="00A702A7"/>
    <w:rsid w:val="00A703E5"/>
    <w:rsid w:val="00A7130A"/>
    <w:rsid w:val="00A72492"/>
    <w:rsid w:val="00A73635"/>
    <w:rsid w:val="00A73C5F"/>
    <w:rsid w:val="00A7416B"/>
    <w:rsid w:val="00A741DF"/>
    <w:rsid w:val="00A74C39"/>
    <w:rsid w:val="00A75312"/>
    <w:rsid w:val="00A75868"/>
    <w:rsid w:val="00A75E66"/>
    <w:rsid w:val="00A76391"/>
    <w:rsid w:val="00A76666"/>
    <w:rsid w:val="00A76E11"/>
    <w:rsid w:val="00A77605"/>
    <w:rsid w:val="00A7772E"/>
    <w:rsid w:val="00A77BBF"/>
    <w:rsid w:val="00A77EC1"/>
    <w:rsid w:val="00A77F9A"/>
    <w:rsid w:val="00A80B27"/>
    <w:rsid w:val="00A818EE"/>
    <w:rsid w:val="00A81E2A"/>
    <w:rsid w:val="00A8223F"/>
    <w:rsid w:val="00A8339F"/>
    <w:rsid w:val="00A83A50"/>
    <w:rsid w:val="00A84014"/>
    <w:rsid w:val="00A8444F"/>
    <w:rsid w:val="00A844BE"/>
    <w:rsid w:val="00A846D6"/>
    <w:rsid w:val="00A85051"/>
    <w:rsid w:val="00A85428"/>
    <w:rsid w:val="00A864F4"/>
    <w:rsid w:val="00A86B88"/>
    <w:rsid w:val="00A86CE3"/>
    <w:rsid w:val="00A8700B"/>
    <w:rsid w:val="00A876BA"/>
    <w:rsid w:val="00A879D6"/>
    <w:rsid w:val="00A87AF2"/>
    <w:rsid w:val="00A90702"/>
    <w:rsid w:val="00A90A08"/>
    <w:rsid w:val="00A914AC"/>
    <w:rsid w:val="00A91D76"/>
    <w:rsid w:val="00A94175"/>
    <w:rsid w:val="00A941CA"/>
    <w:rsid w:val="00A94F9E"/>
    <w:rsid w:val="00A951A4"/>
    <w:rsid w:val="00A95538"/>
    <w:rsid w:val="00AA006A"/>
    <w:rsid w:val="00AA00FA"/>
    <w:rsid w:val="00AA014E"/>
    <w:rsid w:val="00AA044F"/>
    <w:rsid w:val="00AA0600"/>
    <w:rsid w:val="00AA118D"/>
    <w:rsid w:val="00AA149F"/>
    <w:rsid w:val="00AA1561"/>
    <w:rsid w:val="00AA1E07"/>
    <w:rsid w:val="00AA20B8"/>
    <w:rsid w:val="00AA212C"/>
    <w:rsid w:val="00AA33DA"/>
    <w:rsid w:val="00AA3622"/>
    <w:rsid w:val="00AA367C"/>
    <w:rsid w:val="00AA3B0A"/>
    <w:rsid w:val="00AA3F44"/>
    <w:rsid w:val="00AA4374"/>
    <w:rsid w:val="00AA58B0"/>
    <w:rsid w:val="00AA6389"/>
    <w:rsid w:val="00AA64E5"/>
    <w:rsid w:val="00AA686E"/>
    <w:rsid w:val="00AA6C06"/>
    <w:rsid w:val="00AA70A1"/>
    <w:rsid w:val="00AA7725"/>
    <w:rsid w:val="00AA7784"/>
    <w:rsid w:val="00AA7D8D"/>
    <w:rsid w:val="00AB009D"/>
    <w:rsid w:val="00AB0C65"/>
    <w:rsid w:val="00AB1094"/>
    <w:rsid w:val="00AB1454"/>
    <w:rsid w:val="00AB1727"/>
    <w:rsid w:val="00AB1BD7"/>
    <w:rsid w:val="00AB2290"/>
    <w:rsid w:val="00AB2BE7"/>
    <w:rsid w:val="00AB3133"/>
    <w:rsid w:val="00AB4E9F"/>
    <w:rsid w:val="00AB6121"/>
    <w:rsid w:val="00AB62F8"/>
    <w:rsid w:val="00AB70E8"/>
    <w:rsid w:val="00AC04E9"/>
    <w:rsid w:val="00AC0C0A"/>
    <w:rsid w:val="00AC1587"/>
    <w:rsid w:val="00AC1851"/>
    <w:rsid w:val="00AC1A43"/>
    <w:rsid w:val="00AC1B85"/>
    <w:rsid w:val="00AC1C9A"/>
    <w:rsid w:val="00AC22AB"/>
    <w:rsid w:val="00AC2737"/>
    <w:rsid w:val="00AC2A01"/>
    <w:rsid w:val="00AC2B7E"/>
    <w:rsid w:val="00AC2D32"/>
    <w:rsid w:val="00AC2F43"/>
    <w:rsid w:val="00AC32E6"/>
    <w:rsid w:val="00AC32F3"/>
    <w:rsid w:val="00AC337B"/>
    <w:rsid w:val="00AC37CB"/>
    <w:rsid w:val="00AC451C"/>
    <w:rsid w:val="00AC516D"/>
    <w:rsid w:val="00AC5AEE"/>
    <w:rsid w:val="00AC5C5B"/>
    <w:rsid w:val="00AC62A8"/>
    <w:rsid w:val="00AC6CE2"/>
    <w:rsid w:val="00AD04AB"/>
    <w:rsid w:val="00AD0D1E"/>
    <w:rsid w:val="00AD1316"/>
    <w:rsid w:val="00AD1A67"/>
    <w:rsid w:val="00AD1DD0"/>
    <w:rsid w:val="00AD1E10"/>
    <w:rsid w:val="00AD2CBB"/>
    <w:rsid w:val="00AD2EF1"/>
    <w:rsid w:val="00AD3E3C"/>
    <w:rsid w:val="00AD46ED"/>
    <w:rsid w:val="00AD4768"/>
    <w:rsid w:val="00AD4BCC"/>
    <w:rsid w:val="00AD4F13"/>
    <w:rsid w:val="00AD55CB"/>
    <w:rsid w:val="00AD55D2"/>
    <w:rsid w:val="00AD5A55"/>
    <w:rsid w:val="00AD5A92"/>
    <w:rsid w:val="00AD5B7E"/>
    <w:rsid w:val="00AD5CBB"/>
    <w:rsid w:val="00AD68DD"/>
    <w:rsid w:val="00AD6EBB"/>
    <w:rsid w:val="00AD7144"/>
    <w:rsid w:val="00AD7329"/>
    <w:rsid w:val="00AD7568"/>
    <w:rsid w:val="00AE02A2"/>
    <w:rsid w:val="00AE03CF"/>
    <w:rsid w:val="00AE0B11"/>
    <w:rsid w:val="00AE152F"/>
    <w:rsid w:val="00AE1959"/>
    <w:rsid w:val="00AE1BD7"/>
    <w:rsid w:val="00AE2266"/>
    <w:rsid w:val="00AE2767"/>
    <w:rsid w:val="00AE3036"/>
    <w:rsid w:val="00AE3042"/>
    <w:rsid w:val="00AE340B"/>
    <w:rsid w:val="00AE3BDB"/>
    <w:rsid w:val="00AE3C3E"/>
    <w:rsid w:val="00AE3EC3"/>
    <w:rsid w:val="00AE41A0"/>
    <w:rsid w:val="00AE47EE"/>
    <w:rsid w:val="00AE4D1D"/>
    <w:rsid w:val="00AE4F91"/>
    <w:rsid w:val="00AE54C6"/>
    <w:rsid w:val="00AE5586"/>
    <w:rsid w:val="00AE5B4A"/>
    <w:rsid w:val="00AE5F52"/>
    <w:rsid w:val="00AE61EF"/>
    <w:rsid w:val="00AE6245"/>
    <w:rsid w:val="00AE6A72"/>
    <w:rsid w:val="00AE7B93"/>
    <w:rsid w:val="00AE7D92"/>
    <w:rsid w:val="00AE7E12"/>
    <w:rsid w:val="00AF00A2"/>
    <w:rsid w:val="00AF0139"/>
    <w:rsid w:val="00AF0411"/>
    <w:rsid w:val="00AF08E9"/>
    <w:rsid w:val="00AF0F8E"/>
    <w:rsid w:val="00AF1020"/>
    <w:rsid w:val="00AF1238"/>
    <w:rsid w:val="00AF12C3"/>
    <w:rsid w:val="00AF16A2"/>
    <w:rsid w:val="00AF1AC2"/>
    <w:rsid w:val="00AF20A2"/>
    <w:rsid w:val="00AF2607"/>
    <w:rsid w:val="00AF2C65"/>
    <w:rsid w:val="00AF30DA"/>
    <w:rsid w:val="00AF32CC"/>
    <w:rsid w:val="00AF32E5"/>
    <w:rsid w:val="00AF398B"/>
    <w:rsid w:val="00AF3E34"/>
    <w:rsid w:val="00AF3F59"/>
    <w:rsid w:val="00AF40DE"/>
    <w:rsid w:val="00AF47DF"/>
    <w:rsid w:val="00AF5D96"/>
    <w:rsid w:val="00AF5F63"/>
    <w:rsid w:val="00AF6AB2"/>
    <w:rsid w:val="00AF6DD7"/>
    <w:rsid w:val="00AF7B6E"/>
    <w:rsid w:val="00B00C4C"/>
    <w:rsid w:val="00B00E7E"/>
    <w:rsid w:val="00B00E96"/>
    <w:rsid w:val="00B00F13"/>
    <w:rsid w:val="00B018B9"/>
    <w:rsid w:val="00B01FE0"/>
    <w:rsid w:val="00B02115"/>
    <w:rsid w:val="00B02692"/>
    <w:rsid w:val="00B02719"/>
    <w:rsid w:val="00B03E87"/>
    <w:rsid w:val="00B03FFD"/>
    <w:rsid w:val="00B043C1"/>
    <w:rsid w:val="00B0473F"/>
    <w:rsid w:val="00B04959"/>
    <w:rsid w:val="00B05121"/>
    <w:rsid w:val="00B054AB"/>
    <w:rsid w:val="00B063E2"/>
    <w:rsid w:val="00B06841"/>
    <w:rsid w:val="00B06EDB"/>
    <w:rsid w:val="00B070C5"/>
    <w:rsid w:val="00B07331"/>
    <w:rsid w:val="00B07EF4"/>
    <w:rsid w:val="00B10419"/>
    <w:rsid w:val="00B10EED"/>
    <w:rsid w:val="00B11517"/>
    <w:rsid w:val="00B12111"/>
    <w:rsid w:val="00B127CC"/>
    <w:rsid w:val="00B128AE"/>
    <w:rsid w:val="00B12B0E"/>
    <w:rsid w:val="00B12B5D"/>
    <w:rsid w:val="00B12C8F"/>
    <w:rsid w:val="00B132E7"/>
    <w:rsid w:val="00B1353C"/>
    <w:rsid w:val="00B137B8"/>
    <w:rsid w:val="00B13E97"/>
    <w:rsid w:val="00B13FB6"/>
    <w:rsid w:val="00B140FC"/>
    <w:rsid w:val="00B14D76"/>
    <w:rsid w:val="00B14DCD"/>
    <w:rsid w:val="00B153B3"/>
    <w:rsid w:val="00B157BD"/>
    <w:rsid w:val="00B16FB1"/>
    <w:rsid w:val="00B17440"/>
    <w:rsid w:val="00B17820"/>
    <w:rsid w:val="00B17958"/>
    <w:rsid w:val="00B17F0A"/>
    <w:rsid w:val="00B17FEF"/>
    <w:rsid w:val="00B2019D"/>
    <w:rsid w:val="00B243A0"/>
    <w:rsid w:val="00B24DAE"/>
    <w:rsid w:val="00B25129"/>
    <w:rsid w:val="00B254AD"/>
    <w:rsid w:val="00B25A89"/>
    <w:rsid w:val="00B261CF"/>
    <w:rsid w:val="00B26205"/>
    <w:rsid w:val="00B26784"/>
    <w:rsid w:val="00B278E3"/>
    <w:rsid w:val="00B305F0"/>
    <w:rsid w:val="00B30632"/>
    <w:rsid w:val="00B30901"/>
    <w:rsid w:val="00B30C5E"/>
    <w:rsid w:val="00B31DC3"/>
    <w:rsid w:val="00B32455"/>
    <w:rsid w:val="00B324DC"/>
    <w:rsid w:val="00B32A3E"/>
    <w:rsid w:val="00B339C4"/>
    <w:rsid w:val="00B33C4C"/>
    <w:rsid w:val="00B33EDF"/>
    <w:rsid w:val="00B34124"/>
    <w:rsid w:val="00B34469"/>
    <w:rsid w:val="00B34C35"/>
    <w:rsid w:val="00B34E04"/>
    <w:rsid w:val="00B34EC0"/>
    <w:rsid w:val="00B35AE0"/>
    <w:rsid w:val="00B35FF2"/>
    <w:rsid w:val="00B3612D"/>
    <w:rsid w:val="00B36516"/>
    <w:rsid w:val="00B36A58"/>
    <w:rsid w:val="00B37354"/>
    <w:rsid w:val="00B40E79"/>
    <w:rsid w:val="00B4181F"/>
    <w:rsid w:val="00B41A4F"/>
    <w:rsid w:val="00B41C7F"/>
    <w:rsid w:val="00B41F6B"/>
    <w:rsid w:val="00B4215E"/>
    <w:rsid w:val="00B4242D"/>
    <w:rsid w:val="00B428BA"/>
    <w:rsid w:val="00B42CCD"/>
    <w:rsid w:val="00B42E1B"/>
    <w:rsid w:val="00B42E4C"/>
    <w:rsid w:val="00B43A83"/>
    <w:rsid w:val="00B46108"/>
    <w:rsid w:val="00B4610A"/>
    <w:rsid w:val="00B4655D"/>
    <w:rsid w:val="00B46AEB"/>
    <w:rsid w:val="00B46C56"/>
    <w:rsid w:val="00B46E4C"/>
    <w:rsid w:val="00B46F5D"/>
    <w:rsid w:val="00B47135"/>
    <w:rsid w:val="00B47552"/>
    <w:rsid w:val="00B47865"/>
    <w:rsid w:val="00B50183"/>
    <w:rsid w:val="00B51419"/>
    <w:rsid w:val="00B514EF"/>
    <w:rsid w:val="00B51B74"/>
    <w:rsid w:val="00B520C2"/>
    <w:rsid w:val="00B52247"/>
    <w:rsid w:val="00B52AF9"/>
    <w:rsid w:val="00B53CEF"/>
    <w:rsid w:val="00B54301"/>
    <w:rsid w:val="00B5440F"/>
    <w:rsid w:val="00B544B1"/>
    <w:rsid w:val="00B54779"/>
    <w:rsid w:val="00B54DEE"/>
    <w:rsid w:val="00B54FC9"/>
    <w:rsid w:val="00B555ED"/>
    <w:rsid w:val="00B5580C"/>
    <w:rsid w:val="00B561D7"/>
    <w:rsid w:val="00B56876"/>
    <w:rsid w:val="00B570A6"/>
    <w:rsid w:val="00B60BF7"/>
    <w:rsid w:val="00B619C2"/>
    <w:rsid w:val="00B61E79"/>
    <w:rsid w:val="00B6203D"/>
    <w:rsid w:val="00B620E7"/>
    <w:rsid w:val="00B62A7C"/>
    <w:rsid w:val="00B635A4"/>
    <w:rsid w:val="00B64004"/>
    <w:rsid w:val="00B649F9"/>
    <w:rsid w:val="00B655B5"/>
    <w:rsid w:val="00B66203"/>
    <w:rsid w:val="00B667E8"/>
    <w:rsid w:val="00B668A8"/>
    <w:rsid w:val="00B672EA"/>
    <w:rsid w:val="00B67538"/>
    <w:rsid w:val="00B67F5D"/>
    <w:rsid w:val="00B70699"/>
    <w:rsid w:val="00B70759"/>
    <w:rsid w:val="00B70844"/>
    <w:rsid w:val="00B7174B"/>
    <w:rsid w:val="00B7198E"/>
    <w:rsid w:val="00B71C79"/>
    <w:rsid w:val="00B7201F"/>
    <w:rsid w:val="00B7225F"/>
    <w:rsid w:val="00B72828"/>
    <w:rsid w:val="00B7322A"/>
    <w:rsid w:val="00B735D1"/>
    <w:rsid w:val="00B740D8"/>
    <w:rsid w:val="00B7494F"/>
    <w:rsid w:val="00B74CE2"/>
    <w:rsid w:val="00B74EC4"/>
    <w:rsid w:val="00B74FCA"/>
    <w:rsid w:val="00B75208"/>
    <w:rsid w:val="00B75A29"/>
    <w:rsid w:val="00B75A9C"/>
    <w:rsid w:val="00B76193"/>
    <w:rsid w:val="00B7657B"/>
    <w:rsid w:val="00B77E16"/>
    <w:rsid w:val="00B802E1"/>
    <w:rsid w:val="00B806DD"/>
    <w:rsid w:val="00B8087D"/>
    <w:rsid w:val="00B80C2A"/>
    <w:rsid w:val="00B80EAA"/>
    <w:rsid w:val="00B81071"/>
    <w:rsid w:val="00B813D5"/>
    <w:rsid w:val="00B8174F"/>
    <w:rsid w:val="00B81B08"/>
    <w:rsid w:val="00B81BD0"/>
    <w:rsid w:val="00B81F4F"/>
    <w:rsid w:val="00B824A3"/>
    <w:rsid w:val="00B82920"/>
    <w:rsid w:val="00B83207"/>
    <w:rsid w:val="00B8321C"/>
    <w:rsid w:val="00B8370F"/>
    <w:rsid w:val="00B83727"/>
    <w:rsid w:val="00B84259"/>
    <w:rsid w:val="00B842A4"/>
    <w:rsid w:val="00B85577"/>
    <w:rsid w:val="00B85EBA"/>
    <w:rsid w:val="00B85EE3"/>
    <w:rsid w:val="00B86161"/>
    <w:rsid w:val="00B869A2"/>
    <w:rsid w:val="00B86D74"/>
    <w:rsid w:val="00B86D95"/>
    <w:rsid w:val="00B86DE1"/>
    <w:rsid w:val="00B87B46"/>
    <w:rsid w:val="00B87C59"/>
    <w:rsid w:val="00B87F5E"/>
    <w:rsid w:val="00B90481"/>
    <w:rsid w:val="00B90BF4"/>
    <w:rsid w:val="00B90D08"/>
    <w:rsid w:val="00B91091"/>
    <w:rsid w:val="00B91A74"/>
    <w:rsid w:val="00B91F2F"/>
    <w:rsid w:val="00B91F34"/>
    <w:rsid w:val="00B922F0"/>
    <w:rsid w:val="00B92843"/>
    <w:rsid w:val="00B92911"/>
    <w:rsid w:val="00B92CB4"/>
    <w:rsid w:val="00B933EC"/>
    <w:rsid w:val="00B935C1"/>
    <w:rsid w:val="00B94292"/>
    <w:rsid w:val="00B94762"/>
    <w:rsid w:val="00B9485B"/>
    <w:rsid w:val="00B9490A"/>
    <w:rsid w:val="00B9495B"/>
    <w:rsid w:val="00B950D8"/>
    <w:rsid w:val="00B951CE"/>
    <w:rsid w:val="00B951EB"/>
    <w:rsid w:val="00B952E3"/>
    <w:rsid w:val="00B955A1"/>
    <w:rsid w:val="00B95D69"/>
    <w:rsid w:val="00B97239"/>
    <w:rsid w:val="00BA0010"/>
    <w:rsid w:val="00BA058F"/>
    <w:rsid w:val="00BA061F"/>
    <w:rsid w:val="00BA097A"/>
    <w:rsid w:val="00BA0BFE"/>
    <w:rsid w:val="00BA0E9E"/>
    <w:rsid w:val="00BA17A3"/>
    <w:rsid w:val="00BA17CB"/>
    <w:rsid w:val="00BA184B"/>
    <w:rsid w:val="00BA1894"/>
    <w:rsid w:val="00BA19EE"/>
    <w:rsid w:val="00BA213A"/>
    <w:rsid w:val="00BA21DB"/>
    <w:rsid w:val="00BA2557"/>
    <w:rsid w:val="00BA25F4"/>
    <w:rsid w:val="00BA26D5"/>
    <w:rsid w:val="00BA2A77"/>
    <w:rsid w:val="00BA34FE"/>
    <w:rsid w:val="00BA37C0"/>
    <w:rsid w:val="00BA3B3D"/>
    <w:rsid w:val="00BA43D6"/>
    <w:rsid w:val="00BA4618"/>
    <w:rsid w:val="00BA51F3"/>
    <w:rsid w:val="00BA58BF"/>
    <w:rsid w:val="00BA64F7"/>
    <w:rsid w:val="00BA66B2"/>
    <w:rsid w:val="00BA7C18"/>
    <w:rsid w:val="00BA7ED4"/>
    <w:rsid w:val="00BB04A6"/>
    <w:rsid w:val="00BB07D7"/>
    <w:rsid w:val="00BB07E0"/>
    <w:rsid w:val="00BB0B64"/>
    <w:rsid w:val="00BB0DCF"/>
    <w:rsid w:val="00BB0F9F"/>
    <w:rsid w:val="00BB16C6"/>
    <w:rsid w:val="00BB1851"/>
    <w:rsid w:val="00BB2581"/>
    <w:rsid w:val="00BB2AE2"/>
    <w:rsid w:val="00BB2DA8"/>
    <w:rsid w:val="00BB36DE"/>
    <w:rsid w:val="00BB383A"/>
    <w:rsid w:val="00BB49C3"/>
    <w:rsid w:val="00BB4E1A"/>
    <w:rsid w:val="00BB5F01"/>
    <w:rsid w:val="00BB60A5"/>
    <w:rsid w:val="00BB793E"/>
    <w:rsid w:val="00BC0336"/>
    <w:rsid w:val="00BC0433"/>
    <w:rsid w:val="00BC0D4D"/>
    <w:rsid w:val="00BC1FCA"/>
    <w:rsid w:val="00BC2423"/>
    <w:rsid w:val="00BC2E90"/>
    <w:rsid w:val="00BC307C"/>
    <w:rsid w:val="00BC338E"/>
    <w:rsid w:val="00BC33D8"/>
    <w:rsid w:val="00BC3557"/>
    <w:rsid w:val="00BC3716"/>
    <w:rsid w:val="00BC432F"/>
    <w:rsid w:val="00BC4CC8"/>
    <w:rsid w:val="00BC4D3E"/>
    <w:rsid w:val="00BC50FD"/>
    <w:rsid w:val="00BC660B"/>
    <w:rsid w:val="00BC71E8"/>
    <w:rsid w:val="00BC73B6"/>
    <w:rsid w:val="00BC759D"/>
    <w:rsid w:val="00BC7745"/>
    <w:rsid w:val="00BC78FF"/>
    <w:rsid w:val="00BC7AB6"/>
    <w:rsid w:val="00BC7EC5"/>
    <w:rsid w:val="00BD0408"/>
    <w:rsid w:val="00BD0977"/>
    <w:rsid w:val="00BD0D3E"/>
    <w:rsid w:val="00BD0FD5"/>
    <w:rsid w:val="00BD1202"/>
    <w:rsid w:val="00BD17DF"/>
    <w:rsid w:val="00BD1F43"/>
    <w:rsid w:val="00BD2319"/>
    <w:rsid w:val="00BD2355"/>
    <w:rsid w:val="00BD2487"/>
    <w:rsid w:val="00BD27F8"/>
    <w:rsid w:val="00BD3048"/>
    <w:rsid w:val="00BD30B2"/>
    <w:rsid w:val="00BD36AF"/>
    <w:rsid w:val="00BD3A63"/>
    <w:rsid w:val="00BD3F2E"/>
    <w:rsid w:val="00BD3FEB"/>
    <w:rsid w:val="00BD4719"/>
    <w:rsid w:val="00BD4CEC"/>
    <w:rsid w:val="00BD4F61"/>
    <w:rsid w:val="00BD5050"/>
    <w:rsid w:val="00BD50D0"/>
    <w:rsid w:val="00BD58A3"/>
    <w:rsid w:val="00BD5A30"/>
    <w:rsid w:val="00BD6745"/>
    <w:rsid w:val="00BD67DE"/>
    <w:rsid w:val="00BD684B"/>
    <w:rsid w:val="00BD6AC0"/>
    <w:rsid w:val="00BD7112"/>
    <w:rsid w:val="00BD7ADC"/>
    <w:rsid w:val="00BD7DAB"/>
    <w:rsid w:val="00BE0225"/>
    <w:rsid w:val="00BE0E22"/>
    <w:rsid w:val="00BE1761"/>
    <w:rsid w:val="00BE26B2"/>
    <w:rsid w:val="00BE2A2C"/>
    <w:rsid w:val="00BE32A5"/>
    <w:rsid w:val="00BE3414"/>
    <w:rsid w:val="00BE3893"/>
    <w:rsid w:val="00BE3A2F"/>
    <w:rsid w:val="00BE3F28"/>
    <w:rsid w:val="00BE3F2B"/>
    <w:rsid w:val="00BE4240"/>
    <w:rsid w:val="00BE48B0"/>
    <w:rsid w:val="00BE4C36"/>
    <w:rsid w:val="00BE5078"/>
    <w:rsid w:val="00BE5150"/>
    <w:rsid w:val="00BE5310"/>
    <w:rsid w:val="00BE533A"/>
    <w:rsid w:val="00BE5A42"/>
    <w:rsid w:val="00BE6B62"/>
    <w:rsid w:val="00BE73DF"/>
    <w:rsid w:val="00BE75C3"/>
    <w:rsid w:val="00BE774D"/>
    <w:rsid w:val="00BF05A8"/>
    <w:rsid w:val="00BF12A8"/>
    <w:rsid w:val="00BF1551"/>
    <w:rsid w:val="00BF186E"/>
    <w:rsid w:val="00BF270D"/>
    <w:rsid w:val="00BF2A6C"/>
    <w:rsid w:val="00BF36B3"/>
    <w:rsid w:val="00BF3A91"/>
    <w:rsid w:val="00BF3BDA"/>
    <w:rsid w:val="00BF3EA8"/>
    <w:rsid w:val="00BF469C"/>
    <w:rsid w:val="00BF55B6"/>
    <w:rsid w:val="00BF5C23"/>
    <w:rsid w:val="00BF670A"/>
    <w:rsid w:val="00BF6782"/>
    <w:rsid w:val="00BF7794"/>
    <w:rsid w:val="00BF7A2F"/>
    <w:rsid w:val="00C001EF"/>
    <w:rsid w:val="00C001FD"/>
    <w:rsid w:val="00C0045A"/>
    <w:rsid w:val="00C00927"/>
    <w:rsid w:val="00C00CFE"/>
    <w:rsid w:val="00C0168D"/>
    <w:rsid w:val="00C01D45"/>
    <w:rsid w:val="00C02CEF"/>
    <w:rsid w:val="00C02E02"/>
    <w:rsid w:val="00C03625"/>
    <w:rsid w:val="00C0383E"/>
    <w:rsid w:val="00C0446E"/>
    <w:rsid w:val="00C045B2"/>
    <w:rsid w:val="00C04958"/>
    <w:rsid w:val="00C049FB"/>
    <w:rsid w:val="00C04A14"/>
    <w:rsid w:val="00C07B82"/>
    <w:rsid w:val="00C10293"/>
    <w:rsid w:val="00C10469"/>
    <w:rsid w:val="00C10693"/>
    <w:rsid w:val="00C11059"/>
    <w:rsid w:val="00C1127F"/>
    <w:rsid w:val="00C1172E"/>
    <w:rsid w:val="00C1245A"/>
    <w:rsid w:val="00C129EF"/>
    <w:rsid w:val="00C12AB9"/>
    <w:rsid w:val="00C12EF1"/>
    <w:rsid w:val="00C13A5D"/>
    <w:rsid w:val="00C13A66"/>
    <w:rsid w:val="00C13AFF"/>
    <w:rsid w:val="00C14248"/>
    <w:rsid w:val="00C148D7"/>
    <w:rsid w:val="00C14970"/>
    <w:rsid w:val="00C15A30"/>
    <w:rsid w:val="00C15EAF"/>
    <w:rsid w:val="00C15EB5"/>
    <w:rsid w:val="00C15F87"/>
    <w:rsid w:val="00C16498"/>
    <w:rsid w:val="00C16995"/>
    <w:rsid w:val="00C174AA"/>
    <w:rsid w:val="00C17A73"/>
    <w:rsid w:val="00C20D17"/>
    <w:rsid w:val="00C20D68"/>
    <w:rsid w:val="00C2160C"/>
    <w:rsid w:val="00C21A63"/>
    <w:rsid w:val="00C222DE"/>
    <w:rsid w:val="00C22774"/>
    <w:rsid w:val="00C22D98"/>
    <w:rsid w:val="00C23202"/>
    <w:rsid w:val="00C23477"/>
    <w:rsid w:val="00C235D7"/>
    <w:rsid w:val="00C2456C"/>
    <w:rsid w:val="00C24A58"/>
    <w:rsid w:val="00C24DC9"/>
    <w:rsid w:val="00C252AC"/>
    <w:rsid w:val="00C2588C"/>
    <w:rsid w:val="00C25CCC"/>
    <w:rsid w:val="00C2644B"/>
    <w:rsid w:val="00C2652A"/>
    <w:rsid w:val="00C265DE"/>
    <w:rsid w:val="00C268DD"/>
    <w:rsid w:val="00C269F1"/>
    <w:rsid w:val="00C26E1B"/>
    <w:rsid w:val="00C26E40"/>
    <w:rsid w:val="00C26FE5"/>
    <w:rsid w:val="00C27708"/>
    <w:rsid w:val="00C27C15"/>
    <w:rsid w:val="00C27E98"/>
    <w:rsid w:val="00C27FC5"/>
    <w:rsid w:val="00C30159"/>
    <w:rsid w:val="00C305B1"/>
    <w:rsid w:val="00C30958"/>
    <w:rsid w:val="00C30D3B"/>
    <w:rsid w:val="00C31543"/>
    <w:rsid w:val="00C31A2B"/>
    <w:rsid w:val="00C31A5D"/>
    <w:rsid w:val="00C320D6"/>
    <w:rsid w:val="00C32134"/>
    <w:rsid w:val="00C325CC"/>
    <w:rsid w:val="00C33493"/>
    <w:rsid w:val="00C33661"/>
    <w:rsid w:val="00C33DF4"/>
    <w:rsid w:val="00C34550"/>
    <w:rsid w:val="00C34741"/>
    <w:rsid w:val="00C34B5F"/>
    <w:rsid w:val="00C35270"/>
    <w:rsid w:val="00C356F9"/>
    <w:rsid w:val="00C359C9"/>
    <w:rsid w:val="00C3612A"/>
    <w:rsid w:val="00C36726"/>
    <w:rsid w:val="00C3740F"/>
    <w:rsid w:val="00C40581"/>
    <w:rsid w:val="00C40A92"/>
    <w:rsid w:val="00C40B0B"/>
    <w:rsid w:val="00C41089"/>
    <w:rsid w:val="00C41B42"/>
    <w:rsid w:val="00C42751"/>
    <w:rsid w:val="00C4313A"/>
    <w:rsid w:val="00C43985"/>
    <w:rsid w:val="00C43BFF"/>
    <w:rsid w:val="00C44288"/>
    <w:rsid w:val="00C44312"/>
    <w:rsid w:val="00C4440A"/>
    <w:rsid w:val="00C44F88"/>
    <w:rsid w:val="00C45B48"/>
    <w:rsid w:val="00C45FA1"/>
    <w:rsid w:val="00C464DA"/>
    <w:rsid w:val="00C46585"/>
    <w:rsid w:val="00C465BC"/>
    <w:rsid w:val="00C467E0"/>
    <w:rsid w:val="00C46A82"/>
    <w:rsid w:val="00C46FF1"/>
    <w:rsid w:val="00C47174"/>
    <w:rsid w:val="00C47A07"/>
    <w:rsid w:val="00C50B1C"/>
    <w:rsid w:val="00C50BD9"/>
    <w:rsid w:val="00C510AB"/>
    <w:rsid w:val="00C51990"/>
    <w:rsid w:val="00C52085"/>
    <w:rsid w:val="00C5216E"/>
    <w:rsid w:val="00C523BD"/>
    <w:rsid w:val="00C526A6"/>
    <w:rsid w:val="00C5279E"/>
    <w:rsid w:val="00C531A3"/>
    <w:rsid w:val="00C534E1"/>
    <w:rsid w:val="00C53812"/>
    <w:rsid w:val="00C54017"/>
    <w:rsid w:val="00C5474A"/>
    <w:rsid w:val="00C54E12"/>
    <w:rsid w:val="00C54FAD"/>
    <w:rsid w:val="00C550FD"/>
    <w:rsid w:val="00C559EC"/>
    <w:rsid w:val="00C55EE6"/>
    <w:rsid w:val="00C5672F"/>
    <w:rsid w:val="00C569D7"/>
    <w:rsid w:val="00C56CEA"/>
    <w:rsid w:val="00C5723E"/>
    <w:rsid w:val="00C57BD2"/>
    <w:rsid w:val="00C60299"/>
    <w:rsid w:val="00C604D7"/>
    <w:rsid w:val="00C60722"/>
    <w:rsid w:val="00C6096C"/>
    <w:rsid w:val="00C61628"/>
    <w:rsid w:val="00C61A51"/>
    <w:rsid w:val="00C61C68"/>
    <w:rsid w:val="00C61D81"/>
    <w:rsid w:val="00C6227B"/>
    <w:rsid w:val="00C6239E"/>
    <w:rsid w:val="00C62BE4"/>
    <w:rsid w:val="00C62C92"/>
    <w:rsid w:val="00C63099"/>
    <w:rsid w:val="00C6367C"/>
    <w:rsid w:val="00C63886"/>
    <w:rsid w:val="00C64286"/>
    <w:rsid w:val="00C644BF"/>
    <w:rsid w:val="00C64A91"/>
    <w:rsid w:val="00C65468"/>
    <w:rsid w:val="00C6598C"/>
    <w:rsid w:val="00C6603F"/>
    <w:rsid w:val="00C6624D"/>
    <w:rsid w:val="00C66BFE"/>
    <w:rsid w:val="00C66C47"/>
    <w:rsid w:val="00C66FE3"/>
    <w:rsid w:val="00C678EB"/>
    <w:rsid w:val="00C67DF9"/>
    <w:rsid w:val="00C70295"/>
    <w:rsid w:val="00C702F9"/>
    <w:rsid w:val="00C706E5"/>
    <w:rsid w:val="00C71231"/>
    <w:rsid w:val="00C717E5"/>
    <w:rsid w:val="00C718CD"/>
    <w:rsid w:val="00C71BE9"/>
    <w:rsid w:val="00C721C9"/>
    <w:rsid w:val="00C73150"/>
    <w:rsid w:val="00C744C9"/>
    <w:rsid w:val="00C75102"/>
    <w:rsid w:val="00C75EC4"/>
    <w:rsid w:val="00C760F3"/>
    <w:rsid w:val="00C761A9"/>
    <w:rsid w:val="00C76A43"/>
    <w:rsid w:val="00C76FBE"/>
    <w:rsid w:val="00C808C1"/>
    <w:rsid w:val="00C8158C"/>
    <w:rsid w:val="00C817D6"/>
    <w:rsid w:val="00C81A82"/>
    <w:rsid w:val="00C8230F"/>
    <w:rsid w:val="00C82D0C"/>
    <w:rsid w:val="00C83164"/>
    <w:rsid w:val="00C83D13"/>
    <w:rsid w:val="00C84407"/>
    <w:rsid w:val="00C847B4"/>
    <w:rsid w:val="00C84C0B"/>
    <w:rsid w:val="00C85275"/>
    <w:rsid w:val="00C85367"/>
    <w:rsid w:val="00C853CC"/>
    <w:rsid w:val="00C85A8F"/>
    <w:rsid w:val="00C8606C"/>
    <w:rsid w:val="00C86339"/>
    <w:rsid w:val="00C86A59"/>
    <w:rsid w:val="00C86D05"/>
    <w:rsid w:val="00C87080"/>
    <w:rsid w:val="00C87417"/>
    <w:rsid w:val="00C87919"/>
    <w:rsid w:val="00C879F1"/>
    <w:rsid w:val="00C87C75"/>
    <w:rsid w:val="00C90441"/>
    <w:rsid w:val="00C90548"/>
    <w:rsid w:val="00C90A20"/>
    <w:rsid w:val="00C90B3B"/>
    <w:rsid w:val="00C90B7F"/>
    <w:rsid w:val="00C90F39"/>
    <w:rsid w:val="00C91686"/>
    <w:rsid w:val="00C91DE7"/>
    <w:rsid w:val="00C92095"/>
    <w:rsid w:val="00C92230"/>
    <w:rsid w:val="00C92515"/>
    <w:rsid w:val="00C92FCC"/>
    <w:rsid w:val="00C94E2D"/>
    <w:rsid w:val="00C95AC9"/>
    <w:rsid w:val="00C95BCB"/>
    <w:rsid w:val="00C95BFF"/>
    <w:rsid w:val="00C971AD"/>
    <w:rsid w:val="00C9732C"/>
    <w:rsid w:val="00C97388"/>
    <w:rsid w:val="00C974D4"/>
    <w:rsid w:val="00C976DA"/>
    <w:rsid w:val="00CA0901"/>
    <w:rsid w:val="00CA1A31"/>
    <w:rsid w:val="00CA225A"/>
    <w:rsid w:val="00CA324C"/>
    <w:rsid w:val="00CA4A08"/>
    <w:rsid w:val="00CA5502"/>
    <w:rsid w:val="00CA5C35"/>
    <w:rsid w:val="00CA6ACC"/>
    <w:rsid w:val="00CA73D7"/>
    <w:rsid w:val="00CA7733"/>
    <w:rsid w:val="00CA7ACB"/>
    <w:rsid w:val="00CB0E1E"/>
    <w:rsid w:val="00CB100E"/>
    <w:rsid w:val="00CB10D7"/>
    <w:rsid w:val="00CB1ED3"/>
    <w:rsid w:val="00CB20B0"/>
    <w:rsid w:val="00CB2555"/>
    <w:rsid w:val="00CB2C68"/>
    <w:rsid w:val="00CB3727"/>
    <w:rsid w:val="00CB3BD4"/>
    <w:rsid w:val="00CB49DD"/>
    <w:rsid w:val="00CB5AF4"/>
    <w:rsid w:val="00CB5C32"/>
    <w:rsid w:val="00CB5CD3"/>
    <w:rsid w:val="00CB5E57"/>
    <w:rsid w:val="00CB6568"/>
    <w:rsid w:val="00CB68D9"/>
    <w:rsid w:val="00CB6BE6"/>
    <w:rsid w:val="00CB6D19"/>
    <w:rsid w:val="00CB6D2A"/>
    <w:rsid w:val="00CB7A6F"/>
    <w:rsid w:val="00CB7AA3"/>
    <w:rsid w:val="00CC0AB4"/>
    <w:rsid w:val="00CC0DB4"/>
    <w:rsid w:val="00CC2211"/>
    <w:rsid w:val="00CC2FB5"/>
    <w:rsid w:val="00CC3450"/>
    <w:rsid w:val="00CC4CA6"/>
    <w:rsid w:val="00CC5144"/>
    <w:rsid w:val="00CC5691"/>
    <w:rsid w:val="00CC5999"/>
    <w:rsid w:val="00CC620E"/>
    <w:rsid w:val="00CC6E57"/>
    <w:rsid w:val="00CC6E95"/>
    <w:rsid w:val="00CC723C"/>
    <w:rsid w:val="00CC75F9"/>
    <w:rsid w:val="00CC7750"/>
    <w:rsid w:val="00CC7A39"/>
    <w:rsid w:val="00CD03D4"/>
    <w:rsid w:val="00CD0695"/>
    <w:rsid w:val="00CD06DE"/>
    <w:rsid w:val="00CD09A4"/>
    <w:rsid w:val="00CD0E65"/>
    <w:rsid w:val="00CD10F7"/>
    <w:rsid w:val="00CD1D53"/>
    <w:rsid w:val="00CD2020"/>
    <w:rsid w:val="00CD2389"/>
    <w:rsid w:val="00CD29D5"/>
    <w:rsid w:val="00CD2BF7"/>
    <w:rsid w:val="00CD3191"/>
    <w:rsid w:val="00CD3234"/>
    <w:rsid w:val="00CD4019"/>
    <w:rsid w:val="00CD409D"/>
    <w:rsid w:val="00CD4775"/>
    <w:rsid w:val="00CD4AE6"/>
    <w:rsid w:val="00CD4B38"/>
    <w:rsid w:val="00CD534A"/>
    <w:rsid w:val="00CD53ED"/>
    <w:rsid w:val="00CD5819"/>
    <w:rsid w:val="00CD582C"/>
    <w:rsid w:val="00CD5A84"/>
    <w:rsid w:val="00CD68DE"/>
    <w:rsid w:val="00CD74C7"/>
    <w:rsid w:val="00CD7610"/>
    <w:rsid w:val="00CD774A"/>
    <w:rsid w:val="00CD7845"/>
    <w:rsid w:val="00CE06E9"/>
    <w:rsid w:val="00CE09E6"/>
    <w:rsid w:val="00CE0F85"/>
    <w:rsid w:val="00CE119C"/>
    <w:rsid w:val="00CE26B3"/>
    <w:rsid w:val="00CE3EAA"/>
    <w:rsid w:val="00CE4B95"/>
    <w:rsid w:val="00CE52BD"/>
    <w:rsid w:val="00CE547E"/>
    <w:rsid w:val="00CE577D"/>
    <w:rsid w:val="00CE58E8"/>
    <w:rsid w:val="00CE5B08"/>
    <w:rsid w:val="00CE5F5B"/>
    <w:rsid w:val="00CE642A"/>
    <w:rsid w:val="00CE670D"/>
    <w:rsid w:val="00CE71A8"/>
    <w:rsid w:val="00CE72C7"/>
    <w:rsid w:val="00CE7984"/>
    <w:rsid w:val="00CF02D1"/>
    <w:rsid w:val="00CF062A"/>
    <w:rsid w:val="00CF11B3"/>
    <w:rsid w:val="00CF1579"/>
    <w:rsid w:val="00CF2295"/>
    <w:rsid w:val="00CF2577"/>
    <w:rsid w:val="00CF2721"/>
    <w:rsid w:val="00CF2C69"/>
    <w:rsid w:val="00CF3AB6"/>
    <w:rsid w:val="00CF456C"/>
    <w:rsid w:val="00CF49A5"/>
    <w:rsid w:val="00CF5475"/>
    <w:rsid w:val="00CF55FA"/>
    <w:rsid w:val="00CF5823"/>
    <w:rsid w:val="00CF5DEB"/>
    <w:rsid w:val="00CF68DE"/>
    <w:rsid w:val="00CF698D"/>
    <w:rsid w:val="00CF6A71"/>
    <w:rsid w:val="00CF6F3B"/>
    <w:rsid w:val="00CF6FB6"/>
    <w:rsid w:val="00CF72E9"/>
    <w:rsid w:val="00CF74E2"/>
    <w:rsid w:val="00D001BF"/>
    <w:rsid w:val="00D00D7E"/>
    <w:rsid w:val="00D00E9B"/>
    <w:rsid w:val="00D0129C"/>
    <w:rsid w:val="00D013D0"/>
    <w:rsid w:val="00D01A49"/>
    <w:rsid w:val="00D01B87"/>
    <w:rsid w:val="00D022C4"/>
    <w:rsid w:val="00D02798"/>
    <w:rsid w:val="00D0282D"/>
    <w:rsid w:val="00D02D5E"/>
    <w:rsid w:val="00D02FFA"/>
    <w:rsid w:val="00D03026"/>
    <w:rsid w:val="00D0315E"/>
    <w:rsid w:val="00D0330D"/>
    <w:rsid w:val="00D0379C"/>
    <w:rsid w:val="00D03965"/>
    <w:rsid w:val="00D03C0F"/>
    <w:rsid w:val="00D04E11"/>
    <w:rsid w:val="00D067F0"/>
    <w:rsid w:val="00D06F8F"/>
    <w:rsid w:val="00D076D7"/>
    <w:rsid w:val="00D078B4"/>
    <w:rsid w:val="00D07DCA"/>
    <w:rsid w:val="00D07F4C"/>
    <w:rsid w:val="00D1010A"/>
    <w:rsid w:val="00D104B3"/>
    <w:rsid w:val="00D11146"/>
    <w:rsid w:val="00D126A3"/>
    <w:rsid w:val="00D12939"/>
    <w:rsid w:val="00D12B80"/>
    <w:rsid w:val="00D1391B"/>
    <w:rsid w:val="00D139E9"/>
    <w:rsid w:val="00D13AD1"/>
    <w:rsid w:val="00D14AB1"/>
    <w:rsid w:val="00D14F46"/>
    <w:rsid w:val="00D1563D"/>
    <w:rsid w:val="00D15B52"/>
    <w:rsid w:val="00D1612B"/>
    <w:rsid w:val="00D1624F"/>
    <w:rsid w:val="00D162C6"/>
    <w:rsid w:val="00D16975"/>
    <w:rsid w:val="00D16AD8"/>
    <w:rsid w:val="00D16E7A"/>
    <w:rsid w:val="00D16FE4"/>
    <w:rsid w:val="00D17415"/>
    <w:rsid w:val="00D174F8"/>
    <w:rsid w:val="00D175C4"/>
    <w:rsid w:val="00D203E1"/>
    <w:rsid w:val="00D205CA"/>
    <w:rsid w:val="00D20A66"/>
    <w:rsid w:val="00D21777"/>
    <w:rsid w:val="00D21CBA"/>
    <w:rsid w:val="00D21D64"/>
    <w:rsid w:val="00D225B0"/>
    <w:rsid w:val="00D22854"/>
    <w:rsid w:val="00D22D28"/>
    <w:rsid w:val="00D23836"/>
    <w:rsid w:val="00D241E2"/>
    <w:rsid w:val="00D2445C"/>
    <w:rsid w:val="00D24941"/>
    <w:rsid w:val="00D25531"/>
    <w:rsid w:val="00D257A4"/>
    <w:rsid w:val="00D25F6D"/>
    <w:rsid w:val="00D2625C"/>
    <w:rsid w:val="00D26A8F"/>
    <w:rsid w:val="00D27153"/>
    <w:rsid w:val="00D278B3"/>
    <w:rsid w:val="00D30329"/>
    <w:rsid w:val="00D304E2"/>
    <w:rsid w:val="00D3059A"/>
    <w:rsid w:val="00D30930"/>
    <w:rsid w:val="00D30B78"/>
    <w:rsid w:val="00D3124D"/>
    <w:rsid w:val="00D316FA"/>
    <w:rsid w:val="00D31DA5"/>
    <w:rsid w:val="00D325D0"/>
    <w:rsid w:val="00D33606"/>
    <w:rsid w:val="00D33696"/>
    <w:rsid w:val="00D33951"/>
    <w:rsid w:val="00D33A53"/>
    <w:rsid w:val="00D34004"/>
    <w:rsid w:val="00D34302"/>
    <w:rsid w:val="00D3433F"/>
    <w:rsid w:val="00D34C6A"/>
    <w:rsid w:val="00D34DF9"/>
    <w:rsid w:val="00D3512D"/>
    <w:rsid w:val="00D353C6"/>
    <w:rsid w:val="00D35DA8"/>
    <w:rsid w:val="00D36466"/>
    <w:rsid w:val="00D36B44"/>
    <w:rsid w:val="00D379DD"/>
    <w:rsid w:val="00D37DB1"/>
    <w:rsid w:val="00D37FA9"/>
    <w:rsid w:val="00D405F9"/>
    <w:rsid w:val="00D405FC"/>
    <w:rsid w:val="00D4139A"/>
    <w:rsid w:val="00D41BA2"/>
    <w:rsid w:val="00D42384"/>
    <w:rsid w:val="00D42875"/>
    <w:rsid w:val="00D42AAE"/>
    <w:rsid w:val="00D43896"/>
    <w:rsid w:val="00D439F8"/>
    <w:rsid w:val="00D44AA7"/>
    <w:rsid w:val="00D44FB8"/>
    <w:rsid w:val="00D45C5F"/>
    <w:rsid w:val="00D4626F"/>
    <w:rsid w:val="00D462EF"/>
    <w:rsid w:val="00D46B30"/>
    <w:rsid w:val="00D47306"/>
    <w:rsid w:val="00D476FE"/>
    <w:rsid w:val="00D47DF0"/>
    <w:rsid w:val="00D5002E"/>
    <w:rsid w:val="00D50EF0"/>
    <w:rsid w:val="00D50EF2"/>
    <w:rsid w:val="00D50FC1"/>
    <w:rsid w:val="00D511EF"/>
    <w:rsid w:val="00D513E3"/>
    <w:rsid w:val="00D51D9F"/>
    <w:rsid w:val="00D5251A"/>
    <w:rsid w:val="00D538B5"/>
    <w:rsid w:val="00D540E6"/>
    <w:rsid w:val="00D5452F"/>
    <w:rsid w:val="00D54B4A"/>
    <w:rsid w:val="00D54DDF"/>
    <w:rsid w:val="00D55046"/>
    <w:rsid w:val="00D553C3"/>
    <w:rsid w:val="00D557BC"/>
    <w:rsid w:val="00D557FA"/>
    <w:rsid w:val="00D55C02"/>
    <w:rsid w:val="00D563B4"/>
    <w:rsid w:val="00D56BB9"/>
    <w:rsid w:val="00D5785E"/>
    <w:rsid w:val="00D578CA"/>
    <w:rsid w:val="00D57A60"/>
    <w:rsid w:val="00D57ED4"/>
    <w:rsid w:val="00D6037C"/>
    <w:rsid w:val="00D60F5B"/>
    <w:rsid w:val="00D614C6"/>
    <w:rsid w:val="00D614D3"/>
    <w:rsid w:val="00D61941"/>
    <w:rsid w:val="00D61C25"/>
    <w:rsid w:val="00D62A37"/>
    <w:rsid w:val="00D62CC9"/>
    <w:rsid w:val="00D62D11"/>
    <w:rsid w:val="00D6336F"/>
    <w:rsid w:val="00D63707"/>
    <w:rsid w:val="00D63D7A"/>
    <w:rsid w:val="00D645E9"/>
    <w:rsid w:val="00D64DEC"/>
    <w:rsid w:val="00D65B96"/>
    <w:rsid w:val="00D6645A"/>
    <w:rsid w:val="00D66484"/>
    <w:rsid w:val="00D66677"/>
    <w:rsid w:val="00D6718E"/>
    <w:rsid w:val="00D67E77"/>
    <w:rsid w:val="00D707B3"/>
    <w:rsid w:val="00D71401"/>
    <w:rsid w:val="00D718F5"/>
    <w:rsid w:val="00D71F7F"/>
    <w:rsid w:val="00D7203C"/>
    <w:rsid w:val="00D722CE"/>
    <w:rsid w:val="00D72919"/>
    <w:rsid w:val="00D729A6"/>
    <w:rsid w:val="00D72D69"/>
    <w:rsid w:val="00D73279"/>
    <w:rsid w:val="00D744AC"/>
    <w:rsid w:val="00D74F90"/>
    <w:rsid w:val="00D75179"/>
    <w:rsid w:val="00D7558B"/>
    <w:rsid w:val="00D757EC"/>
    <w:rsid w:val="00D758FA"/>
    <w:rsid w:val="00D76356"/>
    <w:rsid w:val="00D76765"/>
    <w:rsid w:val="00D7724D"/>
    <w:rsid w:val="00D77446"/>
    <w:rsid w:val="00D7796E"/>
    <w:rsid w:val="00D77BFB"/>
    <w:rsid w:val="00D77D4F"/>
    <w:rsid w:val="00D77EAE"/>
    <w:rsid w:val="00D80DD9"/>
    <w:rsid w:val="00D810FA"/>
    <w:rsid w:val="00D8144D"/>
    <w:rsid w:val="00D81615"/>
    <w:rsid w:val="00D82264"/>
    <w:rsid w:val="00D8240D"/>
    <w:rsid w:val="00D828A0"/>
    <w:rsid w:val="00D82A51"/>
    <w:rsid w:val="00D82F01"/>
    <w:rsid w:val="00D82FAF"/>
    <w:rsid w:val="00D83353"/>
    <w:rsid w:val="00D83C97"/>
    <w:rsid w:val="00D8437D"/>
    <w:rsid w:val="00D84781"/>
    <w:rsid w:val="00D84790"/>
    <w:rsid w:val="00D8485D"/>
    <w:rsid w:val="00D84E6A"/>
    <w:rsid w:val="00D85162"/>
    <w:rsid w:val="00D8565C"/>
    <w:rsid w:val="00D856F6"/>
    <w:rsid w:val="00D85BD3"/>
    <w:rsid w:val="00D86017"/>
    <w:rsid w:val="00D87040"/>
    <w:rsid w:val="00D8764F"/>
    <w:rsid w:val="00D87BFE"/>
    <w:rsid w:val="00D91289"/>
    <w:rsid w:val="00D9230D"/>
    <w:rsid w:val="00D9300D"/>
    <w:rsid w:val="00D930B4"/>
    <w:rsid w:val="00D936AC"/>
    <w:rsid w:val="00D93F71"/>
    <w:rsid w:val="00D93FAE"/>
    <w:rsid w:val="00D943DC"/>
    <w:rsid w:val="00D94910"/>
    <w:rsid w:val="00D94CB7"/>
    <w:rsid w:val="00D94FF1"/>
    <w:rsid w:val="00D9517B"/>
    <w:rsid w:val="00D952E7"/>
    <w:rsid w:val="00D954A7"/>
    <w:rsid w:val="00D956D2"/>
    <w:rsid w:val="00D95AF5"/>
    <w:rsid w:val="00D96EF3"/>
    <w:rsid w:val="00D97820"/>
    <w:rsid w:val="00DA02A0"/>
    <w:rsid w:val="00DA0EE7"/>
    <w:rsid w:val="00DA1178"/>
    <w:rsid w:val="00DA133A"/>
    <w:rsid w:val="00DA1853"/>
    <w:rsid w:val="00DA1A9D"/>
    <w:rsid w:val="00DA2B04"/>
    <w:rsid w:val="00DA2B4C"/>
    <w:rsid w:val="00DA2BA0"/>
    <w:rsid w:val="00DA33DB"/>
    <w:rsid w:val="00DA3756"/>
    <w:rsid w:val="00DA39C5"/>
    <w:rsid w:val="00DA3D5D"/>
    <w:rsid w:val="00DA4BC9"/>
    <w:rsid w:val="00DA54C8"/>
    <w:rsid w:val="00DA5AD4"/>
    <w:rsid w:val="00DA5F07"/>
    <w:rsid w:val="00DA602A"/>
    <w:rsid w:val="00DA672A"/>
    <w:rsid w:val="00DA708A"/>
    <w:rsid w:val="00DA7117"/>
    <w:rsid w:val="00DA7C4B"/>
    <w:rsid w:val="00DA7CCE"/>
    <w:rsid w:val="00DB1167"/>
    <w:rsid w:val="00DB1360"/>
    <w:rsid w:val="00DB19B0"/>
    <w:rsid w:val="00DB21EC"/>
    <w:rsid w:val="00DB2332"/>
    <w:rsid w:val="00DB26FB"/>
    <w:rsid w:val="00DB2CEA"/>
    <w:rsid w:val="00DB2DC0"/>
    <w:rsid w:val="00DB3A64"/>
    <w:rsid w:val="00DB436B"/>
    <w:rsid w:val="00DB51B3"/>
    <w:rsid w:val="00DB5E0F"/>
    <w:rsid w:val="00DB6214"/>
    <w:rsid w:val="00DB6A15"/>
    <w:rsid w:val="00DB709A"/>
    <w:rsid w:val="00DB70BE"/>
    <w:rsid w:val="00DB7EB6"/>
    <w:rsid w:val="00DB7F67"/>
    <w:rsid w:val="00DC0FBB"/>
    <w:rsid w:val="00DC12BC"/>
    <w:rsid w:val="00DC12E1"/>
    <w:rsid w:val="00DC15CF"/>
    <w:rsid w:val="00DC15ED"/>
    <w:rsid w:val="00DC1780"/>
    <w:rsid w:val="00DC2299"/>
    <w:rsid w:val="00DC23FC"/>
    <w:rsid w:val="00DC25D6"/>
    <w:rsid w:val="00DC2764"/>
    <w:rsid w:val="00DC27B0"/>
    <w:rsid w:val="00DC2E6E"/>
    <w:rsid w:val="00DC2EB9"/>
    <w:rsid w:val="00DC2FD8"/>
    <w:rsid w:val="00DC31F1"/>
    <w:rsid w:val="00DC3419"/>
    <w:rsid w:val="00DC34CB"/>
    <w:rsid w:val="00DC3704"/>
    <w:rsid w:val="00DC39E5"/>
    <w:rsid w:val="00DC3CB4"/>
    <w:rsid w:val="00DC3EDD"/>
    <w:rsid w:val="00DC4350"/>
    <w:rsid w:val="00DC4862"/>
    <w:rsid w:val="00DC513A"/>
    <w:rsid w:val="00DC6175"/>
    <w:rsid w:val="00DC637B"/>
    <w:rsid w:val="00DC6EA0"/>
    <w:rsid w:val="00DC770C"/>
    <w:rsid w:val="00DC790E"/>
    <w:rsid w:val="00DC7AAF"/>
    <w:rsid w:val="00DD0F99"/>
    <w:rsid w:val="00DD1090"/>
    <w:rsid w:val="00DD132F"/>
    <w:rsid w:val="00DD1CC5"/>
    <w:rsid w:val="00DD2ADA"/>
    <w:rsid w:val="00DD30B2"/>
    <w:rsid w:val="00DD32EC"/>
    <w:rsid w:val="00DD3438"/>
    <w:rsid w:val="00DD3D7F"/>
    <w:rsid w:val="00DD5234"/>
    <w:rsid w:val="00DD59AA"/>
    <w:rsid w:val="00DD5C2C"/>
    <w:rsid w:val="00DD62D9"/>
    <w:rsid w:val="00DD6C04"/>
    <w:rsid w:val="00DD6DE7"/>
    <w:rsid w:val="00DD6E0E"/>
    <w:rsid w:val="00DD73D5"/>
    <w:rsid w:val="00DD78C8"/>
    <w:rsid w:val="00DD7A8F"/>
    <w:rsid w:val="00DE0043"/>
    <w:rsid w:val="00DE0343"/>
    <w:rsid w:val="00DE0545"/>
    <w:rsid w:val="00DE0652"/>
    <w:rsid w:val="00DE0A4B"/>
    <w:rsid w:val="00DE0ED8"/>
    <w:rsid w:val="00DE15D2"/>
    <w:rsid w:val="00DE17EB"/>
    <w:rsid w:val="00DE1E6A"/>
    <w:rsid w:val="00DE279D"/>
    <w:rsid w:val="00DE2DDF"/>
    <w:rsid w:val="00DE3995"/>
    <w:rsid w:val="00DE4D9C"/>
    <w:rsid w:val="00DE5F4A"/>
    <w:rsid w:val="00DE6192"/>
    <w:rsid w:val="00DE68D8"/>
    <w:rsid w:val="00DE6EE2"/>
    <w:rsid w:val="00DE7474"/>
    <w:rsid w:val="00DE7E8F"/>
    <w:rsid w:val="00DF0BC0"/>
    <w:rsid w:val="00DF0EB0"/>
    <w:rsid w:val="00DF15F7"/>
    <w:rsid w:val="00DF2577"/>
    <w:rsid w:val="00DF2815"/>
    <w:rsid w:val="00DF2939"/>
    <w:rsid w:val="00DF2A02"/>
    <w:rsid w:val="00DF2E7F"/>
    <w:rsid w:val="00DF2EAF"/>
    <w:rsid w:val="00DF30EE"/>
    <w:rsid w:val="00DF3FAB"/>
    <w:rsid w:val="00DF56AC"/>
    <w:rsid w:val="00DF5ABC"/>
    <w:rsid w:val="00DF629E"/>
    <w:rsid w:val="00DF691E"/>
    <w:rsid w:val="00DF6AE7"/>
    <w:rsid w:val="00DF6FFD"/>
    <w:rsid w:val="00DF7F37"/>
    <w:rsid w:val="00E00F2C"/>
    <w:rsid w:val="00E02403"/>
    <w:rsid w:val="00E027E8"/>
    <w:rsid w:val="00E03BC7"/>
    <w:rsid w:val="00E0496B"/>
    <w:rsid w:val="00E04F3B"/>
    <w:rsid w:val="00E05220"/>
    <w:rsid w:val="00E0525E"/>
    <w:rsid w:val="00E05B8E"/>
    <w:rsid w:val="00E05E3E"/>
    <w:rsid w:val="00E05F83"/>
    <w:rsid w:val="00E060C7"/>
    <w:rsid w:val="00E06511"/>
    <w:rsid w:val="00E06871"/>
    <w:rsid w:val="00E06B09"/>
    <w:rsid w:val="00E06FE5"/>
    <w:rsid w:val="00E07201"/>
    <w:rsid w:val="00E075CE"/>
    <w:rsid w:val="00E0776D"/>
    <w:rsid w:val="00E079E0"/>
    <w:rsid w:val="00E1041B"/>
    <w:rsid w:val="00E10CD6"/>
    <w:rsid w:val="00E10DC3"/>
    <w:rsid w:val="00E11711"/>
    <w:rsid w:val="00E1175A"/>
    <w:rsid w:val="00E11F5D"/>
    <w:rsid w:val="00E1203B"/>
    <w:rsid w:val="00E129D4"/>
    <w:rsid w:val="00E12A5F"/>
    <w:rsid w:val="00E131AB"/>
    <w:rsid w:val="00E13512"/>
    <w:rsid w:val="00E146CB"/>
    <w:rsid w:val="00E154C3"/>
    <w:rsid w:val="00E16035"/>
    <w:rsid w:val="00E1616F"/>
    <w:rsid w:val="00E168E8"/>
    <w:rsid w:val="00E171A2"/>
    <w:rsid w:val="00E17C28"/>
    <w:rsid w:val="00E20002"/>
    <w:rsid w:val="00E2010C"/>
    <w:rsid w:val="00E2042C"/>
    <w:rsid w:val="00E2044B"/>
    <w:rsid w:val="00E20806"/>
    <w:rsid w:val="00E2195C"/>
    <w:rsid w:val="00E21BD0"/>
    <w:rsid w:val="00E21E4A"/>
    <w:rsid w:val="00E2256F"/>
    <w:rsid w:val="00E22C11"/>
    <w:rsid w:val="00E23CF9"/>
    <w:rsid w:val="00E23DC3"/>
    <w:rsid w:val="00E24263"/>
    <w:rsid w:val="00E24DCD"/>
    <w:rsid w:val="00E2532F"/>
    <w:rsid w:val="00E25A51"/>
    <w:rsid w:val="00E26273"/>
    <w:rsid w:val="00E263B1"/>
    <w:rsid w:val="00E26609"/>
    <w:rsid w:val="00E27C46"/>
    <w:rsid w:val="00E300F1"/>
    <w:rsid w:val="00E3038F"/>
    <w:rsid w:val="00E30B7A"/>
    <w:rsid w:val="00E31DD1"/>
    <w:rsid w:val="00E32D9C"/>
    <w:rsid w:val="00E33122"/>
    <w:rsid w:val="00E33744"/>
    <w:rsid w:val="00E33CA9"/>
    <w:rsid w:val="00E34458"/>
    <w:rsid w:val="00E34D2E"/>
    <w:rsid w:val="00E34FD7"/>
    <w:rsid w:val="00E355FA"/>
    <w:rsid w:val="00E35A73"/>
    <w:rsid w:val="00E36ACB"/>
    <w:rsid w:val="00E3714A"/>
    <w:rsid w:val="00E37174"/>
    <w:rsid w:val="00E3785F"/>
    <w:rsid w:val="00E37C1C"/>
    <w:rsid w:val="00E37C1F"/>
    <w:rsid w:val="00E404D6"/>
    <w:rsid w:val="00E40793"/>
    <w:rsid w:val="00E40B90"/>
    <w:rsid w:val="00E41153"/>
    <w:rsid w:val="00E41162"/>
    <w:rsid w:val="00E412E8"/>
    <w:rsid w:val="00E41394"/>
    <w:rsid w:val="00E413A6"/>
    <w:rsid w:val="00E41677"/>
    <w:rsid w:val="00E41FA0"/>
    <w:rsid w:val="00E41FA3"/>
    <w:rsid w:val="00E420D8"/>
    <w:rsid w:val="00E423A8"/>
    <w:rsid w:val="00E42527"/>
    <w:rsid w:val="00E430A3"/>
    <w:rsid w:val="00E43198"/>
    <w:rsid w:val="00E43550"/>
    <w:rsid w:val="00E438D5"/>
    <w:rsid w:val="00E44399"/>
    <w:rsid w:val="00E4461A"/>
    <w:rsid w:val="00E44D02"/>
    <w:rsid w:val="00E458E3"/>
    <w:rsid w:val="00E45DCE"/>
    <w:rsid w:val="00E46480"/>
    <w:rsid w:val="00E466E5"/>
    <w:rsid w:val="00E467E8"/>
    <w:rsid w:val="00E47A88"/>
    <w:rsid w:val="00E47D74"/>
    <w:rsid w:val="00E50207"/>
    <w:rsid w:val="00E5035B"/>
    <w:rsid w:val="00E50967"/>
    <w:rsid w:val="00E50DB3"/>
    <w:rsid w:val="00E51794"/>
    <w:rsid w:val="00E52C1A"/>
    <w:rsid w:val="00E538CF"/>
    <w:rsid w:val="00E53C87"/>
    <w:rsid w:val="00E53DB8"/>
    <w:rsid w:val="00E54306"/>
    <w:rsid w:val="00E558D4"/>
    <w:rsid w:val="00E558E4"/>
    <w:rsid w:val="00E55A2B"/>
    <w:rsid w:val="00E569DA"/>
    <w:rsid w:val="00E56B15"/>
    <w:rsid w:val="00E56B56"/>
    <w:rsid w:val="00E5730C"/>
    <w:rsid w:val="00E600E6"/>
    <w:rsid w:val="00E605BC"/>
    <w:rsid w:val="00E60808"/>
    <w:rsid w:val="00E6094F"/>
    <w:rsid w:val="00E61326"/>
    <w:rsid w:val="00E61434"/>
    <w:rsid w:val="00E614AA"/>
    <w:rsid w:val="00E618D5"/>
    <w:rsid w:val="00E61A10"/>
    <w:rsid w:val="00E62318"/>
    <w:rsid w:val="00E6298B"/>
    <w:rsid w:val="00E62D33"/>
    <w:rsid w:val="00E62D7E"/>
    <w:rsid w:val="00E630AC"/>
    <w:rsid w:val="00E6329F"/>
    <w:rsid w:val="00E635AF"/>
    <w:rsid w:val="00E64086"/>
    <w:rsid w:val="00E640D2"/>
    <w:rsid w:val="00E6449F"/>
    <w:rsid w:val="00E64C44"/>
    <w:rsid w:val="00E64D25"/>
    <w:rsid w:val="00E65FFE"/>
    <w:rsid w:val="00E667AD"/>
    <w:rsid w:val="00E66A25"/>
    <w:rsid w:val="00E66BE3"/>
    <w:rsid w:val="00E6700B"/>
    <w:rsid w:val="00E679F1"/>
    <w:rsid w:val="00E67F80"/>
    <w:rsid w:val="00E70AB7"/>
    <w:rsid w:val="00E715EB"/>
    <w:rsid w:val="00E71798"/>
    <w:rsid w:val="00E7186A"/>
    <w:rsid w:val="00E71B51"/>
    <w:rsid w:val="00E71BC7"/>
    <w:rsid w:val="00E71FFF"/>
    <w:rsid w:val="00E73ECC"/>
    <w:rsid w:val="00E74240"/>
    <w:rsid w:val="00E7471F"/>
    <w:rsid w:val="00E749D4"/>
    <w:rsid w:val="00E74DC4"/>
    <w:rsid w:val="00E74E91"/>
    <w:rsid w:val="00E74FB2"/>
    <w:rsid w:val="00E758A1"/>
    <w:rsid w:val="00E765CD"/>
    <w:rsid w:val="00E7681E"/>
    <w:rsid w:val="00E7681F"/>
    <w:rsid w:val="00E76C33"/>
    <w:rsid w:val="00E76D8A"/>
    <w:rsid w:val="00E76EAD"/>
    <w:rsid w:val="00E771DB"/>
    <w:rsid w:val="00E7721C"/>
    <w:rsid w:val="00E77426"/>
    <w:rsid w:val="00E77B0B"/>
    <w:rsid w:val="00E800DE"/>
    <w:rsid w:val="00E802A1"/>
    <w:rsid w:val="00E8061A"/>
    <w:rsid w:val="00E80699"/>
    <w:rsid w:val="00E80725"/>
    <w:rsid w:val="00E81FD3"/>
    <w:rsid w:val="00E82446"/>
    <w:rsid w:val="00E82708"/>
    <w:rsid w:val="00E8279C"/>
    <w:rsid w:val="00E82977"/>
    <w:rsid w:val="00E82C39"/>
    <w:rsid w:val="00E83335"/>
    <w:rsid w:val="00E83634"/>
    <w:rsid w:val="00E83882"/>
    <w:rsid w:val="00E838BE"/>
    <w:rsid w:val="00E84324"/>
    <w:rsid w:val="00E85820"/>
    <w:rsid w:val="00E858E0"/>
    <w:rsid w:val="00E85B74"/>
    <w:rsid w:val="00E8692F"/>
    <w:rsid w:val="00E86BBB"/>
    <w:rsid w:val="00E8769D"/>
    <w:rsid w:val="00E912AE"/>
    <w:rsid w:val="00E914EB"/>
    <w:rsid w:val="00E9195F"/>
    <w:rsid w:val="00E91DC0"/>
    <w:rsid w:val="00E926BB"/>
    <w:rsid w:val="00E92D25"/>
    <w:rsid w:val="00E9315C"/>
    <w:rsid w:val="00E93873"/>
    <w:rsid w:val="00E93B9A"/>
    <w:rsid w:val="00E93DFD"/>
    <w:rsid w:val="00E94BC6"/>
    <w:rsid w:val="00E953D1"/>
    <w:rsid w:val="00E9541D"/>
    <w:rsid w:val="00E97680"/>
    <w:rsid w:val="00E97CA3"/>
    <w:rsid w:val="00EA03F3"/>
    <w:rsid w:val="00EA05C9"/>
    <w:rsid w:val="00EA0787"/>
    <w:rsid w:val="00EA0841"/>
    <w:rsid w:val="00EA10DD"/>
    <w:rsid w:val="00EA11BD"/>
    <w:rsid w:val="00EA1361"/>
    <w:rsid w:val="00EA1471"/>
    <w:rsid w:val="00EA2429"/>
    <w:rsid w:val="00EA24C3"/>
    <w:rsid w:val="00EA300B"/>
    <w:rsid w:val="00EA3B7C"/>
    <w:rsid w:val="00EA3E2C"/>
    <w:rsid w:val="00EA4155"/>
    <w:rsid w:val="00EA429E"/>
    <w:rsid w:val="00EA484E"/>
    <w:rsid w:val="00EA4C24"/>
    <w:rsid w:val="00EA50E2"/>
    <w:rsid w:val="00EA5BB5"/>
    <w:rsid w:val="00EA6AE2"/>
    <w:rsid w:val="00EA78AE"/>
    <w:rsid w:val="00EB034D"/>
    <w:rsid w:val="00EB040E"/>
    <w:rsid w:val="00EB1389"/>
    <w:rsid w:val="00EB16CF"/>
    <w:rsid w:val="00EB21C9"/>
    <w:rsid w:val="00EB2EE9"/>
    <w:rsid w:val="00EB3216"/>
    <w:rsid w:val="00EB3A2B"/>
    <w:rsid w:val="00EB493D"/>
    <w:rsid w:val="00EB4A40"/>
    <w:rsid w:val="00EB50A0"/>
    <w:rsid w:val="00EB5BE2"/>
    <w:rsid w:val="00EB63CA"/>
    <w:rsid w:val="00EB6539"/>
    <w:rsid w:val="00EB6697"/>
    <w:rsid w:val="00EB7E3F"/>
    <w:rsid w:val="00EB7E66"/>
    <w:rsid w:val="00EC02BE"/>
    <w:rsid w:val="00EC0339"/>
    <w:rsid w:val="00EC03A5"/>
    <w:rsid w:val="00EC05B7"/>
    <w:rsid w:val="00EC06E2"/>
    <w:rsid w:val="00EC0703"/>
    <w:rsid w:val="00EC1653"/>
    <w:rsid w:val="00EC1864"/>
    <w:rsid w:val="00EC2B72"/>
    <w:rsid w:val="00EC3BF8"/>
    <w:rsid w:val="00EC401B"/>
    <w:rsid w:val="00EC49A0"/>
    <w:rsid w:val="00EC4CC2"/>
    <w:rsid w:val="00EC4E64"/>
    <w:rsid w:val="00EC5819"/>
    <w:rsid w:val="00EC5B15"/>
    <w:rsid w:val="00EC5F03"/>
    <w:rsid w:val="00ED14DB"/>
    <w:rsid w:val="00ED17DB"/>
    <w:rsid w:val="00ED24DE"/>
    <w:rsid w:val="00ED316F"/>
    <w:rsid w:val="00ED402E"/>
    <w:rsid w:val="00ED4412"/>
    <w:rsid w:val="00ED4606"/>
    <w:rsid w:val="00ED47EC"/>
    <w:rsid w:val="00ED48D3"/>
    <w:rsid w:val="00ED52C8"/>
    <w:rsid w:val="00ED5318"/>
    <w:rsid w:val="00ED6992"/>
    <w:rsid w:val="00ED69DE"/>
    <w:rsid w:val="00ED6B96"/>
    <w:rsid w:val="00ED709C"/>
    <w:rsid w:val="00ED7456"/>
    <w:rsid w:val="00ED74BA"/>
    <w:rsid w:val="00ED786F"/>
    <w:rsid w:val="00ED7B5B"/>
    <w:rsid w:val="00ED7F42"/>
    <w:rsid w:val="00EE02EB"/>
    <w:rsid w:val="00EE0C19"/>
    <w:rsid w:val="00EE1262"/>
    <w:rsid w:val="00EE1385"/>
    <w:rsid w:val="00EE265E"/>
    <w:rsid w:val="00EE280D"/>
    <w:rsid w:val="00EE2EC9"/>
    <w:rsid w:val="00EE3046"/>
    <w:rsid w:val="00EE385A"/>
    <w:rsid w:val="00EE3E16"/>
    <w:rsid w:val="00EE417D"/>
    <w:rsid w:val="00EE460E"/>
    <w:rsid w:val="00EE489D"/>
    <w:rsid w:val="00EE5241"/>
    <w:rsid w:val="00EE53A4"/>
    <w:rsid w:val="00EE55C6"/>
    <w:rsid w:val="00EE5687"/>
    <w:rsid w:val="00EE5E14"/>
    <w:rsid w:val="00EE618B"/>
    <w:rsid w:val="00EE6330"/>
    <w:rsid w:val="00EE651A"/>
    <w:rsid w:val="00EE6829"/>
    <w:rsid w:val="00EE6872"/>
    <w:rsid w:val="00EE6AFC"/>
    <w:rsid w:val="00EE6E27"/>
    <w:rsid w:val="00EE6E7C"/>
    <w:rsid w:val="00EE782D"/>
    <w:rsid w:val="00EE7BA6"/>
    <w:rsid w:val="00EF0408"/>
    <w:rsid w:val="00EF05E9"/>
    <w:rsid w:val="00EF0A5F"/>
    <w:rsid w:val="00EF0A73"/>
    <w:rsid w:val="00EF0C71"/>
    <w:rsid w:val="00EF109A"/>
    <w:rsid w:val="00EF166A"/>
    <w:rsid w:val="00EF2175"/>
    <w:rsid w:val="00EF26E2"/>
    <w:rsid w:val="00EF28EE"/>
    <w:rsid w:val="00EF2F72"/>
    <w:rsid w:val="00EF2FDC"/>
    <w:rsid w:val="00EF398A"/>
    <w:rsid w:val="00EF4A8B"/>
    <w:rsid w:val="00EF4EFE"/>
    <w:rsid w:val="00EF64BE"/>
    <w:rsid w:val="00EF6C6E"/>
    <w:rsid w:val="00EF6CF6"/>
    <w:rsid w:val="00EF6D1F"/>
    <w:rsid w:val="00EF6DC3"/>
    <w:rsid w:val="00EF73AC"/>
    <w:rsid w:val="00F00978"/>
    <w:rsid w:val="00F00B13"/>
    <w:rsid w:val="00F01E45"/>
    <w:rsid w:val="00F02206"/>
    <w:rsid w:val="00F02A69"/>
    <w:rsid w:val="00F02B02"/>
    <w:rsid w:val="00F02C10"/>
    <w:rsid w:val="00F03DC7"/>
    <w:rsid w:val="00F04192"/>
    <w:rsid w:val="00F04383"/>
    <w:rsid w:val="00F047AA"/>
    <w:rsid w:val="00F0509D"/>
    <w:rsid w:val="00F0538C"/>
    <w:rsid w:val="00F0551D"/>
    <w:rsid w:val="00F05E94"/>
    <w:rsid w:val="00F065A4"/>
    <w:rsid w:val="00F072BC"/>
    <w:rsid w:val="00F07317"/>
    <w:rsid w:val="00F073D2"/>
    <w:rsid w:val="00F07D28"/>
    <w:rsid w:val="00F101DD"/>
    <w:rsid w:val="00F106B7"/>
    <w:rsid w:val="00F10F26"/>
    <w:rsid w:val="00F10F65"/>
    <w:rsid w:val="00F112A8"/>
    <w:rsid w:val="00F117F4"/>
    <w:rsid w:val="00F119C3"/>
    <w:rsid w:val="00F11D93"/>
    <w:rsid w:val="00F12077"/>
    <w:rsid w:val="00F122C0"/>
    <w:rsid w:val="00F123D5"/>
    <w:rsid w:val="00F1254B"/>
    <w:rsid w:val="00F12951"/>
    <w:rsid w:val="00F1321C"/>
    <w:rsid w:val="00F134C8"/>
    <w:rsid w:val="00F134D7"/>
    <w:rsid w:val="00F13603"/>
    <w:rsid w:val="00F13AD1"/>
    <w:rsid w:val="00F13BC9"/>
    <w:rsid w:val="00F14A72"/>
    <w:rsid w:val="00F15458"/>
    <w:rsid w:val="00F1592D"/>
    <w:rsid w:val="00F15C76"/>
    <w:rsid w:val="00F15D70"/>
    <w:rsid w:val="00F16A4B"/>
    <w:rsid w:val="00F16AC3"/>
    <w:rsid w:val="00F16EA6"/>
    <w:rsid w:val="00F1758E"/>
    <w:rsid w:val="00F17918"/>
    <w:rsid w:val="00F17D4C"/>
    <w:rsid w:val="00F20059"/>
    <w:rsid w:val="00F20699"/>
    <w:rsid w:val="00F20F9C"/>
    <w:rsid w:val="00F2127F"/>
    <w:rsid w:val="00F21976"/>
    <w:rsid w:val="00F21D9B"/>
    <w:rsid w:val="00F228E3"/>
    <w:rsid w:val="00F22EF9"/>
    <w:rsid w:val="00F23616"/>
    <w:rsid w:val="00F23D8B"/>
    <w:rsid w:val="00F23E06"/>
    <w:rsid w:val="00F250B2"/>
    <w:rsid w:val="00F26897"/>
    <w:rsid w:val="00F26C68"/>
    <w:rsid w:val="00F26DA1"/>
    <w:rsid w:val="00F2750E"/>
    <w:rsid w:val="00F27836"/>
    <w:rsid w:val="00F27B62"/>
    <w:rsid w:val="00F27F03"/>
    <w:rsid w:val="00F27FC0"/>
    <w:rsid w:val="00F30049"/>
    <w:rsid w:val="00F304F2"/>
    <w:rsid w:val="00F305D9"/>
    <w:rsid w:val="00F317C1"/>
    <w:rsid w:val="00F31B40"/>
    <w:rsid w:val="00F3221C"/>
    <w:rsid w:val="00F32FC8"/>
    <w:rsid w:val="00F3347A"/>
    <w:rsid w:val="00F337C1"/>
    <w:rsid w:val="00F33CE4"/>
    <w:rsid w:val="00F34894"/>
    <w:rsid w:val="00F36D90"/>
    <w:rsid w:val="00F4004D"/>
    <w:rsid w:val="00F407F6"/>
    <w:rsid w:val="00F40FCE"/>
    <w:rsid w:val="00F416BF"/>
    <w:rsid w:val="00F41F65"/>
    <w:rsid w:val="00F420D4"/>
    <w:rsid w:val="00F43424"/>
    <w:rsid w:val="00F43DFC"/>
    <w:rsid w:val="00F43FE9"/>
    <w:rsid w:val="00F441F1"/>
    <w:rsid w:val="00F44541"/>
    <w:rsid w:val="00F44AE4"/>
    <w:rsid w:val="00F454DA"/>
    <w:rsid w:val="00F45600"/>
    <w:rsid w:val="00F458BE"/>
    <w:rsid w:val="00F459BA"/>
    <w:rsid w:val="00F45A03"/>
    <w:rsid w:val="00F463B8"/>
    <w:rsid w:val="00F46508"/>
    <w:rsid w:val="00F46D77"/>
    <w:rsid w:val="00F470D4"/>
    <w:rsid w:val="00F47218"/>
    <w:rsid w:val="00F4754E"/>
    <w:rsid w:val="00F5064E"/>
    <w:rsid w:val="00F5070F"/>
    <w:rsid w:val="00F510E2"/>
    <w:rsid w:val="00F51467"/>
    <w:rsid w:val="00F519BE"/>
    <w:rsid w:val="00F51F39"/>
    <w:rsid w:val="00F52330"/>
    <w:rsid w:val="00F529F2"/>
    <w:rsid w:val="00F52DDA"/>
    <w:rsid w:val="00F530BF"/>
    <w:rsid w:val="00F53962"/>
    <w:rsid w:val="00F54086"/>
    <w:rsid w:val="00F54427"/>
    <w:rsid w:val="00F54572"/>
    <w:rsid w:val="00F546D2"/>
    <w:rsid w:val="00F54D19"/>
    <w:rsid w:val="00F54E5C"/>
    <w:rsid w:val="00F551FA"/>
    <w:rsid w:val="00F55396"/>
    <w:rsid w:val="00F553EF"/>
    <w:rsid w:val="00F555F0"/>
    <w:rsid w:val="00F55CE8"/>
    <w:rsid w:val="00F5674C"/>
    <w:rsid w:val="00F5685E"/>
    <w:rsid w:val="00F56C0A"/>
    <w:rsid w:val="00F5709F"/>
    <w:rsid w:val="00F575A4"/>
    <w:rsid w:val="00F577C1"/>
    <w:rsid w:val="00F604BA"/>
    <w:rsid w:val="00F606BE"/>
    <w:rsid w:val="00F6142B"/>
    <w:rsid w:val="00F614A1"/>
    <w:rsid w:val="00F61968"/>
    <w:rsid w:val="00F627CD"/>
    <w:rsid w:val="00F62E1B"/>
    <w:rsid w:val="00F63151"/>
    <w:rsid w:val="00F645D0"/>
    <w:rsid w:val="00F64834"/>
    <w:rsid w:val="00F64A4A"/>
    <w:rsid w:val="00F64E93"/>
    <w:rsid w:val="00F65203"/>
    <w:rsid w:val="00F65592"/>
    <w:rsid w:val="00F663F8"/>
    <w:rsid w:val="00F66909"/>
    <w:rsid w:val="00F66EB5"/>
    <w:rsid w:val="00F66FC8"/>
    <w:rsid w:val="00F67183"/>
    <w:rsid w:val="00F678B6"/>
    <w:rsid w:val="00F706DD"/>
    <w:rsid w:val="00F7077A"/>
    <w:rsid w:val="00F720D8"/>
    <w:rsid w:val="00F72194"/>
    <w:rsid w:val="00F72734"/>
    <w:rsid w:val="00F72B0C"/>
    <w:rsid w:val="00F72F2D"/>
    <w:rsid w:val="00F72FD4"/>
    <w:rsid w:val="00F7332F"/>
    <w:rsid w:val="00F7357D"/>
    <w:rsid w:val="00F73BB8"/>
    <w:rsid w:val="00F7419D"/>
    <w:rsid w:val="00F746B2"/>
    <w:rsid w:val="00F74E2C"/>
    <w:rsid w:val="00F7555E"/>
    <w:rsid w:val="00F75859"/>
    <w:rsid w:val="00F75938"/>
    <w:rsid w:val="00F75BEE"/>
    <w:rsid w:val="00F75D8A"/>
    <w:rsid w:val="00F75FCC"/>
    <w:rsid w:val="00F760AC"/>
    <w:rsid w:val="00F7649F"/>
    <w:rsid w:val="00F76A6A"/>
    <w:rsid w:val="00F7703E"/>
    <w:rsid w:val="00F772F5"/>
    <w:rsid w:val="00F77D1F"/>
    <w:rsid w:val="00F77DC0"/>
    <w:rsid w:val="00F802E7"/>
    <w:rsid w:val="00F809CD"/>
    <w:rsid w:val="00F8233A"/>
    <w:rsid w:val="00F825E1"/>
    <w:rsid w:val="00F8276A"/>
    <w:rsid w:val="00F82848"/>
    <w:rsid w:val="00F8294C"/>
    <w:rsid w:val="00F83402"/>
    <w:rsid w:val="00F8392B"/>
    <w:rsid w:val="00F83B09"/>
    <w:rsid w:val="00F855A5"/>
    <w:rsid w:val="00F86251"/>
    <w:rsid w:val="00F86BDB"/>
    <w:rsid w:val="00F9180B"/>
    <w:rsid w:val="00F91968"/>
    <w:rsid w:val="00F92CFC"/>
    <w:rsid w:val="00F930A7"/>
    <w:rsid w:val="00F93621"/>
    <w:rsid w:val="00F93BCA"/>
    <w:rsid w:val="00F93CAD"/>
    <w:rsid w:val="00F93D56"/>
    <w:rsid w:val="00F93DAF"/>
    <w:rsid w:val="00F9470A"/>
    <w:rsid w:val="00F94CF7"/>
    <w:rsid w:val="00F9519D"/>
    <w:rsid w:val="00F95688"/>
    <w:rsid w:val="00F96518"/>
    <w:rsid w:val="00F97056"/>
    <w:rsid w:val="00F97074"/>
    <w:rsid w:val="00F970BE"/>
    <w:rsid w:val="00F97375"/>
    <w:rsid w:val="00FA0A87"/>
    <w:rsid w:val="00FA2822"/>
    <w:rsid w:val="00FA2E1B"/>
    <w:rsid w:val="00FA34F5"/>
    <w:rsid w:val="00FA34FF"/>
    <w:rsid w:val="00FA35A9"/>
    <w:rsid w:val="00FA3628"/>
    <w:rsid w:val="00FA3CF5"/>
    <w:rsid w:val="00FA3F2B"/>
    <w:rsid w:val="00FA3FEB"/>
    <w:rsid w:val="00FA4212"/>
    <w:rsid w:val="00FA4320"/>
    <w:rsid w:val="00FA445A"/>
    <w:rsid w:val="00FA5053"/>
    <w:rsid w:val="00FA59F5"/>
    <w:rsid w:val="00FA709B"/>
    <w:rsid w:val="00FA791F"/>
    <w:rsid w:val="00FA79F8"/>
    <w:rsid w:val="00FA7A7E"/>
    <w:rsid w:val="00FA7C3C"/>
    <w:rsid w:val="00FB08AE"/>
    <w:rsid w:val="00FB0E8B"/>
    <w:rsid w:val="00FB15D0"/>
    <w:rsid w:val="00FB22A4"/>
    <w:rsid w:val="00FB26BC"/>
    <w:rsid w:val="00FB396D"/>
    <w:rsid w:val="00FB3D6E"/>
    <w:rsid w:val="00FB3FE9"/>
    <w:rsid w:val="00FB4235"/>
    <w:rsid w:val="00FB4258"/>
    <w:rsid w:val="00FB4A67"/>
    <w:rsid w:val="00FB518D"/>
    <w:rsid w:val="00FB53E2"/>
    <w:rsid w:val="00FB5602"/>
    <w:rsid w:val="00FB5D63"/>
    <w:rsid w:val="00FB606D"/>
    <w:rsid w:val="00FB6128"/>
    <w:rsid w:val="00FB6287"/>
    <w:rsid w:val="00FB7CD8"/>
    <w:rsid w:val="00FC083B"/>
    <w:rsid w:val="00FC0FA2"/>
    <w:rsid w:val="00FC11B7"/>
    <w:rsid w:val="00FC1222"/>
    <w:rsid w:val="00FC2693"/>
    <w:rsid w:val="00FC2717"/>
    <w:rsid w:val="00FC2984"/>
    <w:rsid w:val="00FC29A4"/>
    <w:rsid w:val="00FC37E0"/>
    <w:rsid w:val="00FC42D8"/>
    <w:rsid w:val="00FC5534"/>
    <w:rsid w:val="00FC5A8C"/>
    <w:rsid w:val="00FC63A1"/>
    <w:rsid w:val="00FC64DD"/>
    <w:rsid w:val="00FC6F9A"/>
    <w:rsid w:val="00FC70DF"/>
    <w:rsid w:val="00FC7FD9"/>
    <w:rsid w:val="00FD03FA"/>
    <w:rsid w:val="00FD0462"/>
    <w:rsid w:val="00FD07CB"/>
    <w:rsid w:val="00FD0889"/>
    <w:rsid w:val="00FD0B13"/>
    <w:rsid w:val="00FD0D93"/>
    <w:rsid w:val="00FD1441"/>
    <w:rsid w:val="00FD15C5"/>
    <w:rsid w:val="00FD1924"/>
    <w:rsid w:val="00FD261E"/>
    <w:rsid w:val="00FD2D0B"/>
    <w:rsid w:val="00FD3A41"/>
    <w:rsid w:val="00FD4012"/>
    <w:rsid w:val="00FD4218"/>
    <w:rsid w:val="00FD42BE"/>
    <w:rsid w:val="00FD53C6"/>
    <w:rsid w:val="00FD5775"/>
    <w:rsid w:val="00FD5BEE"/>
    <w:rsid w:val="00FD6AEE"/>
    <w:rsid w:val="00FD6C11"/>
    <w:rsid w:val="00FD6E2A"/>
    <w:rsid w:val="00FD7913"/>
    <w:rsid w:val="00FE099F"/>
    <w:rsid w:val="00FE1310"/>
    <w:rsid w:val="00FE1A1D"/>
    <w:rsid w:val="00FE1CCB"/>
    <w:rsid w:val="00FE2956"/>
    <w:rsid w:val="00FE2CC8"/>
    <w:rsid w:val="00FE2F96"/>
    <w:rsid w:val="00FE3950"/>
    <w:rsid w:val="00FE452F"/>
    <w:rsid w:val="00FE45DD"/>
    <w:rsid w:val="00FE462E"/>
    <w:rsid w:val="00FE4714"/>
    <w:rsid w:val="00FE50E9"/>
    <w:rsid w:val="00FE60CA"/>
    <w:rsid w:val="00FE61B8"/>
    <w:rsid w:val="00FE6358"/>
    <w:rsid w:val="00FE6A95"/>
    <w:rsid w:val="00FE6DBA"/>
    <w:rsid w:val="00FE71F0"/>
    <w:rsid w:val="00FE751E"/>
    <w:rsid w:val="00FE754C"/>
    <w:rsid w:val="00FE7E64"/>
    <w:rsid w:val="00FF0A58"/>
    <w:rsid w:val="00FF0B12"/>
    <w:rsid w:val="00FF0C75"/>
    <w:rsid w:val="00FF0F83"/>
    <w:rsid w:val="00FF138C"/>
    <w:rsid w:val="00FF1F55"/>
    <w:rsid w:val="00FF200B"/>
    <w:rsid w:val="00FF2418"/>
    <w:rsid w:val="00FF2742"/>
    <w:rsid w:val="00FF2D69"/>
    <w:rsid w:val="00FF32D9"/>
    <w:rsid w:val="00FF3D45"/>
    <w:rsid w:val="00FF4047"/>
    <w:rsid w:val="00FF42E8"/>
    <w:rsid w:val="00FF44EA"/>
    <w:rsid w:val="00FF4B84"/>
    <w:rsid w:val="00FF504D"/>
    <w:rsid w:val="00FF5664"/>
    <w:rsid w:val="00FF5D9C"/>
    <w:rsid w:val="00FF69C6"/>
    <w:rsid w:val="00FF7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354A1"/>
  <w15:docId w15:val="{BF3EA948-BCF3-4D9B-BA75-F81B67EA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4D2B35"/>
    <w:pPr>
      <w:spacing w:after="160" w:line="259" w:lineRule="auto"/>
    </w:pPr>
    <w:rPr>
      <w:rFonts w:ascii="Calibri" w:hAnsi="Calibri" w:cs="Arial Unicode MS"/>
      <w:color w:val="000000"/>
      <w:sz w:val="22"/>
      <w:szCs w:val="22"/>
      <w:u w:color="000000"/>
    </w:rPr>
  </w:style>
  <w:style w:type="paragraph" w:styleId="Titolo3">
    <w:name w:val="heading 3"/>
    <w:basedOn w:val="Normale"/>
    <w:link w:val="Titolo3Carattere"/>
    <w:uiPriority w:val="9"/>
    <w:qFormat/>
    <w:rsid w:val="00426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2">
    <w:name w:val="Stile importato 2"/>
    <w:pPr>
      <w:numPr>
        <w:numId w:val="2"/>
      </w:numPr>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i/>
      <w:iCs/>
      <w:color w:val="0563C1"/>
      <w:u w:val="single" w:color="0563C1"/>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563C1"/>
      <w:sz w:val="20"/>
      <w:szCs w:val="20"/>
      <w:u w:val="single" w:color="0563C1"/>
      <w14:textOutline w14:w="0" w14:cap="rnd" w14:cmpd="sng" w14:algn="ctr">
        <w14:noFill/>
        <w14:prstDash w14:val="solid"/>
        <w14:bevel/>
      </w14:textOutline>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F74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494"/>
    <w:rPr>
      <w:rFonts w:ascii="Tahoma" w:hAnsi="Tahoma" w:cs="Tahoma"/>
      <w:color w:val="000000"/>
      <w:sz w:val="16"/>
      <w:szCs w:val="16"/>
      <w:u w:color="000000"/>
    </w:rPr>
  </w:style>
  <w:style w:type="paragraph" w:styleId="Soggettocommento">
    <w:name w:val="annotation subject"/>
    <w:basedOn w:val="Testocommento"/>
    <w:next w:val="Testocommento"/>
    <w:link w:val="SoggettocommentoCarattere"/>
    <w:uiPriority w:val="99"/>
    <w:semiHidden/>
    <w:unhideWhenUsed/>
    <w:rsid w:val="00CE577D"/>
    <w:rPr>
      <w:b/>
      <w:bCs/>
    </w:rPr>
  </w:style>
  <w:style w:type="character" w:customStyle="1" w:styleId="SoggettocommentoCarattere">
    <w:name w:val="Soggetto commento Carattere"/>
    <w:basedOn w:val="TestocommentoCarattere"/>
    <w:link w:val="Soggettocommento"/>
    <w:uiPriority w:val="99"/>
    <w:semiHidden/>
    <w:rsid w:val="00CE577D"/>
    <w:rPr>
      <w:rFonts w:ascii="Calibri" w:hAnsi="Calibri" w:cs="Arial Unicode MS"/>
      <w:b/>
      <w:bCs/>
      <w:color w:val="000000"/>
      <w:u w:color="000000"/>
    </w:rPr>
  </w:style>
  <w:style w:type="paragraph" w:styleId="Intestazione">
    <w:name w:val="header"/>
    <w:basedOn w:val="Normale"/>
    <w:link w:val="IntestazioneCarattere"/>
    <w:uiPriority w:val="99"/>
    <w:unhideWhenUsed/>
    <w:rsid w:val="00AF08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8E9"/>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AF08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8E9"/>
    <w:rPr>
      <w:rFonts w:ascii="Calibri" w:hAnsi="Calibri" w:cs="Arial Unicode MS"/>
      <w:color w:val="000000"/>
      <w:sz w:val="22"/>
      <w:szCs w:val="22"/>
      <w:u w:color="000000"/>
    </w:rPr>
  </w:style>
  <w:style w:type="character" w:styleId="Collegamentovisitato">
    <w:name w:val="FollowedHyperlink"/>
    <w:basedOn w:val="Carpredefinitoparagrafo"/>
    <w:uiPriority w:val="99"/>
    <w:semiHidden/>
    <w:unhideWhenUsed/>
    <w:rsid w:val="000D7E45"/>
    <w:rPr>
      <w:color w:val="FF00FF" w:themeColor="followedHyperlink"/>
      <w:u w:val="single"/>
    </w:rPr>
  </w:style>
  <w:style w:type="character" w:customStyle="1" w:styleId="Menzionenonrisolta1">
    <w:name w:val="Menzione non risolta1"/>
    <w:basedOn w:val="Carpredefinitoparagrafo"/>
    <w:uiPriority w:val="99"/>
    <w:semiHidden/>
    <w:unhideWhenUsed/>
    <w:rsid w:val="00D26A8F"/>
    <w:rPr>
      <w:color w:val="605E5C"/>
      <w:shd w:val="clear" w:color="auto" w:fill="E1DFDD"/>
    </w:rPr>
  </w:style>
  <w:style w:type="paragraph" w:styleId="Testonotaapidipagina">
    <w:name w:val="footnote text"/>
    <w:basedOn w:val="Normale"/>
    <w:link w:val="TestonotaapidipaginaCarattere"/>
    <w:uiPriority w:val="99"/>
    <w:semiHidden/>
    <w:unhideWhenUsed/>
    <w:rsid w:val="00505C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notaapidipaginaCarattere">
    <w:name w:val="Testo nota a piè di pagina Carattere"/>
    <w:basedOn w:val="Carpredefinitoparagrafo"/>
    <w:link w:val="Testonotaapidipagina"/>
    <w:uiPriority w:val="99"/>
    <w:semiHidden/>
    <w:rsid w:val="00505C8D"/>
    <w:rPr>
      <w:rFonts w:asciiTheme="minorHAnsi" w:eastAsiaTheme="minorHAnsi" w:hAnsiTheme="minorHAnsi" w:cstheme="minorBidi"/>
      <w:bdr w:val="none" w:sz="0" w:space="0" w:color="auto"/>
      <w:lang w:eastAsia="en-US"/>
    </w:rPr>
  </w:style>
  <w:style w:type="character" w:styleId="Rimandonotaapidipagina">
    <w:name w:val="footnote reference"/>
    <w:basedOn w:val="Carpredefinitoparagrafo"/>
    <w:uiPriority w:val="99"/>
    <w:semiHidden/>
    <w:unhideWhenUsed/>
    <w:rsid w:val="00505C8D"/>
    <w:rPr>
      <w:vertAlign w:val="superscript"/>
    </w:rPr>
  </w:style>
  <w:style w:type="character" w:customStyle="1" w:styleId="Menzionenonrisolta2">
    <w:name w:val="Menzione non risolta2"/>
    <w:basedOn w:val="Carpredefinitoparagrafo"/>
    <w:uiPriority w:val="99"/>
    <w:semiHidden/>
    <w:unhideWhenUsed/>
    <w:rsid w:val="003F2987"/>
    <w:rPr>
      <w:color w:val="605E5C"/>
      <w:shd w:val="clear" w:color="auto" w:fill="E1DFDD"/>
    </w:rPr>
  </w:style>
  <w:style w:type="paragraph" w:styleId="Testonormale">
    <w:name w:val="Plain Text"/>
    <w:basedOn w:val="Normale"/>
    <w:link w:val="TestonormaleCarattere"/>
    <w:uiPriority w:val="99"/>
    <w:unhideWhenUsed/>
    <w:rsid w:val="00C44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Calibri"/>
      <w:color w:val="00457D"/>
      <w:bdr w:val="none" w:sz="0" w:space="0" w:color="auto"/>
    </w:rPr>
  </w:style>
  <w:style w:type="character" w:customStyle="1" w:styleId="TestonormaleCarattere">
    <w:name w:val="Testo normale Carattere"/>
    <w:basedOn w:val="Carpredefinitoparagrafo"/>
    <w:link w:val="Testonormale"/>
    <w:uiPriority w:val="99"/>
    <w:rsid w:val="00C4440A"/>
    <w:rPr>
      <w:rFonts w:ascii="Calibri" w:eastAsiaTheme="minorHAnsi" w:hAnsi="Calibri" w:cs="Calibri"/>
      <w:color w:val="00457D"/>
      <w:sz w:val="22"/>
      <w:szCs w:val="22"/>
      <w:bdr w:val="none" w:sz="0" w:space="0" w:color="auto"/>
    </w:rPr>
  </w:style>
  <w:style w:type="character" w:customStyle="1" w:styleId="Menzionenonrisolta3">
    <w:name w:val="Menzione non risolta3"/>
    <w:basedOn w:val="Carpredefinitoparagrafo"/>
    <w:uiPriority w:val="99"/>
    <w:semiHidden/>
    <w:unhideWhenUsed/>
    <w:rsid w:val="00262272"/>
    <w:rPr>
      <w:color w:val="605E5C"/>
      <w:shd w:val="clear" w:color="auto" w:fill="E1DFDD"/>
    </w:rPr>
  </w:style>
  <w:style w:type="character" w:customStyle="1" w:styleId="markedcontent">
    <w:name w:val="markedcontent"/>
    <w:basedOn w:val="Carpredefinitoparagrafo"/>
    <w:rsid w:val="00370F56"/>
  </w:style>
  <w:style w:type="character" w:customStyle="1" w:styleId="Menzionenonrisolta4">
    <w:name w:val="Menzione non risolta4"/>
    <w:basedOn w:val="Carpredefinitoparagrafo"/>
    <w:uiPriority w:val="99"/>
    <w:semiHidden/>
    <w:unhideWhenUsed/>
    <w:rsid w:val="003D5649"/>
    <w:rPr>
      <w:color w:val="605E5C"/>
      <w:shd w:val="clear" w:color="auto" w:fill="E1DFDD"/>
    </w:rPr>
  </w:style>
  <w:style w:type="character" w:styleId="Enfasigrassetto">
    <w:name w:val="Strong"/>
    <w:basedOn w:val="Carpredefinitoparagrafo"/>
    <w:uiPriority w:val="22"/>
    <w:qFormat/>
    <w:rsid w:val="00F86251"/>
    <w:rPr>
      <w:b/>
      <w:bCs/>
    </w:rPr>
  </w:style>
  <w:style w:type="paragraph" w:styleId="Revisione">
    <w:name w:val="Revision"/>
    <w:hidden/>
    <w:uiPriority w:val="99"/>
    <w:semiHidden/>
    <w:rsid w:val="004A0F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Menzionenonrisolta5">
    <w:name w:val="Menzione non risolta5"/>
    <w:basedOn w:val="Carpredefinitoparagrafo"/>
    <w:uiPriority w:val="99"/>
    <w:semiHidden/>
    <w:unhideWhenUsed/>
    <w:rsid w:val="007A6242"/>
    <w:rPr>
      <w:color w:val="605E5C"/>
      <w:shd w:val="clear" w:color="auto" w:fill="E1DFDD"/>
    </w:rPr>
  </w:style>
  <w:style w:type="table" w:styleId="Grigliatabella">
    <w:name w:val="Table Grid"/>
    <w:basedOn w:val="Tabellanormale"/>
    <w:uiPriority w:val="39"/>
    <w:rsid w:val="00EE41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6">
    <w:name w:val="Menzione non risolta6"/>
    <w:basedOn w:val="Carpredefinitoparagrafo"/>
    <w:uiPriority w:val="99"/>
    <w:semiHidden/>
    <w:unhideWhenUsed/>
    <w:rsid w:val="009346D0"/>
    <w:rPr>
      <w:color w:val="605E5C"/>
      <w:shd w:val="clear" w:color="auto" w:fill="E1DFDD"/>
    </w:rPr>
  </w:style>
  <w:style w:type="character" w:styleId="Enfasicorsivo">
    <w:name w:val="Emphasis"/>
    <w:basedOn w:val="Carpredefinitoparagrafo"/>
    <w:uiPriority w:val="20"/>
    <w:qFormat/>
    <w:rsid w:val="00B34E04"/>
    <w:rPr>
      <w:i/>
      <w:iCs/>
    </w:rPr>
  </w:style>
  <w:style w:type="paragraph" w:styleId="NormaleWeb">
    <w:name w:val="Normal (Web)"/>
    <w:basedOn w:val="Normale"/>
    <w:uiPriority w:val="99"/>
    <w:unhideWhenUsed/>
    <w:rsid w:val="00B51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Menzionenonrisolta7">
    <w:name w:val="Menzione non risolta7"/>
    <w:basedOn w:val="Carpredefinitoparagrafo"/>
    <w:uiPriority w:val="99"/>
    <w:semiHidden/>
    <w:unhideWhenUsed/>
    <w:rsid w:val="00653636"/>
    <w:rPr>
      <w:color w:val="605E5C"/>
      <w:shd w:val="clear" w:color="auto" w:fill="E1DFDD"/>
    </w:rPr>
  </w:style>
  <w:style w:type="character" w:customStyle="1" w:styleId="Menzionenonrisolta8">
    <w:name w:val="Menzione non risolta8"/>
    <w:basedOn w:val="Carpredefinitoparagrafo"/>
    <w:uiPriority w:val="99"/>
    <w:semiHidden/>
    <w:unhideWhenUsed/>
    <w:rsid w:val="00C90A20"/>
    <w:rPr>
      <w:color w:val="605E5C"/>
      <w:shd w:val="clear" w:color="auto" w:fill="E1DFDD"/>
    </w:rPr>
  </w:style>
  <w:style w:type="character" w:customStyle="1" w:styleId="Menzionenonrisolta9">
    <w:name w:val="Menzione non risolta9"/>
    <w:basedOn w:val="Carpredefinitoparagrafo"/>
    <w:uiPriority w:val="99"/>
    <w:semiHidden/>
    <w:unhideWhenUsed/>
    <w:rsid w:val="007C59CB"/>
    <w:rPr>
      <w:color w:val="605E5C"/>
      <w:shd w:val="clear" w:color="auto" w:fill="E1DFDD"/>
    </w:rPr>
  </w:style>
  <w:style w:type="character" w:customStyle="1" w:styleId="d2edcug0">
    <w:name w:val="d2edcug0"/>
    <w:basedOn w:val="Carpredefinitoparagrafo"/>
    <w:rsid w:val="00C6096C"/>
  </w:style>
  <w:style w:type="character" w:customStyle="1" w:styleId="highlight">
    <w:name w:val="highlight"/>
    <w:basedOn w:val="Carpredefinitoparagrafo"/>
    <w:rsid w:val="006B0D74"/>
  </w:style>
  <w:style w:type="character" w:customStyle="1" w:styleId="Titolo3Carattere">
    <w:name w:val="Titolo 3 Carattere"/>
    <w:basedOn w:val="Carpredefinitoparagrafo"/>
    <w:link w:val="Titolo3"/>
    <w:uiPriority w:val="9"/>
    <w:rsid w:val="00426290"/>
    <w:rPr>
      <w:rFonts w:eastAsia="Times New Roman"/>
      <w:b/>
      <w:bCs/>
      <w:sz w:val="27"/>
      <w:szCs w:val="27"/>
      <w:u w:color="000000"/>
      <w:bdr w:val="none" w:sz="0" w:space="0" w:color="auto"/>
    </w:rPr>
  </w:style>
  <w:style w:type="character" w:customStyle="1" w:styleId="Menzionenonrisolta10">
    <w:name w:val="Menzione non risolta10"/>
    <w:basedOn w:val="Carpredefinitoparagrafo"/>
    <w:uiPriority w:val="99"/>
    <w:semiHidden/>
    <w:unhideWhenUsed/>
    <w:rsid w:val="00041719"/>
    <w:rPr>
      <w:color w:val="605E5C"/>
      <w:shd w:val="clear" w:color="auto" w:fill="E1DFDD"/>
    </w:rPr>
  </w:style>
  <w:style w:type="paragraph" w:customStyle="1" w:styleId="xmsonormal">
    <w:name w:val="x_msonormal"/>
    <w:basedOn w:val="Normale"/>
    <w:rsid w:val="00945FDF"/>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pPr>
    <w:rPr>
      <w:rFonts w:eastAsiaTheme="minorHAnsi" w:cs="Calibri"/>
      <w:bdr w:val="none" w:sz="0" w:space="0" w:color="auto"/>
    </w:rPr>
  </w:style>
  <w:style w:type="character" w:customStyle="1" w:styleId="Menzionenonrisolta11">
    <w:name w:val="Menzione non risolta11"/>
    <w:basedOn w:val="Carpredefinitoparagrafo"/>
    <w:uiPriority w:val="99"/>
    <w:semiHidden/>
    <w:unhideWhenUsed/>
    <w:rsid w:val="004B1639"/>
    <w:rPr>
      <w:color w:val="605E5C"/>
      <w:shd w:val="clear" w:color="auto" w:fill="E1DFDD"/>
    </w:rPr>
  </w:style>
  <w:style w:type="character" w:customStyle="1" w:styleId="Menzionenonrisolta12">
    <w:name w:val="Menzione non risolta12"/>
    <w:basedOn w:val="Carpredefinitoparagrafo"/>
    <w:uiPriority w:val="99"/>
    <w:semiHidden/>
    <w:unhideWhenUsed/>
    <w:rsid w:val="00B9490A"/>
    <w:rPr>
      <w:color w:val="605E5C"/>
      <w:shd w:val="clear" w:color="auto" w:fill="E1DFDD"/>
    </w:rPr>
  </w:style>
  <w:style w:type="character" w:customStyle="1" w:styleId="Menzionenonrisolta13">
    <w:name w:val="Menzione non risolta13"/>
    <w:basedOn w:val="Carpredefinitoparagrafo"/>
    <w:uiPriority w:val="99"/>
    <w:semiHidden/>
    <w:unhideWhenUsed/>
    <w:rsid w:val="00EC3BF8"/>
    <w:rPr>
      <w:color w:val="605E5C"/>
      <w:shd w:val="clear" w:color="auto" w:fill="E1DFDD"/>
    </w:rPr>
  </w:style>
  <w:style w:type="character" w:customStyle="1" w:styleId="Menzionenonrisolta14">
    <w:name w:val="Menzione non risolta14"/>
    <w:basedOn w:val="Carpredefinitoparagrafo"/>
    <w:uiPriority w:val="99"/>
    <w:semiHidden/>
    <w:unhideWhenUsed/>
    <w:rsid w:val="006404C6"/>
    <w:rPr>
      <w:color w:val="605E5C"/>
      <w:shd w:val="clear" w:color="auto" w:fill="E1DFDD"/>
    </w:rPr>
  </w:style>
  <w:style w:type="character" w:customStyle="1" w:styleId="Menzionenonrisolta15">
    <w:name w:val="Menzione non risolta15"/>
    <w:basedOn w:val="Carpredefinitoparagrafo"/>
    <w:uiPriority w:val="99"/>
    <w:semiHidden/>
    <w:unhideWhenUsed/>
    <w:rsid w:val="00A018E7"/>
    <w:rPr>
      <w:color w:val="605E5C"/>
      <w:shd w:val="clear" w:color="auto" w:fill="E1DFDD"/>
    </w:rPr>
  </w:style>
  <w:style w:type="character" w:customStyle="1" w:styleId="Menzionenonrisolta16">
    <w:name w:val="Menzione non risolta16"/>
    <w:basedOn w:val="Carpredefinitoparagrafo"/>
    <w:uiPriority w:val="99"/>
    <w:semiHidden/>
    <w:unhideWhenUsed/>
    <w:rsid w:val="00D37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8692">
      <w:bodyDiv w:val="1"/>
      <w:marLeft w:val="0"/>
      <w:marRight w:val="0"/>
      <w:marTop w:val="0"/>
      <w:marBottom w:val="0"/>
      <w:divBdr>
        <w:top w:val="none" w:sz="0" w:space="0" w:color="auto"/>
        <w:left w:val="none" w:sz="0" w:space="0" w:color="auto"/>
        <w:bottom w:val="none" w:sz="0" w:space="0" w:color="auto"/>
        <w:right w:val="none" w:sz="0" w:space="0" w:color="auto"/>
      </w:divBdr>
    </w:div>
    <w:div w:id="24255750">
      <w:bodyDiv w:val="1"/>
      <w:marLeft w:val="0"/>
      <w:marRight w:val="0"/>
      <w:marTop w:val="0"/>
      <w:marBottom w:val="0"/>
      <w:divBdr>
        <w:top w:val="none" w:sz="0" w:space="0" w:color="auto"/>
        <w:left w:val="none" w:sz="0" w:space="0" w:color="auto"/>
        <w:bottom w:val="none" w:sz="0" w:space="0" w:color="auto"/>
        <w:right w:val="none" w:sz="0" w:space="0" w:color="auto"/>
      </w:divBdr>
    </w:div>
    <w:div w:id="31730755">
      <w:bodyDiv w:val="1"/>
      <w:marLeft w:val="0"/>
      <w:marRight w:val="0"/>
      <w:marTop w:val="0"/>
      <w:marBottom w:val="0"/>
      <w:divBdr>
        <w:top w:val="none" w:sz="0" w:space="0" w:color="auto"/>
        <w:left w:val="none" w:sz="0" w:space="0" w:color="auto"/>
        <w:bottom w:val="none" w:sz="0" w:space="0" w:color="auto"/>
        <w:right w:val="none" w:sz="0" w:space="0" w:color="auto"/>
      </w:divBdr>
      <w:divsChild>
        <w:div w:id="690688647">
          <w:marLeft w:val="0"/>
          <w:marRight w:val="0"/>
          <w:marTop w:val="0"/>
          <w:marBottom w:val="0"/>
          <w:divBdr>
            <w:top w:val="none" w:sz="0" w:space="0" w:color="auto"/>
            <w:left w:val="none" w:sz="0" w:space="0" w:color="auto"/>
            <w:bottom w:val="none" w:sz="0" w:space="0" w:color="auto"/>
            <w:right w:val="none" w:sz="0" w:space="0" w:color="auto"/>
          </w:divBdr>
        </w:div>
        <w:div w:id="1637056277">
          <w:marLeft w:val="0"/>
          <w:marRight w:val="0"/>
          <w:marTop w:val="0"/>
          <w:marBottom w:val="0"/>
          <w:divBdr>
            <w:top w:val="none" w:sz="0" w:space="0" w:color="auto"/>
            <w:left w:val="none" w:sz="0" w:space="0" w:color="auto"/>
            <w:bottom w:val="none" w:sz="0" w:space="0" w:color="auto"/>
            <w:right w:val="none" w:sz="0" w:space="0" w:color="auto"/>
          </w:divBdr>
        </w:div>
      </w:divsChild>
    </w:div>
    <w:div w:id="48844745">
      <w:bodyDiv w:val="1"/>
      <w:marLeft w:val="0"/>
      <w:marRight w:val="0"/>
      <w:marTop w:val="0"/>
      <w:marBottom w:val="0"/>
      <w:divBdr>
        <w:top w:val="none" w:sz="0" w:space="0" w:color="auto"/>
        <w:left w:val="none" w:sz="0" w:space="0" w:color="auto"/>
        <w:bottom w:val="none" w:sz="0" w:space="0" w:color="auto"/>
        <w:right w:val="none" w:sz="0" w:space="0" w:color="auto"/>
      </w:divBdr>
    </w:div>
    <w:div w:id="55517408">
      <w:bodyDiv w:val="1"/>
      <w:marLeft w:val="0"/>
      <w:marRight w:val="0"/>
      <w:marTop w:val="0"/>
      <w:marBottom w:val="0"/>
      <w:divBdr>
        <w:top w:val="none" w:sz="0" w:space="0" w:color="auto"/>
        <w:left w:val="none" w:sz="0" w:space="0" w:color="auto"/>
        <w:bottom w:val="none" w:sz="0" w:space="0" w:color="auto"/>
        <w:right w:val="none" w:sz="0" w:space="0" w:color="auto"/>
      </w:divBdr>
    </w:div>
    <w:div w:id="66391531">
      <w:bodyDiv w:val="1"/>
      <w:marLeft w:val="0"/>
      <w:marRight w:val="0"/>
      <w:marTop w:val="0"/>
      <w:marBottom w:val="0"/>
      <w:divBdr>
        <w:top w:val="none" w:sz="0" w:space="0" w:color="auto"/>
        <w:left w:val="none" w:sz="0" w:space="0" w:color="auto"/>
        <w:bottom w:val="none" w:sz="0" w:space="0" w:color="auto"/>
        <w:right w:val="none" w:sz="0" w:space="0" w:color="auto"/>
      </w:divBdr>
    </w:div>
    <w:div w:id="87119953">
      <w:bodyDiv w:val="1"/>
      <w:marLeft w:val="0"/>
      <w:marRight w:val="0"/>
      <w:marTop w:val="0"/>
      <w:marBottom w:val="0"/>
      <w:divBdr>
        <w:top w:val="none" w:sz="0" w:space="0" w:color="auto"/>
        <w:left w:val="none" w:sz="0" w:space="0" w:color="auto"/>
        <w:bottom w:val="none" w:sz="0" w:space="0" w:color="auto"/>
        <w:right w:val="none" w:sz="0" w:space="0" w:color="auto"/>
      </w:divBdr>
    </w:div>
    <w:div w:id="92553283">
      <w:bodyDiv w:val="1"/>
      <w:marLeft w:val="0"/>
      <w:marRight w:val="0"/>
      <w:marTop w:val="0"/>
      <w:marBottom w:val="0"/>
      <w:divBdr>
        <w:top w:val="none" w:sz="0" w:space="0" w:color="auto"/>
        <w:left w:val="none" w:sz="0" w:space="0" w:color="auto"/>
        <w:bottom w:val="none" w:sz="0" w:space="0" w:color="auto"/>
        <w:right w:val="none" w:sz="0" w:space="0" w:color="auto"/>
      </w:divBdr>
    </w:div>
    <w:div w:id="139663801">
      <w:bodyDiv w:val="1"/>
      <w:marLeft w:val="0"/>
      <w:marRight w:val="0"/>
      <w:marTop w:val="0"/>
      <w:marBottom w:val="0"/>
      <w:divBdr>
        <w:top w:val="none" w:sz="0" w:space="0" w:color="auto"/>
        <w:left w:val="none" w:sz="0" w:space="0" w:color="auto"/>
        <w:bottom w:val="none" w:sz="0" w:space="0" w:color="auto"/>
        <w:right w:val="none" w:sz="0" w:space="0" w:color="auto"/>
      </w:divBdr>
    </w:div>
    <w:div w:id="141234577">
      <w:bodyDiv w:val="1"/>
      <w:marLeft w:val="0"/>
      <w:marRight w:val="0"/>
      <w:marTop w:val="0"/>
      <w:marBottom w:val="0"/>
      <w:divBdr>
        <w:top w:val="none" w:sz="0" w:space="0" w:color="auto"/>
        <w:left w:val="none" w:sz="0" w:space="0" w:color="auto"/>
        <w:bottom w:val="none" w:sz="0" w:space="0" w:color="auto"/>
        <w:right w:val="none" w:sz="0" w:space="0" w:color="auto"/>
      </w:divBdr>
    </w:div>
    <w:div w:id="146365525">
      <w:bodyDiv w:val="1"/>
      <w:marLeft w:val="0"/>
      <w:marRight w:val="0"/>
      <w:marTop w:val="0"/>
      <w:marBottom w:val="0"/>
      <w:divBdr>
        <w:top w:val="none" w:sz="0" w:space="0" w:color="auto"/>
        <w:left w:val="none" w:sz="0" w:space="0" w:color="auto"/>
        <w:bottom w:val="none" w:sz="0" w:space="0" w:color="auto"/>
        <w:right w:val="none" w:sz="0" w:space="0" w:color="auto"/>
      </w:divBdr>
    </w:div>
    <w:div w:id="160699739">
      <w:bodyDiv w:val="1"/>
      <w:marLeft w:val="0"/>
      <w:marRight w:val="0"/>
      <w:marTop w:val="0"/>
      <w:marBottom w:val="0"/>
      <w:divBdr>
        <w:top w:val="none" w:sz="0" w:space="0" w:color="auto"/>
        <w:left w:val="none" w:sz="0" w:space="0" w:color="auto"/>
        <w:bottom w:val="none" w:sz="0" w:space="0" w:color="auto"/>
        <w:right w:val="none" w:sz="0" w:space="0" w:color="auto"/>
      </w:divBdr>
    </w:div>
    <w:div w:id="166946941">
      <w:bodyDiv w:val="1"/>
      <w:marLeft w:val="0"/>
      <w:marRight w:val="0"/>
      <w:marTop w:val="0"/>
      <w:marBottom w:val="0"/>
      <w:divBdr>
        <w:top w:val="none" w:sz="0" w:space="0" w:color="auto"/>
        <w:left w:val="none" w:sz="0" w:space="0" w:color="auto"/>
        <w:bottom w:val="none" w:sz="0" w:space="0" w:color="auto"/>
        <w:right w:val="none" w:sz="0" w:space="0" w:color="auto"/>
      </w:divBdr>
    </w:div>
    <w:div w:id="173303822">
      <w:bodyDiv w:val="1"/>
      <w:marLeft w:val="0"/>
      <w:marRight w:val="0"/>
      <w:marTop w:val="0"/>
      <w:marBottom w:val="0"/>
      <w:divBdr>
        <w:top w:val="none" w:sz="0" w:space="0" w:color="auto"/>
        <w:left w:val="none" w:sz="0" w:space="0" w:color="auto"/>
        <w:bottom w:val="none" w:sz="0" w:space="0" w:color="auto"/>
        <w:right w:val="none" w:sz="0" w:space="0" w:color="auto"/>
      </w:divBdr>
    </w:div>
    <w:div w:id="179316464">
      <w:bodyDiv w:val="1"/>
      <w:marLeft w:val="0"/>
      <w:marRight w:val="0"/>
      <w:marTop w:val="0"/>
      <w:marBottom w:val="0"/>
      <w:divBdr>
        <w:top w:val="none" w:sz="0" w:space="0" w:color="auto"/>
        <w:left w:val="none" w:sz="0" w:space="0" w:color="auto"/>
        <w:bottom w:val="none" w:sz="0" w:space="0" w:color="auto"/>
        <w:right w:val="none" w:sz="0" w:space="0" w:color="auto"/>
      </w:divBdr>
    </w:div>
    <w:div w:id="186066858">
      <w:bodyDiv w:val="1"/>
      <w:marLeft w:val="0"/>
      <w:marRight w:val="0"/>
      <w:marTop w:val="0"/>
      <w:marBottom w:val="0"/>
      <w:divBdr>
        <w:top w:val="none" w:sz="0" w:space="0" w:color="auto"/>
        <w:left w:val="none" w:sz="0" w:space="0" w:color="auto"/>
        <w:bottom w:val="none" w:sz="0" w:space="0" w:color="auto"/>
        <w:right w:val="none" w:sz="0" w:space="0" w:color="auto"/>
      </w:divBdr>
    </w:div>
    <w:div w:id="192812847">
      <w:bodyDiv w:val="1"/>
      <w:marLeft w:val="0"/>
      <w:marRight w:val="0"/>
      <w:marTop w:val="0"/>
      <w:marBottom w:val="0"/>
      <w:divBdr>
        <w:top w:val="none" w:sz="0" w:space="0" w:color="auto"/>
        <w:left w:val="none" w:sz="0" w:space="0" w:color="auto"/>
        <w:bottom w:val="none" w:sz="0" w:space="0" w:color="auto"/>
        <w:right w:val="none" w:sz="0" w:space="0" w:color="auto"/>
      </w:divBdr>
    </w:div>
    <w:div w:id="195852068">
      <w:bodyDiv w:val="1"/>
      <w:marLeft w:val="0"/>
      <w:marRight w:val="0"/>
      <w:marTop w:val="0"/>
      <w:marBottom w:val="0"/>
      <w:divBdr>
        <w:top w:val="none" w:sz="0" w:space="0" w:color="auto"/>
        <w:left w:val="none" w:sz="0" w:space="0" w:color="auto"/>
        <w:bottom w:val="none" w:sz="0" w:space="0" w:color="auto"/>
        <w:right w:val="none" w:sz="0" w:space="0" w:color="auto"/>
      </w:divBdr>
    </w:div>
    <w:div w:id="205066426">
      <w:bodyDiv w:val="1"/>
      <w:marLeft w:val="0"/>
      <w:marRight w:val="0"/>
      <w:marTop w:val="0"/>
      <w:marBottom w:val="0"/>
      <w:divBdr>
        <w:top w:val="none" w:sz="0" w:space="0" w:color="auto"/>
        <w:left w:val="none" w:sz="0" w:space="0" w:color="auto"/>
        <w:bottom w:val="none" w:sz="0" w:space="0" w:color="auto"/>
        <w:right w:val="none" w:sz="0" w:space="0" w:color="auto"/>
      </w:divBdr>
    </w:div>
    <w:div w:id="241330554">
      <w:bodyDiv w:val="1"/>
      <w:marLeft w:val="0"/>
      <w:marRight w:val="0"/>
      <w:marTop w:val="0"/>
      <w:marBottom w:val="0"/>
      <w:divBdr>
        <w:top w:val="none" w:sz="0" w:space="0" w:color="auto"/>
        <w:left w:val="none" w:sz="0" w:space="0" w:color="auto"/>
        <w:bottom w:val="none" w:sz="0" w:space="0" w:color="auto"/>
        <w:right w:val="none" w:sz="0" w:space="0" w:color="auto"/>
      </w:divBdr>
    </w:div>
    <w:div w:id="259720207">
      <w:bodyDiv w:val="1"/>
      <w:marLeft w:val="0"/>
      <w:marRight w:val="0"/>
      <w:marTop w:val="0"/>
      <w:marBottom w:val="0"/>
      <w:divBdr>
        <w:top w:val="none" w:sz="0" w:space="0" w:color="auto"/>
        <w:left w:val="none" w:sz="0" w:space="0" w:color="auto"/>
        <w:bottom w:val="none" w:sz="0" w:space="0" w:color="auto"/>
        <w:right w:val="none" w:sz="0" w:space="0" w:color="auto"/>
      </w:divBdr>
    </w:div>
    <w:div w:id="271936248">
      <w:bodyDiv w:val="1"/>
      <w:marLeft w:val="0"/>
      <w:marRight w:val="0"/>
      <w:marTop w:val="0"/>
      <w:marBottom w:val="0"/>
      <w:divBdr>
        <w:top w:val="none" w:sz="0" w:space="0" w:color="auto"/>
        <w:left w:val="none" w:sz="0" w:space="0" w:color="auto"/>
        <w:bottom w:val="none" w:sz="0" w:space="0" w:color="auto"/>
        <w:right w:val="none" w:sz="0" w:space="0" w:color="auto"/>
      </w:divBdr>
    </w:div>
    <w:div w:id="285281577">
      <w:bodyDiv w:val="1"/>
      <w:marLeft w:val="0"/>
      <w:marRight w:val="0"/>
      <w:marTop w:val="0"/>
      <w:marBottom w:val="0"/>
      <w:divBdr>
        <w:top w:val="none" w:sz="0" w:space="0" w:color="auto"/>
        <w:left w:val="none" w:sz="0" w:space="0" w:color="auto"/>
        <w:bottom w:val="none" w:sz="0" w:space="0" w:color="auto"/>
        <w:right w:val="none" w:sz="0" w:space="0" w:color="auto"/>
      </w:divBdr>
    </w:div>
    <w:div w:id="291448860">
      <w:bodyDiv w:val="1"/>
      <w:marLeft w:val="0"/>
      <w:marRight w:val="0"/>
      <w:marTop w:val="0"/>
      <w:marBottom w:val="0"/>
      <w:divBdr>
        <w:top w:val="none" w:sz="0" w:space="0" w:color="auto"/>
        <w:left w:val="none" w:sz="0" w:space="0" w:color="auto"/>
        <w:bottom w:val="none" w:sz="0" w:space="0" w:color="auto"/>
        <w:right w:val="none" w:sz="0" w:space="0" w:color="auto"/>
      </w:divBdr>
    </w:div>
    <w:div w:id="306085428">
      <w:bodyDiv w:val="1"/>
      <w:marLeft w:val="0"/>
      <w:marRight w:val="0"/>
      <w:marTop w:val="0"/>
      <w:marBottom w:val="0"/>
      <w:divBdr>
        <w:top w:val="none" w:sz="0" w:space="0" w:color="auto"/>
        <w:left w:val="none" w:sz="0" w:space="0" w:color="auto"/>
        <w:bottom w:val="none" w:sz="0" w:space="0" w:color="auto"/>
        <w:right w:val="none" w:sz="0" w:space="0" w:color="auto"/>
      </w:divBdr>
    </w:div>
    <w:div w:id="307707090">
      <w:bodyDiv w:val="1"/>
      <w:marLeft w:val="0"/>
      <w:marRight w:val="0"/>
      <w:marTop w:val="0"/>
      <w:marBottom w:val="0"/>
      <w:divBdr>
        <w:top w:val="none" w:sz="0" w:space="0" w:color="auto"/>
        <w:left w:val="none" w:sz="0" w:space="0" w:color="auto"/>
        <w:bottom w:val="none" w:sz="0" w:space="0" w:color="auto"/>
        <w:right w:val="none" w:sz="0" w:space="0" w:color="auto"/>
      </w:divBdr>
    </w:div>
    <w:div w:id="316804640">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
    <w:div w:id="322272917">
      <w:bodyDiv w:val="1"/>
      <w:marLeft w:val="0"/>
      <w:marRight w:val="0"/>
      <w:marTop w:val="0"/>
      <w:marBottom w:val="0"/>
      <w:divBdr>
        <w:top w:val="none" w:sz="0" w:space="0" w:color="auto"/>
        <w:left w:val="none" w:sz="0" w:space="0" w:color="auto"/>
        <w:bottom w:val="none" w:sz="0" w:space="0" w:color="auto"/>
        <w:right w:val="none" w:sz="0" w:space="0" w:color="auto"/>
      </w:divBdr>
    </w:div>
    <w:div w:id="323627700">
      <w:bodyDiv w:val="1"/>
      <w:marLeft w:val="0"/>
      <w:marRight w:val="0"/>
      <w:marTop w:val="0"/>
      <w:marBottom w:val="0"/>
      <w:divBdr>
        <w:top w:val="none" w:sz="0" w:space="0" w:color="auto"/>
        <w:left w:val="none" w:sz="0" w:space="0" w:color="auto"/>
        <w:bottom w:val="none" w:sz="0" w:space="0" w:color="auto"/>
        <w:right w:val="none" w:sz="0" w:space="0" w:color="auto"/>
      </w:divBdr>
    </w:div>
    <w:div w:id="326590472">
      <w:bodyDiv w:val="1"/>
      <w:marLeft w:val="0"/>
      <w:marRight w:val="0"/>
      <w:marTop w:val="0"/>
      <w:marBottom w:val="0"/>
      <w:divBdr>
        <w:top w:val="none" w:sz="0" w:space="0" w:color="auto"/>
        <w:left w:val="none" w:sz="0" w:space="0" w:color="auto"/>
        <w:bottom w:val="none" w:sz="0" w:space="0" w:color="auto"/>
        <w:right w:val="none" w:sz="0" w:space="0" w:color="auto"/>
      </w:divBdr>
    </w:div>
    <w:div w:id="332729530">
      <w:bodyDiv w:val="1"/>
      <w:marLeft w:val="0"/>
      <w:marRight w:val="0"/>
      <w:marTop w:val="0"/>
      <w:marBottom w:val="0"/>
      <w:divBdr>
        <w:top w:val="none" w:sz="0" w:space="0" w:color="auto"/>
        <w:left w:val="none" w:sz="0" w:space="0" w:color="auto"/>
        <w:bottom w:val="none" w:sz="0" w:space="0" w:color="auto"/>
        <w:right w:val="none" w:sz="0" w:space="0" w:color="auto"/>
      </w:divBdr>
      <w:divsChild>
        <w:div w:id="2119521631">
          <w:marLeft w:val="0"/>
          <w:marRight w:val="0"/>
          <w:marTop w:val="0"/>
          <w:marBottom w:val="0"/>
          <w:divBdr>
            <w:top w:val="none" w:sz="0" w:space="0" w:color="auto"/>
            <w:left w:val="none" w:sz="0" w:space="0" w:color="auto"/>
            <w:bottom w:val="none" w:sz="0" w:space="0" w:color="auto"/>
            <w:right w:val="none" w:sz="0" w:space="0" w:color="auto"/>
          </w:divBdr>
          <w:divsChild>
            <w:div w:id="1981298535">
              <w:marLeft w:val="0"/>
              <w:marRight w:val="0"/>
              <w:marTop w:val="0"/>
              <w:marBottom w:val="0"/>
              <w:divBdr>
                <w:top w:val="none" w:sz="0" w:space="0" w:color="auto"/>
                <w:left w:val="none" w:sz="0" w:space="0" w:color="auto"/>
                <w:bottom w:val="none" w:sz="0" w:space="0" w:color="auto"/>
                <w:right w:val="none" w:sz="0" w:space="0" w:color="auto"/>
              </w:divBdr>
              <w:divsChild>
                <w:div w:id="1331524185">
                  <w:marLeft w:val="0"/>
                  <w:marRight w:val="0"/>
                  <w:marTop w:val="0"/>
                  <w:marBottom w:val="0"/>
                  <w:divBdr>
                    <w:top w:val="none" w:sz="0" w:space="0" w:color="auto"/>
                    <w:left w:val="none" w:sz="0" w:space="0" w:color="auto"/>
                    <w:bottom w:val="none" w:sz="0" w:space="0" w:color="auto"/>
                    <w:right w:val="none" w:sz="0" w:space="0" w:color="auto"/>
                  </w:divBdr>
                  <w:divsChild>
                    <w:div w:id="817579048">
                      <w:marLeft w:val="0"/>
                      <w:marRight w:val="0"/>
                      <w:marTop w:val="0"/>
                      <w:marBottom w:val="0"/>
                      <w:divBdr>
                        <w:top w:val="none" w:sz="0" w:space="0" w:color="auto"/>
                        <w:left w:val="none" w:sz="0" w:space="0" w:color="auto"/>
                        <w:bottom w:val="none" w:sz="0" w:space="0" w:color="auto"/>
                        <w:right w:val="none" w:sz="0" w:space="0" w:color="auto"/>
                      </w:divBdr>
                      <w:divsChild>
                        <w:div w:id="602230007">
                          <w:marLeft w:val="0"/>
                          <w:marRight w:val="0"/>
                          <w:marTop w:val="0"/>
                          <w:marBottom w:val="0"/>
                          <w:divBdr>
                            <w:top w:val="none" w:sz="0" w:space="0" w:color="auto"/>
                            <w:left w:val="none" w:sz="0" w:space="0" w:color="auto"/>
                            <w:bottom w:val="none" w:sz="0" w:space="0" w:color="auto"/>
                            <w:right w:val="none" w:sz="0" w:space="0" w:color="auto"/>
                          </w:divBdr>
                          <w:divsChild>
                            <w:div w:id="1761292029">
                              <w:marLeft w:val="0"/>
                              <w:marRight w:val="0"/>
                              <w:marTop w:val="0"/>
                              <w:marBottom w:val="0"/>
                              <w:divBdr>
                                <w:top w:val="none" w:sz="0" w:space="0" w:color="auto"/>
                                <w:left w:val="none" w:sz="0" w:space="0" w:color="auto"/>
                                <w:bottom w:val="none" w:sz="0" w:space="0" w:color="auto"/>
                                <w:right w:val="none" w:sz="0" w:space="0" w:color="auto"/>
                              </w:divBdr>
                              <w:divsChild>
                                <w:div w:id="20217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352580">
          <w:marLeft w:val="0"/>
          <w:marRight w:val="0"/>
          <w:marTop w:val="0"/>
          <w:marBottom w:val="0"/>
          <w:divBdr>
            <w:top w:val="none" w:sz="0" w:space="0" w:color="auto"/>
            <w:left w:val="none" w:sz="0" w:space="0" w:color="auto"/>
            <w:bottom w:val="none" w:sz="0" w:space="0" w:color="auto"/>
            <w:right w:val="none" w:sz="0" w:space="0" w:color="auto"/>
          </w:divBdr>
          <w:divsChild>
            <w:div w:id="234827921">
              <w:marLeft w:val="0"/>
              <w:marRight w:val="0"/>
              <w:marTop w:val="0"/>
              <w:marBottom w:val="0"/>
              <w:divBdr>
                <w:top w:val="none" w:sz="0" w:space="0" w:color="auto"/>
                <w:left w:val="none" w:sz="0" w:space="0" w:color="auto"/>
                <w:bottom w:val="none" w:sz="0" w:space="0" w:color="auto"/>
                <w:right w:val="none" w:sz="0" w:space="0" w:color="auto"/>
              </w:divBdr>
              <w:divsChild>
                <w:div w:id="2057583700">
                  <w:marLeft w:val="0"/>
                  <w:marRight w:val="0"/>
                  <w:marTop w:val="0"/>
                  <w:marBottom w:val="0"/>
                  <w:divBdr>
                    <w:top w:val="none" w:sz="0" w:space="0" w:color="auto"/>
                    <w:left w:val="none" w:sz="0" w:space="0" w:color="auto"/>
                    <w:bottom w:val="none" w:sz="0" w:space="0" w:color="auto"/>
                    <w:right w:val="none" w:sz="0" w:space="0" w:color="auto"/>
                  </w:divBdr>
                  <w:divsChild>
                    <w:div w:id="795757186">
                      <w:marLeft w:val="0"/>
                      <w:marRight w:val="0"/>
                      <w:marTop w:val="0"/>
                      <w:marBottom w:val="0"/>
                      <w:divBdr>
                        <w:top w:val="none" w:sz="0" w:space="0" w:color="auto"/>
                        <w:left w:val="none" w:sz="0" w:space="0" w:color="auto"/>
                        <w:bottom w:val="none" w:sz="0" w:space="0" w:color="auto"/>
                        <w:right w:val="none" w:sz="0" w:space="0" w:color="auto"/>
                      </w:divBdr>
                    </w:div>
                    <w:div w:id="61173778">
                      <w:marLeft w:val="0"/>
                      <w:marRight w:val="0"/>
                      <w:marTop w:val="0"/>
                      <w:marBottom w:val="0"/>
                      <w:divBdr>
                        <w:top w:val="none" w:sz="0" w:space="0" w:color="auto"/>
                        <w:left w:val="none" w:sz="0" w:space="0" w:color="auto"/>
                        <w:bottom w:val="none" w:sz="0" w:space="0" w:color="auto"/>
                        <w:right w:val="none" w:sz="0" w:space="0" w:color="auto"/>
                      </w:divBdr>
                      <w:divsChild>
                        <w:div w:id="1370374786">
                          <w:marLeft w:val="0"/>
                          <w:marRight w:val="0"/>
                          <w:marTop w:val="0"/>
                          <w:marBottom w:val="0"/>
                          <w:divBdr>
                            <w:top w:val="none" w:sz="0" w:space="0" w:color="auto"/>
                            <w:left w:val="none" w:sz="0" w:space="0" w:color="auto"/>
                            <w:bottom w:val="none" w:sz="0" w:space="0" w:color="auto"/>
                            <w:right w:val="none" w:sz="0" w:space="0" w:color="auto"/>
                          </w:divBdr>
                          <w:divsChild>
                            <w:div w:id="1202324385">
                              <w:marLeft w:val="0"/>
                              <w:marRight w:val="0"/>
                              <w:marTop w:val="0"/>
                              <w:marBottom w:val="0"/>
                              <w:divBdr>
                                <w:top w:val="none" w:sz="0" w:space="0" w:color="auto"/>
                                <w:left w:val="none" w:sz="0" w:space="0" w:color="auto"/>
                                <w:bottom w:val="none" w:sz="0" w:space="0" w:color="auto"/>
                                <w:right w:val="none" w:sz="0" w:space="0" w:color="auto"/>
                              </w:divBdr>
                              <w:divsChild>
                                <w:div w:id="1351252842">
                                  <w:marLeft w:val="0"/>
                                  <w:marRight w:val="0"/>
                                  <w:marTop w:val="0"/>
                                  <w:marBottom w:val="0"/>
                                  <w:divBdr>
                                    <w:top w:val="none" w:sz="0" w:space="0" w:color="auto"/>
                                    <w:left w:val="none" w:sz="0" w:space="0" w:color="auto"/>
                                    <w:bottom w:val="none" w:sz="0" w:space="0" w:color="auto"/>
                                    <w:right w:val="none" w:sz="0" w:space="0" w:color="auto"/>
                                  </w:divBdr>
                                  <w:divsChild>
                                    <w:div w:id="16784933">
                                      <w:marLeft w:val="0"/>
                                      <w:marRight w:val="0"/>
                                      <w:marTop w:val="0"/>
                                      <w:marBottom w:val="0"/>
                                      <w:divBdr>
                                        <w:top w:val="none" w:sz="0" w:space="0" w:color="auto"/>
                                        <w:left w:val="none" w:sz="0" w:space="0" w:color="auto"/>
                                        <w:bottom w:val="none" w:sz="0" w:space="0" w:color="auto"/>
                                        <w:right w:val="none" w:sz="0" w:space="0" w:color="auto"/>
                                      </w:divBdr>
                                      <w:divsChild>
                                        <w:div w:id="1542786929">
                                          <w:marLeft w:val="0"/>
                                          <w:marRight w:val="0"/>
                                          <w:marTop w:val="0"/>
                                          <w:marBottom w:val="0"/>
                                          <w:divBdr>
                                            <w:top w:val="none" w:sz="0" w:space="0" w:color="auto"/>
                                            <w:left w:val="none" w:sz="0" w:space="0" w:color="auto"/>
                                            <w:bottom w:val="none" w:sz="0" w:space="0" w:color="auto"/>
                                            <w:right w:val="none" w:sz="0" w:space="0" w:color="auto"/>
                                          </w:divBdr>
                                          <w:divsChild>
                                            <w:div w:id="229854449">
                                              <w:marLeft w:val="0"/>
                                              <w:marRight w:val="0"/>
                                              <w:marTop w:val="0"/>
                                              <w:marBottom w:val="0"/>
                                              <w:divBdr>
                                                <w:top w:val="none" w:sz="0" w:space="0" w:color="auto"/>
                                                <w:left w:val="none" w:sz="0" w:space="0" w:color="auto"/>
                                                <w:bottom w:val="none" w:sz="0" w:space="0" w:color="auto"/>
                                                <w:right w:val="none" w:sz="0" w:space="0" w:color="auto"/>
                                              </w:divBdr>
                                              <w:divsChild>
                                                <w:div w:id="797799059">
                                                  <w:marLeft w:val="0"/>
                                                  <w:marRight w:val="0"/>
                                                  <w:marTop w:val="0"/>
                                                  <w:marBottom w:val="0"/>
                                                  <w:divBdr>
                                                    <w:top w:val="none" w:sz="0" w:space="0" w:color="auto"/>
                                                    <w:left w:val="none" w:sz="0" w:space="0" w:color="auto"/>
                                                    <w:bottom w:val="none" w:sz="0" w:space="0" w:color="auto"/>
                                                    <w:right w:val="none" w:sz="0" w:space="0" w:color="auto"/>
                                                  </w:divBdr>
                                                  <w:divsChild>
                                                    <w:div w:id="685863818">
                                                      <w:marLeft w:val="0"/>
                                                      <w:marRight w:val="0"/>
                                                      <w:marTop w:val="0"/>
                                                      <w:marBottom w:val="0"/>
                                                      <w:divBdr>
                                                        <w:top w:val="none" w:sz="0" w:space="0" w:color="auto"/>
                                                        <w:left w:val="none" w:sz="0" w:space="0" w:color="auto"/>
                                                        <w:bottom w:val="none" w:sz="0" w:space="0" w:color="auto"/>
                                                        <w:right w:val="none" w:sz="0" w:space="0" w:color="auto"/>
                                                      </w:divBdr>
                                                      <w:divsChild>
                                                        <w:div w:id="373770805">
                                                          <w:marLeft w:val="0"/>
                                                          <w:marRight w:val="0"/>
                                                          <w:marTop w:val="0"/>
                                                          <w:marBottom w:val="0"/>
                                                          <w:divBdr>
                                                            <w:top w:val="none" w:sz="0" w:space="0" w:color="auto"/>
                                                            <w:left w:val="none" w:sz="0" w:space="0" w:color="auto"/>
                                                            <w:bottom w:val="none" w:sz="0" w:space="0" w:color="auto"/>
                                                            <w:right w:val="none" w:sz="0" w:space="0" w:color="auto"/>
                                                          </w:divBdr>
                                                          <w:divsChild>
                                                            <w:div w:id="1795905916">
                                                              <w:marLeft w:val="0"/>
                                                              <w:marRight w:val="0"/>
                                                              <w:marTop w:val="0"/>
                                                              <w:marBottom w:val="0"/>
                                                              <w:divBdr>
                                                                <w:top w:val="none" w:sz="0" w:space="0" w:color="auto"/>
                                                                <w:left w:val="none" w:sz="0" w:space="0" w:color="auto"/>
                                                                <w:bottom w:val="none" w:sz="0" w:space="0" w:color="auto"/>
                                                                <w:right w:val="none" w:sz="0" w:space="0" w:color="auto"/>
                                                              </w:divBdr>
                                                              <w:divsChild>
                                                                <w:div w:id="1255557164">
                                                                  <w:marLeft w:val="0"/>
                                                                  <w:marRight w:val="0"/>
                                                                  <w:marTop w:val="0"/>
                                                                  <w:marBottom w:val="0"/>
                                                                  <w:divBdr>
                                                                    <w:top w:val="none" w:sz="0" w:space="0" w:color="auto"/>
                                                                    <w:left w:val="none" w:sz="0" w:space="0" w:color="auto"/>
                                                                    <w:bottom w:val="none" w:sz="0" w:space="0" w:color="auto"/>
                                                                    <w:right w:val="none" w:sz="0" w:space="0" w:color="auto"/>
                                                                  </w:divBdr>
                                                                  <w:divsChild>
                                                                    <w:div w:id="288782033">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0681">
                                                              <w:marLeft w:val="0"/>
                                                              <w:marRight w:val="0"/>
                                                              <w:marTop w:val="0"/>
                                                              <w:marBottom w:val="0"/>
                                                              <w:divBdr>
                                                                <w:top w:val="none" w:sz="0" w:space="0" w:color="auto"/>
                                                                <w:left w:val="none" w:sz="0" w:space="0" w:color="auto"/>
                                                                <w:bottom w:val="none" w:sz="0" w:space="0" w:color="auto"/>
                                                                <w:right w:val="none" w:sz="0" w:space="0" w:color="auto"/>
                                                              </w:divBdr>
                                                            </w:div>
                                                          </w:divsChild>
                                                        </w:div>
                                                        <w:div w:id="690767975">
                                                          <w:marLeft w:val="0"/>
                                                          <w:marRight w:val="0"/>
                                                          <w:marTop w:val="0"/>
                                                          <w:marBottom w:val="0"/>
                                                          <w:divBdr>
                                                            <w:top w:val="none" w:sz="0" w:space="0" w:color="auto"/>
                                                            <w:left w:val="none" w:sz="0" w:space="0" w:color="auto"/>
                                                            <w:bottom w:val="none" w:sz="0" w:space="0" w:color="auto"/>
                                                            <w:right w:val="none" w:sz="0" w:space="0" w:color="auto"/>
                                                          </w:divBdr>
                                                          <w:divsChild>
                                                            <w:div w:id="17634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5825">
                              <w:marLeft w:val="0"/>
                              <w:marRight w:val="0"/>
                              <w:marTop w:val="0"/>
                              <w:marBottom w:val="0"/>
                              <w:divBdr>
                                <w:top w:val="none" w:sz="0" w:space="0" w:color="auto"/>
                                <w:left w:val="none" w:sz="0" w:space="0" w:color="auto"/>
                                <w:bottom w:val="none" w:sz="0" w:space="0" w:color="auto"/>
                                <w:right w:val="none" w:sz="0" w:space="0" w:color="auto"/>
                              </w:divBdr>
                              <w:divsChild>
                                <w:div w:id="8665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336132">
          <w:marLeft w:val="0"/>
          <w:marRight w:val="0"/>
          <w:marTop w:val="0"/>
          <w:marBottom w:val="0"/>
          <w:divBdr>
            <w:top w:val="none" w:sz="0" w:space="0" w:color="auto"/>
            <w:left w:val="none" w:sz="0" w:space="0" w:color="auto"/>
            <w:bottom w:val="none" w:sz="0" w:space="0" w:color="auto"/>
            <w:right w:val="none" w:sz="0" w:space="0" w:color="auto"/>
          </w:divBdr>
          <w:divsChild>
            <w:div w:id="1743866186">
              <w:marLeft w:val="0"/>
              <w:marRight w:val="0"/>
              <w:marTop w:val="0"/>
              <w:marBottom w:val="0"/>
              <w:divBdr>
                <w:top w:val="none" w:sz="0" w:space="0" w:color="auto"/>
                <w:left w:val="none" w:sz="0" w:space="0" w:color="auto"/>
                <w:bottom w:val="none" w:sz="0" w:space="0" w:color="auto"/>
                <w:right w:val="none" w:sz="0" w:space="0" w:color="auto"/>
              </w:divBdr>
              <w:divsChild>
                <w:div w:id="1447775213">
                  <w:marLeft w:val="0"/>
                  <w:marRight w:val="0"/>
                  <w:marTop w:val="0"/>
                  <w:marBottom w:val="0"/>
                  <w:divBdr>
                    <w:top w:val="none" w:sz="0" w:space="0" w:color="auto"/>
                    <w:left w:val="none" w:sz="0" w:space="0" w:color="auto"/>
                    <w:bottom w:val="none" w:sz="0" w:space="0" w:color="auto"/>
                    <w:right w:val="none" w:sz="0" w:space="0" w:color="auto"/>
                  </w:divBdr>
                  <w:divsChild>
                    <w:div w:id="1138305212">
                      <w:marLeft w:val="0"/>
                      <w:marRight w:val="0"/>
                      <w:marTop w:val="0"/>
                      <w:marBottom w:val="0"/>
                      <w:divBdr>
                        <w:top w:val="none" w:sz="0" w:space="0" w:color="auto"/>
                        <w:left w:val="none" w:sz="0" w:space="0" w:color="auto"/>
                        <w:bottom w:val="none" w:sz="0" w:space="0" w:color="auto"/>
                        <w:right w:val="none" w:sz="0" w:space="0" w:color="auto"/>
                      </w:divBdr>
                      <w:divsChild>
                        <w:div w:id="1747997016">
                          <w:marLeft w:val="0"/>
                          <w:marRight w:val="0"/>
                          <w:marTop w:val="0"/>
                          <w:marBottom w:val="0"/>
                          <w:divBdr>
                            <w:top w:val="none" w:sz="0" w:space="0" w:color="auto"/>
                            <w:left w:val="none" w:sz="0" w:space="0" w:color="auto"/>
                            <w:bottom w:val="none" w:sz="0" w:space="0" w:color="auto"/>
                            <w:right w:val="none" w:sz="0" w:space="0" w:color="auto"/>
                          </w:divBdr>
                          <w:divsChild>
                            <w:div w:id="537426668">
                              <w:marLeft w:val="0"/>
                              <w:marRight w:val="0"/>
                              <w:marTop w:val="0"/>
                              <w:marBottom w:val="0"/>
                              <w:divBdr>
                                <w:top w:val="none" w:sz="0" w:space="0" w:color="auto"/>
                                <w:left w:val="none" w:sz="0" w:space="0" w:color="auto"/>
                                <w:bottom w:val="none" w:sz="0" w:space="0" w:color="auto"/>
                                <w:right w:val="none" w:sz="0" w:space="0" w:color="auto"/>
                              </w:divBdr>
                              <w:divsChild>
                                <w:div w:id="1090852382">
                                  <w:marLeft w:val="0"/>
                                  <w:marRight w:val="0"/>
                                  <w:marTop w:val="0"/>
                                  <w:marBottom w:val="0"/>
                                  <w:divBdr>
                                    <w:top w:val="none" w:sz="0" w:space="0" w:color="auto"/>
                                    <w:left w:val="none" w:sz="0" w:space="0" w:color="auto"/>
                                    <w:bottom w:val="none" w:sz="0" w:space="0" w:color="auto"/>
                                    <w:right w:val="none" w:sz="0" w:space="0" w:color="auto"/>
                                  </w:divBdr>
                                  <w:divsChild>
                                    <w:div w:id="131990787">
                                      <w:marLeft w:val="0"/>
                                      <w:marRight w:val="0"/>
                                      <w:marTop w:val="0"/>
                                      <w:marBottom w:val="0"/>
                                      <w:divBdr>
                                        <w:top w:val="none" w:sz="0" w:space="0" w:color="auto"/>
                                        <w:left w:val="none" w:sz="0" w:space="0" w:color="auto"/>
                                        <w:bottom w:val="none" w:sz="0" w:space="0" w:color="auto"/>
                                        <w:right w:val="none" w:sz="0" w:space="0" w:color="auto"/>
                                      </w:divBdr>
                                      <w:divsChild>
                                        <w:div w:id="1968855186">
                                          <w:marLeft w:val="0"/>
                                          <w:marRight w:val="0"/>
                                          <w:marTop w:val="0"/>
                                          <w:marBottom w:val="0"/>
                                          <w:divBdr>
                                            <w:top w:val="none" w:sz="0" w:space="0" w:color="auto"/>
                                            <w:left w:val="none" w:sz="0" w:space="0" w:color="auto"/>
                                            <w:bottom w:val="none" w:sz="0" w:space="0" w:color="auto"/>
                                            <w:right w:val="none" w:sz="0" w:space="0" w:color="auto"/>
                                          </w:divBdr>
                                          <w:divsChild>
                                            <w:div w:id="36857943">
                                              <w:marLeft w:val="0"/>
                                              <w:marRight w:val="0"/>
                                              <w:marTop w:val="0"/>
                                              <w:marBottom w:val="0"/>
                                              <w:divBdr>
                                                <w:top w:val="none" w:sz="0" w:space="0" w:color="auto"/>
                                                <w:left w:val="none" w:sz="0" w:space="0" w:color="auto"/>
                                                <w:bottom w:val="none" w:sz="0" w:space="0" w:color="auto"/>
                                                <w:right w:val="none" w:sz="0" w:space="0" w:color="auto"/>
                                              </w:divBdr>
                                              <w:divsChild>
                                                <w:div w:id="722214060">
                                                  <w:marLeft w:val="0"/>
                                                  <w:marRight w:val="0"/>
                                                  <w:marTop w:val="0"/>
                                                  <w:marBottom w:val="0"/>
                                                  <w:divBdr>
                                                    <w:top w:val="none" w:sz="0" w:space="0" w:color="auto"/>
                                                    <w:left w:val="none" w:sz="0" w:space="0" w:color="auto"/>
                                                    <w:bottom w:val="none" w:sz="0" w:space="0" w:color="auto"/>
                                                    <w:right w:val="none" w:sz="0" w:space="0" w:color="auto"/>
                                                  </w:divBdr>
                                                  <w:divsChild>
                                                    <w:div w:id="14393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9327">
                                  <w:marLeft w:val="0"/>
                                  <w:marRight w:val="0"/>
                                  <w:marTop w:val="0"/>
                                  <w:marBottom w:val="0"/>
                                  <w:divBdr>
                                    <w:top w:val="none" w:sz="0" w:space="0" w:color="auto"/>
                                    <w:left w:val="none" w:sz="0" w:space="0" w:color="auto"/>
                                    <w:bottom w:val="none" w:sz="0" w:space="0" w:color="auto"/>
                                    <w:right w:val="none" w:sz="0" w:space="0" w:color="auto"/>
                                  </w:divBdr>
                                  <w:divsChild>
                                    <w:div w:id="2143692416">
                                      <w:marLeft w:val="0"/>
                                      <w:marRight w:val="0"/>
                                      <w:marTop w:val="0"/>
                                      <w:marBottom w:val="0"/>
                                      <w:divBdr>
                                        <w:top w:val="none" w:sz="0" w:space="0" w:color="auto"/>
                                        <w:left w:val="none" w:sz="0" w:space="0" w:color="auto"/>
                                        <w:bottom w:val="none" w:sz="0" w:space="0" w:color="auto"/>
                                        <w:right w:val="none" w:sz="0" w:space="0" w:color="auto"/>
                                      </w:divBdr>
                                      <w:divsChild>
                                        <w:div w:id="177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71135">
          <w:marLeft w:val="0"/>
          <w:marRight w:val="0"/>
          <w:marTop w:val="0"/>
          <w:marBottom w:val="0"/>
          <w:divBdr>
            <w:top w:val="none" w:sz="0" w:space="0" w:color="auto"/>
            <w:left w:val="none" w:sz="0" w:space="0" w:color="auto"/>
            <w:bottom w:val="none" w:sz="0" w:space="0" w:color="auto"/>
            <w:right w:val="none" w:sz="0" w:space="0" w:color="auto"/>
          </w:divBdr>
          <w:divsChild>
            <w:div w:id="875970421">
              <w:marLeft w:val="0"/>
              <w:marRight w:val="0"/>
              <w:marTop w:val="0"/>
              <w:marBottom w:val="0"/>
              <w:divBdr>
                <w:top w:val="none" w:sz="0" w:space="0" w:color="auto"/>
                <w:left w:val="none" w:sz="0" w:space="0" w:color="auto"/>
                <w:bottom w:val="none" w:sz="0" w:space="0" w:color="auto"/>
                <w:right w:val="none" w:sz="0" w:space="0" w:color="auto"/>
              </w:divBdr>
              <w:divsChild>
                <w:div w:id="204485133">
                  <w:marLeft w:val="0"/>
                  <w:marRight w:val="0"/>
                  <w:marTop w:val="0"/>
                  <w:marBottom w:val="0"/>
                  <w:divBdr>
                    <w:top w:val="none" w:sz="0" w:space="0" w:color="auto"/>
                    <w:left w:val="none" w:sz="0" w:space="0" w:color="auto"/>
                    <w:bottom w:val="none" w:sz="0" w:space="0" w:color="auto"/>
                    <w:right w:val="none" w:sz="0" w:space="0" w:color="auto"/>
                  </w:divBdr>
                  <w:divsChild>
                    <w:div w:id="1514799484">
                      <w:marLeft w:val="0"/>
                      <w:marRight w:val="0"/>
                      <w:marTop w:val="0"/>
                      <w:marBottom w:val="0"/>
                      <w:divBdr>
                        <w:top w:val="none" w:sz="0" w:space="0" w:color="auto"/>
                        <w:left w:val="none" w:sz="0" w:space="0" w:color="auto"/>
                        <w:bottom w:val="none" w:sz="0" w:space="0" w:color="auto"/>
                        <w:right w:val="none" w:sz="0" w:space="0" w:color="auto"/>
                      </w:divBdr>
                      <w:divsChild>
                        <w:div w:id="572397521">
                          <w:marLeft w:val="0"/>
                          <w:marRight w:val="0"/>
                          <w:marTop w:val="0"/>
                          <w:marBottom w:val="0"/>
                          <w:divBdr>
                            <w:top w:val="none" w:sz="0" w:space="0" w:color="auto"/>
                            <w:left w:val="none" w:sz="0" w:space="0" w:color="auto"/>
                            <w:bottom w:val="none" w:sz="0" w:space="0" w:color="auto"/>
                            <w:right w:val="none" w:sz="0" w:space="0" w:color="auto"/>
                          </w:divBdr>
                          <w:divsChild>
                            <w:div w:id="418867732">
                              <w:marLeft w:val="0"/>
                              <w:marRight w:val="0"/>
                              <w:marTop w:val="0"/>
                              <w:marBottom w:val="0"/>
                              <w:divBdr>
                                <w:top w:val="none" w:sz="0" w:space="0" w:color="auto"/>
                                <w:left w:val="none" w:sz="0" w:space="0" w:color="auto"/>
                                <w:bottom w:val="none" w:sz="0" w:space="0" w:color="auto"/>
                                <w:right w:val="none" w:sz="0" w:space="0" w:color="auto"/>
                              </w:divBdr>
                              <w:divsChild>
                                <w:div w:id="857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685">
                          <w:marLeft w:val="0"/>
                          <w:marRight w:val="0"/>
                          <w:marTop w:val="0"/>
                          <w:marBottom w:val="0"/>
                          <w:divBdr>
                            <w:top w:val="none" w:sz="0" w:space="0" w:color="auto"/>
                            <w:left w:val="none" w:sz="0" w:space="0" w:color="auto"/>
                            <w:bottom w:val="none" w:sz="0" w:space="0" w:color="auto"/>
                            <w:right w:val="none" w:sz="0" w:space="0" w:color="auto"/>
                          </w:divBdr>
                          <w:divsChild>
                            <w:div w:id="775711473">
                              <w:marLeft w:val="0"/>
                              <w:marRight w:val="0"/>
                              <w:marTop w:val="0"/>
                              <w:marBottom w:val="0"/>
                              <w:divBdr>
                                <w:top w:val="none" w:sz="0" w:space="0" w:color="auto"/>
                                <w:left w:val="none" w:sz="0" w:space="0" w:color="auto"/>
                                <w:bottom w:val="none" w:sz="0" w:space="0" w:color="auto"/>
                                <w:right w:val="none" w:sz="0" w:space="0" w:color="auto"/>
                              </w:divBdr>
                              <w:divsChild>
                                <w:div w:id="1867448461">
                                  <w:marLeft w:val="0"/>
                                  <w:marRight w:val="0"/>
                                  <w:marTop w:val="0"/>
                                  <w:marBottom w:val="0"/>
                                  <w:divBdr>
                                    <w:top w:val="none" w:sz="0" w:space="0" w:color="auto"/>
                                    <w:left w:val="none" w:sz="0" w:space="0" w:color="auto"/>
                                    <w:bottom w:val="none" w:sz="0" w:space="0" w:color="auto"/>
                                    <w:right w:val="none" w:sz="0" w:space="0" w:color="auto"/>
                                  </w:divBdr>
                                  <w:divsChild>
                                    <w:div w:id="768427433">
                                      <w:marLeft w:val="0"/>
                                      <w:marRight w:val="0"/>
                                      <w:marTop w:val="0"/>
                                      <w:marBottom w:val="0"/>
                                      <w:divBdr>
                                        <w:top w:val="none" w:sz="0" w:space="0" w:color="auto"/>
                                        <w:left w:val="none" w:sz="0" w:space="0" w:color="auto"/>
                                        <w:bottom w:val="none" w:sz="0" w:space="0" w:color="auto"/>
                                        <w:right w:val="none" w:sz="0" w:space="0" w:color="auto"/>
                                      </w:divBdr>
                                      <w:divsChild>
                                        <w:div w:id="65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0624">
                  <w:marLeft w:val="0"/>
                  <w:marRight w:val="0"/>
                  <w:marTop w:val="0"/>
                  <w:marBottom w:val="0"/>
                  <w:divBdr>
                    <w:top w:val="none" w:sz="0" w:space="0" w:color="auto"/>
                    <w:left w:val="none" w:sz="0" w:space="0" w:color="auto"/>
                    <w:bottom w:val="none" w:sz="0" w:space="0" w:color="auto"/>
                    <w:right w:val="none" w:sz="0" w:space="0" w:color="auto"/>
                  </w:divBdr>
                  <w:divsChild>
                    <w:div w:id="706150437">
                      <w:marLeft w:val="0"/>
                      <w:marRight w:val="0"/>
                      <w:marTop w:val="0"/>
                      <w:marBottom w:val="0"/>
                      <w:divBdr>
                        <w:top w:val="none" w:sz="0" w:space="0" w:color="auto"/>
                        <w:left w:val="none" w:sz="0" w:space="0" w:color="auto"/>
                        <w:bottom w:val="none" w:sz="0" w:space="0" w:color="auto"/>
                        <w:right w:val="none" w:sz="0" w:space="0" w:color="auto"/>
                      </w:divBdr>
                      <w:divsChild>
                        <w:div w:id="482819611">
                          <w:marLeft w:val="0"/>
                          <w:marRight w:val="0"/>
                          <w:marTop w:val="0"/>
                          <w:marBottom w:val="0"/>
                          <w:divBdr>
                            <w:top w:val="none" w:sz="0" w:space="0" w:color="auto"/>
                            <w:left w:val="none" w:sz="0" w:space="0" w:color="auto"/>
                            <w:bottom w:val="none" w:sz="0" w:space="0" w:color="auto"/>
                            <w:right w:val="none" w:sz="0" w:space="0" w:color="auto"/>
                          </w:divBdr>
                          <w:divsChild>
                            <w:div w:id="1700543062">
                              <w:marLeft w:val="0"/>
                              <w:marRight w:val="0"/>
                              <w:marTop w:val="0"/>
                              <w:marBottom w:val="0"/>
                              <w:divBdr>
                                <w:top w:val="none" w:sz="0" w:space="0" w:color="auto"/>
                                <w:left w:val="none" w:sz="0" w:space="0" w:color="auto"/>
                                <w:bottom w:val="none" w:sz="0" w:space="0" w:color="auto"/>
                                <w:right w:val="none" w:sz="0" w:space="0" w:color="auto"/>
                              </w:divBdr>
                              <w:divsChild>
                                <w:div w:id="7520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82755">
          <w:marLeft w:val="0"/>
          <w:marRight w:val="0"/>
          <w:marTop w:val="0"/>
          <w:marBottom w:val="0"/>
          <w:divBdr>
            <w:top w:val="none" w:sz="0" w:space="0" w:color="auto"/>
            <w:left w:val="none" w:sz="0" w:space="0" w:color="auto"/>
            <w:bottom w:val="none" w:sz="0" w:space="0" w:color="auto"/>
            <w:right w:val="none" w:sz="0" w:space="0" w:color="auto"/>
          </w:divBdr>
          <w:divsChild>
            <w:div w:id="779842452">
              <w:marLeft w:val="0"/>
              <w:marRight w:val="0"/>
              <w:marTop w:val="0"/>
              <w:marBottom w:val="0"/>
              <w:divBdr>
                <w:top w:val="none" w:sz="0" w:space="0" w:color="auto"/>
                <w:left w:val="none" w:sz="0" w:space="0" w:color="auto"/>
                <w:bottom w:val="none" w:sz="0" w:space="0" w:color="auto"/>
                <w:right w:val="none" w:sz="0" w:space="0" w:color="auto"/>
              </w:divBdr>
              <w:divsChild>
                <w:div w:id="610014484">
                  <w:marLeft w:val="0"/>
                  <w:marRight w:val="0"/>
                  <w:marTop w:val="0"/>
                  <w:marBottom w:val="0"/>
                  <w:divBdr>
                    <w:top w:val="none" w:sz="0" w:space="0" w:color="auto"/>
                    <w:left w:val="none" w:sz="0" w:space="0" w:color="auto"/>
                    <w:bottom w:val="none" w:sz="0" w:space="0" w:color="auto"/>
                    <w:right w:val="none" w:sz="0" w:space="0" w:color="auto"/>
                  </w:divBdr>
                  <w:divsChild>
                    <w:div w:id="249973575">
                      <w:marLeft w:val="0"/>
                      <w:marRight w:val="0"/>
                      <w:marTop w:val="0"/>
                      <w:marBottom w:val="0"/>
                      <w:divBdr>
                        <w:top w:val="none" w:sz="0" w:space="0" w:color="auto"/>
                        <w:left w:val="none" w:sz="0" w:space="0" w:color="auto"/>
                        <w:bottom w:val="none" w:sz="0" w:space="0" w:color="auto"/>
                        <w:right w:val="none" w:sz="0" w:space="0" w:color="auto"/>
                      </w:divBdr>
                    </w:div>
                    <w:div w:id="1864392948">
                      <w:marLeft w:val="0"/>
                      <w:marRight w:val="0"/>
                      <w:marTop w:val="0"/>
                      <w:marBottom w:val="0"/>
                      <w:divBdr>
                        <w:top w:val="none" w:sz="0" w:space="0" w:color="auto"/>
                        <w:left w:val="none" w:sz="0" w:space="0" w:color="auto"/>
                        <w:bottom w:val="none" w:sz="0" w:space="0" w:color="auto"/>
                        <w:right w:val="none" w:sz="0" w:space="0" w:color="auto"/>
                      </w:divBdr>
                      <w:divsChild>
                        <w:div w:id="2018580521">
                          <w:marLeft w:val="0"/>
                          <w:marRight w:val="0"/>
                          <w:marTop w:val="0"/>
                          <w:marBottom w:val="0"/>
                          <w:divBdr>
                            <w:top w:val="none" w:sz="0" w:space="0" w:color="auto"/>
                            <w:left w:val="none" w:sz="0" w:space="0" w:color="auto"/>
                            <w:bottom w:val="none" w:sz="0" w:space="0" w:color="auto"/>
                            <w:right w:val="none" w:sz="0" w:space="0" w:color="auto"/>
                          </w:divBdr>
                          <w:divsChild>
                            <w:div w:id="1975717385">
                              <w:marLeft w:val="0"/>
                              <w:marRight w:val="0"/>
                              <w:marTop w:val="0"/>
                              <w:marBottom w:val="0"/>
                              <w:divBdr>
                                <w:top w:val="none" w:sz="0" w:space="0" w:color="auto"/>
                                <w:left w:val="none" w:sz="0" w:space="0" w:color="auto"/>
                                <w:bottom w:val="none" w:sz="0" w:space="0" w:color="auto"/>
                                <w:right w:val="none" w:sz="0" w:space="0" w:color="auto"/>
                              </w:divBdr>
                              <w:divsChild>
                                <w:div w:id="1950432133">
                                  <w:marLeft w:val="0"/>
                                  <w:marRight w:val="0"/>
                                  <w:marTop w:val="0"/>
                                  <w:marBottom w:val="0"/>
                                  <w:divBdr>
                                    <w:top w:val="none" w:sz="0" w:space="0" w:color="auto"/>
                                    <w:left w:val="none" w:sz="0" w:space="0" w:color="auto"/>
                                    <w:bottom w:val="none" w:sz="0" w:space="0" w:color="auto"/>
                                    <w:right w:val="none" w:sz="0" w:space="0" w:color="auto"/>
                                  </w:divBdr>
                                  <w:divsChild>
                                    <w:div w:id="996495115">
                                      <w:marLeft w:val="0"/>
                                      <w:marRight w:val="0"/>
                                      <w:marTop w:val="0"/>
                                      <w:marBottom w:val="0"/>
                                      <w:divBdr>
                                        <w:top w:val="none" w:sz="0" w:space="0" w:color="auto"/>
                                        <w:left w:val="none" w:sz="0" w:space="0" w:color="auto"/>
                                        <w:bottom w:val="none" w:sz="0" w:space="0" w:color="auto"/>
                                        <w:right w:val="none" w:sz="0" w:space="0" w:color="auto"/>
                                      </w:divBdr>
                                      <w:divsChild>
                                        <w:div w:id="588346154">
                                          <w:marLeft w:val="0"/>
                                          <w:marRight w:val="0"/>
                                          <w:marTop w:val="0"/>
                                          <w:marBottom w:val="0"/>
                                          <w:divBdr>
                                            <w:top w:val="none" w:sz="0" w:space="0" w:color="auto"/>
                                            <w:left w:val="none" w:sz="0" w:space="0" w:color="auto"/>
                                            <w:bottom w:val="none" w:sz="0" w:space="0" w:color="auto"/>
                                            <w:right w:val="none" w:sz="0" w:space="0" w:color="auto"/>
                                          </w:divBdr>
                                          <w:divsChild>
                                            <w:div w:id="1893299586">
                                              <w:marLeft w:val="0"/>
                                              <w:marRight w:val="0"/>
                                              <w:marTop w:val="0"/>
                                              <w:marBottom w:val="0"/>
                                              <w:divBdr>
                                                <w:top w:val="none" w:sz="0" w:space="0" w:color="auto"/>
                                                <w:left w:val="none" w:sz="0" w:space="0" w:color="auto"/>
                                                <w:bottom w:val="none" w:sz="0" w:space="0" w:color="auto"/>
                                                <w:right w:val="none" w:sz="0" w:space="0" w:color="auto"/>
                                              </w:divBdr>
                                              <w:divsChild>
                                                <w:div w:id="1728646608">
                                                  <w:marLeft w:val="0"/>
                                                  <w:marRight w:val="0"/>
                                                  <w:marTop w:val="0"/>
                                                  <w:marBottom w:val="0"/>
                                                  <w:divBdr>
                                                    <w:top w:val="none" w:sz="0" w:space="0" w:color="auto"/>
                                                    <w:left w:val="none" w:sz="0" w:space="0" w:color="auto"/>
                                                    <w:bottom w:val="none" w:sz="0" w:space="0" w:color="auto"/>
                                                    <w:right w:val="none" w:sz="0" w:space="0" w:color="auto"/>
                                                  </w:divBdr>
                                                  <w:divsChild>
                                                    <w:div w:id="1157460485">
                                                      <w:marLeft w:val="0"/>
                                                      <w:marRight w:val="0"/>
                                                      <w:marTop w:val="0"/>
                                                      <w:marBottom w:val="0"/>
                                                      <w:divBdr>
                                                        <w:top w:val="none" w:sz="0" w:space="0" w:color="auto"/>
                                                        <w:left w:val="none" w:sz="0" w:space="0" w:color="auto"/>
                                                        <w:bottom w:val="none" w:sz="0" w:space="0" w:color="auto"/>
                                                        <w:right w:val="none" w:sz="0" w:space="0" w:color="auto"/>
                                                      </w:divBdr>
                                                      <w:divsChild>
                                                        <w:div w:id="983120311">
                                                          <w:marLeft w:val="0"/>
                                                          <w:marRight w:val="0"/>
                                                          <w:marTop w:val="0"/>
                                                          <w:marBottom w:val="0"/>
                                                          <w:divBdr>
                                                            <w:top w:val="none" w:sz="0" w:space="0" w:color="auto"/>
                                                            <w:left w:val="none" w:sz="0" w:space="0" w:color="auto"/>
                                                            <w:bottom w:val="none" w:sz="0" w:space="0" w:color="auto"/>
                                                            <w:right w:val="none" w:sz="0" w:space="0" w:color="auto"/>
                                                          </w:divBdr>
                                                          <w:divsChild>
                                                            <w:div w:id="1820878361">
                                                              <w:marLeft w:val="0"/>
                                                              <w:marRight w:val="0"/>
                                                              <w:marTop w:val="0"/>
                                                              <w:marBottom w:val="0"/>
                                                              <w:divBdr>
                                                                <w:top w:val="none" w:sz="0" w:space="0" w:color="auto"/>
                                                                <w:left w:val="none" w:sz="0" w:space="0" w:color="auto"/>
                                                                <w:bottom w:val="none" w:sz="0" w:space="0" w:color="auto"/>
                                                                <w:right w:val="none" w:sz="0" w:space="0" w:color="auto"/>
                                                              </w:divBdr>
                                                              <w:divsChild>
                                                                <w:div w:id="1799032512">
                                                                  <w:marLeft w:val="0"/>
                                                                  <w:marRight w:val="0"/>
                                                                  <w:marTop w:val="0"/>
                                                                  <w:marBottom w:val="0"/>
                                                                  <w:divBdr>
                                                                    <w:top w:val="none" w:sz="0" w:space="0" w:color="auto"/>
                                                                    <w:left w:val="none" w:sz="0" w:space="0" w:color="auto"/>
                                                                    <w:bottom w:val="none" w:sz="0" w:space="0" w:color="auto"/>
                                                                    <w:right w:val="none" w:sz="0" w:space="0" w:color="auto"/>
                                                                  </w:divBdr>
                                                                  <w:divsChild>
                                                                    <w:div w:id="1783574270">
                                                                      <w:marLeft w:val="0"/>
                                                                      <w:marRight w:val="0"/>
                                                                      <w:marTop w:val="0"/>
                                                                      <w:marBottom w:val="0"/>
                                                                      <w:divBdr>
                                                                        <w:top w:val="none" w:sz="0" w:space="0" w:color="auto"/>
                                                                        <w:left w:val="none" w:sz="0" w:space="0" w:color="auto"/>
                                                                        <w:bottom w:val="none" w:sz="0" w:space="0" w:color="auto"/>
                                                                        <w:right w:val="none" w:sz="0" w:space="0" w:color="auto"/>
                                                                      </w:divBdr>
                                                                      <w:divsChild>
                                                                        <w:div w:id="1836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8078545">
          <w:marLeft w:val="0"/>
          <w:marRight w:val="0"/>
          <w:marTop w:val="0"/>
          <w:marBottom w:val="0"/>
          <w:divBdr>
            <w:top w:val="none" w:sz="0" w:space="0" w:color="auto"/>
            <w:left w:val="none" w:sz="0" w:space="0" w:color="auto"/>
            <w:bottom w:val="none" w:sz="0" w:space="0" w:color="auto"/>
            <w:right w:val="none" w:sz="0" w:space="0" w:color="auto"/>
          </w:divBdr>
          <w:divsChild>
            <w:div w:id="1350444940">
              <w:marLeft w:val="0"/>
              <w:marRight w:val="0"/>
              <w:marTop w:val="0"/>
              <w:marBottom w:val="0"/>
              <w:divBdr>
                <w:top w:val="none" w:sz="0" w:space="0" w:color="auto"/>
                <w:left w:val="none" w:sz="0" w:space="0" w:color="auto"/>
                <w:bottom w:val="none" w:sz="0" w:space="0" w:color="auto"/>
                <w:right w:val="none" w:sz="0" w:space="0" w:color="auto"/>
              </w:divBdr>
              <w:divsChild>
                <w:div w:id="683750966">
                  <w:marLeft w:val="0"/>
                  <w:marRight w:val="0"/>
                  <w:marTop w:val="0"/>
                  <w:marBottom w:val="0"/>
                  <w:divBdr>
                    <w:top w:val="none" w:sz="0" w:space="0" w:color="auto"/>
                    <w:left w:val="none" w:sz="0" w:space="0" w:color="auto"/>
                    <w:bottom w:val="none" w:sz="0" w:space="0" w:color="auto"/>
                    <w:right w:val="none" w:sz="0" w:space="0" w:color="auto"/>
                  </w:divBdr>
                  <w:divsChild>
                    <w:div w:id="1437212792">
                      <w:marLeft w:val="0"/>
                      <w:marRight w:val="0"/>
                      <w:marTop w:val="0"/>
                      <w:marBottom w:val="0"/>
                      <w:divBdr>
                        <w:top w:val="none" w:sz="0" w:space="0" w:color="auto"/>
                        <w:left w:val="none" w:sz="0" w:space="0" w:color="auto"/>
                        <w:bottom w:val="none" w:sz="0" w:space="0" w:color="auto"/>
                        <w:right w:val="none" w:sz="0" w:space="0" w:color="auto"/>
                      </w:divBdr>
                      <w:divsChild>
                        <w:div w:id="1813404570">
                          <w:marLeft w:val="0"/>
                          <w:marRight w:val="0"/>
                          <w:marTop w:val="0"/>
                          <w:marBottom w:val="0"/>
                          <w:divBdr>
                            <w:top w:val="none" w:sz="0" w:space="0" w:color="auto"/>
                            <w:left w:val="none" w:sz="0" w:space="0" w:color="auto"/>
                            <w:bottom w:val="none" w:sz="0" w:space="0" w:color="auto"/>
                            <w:right w:val="none" w:sz="0" w:space="0" w:color="auto"/>
                          </w:divBdr>
                          <w:divsChild>
                            <w:div w:id="604922973">
                              <w:marLeft w:val="0"/>
                              <w:marRight w:val="0"/>
                              <w:marTop w:val="0"/>
                              <w:marBottom w:val="0"/>
                              <w:divBdr>
                                <w:top w:val="none" w:sz="0" w:space="0" w:color="auto"/>
                                <w:left w:val="none" w:sz="0" w:space="0" w:color="auto"/>
                                <w:bottom w:val="none" w:sz="0" w:space="0" w:color="auto"/>
                                <w:right w:val="none" w:sz="0" w:space="0" w:color="auto"/>
                              </w:divBdr>
                              <w:divsChild>
                                <w:div w:id="1512065056">
                                  <w:marLeft w:val="0"/>
                                  <w:marRight w:val="0"/>
                                  <w:marTop w:val="0"/>
                                  <w:marBottom w:val="0"/>
                                  <w:divBdr>
                                    <w:top w:val="none" w:sz="0" w:space="0" w:color="auto"/>
                                    <w:left w:val="none" w:sz="0" w:space="0" w:color="auto"/>
                                    <w:bottom w:val="none" w:sz="0" w:space="0" w:color="auto"/>
                                    <w:right w:val="none" w:sz="0" w:space="0" w:color="auto"/>
                                  </w:divBdr>
                                  <w:divsChild>
                                    <w:div w:id="110979869">
                                      <w:marLeft w:val="0"/>
                                      <w:marRight w:val="0"/>
                                      <w:marTop w:val="0"/>
                                      <w:marBottom w:val="0"/>
                                      <w:divBdr>
                                        <w:top w:val="none" w:sz="0" w:space="0" w:color="auto"/>
                                        <w:left w:val="none" w:sz="0" w:space="0" w:color="auto"/>
                                        <w:bottom w:val="none" w:sz="0" w:space="0" w:color="auto"/>
                                        <w:right w:val="none" w:sz="0" w:space="0" w:color="auto"/>
                                      </w:divBdr>
                                      <w:divsChild>
                                        <w:div w:id="1911693371">
                                          <w:marLeft w:val="0"/>
                                          <w:marRight w:val="0"/>
                                          <w:marTop w:val="0"/>
                                          <w:marBottom w:val="0"/>
                                          <w:divBdr>
                                            <w:top w:val="none" w:sz="0" w:space="0" w:color="auto"/>
                                            <w:left w:val="none" w:sz="0" w:space="0" w:color="auto"/>
                                            <w:bottom w:val="none" w:sz="0" w:space="0" w:color="auto"/>
                                            <w:right w:val="none" w:sz="0" w:space="0" w:color="auto"/>
                                          </w:divBdr>
                                          <w:divsChild>
                                            <w:div w:id="1152523396">
                                              <w:marLeft w:val="0"/>
                                              <w:marRight w:val="0"/>
                                              <w:marTop w:val="0"/>
                                              <w:marBottom w:val="0"/>
                                              <w:divBdr>
                                                <w:top w:val="none" w:sz="0" w:space="0" w:color="auto"/>
                                                <w:left w:val="none" w:sz="0" w:space="0" w:color="auto"/>
                                                <w:bottom w:val="none" w:sz="0" w:space="0" w:color="auto"/>
                                                <w:right w:val="none" w:sz="0" w:space="0" w:color="auto"/>
                                              </w:divBdr>
                                              <w:divsChild>
                                                <w:div w:id="2033649703">
                                                  <w:marLeft w:val="0"/>
                                                  <w:marRight w:val="0"/>
                                                  <w:marTop w:val="0"/>
                                                  <w:marBottom w:val="0"/>
                                                  <w:divBdr>
                                                    <w:top w:val="none" w:sz="0" w:space="0" w:color="auto"/>
                                                    <w:left w:val="none" w:sz="0" w:space="0" w:color="auto"/>
                                                    <w:bottom w:val="none" w:sz="0" w:space="0" w:color="auto"/>
                                                    <w:right w:val="none" w:sz="0" w:space="0" w:color="auto"/>
                                                  </w:divBdr>
                                                  <w:divsChild>
                                                    <w:div w:id="149372762">
                                                      <w:marLeft w:val="0"/>
                                                      <w:marRight w:val="0"/>
                                                      <w:marTop w:val="0"/>
                                                      <w:marBottom w:val="0"/>
                                                      <w:divBdr>
                                                        <w:top w:val="none" w:sz="0" w:space="0" w:color="auto"/>
                                                        <w:left w:val="none" w:sz="0" w:space="0" w:color="auto"/>
                                                        <w:bottom w:val="none" w:sz="0" w:space="0" w:color="auto"/>
                                                        <w:right w:val="none" w:sz="0" w:space="0" w:color="auto"/>
                                                      </w:divBdr>
                                                      <w:divsChild>
                                                        <w:div w:id="2002614764">
                                                          <w:marLeft w:val="0"/>
                                                          <w:marRight w:val="0"/>
                                                          <w:marTop w:val="0"/>
                                                          <w:marBottom w:val="0"/>
                                                          <w:divBdr>
                                                            <w:top w:val="none" w:sz="0" w:space="0" w:color="auto"/>
                                                            <w:left w:val="none" w:sz="0" w:space="0" w:color="auto"/>
                                                            <w:bottom w:val="none" w:sz="0" w:space="0" w:color="auto"/>
                                                            <w:right w:val="none" w:sz="0" w:space="0" w:color="auto"/>
                                                          </w:divBdr>
                                                          <w:divsChild>
                                                            <w:div w:id="1834639003">
                                                              <w:marLeft w:val="0"/>
                                                              <w:marRight w:val="0"/>
                                                              <w:marTop w:val="0"/>
                                                              <w:marBottom w:val="0"/>
                                                              <w:divBdr>
                                                                <w:top w:val="none" w:sz="0" w:space="0" w:color="auto"/>
                                                                <w:left w:val="none" w:sz="0" w:space="0" w:color="auto"/>
                                                                <w:bottom w:val="none" w:sz="0" w:space="0" w:color="auto"/>
                                                                <w:right w:val="none" w:sz="0" w:space="0" w:color="auto"/>
                                                              </w:divBdr>
                                                              <w:divsChild>
                                                                <w:div w:id="1384478451">
                                                                  <w:marLeft w:val="0"/>
                                                                  <w:marRight w:val="0"/>
                                                                  <w:marTop w:val="0"/>
                                                                  <w:marBottom w:val="0"/>
                                                                  <w:divBdr>
                                                                    <w:top w:val="none" w:sz="0" w:space="0" w:color="auto"/>
                                                                    <w:left w:val="none" w:sz="0" w:space="0" w:color="auto"/>
                                                                    <w:bottom w:val="none" w:sz="0" w:space="0" w:color="auto"/>
                                                                    <w:right w:val="none" w:sz="0" w:space="0" w:color="auto"/>
                                                                  </w:divBdr>
                                                                  <w:divsChild>
                                                                    <w:div w:id="2068455211">
                                                                      <w:marLeft w:val="0"/>
                                                                      <w:marRight w:val="0"/>
                                                                      <w:marTop w:val="0"/>
                                                                      <w:marBottom w:val="0"/>
                                                                      <w:divBdr>
                                                                        <w:top w:val="none" w:sz="0" w:space="0" w:color="auto"/>
                                                                        <w:left w:val="none" w:sz="0" w:space="0" w:color="auto"/>
                                                                        <w:bottom w:val="none" w:sz="0" w:space="0" w:color="auto"/>
                                                                        <w:right w:val="none" w:sz="0" w:space="0" w:color="auto"/>
                                                                      </w:divBdr>
                                                                      <w:divsChild>
                                                                        <w:div w:id="837963995">
                                                                          <w:marLeft w:val="0"/>
                                                                          <w:marRight w:val="0"/>
                                                                          <w:marTop w:val="0"/>
                                                                          <w:marBottom w:val="0"/>
                                                                          <w:divBdr>
                                                                            <w:top w:val="none" w:sz="0" w:space="0" w:color="auto"/>
                                                                            <w:left w:val="none" w:sz="0" w:space="0" w:color="auto"/>
                                                                            <w:bottom w:val="none" w:sz="0" w:space="0" w:color="auto"/>
                                                                            <w:right w:val="none" w:sz="0" w:space="0" w:color="auto"/>
                                                                          </w:divBdr>
                                                                          <w:divsChild>
                                                                            <w:div w:id="972832620">
                                                                              <w:marLeft w:val="0"/>
                                                                              <w:marRight w:val="0"/>
                                                                              <w:marTop w:val="0"/>
                                                                              <w:marBottom w:val="0"/>
                                                                              <w:divBdr>
                                                                                <w:top w:val="none" w:sz="0" w:space="0" w:color="auto"/>
                                                                                <w:left w:val="none" w:sz="0" w:space="0" w:color="auto"/>
                                                                                <w:bottom w:val="none" w:sz="0" w:space="0" w:color="auto"/>
                                                                                <w:right w:val="none" w:sz="0" w:space="0" w:color="auto"/>
                                                                              </w:divBdr>
                                                                              <w:divsChild>
                                                                                <w:div w:id="15213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6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69121">
                                                  <w:marLeft w:val="0"/>
                                                  <w:marRight w:val="0"/>
                                                  <w:marTop w:val="0"/>
                                                  <w:marBottom w:val="0"/>
                                                  <w:divBdr>
                                                    <w:top w:val="none" w:sz="0" w:space="0" w:color="auto"/>
                                                    <w:left w:val="none" w:sz="0" w:space="0" w:color="auto"/>
                                                    <w:bottom w:val="none" w:sz="0" w:space="0" w:color="auto"/>
                                                    <w:right w:val="none" w:sz="0" w:space="0" w:color="auto"/>
                                                  </w:divBdr>
                                                  <w:divsChild>
                                                    <w:div w:id="11044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946728">
          <w:marLeft w:val="0"/>
          <w:marRight w:val="0"/>
          <w:marTop w:val="0"/>
          <w:marBottom w:val="0"/>
          <w:divBdr>
            <w:top w:val="none" w:sz="0" w:space="0" w:color="auto"/>
            <w:left w:val="none" w:sz="0" w:space="0" w:color="auto"/>
            <w:bottom w:val="none" w:sz="0" w:space="0" w:color="auto"/>
            <w:right w:val="none" w:sz="0" w:space="0" w:color="auto"/>
          </w:divBdr>
          <w:divsChild>
            <w:div w:id="782962401">
              <w:marLeft w:val="0"/>
              <w:marRight w:val="0"/>
              <w:marTop w:val="0"/>
              <w:marBottom w:val="0"/>
              <w:divBdr>
                <w:top w:val="none" w:sz="0" w:space="0" w:color="auto"/>
                <w:left w:val="none" w:sz="0" w:space="0" w:color="auto"/>
                <w:bottom w:val="none" w:sz="0" w:space="0" w:color="auto"/>
                <w:right w:val="none" w:sz="0" w:space="0" w:color="auto"/>
              </w:divBdr>
              <w:divsChild>
                <w:div w:id="2030135845">
                  <w:marLeft w:val="0"/>
                  <w:marRight w:val="0"/>
                  <w:marTop w:val="0"/>
                  <w:marBottom w:val="0"/>
                  <w:divBdr>
                    <w:top w:val="none" w:sz="0" w:space="0" w:color="auto"/>
                    <w:left w:val="none" w:sz="0" w:space="0" w:color="auto"/>
                    <w:bottom w:val="none" w:sz="0" w:space="0" w:color="auto"/>
                    <w:right w:val="none" w:sz="0" w:space="0" w:color="auto"/>
                  </w:divBdr>
                  <w:divsChild>
                    <w:div w:id="231896356">
                      <w:marLeft w:val="0"/>
                      <w:marRight w:val="0"/>
                      <w:marTop w:val="0"/>
                      <w:marBottom w:val="0"/>
                      <w:divBdr>
                        <w:top w:val="none" w:sz="0" w:space="0" w:color="auto"/>
                        <w:left w:val="none" w:sz="0" w:space="0" w:color="auto"/>
                        <w:bottom w:val="none" w:sz="0" w:space="0" w:color="auto"/>
                        <w:right w:val="none" w:sz="0" w:space="0" w:color="auto"/>
                      </w:divBdr>
                    </w:div>
                    <w:div w:id="274530654">
                      <w:marLeft w:val="0"/>
                      <w:marRight w:val="0"/>
                      <w:marTop w:val="0"/>
                      <w:marBottom w:val="0"/>
                      <w:divBdr>
                        <w:top w:val="none" w:sz="0" w:space="0" w:color="auto"/>
                        <w:left w:val="none" w:sz="0" w:space="0" w:color="auto"/>
                        <w:bottom w:val="none" w:sz="0" w:space="0" w:color="auto"/>
                        <w:right w:val="none" w:sz="0" w:space="0" w:color="auto"/>
                      </w:divBdr>
                      <w:divsChild>
                        <w:div w:id="427655094">
                          <w:marLeft w:val="0"/>
                          <w:marRight w:val="0"/>
                          <w:marTop w:val="0"/>
                          <w:marBottom w:val="0"/>
                          <w:divBdr>
                            <w:top w:val="none" w:sz="0" w:space="0" w:color="auto"/>
                            <w:left w:val="none" w:sz="0" w:space="0" w:color="auto"/>
                            <w:bottom w:val="none" w:sz="0" w:space="0" w:color="auto"/>
                            <w:right w:val="none" w:sz="0" w:space="0" w:color="auto"/>
                          </w:divBdr>
                          <w:divsChild>
                            <w:div w:id="1403405404">
                              <w:marLeft w:val="0"/>
                              <w:marRight w:val="0"/>
                              <w:marTop w:val="0"/>
                              <w:marBottom w:val="0"/>
                              <w:divBdr>
                                <w:top w:val="none" w:sz="0" w:space="0" w:color="auto"/>
                                <w:left w:val="none" w:sz="0" w:space="0" w:color="auto"/>
                                <w:bottom w:val="none" w:sz="0" w:space="0" w:color="auto"/>
                                <w:right w:val="none" w:sz="0" w:space="0" w:color="auto"/>
                              </w:divBdr>
                              <w:divsChild>
                                <w:div w:id="555897617">
                                  <w:marLeft w:val="0"/>
                                  <w:marRight w:val="0"/>
                                  <w:marTop w:val="0"/>
                                  <w:marBottom w:val="0"/>
                                  <w:divBdr>
                                    <w:top w:val="none" w:sz="0" w:space="0" w:color="auto"/>
                                    <w:left w:val="none" w:sz="0" w:space="0" w:color="auto"/>
                                    <w:bottom w:val="none" w:sz="0" w:space="0" w:color="auto"/>
                                    <w:right w:val="none" w:sz="0" w:space="0" w:color="auto"/>
                                  </w:divBdr>
                                  <w:divsChild>
                                    <w:div w:id="1988852665">
                                      <w:marLeft w:val="0"/>
                                      <w:marRight w:val="0"/>
                                      <w:marTop w:val="0"/>
                                      <w:marBottom w:val="0"/>
                                      <w:divBdr>
                                        <w:top w:val="none" w:sz="0" w:space="0" w:color="auto"/>
                                        <w:left w:val="none" w:sz="0" w:space="0" w:color="auto"/>
                                        <w:bottom w:val="none" w:sz="0" w:space="0" w:color="auto"/>
                                        <w:right w:val="none" w:sz="0" w:space="0" w:color="auto"/>
                                      </w:divBdr>
                                      <w:divsChild>
                                        <w:div w:id="2143571963">
                                          <w:marLeft w:val="0"/>
                                          <w:marRight w:val="0"/>
                                          <w:marTop w:val="0"/>
                                          <w:marBottom w:val="0"/>
                                          <w:divBdr>
                                            <w:top w:val="none" w:sz="0" w:space="0" w:color="auto"/>
                                            <w:left w:val="none" w:sz="0" w:space="0" w:color="auto"/>
                                            <w:bottom w:val="none" w:sz="0" w:space="0" w:color="auto"/>
                                            <w:right w:val="none" w:sz="0" w:space="0" w:color="auto"/>
                                          </w:divBdr>
                                          <w:divsChild>
                                            <w:div w:id="206770437">
                                              <w:marLeft w:val="0"/>
                                              <w:marRight w:val="0"/>
                                              <w:marTop w:val="0"/>
                                              <w:marBottom w:val="0"/>
                                              <w:divBdr>
                                                <w:top w:val="none" w:sz="0" w:space="0" w:color="auto"/>
                                                <w:left w:val="none" w:sz="0" w:space="0" w:color="auto"/>
                                                <w:bottom w:val="none" w:sz="0" w:space="0" w:color="auto"/>
                                                <w:right w:val="none" w:sz="0" w:space="0" w:color="auto"/>
                                              </w:divBdr>
                                              <w:divsChild>
                                                <w:div w:id="533536951">
                                                  <w:marLeft w:val="0"/>
                                                  <w:marRight w:val="0"/>
                                                  <w:marTop w:val="0"/>
                                                  <w:marBottom w:val="0"/>
                                                  <w:divBdr>
                                                    <w:top w:val="none" w:sz="0" w:space="0" w:color="auto"/>
                                                    <w:left w:val="none" w:sz="0" w:space="0" w:color="auto"/>
                                                    <w:bottom w:val="none" w:sz="0" w:space="0" w:color="auto"/>
                                                    <w:right w:val="none" w:sz="0" w:space="0" w:color="auto"/>
                                                  </w:divBdr>
                                                  <w:divsChild>
                                                    <w:div w:id="1464614247">
                                                      <w:marLeft w:val="0"/>
                                                      <w:marRight w:val="0"/>
                                                      <w:marTop w:val="0"/>
                                                      <w:marBottom w:val="0"/>
                                                      <w:divBdr>
                                                        <w:top w:val="none" w:sz="0" w:space="0" w:color="auto"/>
                                                        <w:left w:val="none" w:sz="0" w:space="0" w:color="auto"/>
                                                        <w:bottom w:val="none" w:sz="0" w:space="0" w:color="auto"/>
                                                        <w:right w:val="none" w:sz="0" w:space="0" w:color="auto"/>
                                                      </w:divBdr>
                                                      <w:divsChild>
                                                        <w:div w:id="977339678">
                                                          <w:marLeft w:val="0"/>
                                                          <w:marRight w:val="0"/>
                                                          <w:marTop w:val="0"/>
                                                          <w:marBottom w:val="0"/>
                                                          <w:divBdr>
                                                            <w:top w:val="none" w:sz="0" w:space="0" w:color="auto"/>
                                                            <w:left w:val="none" w:sz="0" w:space="0" w:color="auto"/>
                                                            <w:bottom w:val="none" w:sz="0" w:space="0" w:color="auto"/>
                                                            <w:right w:val="none" w:sz="0" w:space="0" w:color="auto"/>
                                                          </w:divBdr>
                                                          <w:divsChild>
                                                            <w:div w:id="1800491433">
                                                              <w:marLeft w:val="0"/>
                                                              <w:marRight w:val="0"/>
                                                              <w:marTop w:val="0"/>
                                                              <w:marBottom w:val="0"/>
                                                              <w:divBdr>
                                                                <w:top w:val="none" w:sz="0" w:space="0" w:color="auto"/>
                                                                <w:left w:val="none" w:sz="0" w:space="0" w:color="auto"/>
                                                                <w:bottom w:val="none" w:sz="0" w:space="0" w:color="auto"/>
                                                                <w:right w:val="none" w:sz="0" w:space="0" w:color="auto"/>
                                                              </w:divBdr>
                                                              <w:divsChild>
                                                                <w:div w:id="2011833833">
                                                                  <w:marLeft w:val="0"/>
                                                                  <w:marRight w:val="0"/>
                                                                  <w:marTop w:val="0"/>
                                                                  <w:marBottom w:val="0"/>
                                                                  <w:divBdr>
                                                                    <w:top w:val="none" w:sz="0" w:space="0" w:color="auto"/>
                                                                    <w:left w:val="none" w:sz="0" w:space="0" w:color="auto"/>
                                                                    <w:bottom w:val="none" w:sz="0" w:space="0" w:color="auto"/>
                                                                    <w:right w:val="none" w:sz="0" w:space="0" w:color="auto"/>
                                                                  </w:divBdr>
                                                                  <w:divsChild>
                                                                    <w:div w:id="1371804419">
                                                                      <w:marLeft w:val="0"/>
                                                                      <w:marRight w:val="0"/>
                                                                      <w:marTop w:val="0"/>
                                                                      <w:marBottom w:val="0"/>
                                                                      <w:divBdr>
                                                                        <w:top w:val="none" w:sz="0" w:space="0" w:color="auto"/>
                                                                        <w:left w:val="none" w:sz="0" w:space="0" w:color="auto"/>
                                                                        <w:bottom w:val="none" w:sz="0" w:space="0" w:color="auto"/>
                                                                        <w:right w:val="none" w:sz="0" w:space="0" w:color="auto"/>
                                                                      </w:divBdr>
                                                                      <w:divsChild>
                                                                        <w:div w:id="2031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764178">
          <w:marLeft w:val="0"/>
          <w:marRight w:val="0"/>
          <w:marTop w:val="0"/>
          <w:marBottom w:val="0"/>
          <w:divBdr>
            <w:top w:val="none" w:sz="0" w:space="0" w:color="auto"/>
            <w:left w:val="none" w:sz="0" w:space="0" w:color="auto"/>
            <w:bottom w:val="none" w:sz="0" w:space="0" w:color="auto"/>
            <w:right w:val="none" w:sz="0" w:space="0" w:color="auto"/>
          </w:divBdr>
          <w:divsChild>
            <w:div w:id="1517228663">
              <w:marLeft w:val="0"/>
              <w:marRight w:val="0"/>
              <w:marTop w:val="0"/>
              <w:marBottom w:val="0"/>
              <w:divBdr>
                <w:top w:val="none" w:sz="0" w:space="0" w:color="auto"/>
                <w:left w:val="none" w:sz="0" w:space="0" w:color="auto"/>
                <w:bottom w:val="none" w:sz="0" w:space="0" w:color="auto"/>
                <w:right w:val="none" w:sz="0" w:space="0" w:color="auto"/>
              </w:divBdr>
              <w:divsChild>
                <w:div w:id="789401642">
                  <w:marLeft w:val="0"/>
                  <w:marRight w:val="0"/>
                  <w:marTop w:val="0"/>
                  <w:marBottom w:val="0"/>
                  <w:divBdr>
                    <w:top w:val="none" w:sz="0" w:space="0" w:color="auto"/>
                    <w:left w:val="none" w:sz="0" w:space="0" w:color="auto"/>
                    <w:bottom w:val="none" w:sz="0" w:space="0" w:color="auto"/>
                    <w:right w:val="none" w:sz="0" w:space="0" w:color="auto"/>
                  </w:divBdr>
                  <w:divsChild>
                    <w:div w:id="670260395">
                      <w:marLeft w:val="0"/>
                      <w:marRight w:val="0"/>
                      <w:marTop w:val="0"/>
                      <w:marBottom w:val="0"/>
                      <w:divBdr>
                        <w:top w:val="none" w:sz="0" w:space="0" w:color="auto"/>
                        <w:left w:val="none" w:sz="0" w:space="0" w:color="auto"/>
                        <w:bottom w:val="none" w:sz="0" w:space="0" w:color="auto"/>
                        <w:right w:val="none" w:sz="0" w:space="0" w:color="auto"/>
                      </w:divBdr>
                      <w:divsChild>
                        <w:div w:id="1546674647">
                          <w:marLeft w:val="0"/>
                          <w:marRight w:val="0"/>
                          <w:marTop w:val="0"/>
                          <w:marBottom w:val="0"/>
                          <w:divBdr>
                            <w:top w:val="none" w:sz="0" w:space="0" w:color="auto"/>
                            <w:left w:val="none" w:sz="0" w:space="0" w:color="auto"/>
                            <w:bottom w:val="none" w:sz="0" w:space="0" w:color="auto"/>
                            <w:right w:val="none" w:sz="0" w:space="0" w:color="auto"/>
                          </w:divBdr>
                          <w:divsChild>
                            <w:div w:id="669143618">
                              <w:marLeft w:val="0"/>
                              <w:marRight w:val="0"/>
                              <w:marTop w:val="0"/>
                              <w:marBottom w:val="0"/>
                              <w:divBdr>
                                <w:top w:val="none" w:sz="0" w:space="0" w:color="auto"/>
                                <w:left w:val="none" w:sz="0" w:space="0" w:color="auto"/>
                                <w:bottom w:val="none" w:sz="0" w:space="0" w:color="auto"/>
                                <w:right w:val="none" w:sz="0" w:space="0" w:color="auto"/>
                              </w:divBdr>
                              <w:divsChild>
                                <w:div w:id="794176616">
                                  <w:marLeft w:val="0"/>
                                  <w:marRight w:val="0"/>
                                  <w:marTop w:val="0"/>
                                  <w:marBottom w:val="0"/>
                                  <w:divBdr>
                                    <w:top w:val="none" w:sz="0" w:space="0" w:color="auto"/>
                                    <w:left w:val="none" w:sz="0" w:space="0" w:color="auto"/>
                                    <w:bottom w:val="none" w:sz="0" w:space="0" w:color="auto"/>
                                    <w:right w:val="none" w:sz="0" w:space="0" w:color="auto"/>
                                  </w:divBdr>
                                  <w:divsChild>
                                    <w:div w:id="854270356">
                                      <w:marLeft w:val="0"/>
                                      <w:marRight w:val="0"/>
                                      <w:marTop w:val="0"/>
                                      <w:marBottom w:val="0"/>
                                      <w:divBdr>
                                        <w:top w:val="none" w:sz="0" w:space="0" w:color="auto"/>
                                        <w:left w:val="none" w:sz="0" w:space="0" w:color="auto"/>
                                        <w:bottom w:val="none" w:sz="0" w:space="0" w:color="auto"/>
                                        <w:right w:val="none" w:sz="0" w:space="0" w:color="auto"/>
                                      </w:divBdr>
                                      <w:divsChild>
                                        <w:div w:id="13711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097">
          <w:marLeft w:val="0"/>
          <w:marRight w:val="0"/>
          <w:marTop w:val="0"/>
          <w:marBottom w:val="0"/>
          <w:divBdr>
            <w:top w:val="none" w:sz="0" w:space="0" w:color="auto"/>
            <w:left w:val="none" w:sz="0" w:space="0" w:color="auto"/>
            <w:bottom w:val="none" w:sz="0" w:space="0" w:color="auto"/>
            <w:right w:val="none" w:sz="0" w:space="0" w:color="auto"/>
          </w:divBdr>
          <w:divsChild>
            <w:div w:id="809829087">
              <w:marLeft w:val="0"/>
              <w:marRight w:val="0"/>
              <w:marTop w:val="0"/>
              <w:marBottom w:val="0"/>
              <w:divBdr>
                <w:top w:val="none" w:sz="0" w:space="0" w:color="auto"/>
                <w:left w:val="none" w:sz="0" w:space="0" w:color="auto"/>
                <w:bottom w:val="none" w:sz="0" w:space="0" w:color="auto"/>
                <w:right w:val="none" w:sz="0" w:space="0" w:color="auto"/>
              </w:divBdr>
            </w:div>
          </w:divsChild>
        </w:div>
        <w:div w:id="304701704">
          <w:marLeft w:val="0"/>
          <w:marRight w:val="0"/>
          <w:marTop w:val="0"/>
          <w:marBottom w:val="0"/>
          <w:divBdr>
            <w:top w:val="none" w:sz="0" w:space="0" w:color="auto"/>
            <w:left w:val="none" w:sz="0" w:space="0" w:color="auto"/>
            <w:bottom w:val="none" w:sz="0" w:space="0" w:color="auto"/>
            <w:right w:val="none" w:sz="0" w:space="0" w:color="auto"/>
          </w:divBdr>
          <w:divsChild>
            <w:div w:id="1267693693">
              <w:marLeft w:val="0"/>
              <w:marRight w:val="0"/>
              <w:marTop w:val="0"/>
              <w:marBottom w:val="0"/>
              <w:divBdr>
                <w:top w:val="none" w:sz="0" w:space="0" w:color="auto"/>
                <w:left w:val="none" w:sz="0" w:space="0" w:color="auto"/>
                <w:bottom w:val="none" w:sz="0" w:space="0" w:color="auto"/>
                <w:right w:val="none" w:sz="0" w:space="0" w:color="auto"/>
              </w:divBdr>
              <w:divsChild>
                <w:div w:id="1550190893">
                  <w:marLeft w:val="0"/>
                  <w:marRight w:val="0"/>
                  <w:marTop w:val="0"/>
                  <w:marBottom w:val="0"/>
                  <w:divBdr>
                    <w:top w:val="none" w:sz="0" w:space="0" w:color="auto"/>
                    <w:left w:val="none" w:sz="0" w:space="0" w:color="auto"/>
                    <w:bottom w:val="none" w:sz="0" w:space="0" w:color="auto"/>
                    <w:right w:val="none" w:sz="0" w:space="0" w:color="auto"/>
                  </w:divBdr>
                  <w:divsChild>
                    <w:div w:id="1418281120">
                      <w:marLeft w:val="0"/>
                      <w:marRight w:val="0"/>
                      <w:marTop w:val="0"/>
                      <w:marBottom w:val="0"/>
                      <w:divBdr>
                        <w:top w:val="none" w:sz="0" w:space="0" w:color="auto"/>
                        <w:left w:val="none" w:sz="0" w:space="0" w:color="auto"/>
                        <w:bottom w:val="none" w:sz="0" w:space="0" w:color="auto"/>
                        <w:right w:val="none" w:sz="0" w:space="0" w:color="auto"/>
                      </w:divBdr>
                      <w:divsChild>
                        <w:div w:id="949899958">
                          <w:marLeft w:val="0"/>
                          <w:marRight w:val="0"/>
                          <w:marTop w:val="0"/>
                          <w:marBottom w:val="0"/>
                          <w:divBdr>
                            <w:top w:val="none" w:sz="0" w:space="0" w:color="auto"/>
                            <w:left w:val="none" w:sz="0" w:space="0" w:color="auto"/>
                            <w:bottom w:val="none" w:sz="0" w:space="0" w:color="auto"/>
                            <w:right w:val="none" w:sz="0" w:space="0" w:color="auto"/>
                          </w:divBdr>
                          <w:divsChild>
                            <w:div w:id="542983054">
                              <w:marLeft w:val="0"/>
                              <w:marRight w:val="0"/>
                              <w:marTop w:val="0"/>
                              <w:marBottom w:val="0"/>
                              <w:divBdr>
                                <w:top w:val="none" w:sz="0" w:space="0" w:color="auto"/>
                                <w:left w:val="none" w:sz="0" w:space="0" w:color="auto"/>
                                <w:bottom w:val="none" w:sz="0" w:space="0" w:color="auto"/>
                                <w:right w:val="none" w:sz="0" w:space="0" w:color="auto"/>
                              </w:divBdr>
                              <w:divsChild>
                                <w:div w:id="464615777">
                                  <w:marLeft w:val="0"/>
                                  <w:marRight w:val="0"/>
                                  <w:marTop w:val="0"/>
                                  <w:marBottom w:val="0"/>
                                  <w:divBdr>
                                    <w:top w:val="none" w:sz="0" w:space="0" w:color="auto"/>
                                    <w:left w:val="none" w:sz="0" w:space="0" w:color="auto"/>
                                    <w:bottom w:val="none" w:sz="0" w:space="0" w:color="auto"/>
                                    <w:right w:val="none" w:sz="0" w:space="0" w:color="auto"/>
                                  </w:divBdr>
                                  <w:divsChild>
                                    <w:div w:id="185605917">
                                      <w:marLeft w:val="0"/>
                                      <w:marRight w:val="0"/>
                                      <w:marTop w:val="0"/>
                                      <w:marBottom w:val="0"/>
                                      <w:divBdr>
                                        <w:top w:val="none" w:sz="0" w:space="0" w:color="auto"/>
                                        <w:left w:val="none" w:sz="0" w:space="0" w:color="auto"/>
                                        <w:bottom w:val="none" w:sz="0" w:space="0" w:color="auto"/>
                                        <w:right w:val="none" w:sz="0" w:space="0" w:color="auto"/>
                                      </w:divBdr>
                                      <w:divsChild>
                                        <w:div w:id="1503201060">
                                          <w:marLeft w:val="0"/>
                                          <w:marRight w:val="0"/>
                                          <w:marTop w:val="0"/>
                                          <w:marBottom w:val="0"/>
                                          <w:divBdr>
                                            <w:top w:val="none" w:sz="0" w:space="0" w:color="auto"/>
                                            <w:left w:val="none" w:sz="0" w:space="0" w:color="auto"/>
                                            <w:bottom w:val="none" w:sz="0" w:space="0" w:color="auto"/>
                                            <w:right w:val="none" w:sz="0" w:space="0" w:color="auto"/>
                                          </w:divBdr>
                                          <w:divsChild>
                                            <w:div w:id="2122454944">
                                              <w:marLeft w:val="0"/>
                                              <w:marRight w:val="0"/>
                                              <w:marTop w:val="0"/>
                                              <w:marBottom w:val="0"/>
                                              <w:divBdr>
                                                <w:top w:val="none" w:sz="0" w:space="0" w:color="auto"/>
                                                <w:left w:val="none" w:sz="0" w:space="0" w:color="auto"/>
                                                <w:bottom w:val="none" w:sz="0" w:space="0" w:color="auto"/>
                                                <w:right w:val="none" w:sz="0" w:space="0" w:color="auto"/>
                                              </w:divBdr>
                                              <w:divsChild>
                                                <w:div w:id="1596792534">
                                                  <w:marLeft w:val="0"/>
                                                  <w:marRight w:val="0"/>
                                                  <w:marTop w:val="0"/>
                                                  <w:marBottom w:val="0"/>
                                                  <w:divBdr>
                                                    <w:top w:val="none" w:sz="0" w:space="0" w:color="auto"/>
                                                    <w:left w:val="none" w:sz="0" w:space="0" w:color="auto"/>
                                                    <w:bottom w:val="none" w:sz="0" w:space="0" w:color="auto"/>
                                                    <w:right w:val="none" w:sz="0" w:space="0" w:color="auto"/>
                                                  </w:divBdr>
                                                  <w:divsChild>
                                                    <w:div w:id="1368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1682">
                          <w:marLeft w:val="0"/>
                          <w:marRight w:val="0"/>
                          <w:marTop w:val="0"/>
                          <w:marBottom w:val="0"/>
                          <w:divBdr>
                            <w:top w:val="none" w:sz="0" w:space="0" w:color="auto"/>
                            <w:left w:val="none" w:sz="0" w:space="0" w:color="auto"/>
                            <w:bottom w:val="none" w:sz="0" w:space="0" w:color="auto"/>
                            <w:right w:val="none" w:sz="0" w:space="0" w:color="auto"/>
                          </w:divBdr>
                          <w:divsChild>
                            <w:div w:id="2079011779">
                              <w:marLeft w:val="0"/>
                              <w:marRight w:val="0"/>
                              <w:marTop w:val="0"/>
                              <w:marBottom w:val="0"/>
                              <w:divBdr>
                                <w:top w:val="none" w:sz="0" w:space="0" w:color="auto"/>
                                <w:left w:val="none" w:sz="0" w:space="0" w:color="auto"/>
                                <w:bottom w:val="none" w:sz="0" w:space="0" w:color="auto"/>
                                <w:right w:val="none" w:sz="0" w:space="0" w:color="auto"/>
                              </w:divBdr>
                              <w:divsChild>
                                <w:div w:id="1509632109">
                                  <w:marLeft w:val="0"/>
                                  <w:marRight w:val="0"/>
                                  <w:marTop w:val="0"/>
                                  <w:marBottom w:val="0"/>
                                  <w:divBdr>
                                    <w:top w:val="none" w:sz="0" w:space="0" w:color="auto"/>
                                    <w:left w:val="none" w:sz="0" w:space="0" w:color="auto"/>
                                    <w:bottom w:val="none" w:sz="0" w:space="0" w:color="auto"/>
                                    <w:right w:val="none" w:sz="0" w:space="0" w:color="auto"/>
                                  </w:divBdr>
                                  <w:divsChild>
                                    <w:div w:id="542403947">
                                      <w:marLeft w:val="0"/>
                                      <w:marRight w:val="0"/>
                                      <w:marTop w:val="0"/>
                                      <w:marBottom w:val="0"/>
                                      <w:divBdr>
                                        <w:top w:val="none" w:sz="0" w:space="0" w:color="auto"/>
                                        <w:left w:val="none" w:sz="0" w:space="0" w:color="auto"/>
                                        <w:bottom w:val="none" w:sz="0" w:space="0" w:color="auto"/>
                                        <w:right w:val="none" w:sz="0" w:space="0" w:color="auto"/>
                                      </w:divBdr>
                                      <w:divsChild>
                                        <w:div w:id="3579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60214">
                  <w:marLeft w:val="0"/>
                  <w:marRight w:val="0"/>
                  <w:marTop w:val="0"/>
                  <w:marBottom w:val="0"/>
                  <w:divBdr>
                    <w:top w:val="none" w:sz="0" w:space="0" w:color="auto"/>
                    <w:left w:val="none" w:sz="0" w:space="0" w:color="auto"/>
                    <w:bottom w:val="none" w:sz="0" w:space="0" w:color="auto"/>
                    <w:right w:val="none" w:sz="0" w:space="0" w:color="auto"/>
                  </w:divBdr>
                  <w:divsChild>
                    <w:div w:id="1707027439">
                      <w:marLeft w:val="0"/>
                      <w:marRight w:val="0"/>
                      <w:marTop w:val="0"/>
                      <w:marBottom w:val="0"/>
                      <w:divBdr>
                        <w:top w:val="none" w:sz="0" w:space="0" w:color="auto"/>
                        <w:left w:val="none" w:sz="0" w:space="0" w:color="auto"/>
                        <w:bottom w:val="none" w:sz="0" w:space="0" w:color="auto"/>
                        <w:right w:val="none" w:sz="0" w:space="0" w:color="auto"/>
                      </w:divBdr>
                      <w:divsChild>
                        <w:div w:id="324626302">
                          <w:marLeft w:val="0"/>
                          <w:marRight w:val="0"/>
                          <w:marTop w:val="0"/>
                          <w:marBottom w:val="0"/>
                          <w:divBdr>
                            <w:top w:val="none" w:sz="0" w:space="0" w:color="auto"/>
                            <w:left w:val="none" w:sz="0" w:space="0" w:color="auto"/>
                            <w:bottom w:val="none" w:sz="0" w:space="0" w:color="auto"/>
                            <w:right w:val="none" w:sz="0" w:space="0" w:color="auto"/>
                          </w:divBdr>
                          <w:divsChild>
                            <w:div w:id="242032893">
                              <w:marLeft w:val="0"/>
                              <w:marRight w:val="0"/>
                              <w:marTop w:val="0"/>
                              <w:marBottom w:val="0"/>
                              <w:divBdr>
                                <w:top w:val="none" w:sz="0" w:space="0" w:color="auto"/>
                                <w:left w:val="none" w:sz="0" w:space="0" w:color="auto"/>
                                <w:bottom w:val="none" w:sz="0" w:space="0" w:color="auto"/>
                                <w:right w:val="none" w:sz="0" w:space="0" w:color="auto"/>
                              </w:divBdr>
                              <w:divsChild>
                                <w:div w:id="464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77401">
          <w:marLeft w:val="0"/>
          <w:marRight w:val="0"/>
          <w:marTop w:val="0"/>
          <w:marBottom w:val="0"/>
          <w:divBdr>
            <w:top w:val="none" w:sz="0" w:space="0" w:color="auto"/>
            <w:left w:val="none" w:sz="0" w:space="0" w:color="auto"/>
            <w:bottom w:val="none" w:sz="0" w:space="0" w:color="auto"/>
            <w:right w:val="none" w:sz="0" w:space="0" w:color="auto"/>
          </w:divBdr>
          <w:divsChild>
            <w:div w:id="1771662518">
              <w:marLeft w:val="0"/>
              <w:marRight w:val="0"/>
              <w:marTop w:val="0"/>
              <w:marBottom w:val="0"/>
              <w:divBdr>
                <w:top w:val="none" w:sz="0" w:space="0" w:color="auto"/>
                <w:left w:val="none" w:sz="0" w:space="0" w:color="auto"/>
                <w:bottom w:val="none" w:sz="0" w:space="0" w:color="auto"/>
                <w:right w:val="none" w:sz="0" w:space="0" w:color="auto"/>
              </w:divBdr>
              <w:divsChild>
                <w:div w:id="1259869875">
                  <w:marLeft w:val="0"/>
                  <w:marRight w:val="0"/>
                  <w:marTop w:val="0"/>
                  <w:marBottom w:val="0"/>
                  <w:divBdr>
                    <w:top w:val="none" w:sz="0" w:space="0" w:color="auto"/>
                    <w:left w:val="none" w:sz="0" w:space="0" w:color="auto"/>
                    <w:bottom w:val="none" w:sz="0" w:space="0" w:color="auto"/>
                    <w:right w:val="none" w:sz="0" w:space="0" w:color="auto"/>
                  </w:divBdr>
                  <w:divsChild>
                    <w:div w:id="1902979644">
                      <w:marLeft w:val="0"/>
                      <w:marRight w:val="0"/>
                      <w:marTop w:val="0"/>
                      <w:marBottom w:val="0"/>
                      <w:divBdr>
                        <w:top w:val="none" w:sz="0" w:space="0" w:color="auto"/>
                        <w:left w:val="none" w:sz="0" w:space="0" w:color="auto"/>
                        <w:bottom w:val="none" w:sz="0" w:space="0" w:color="auto"/>
                        <w:right w:val="none" w:sz="0" w:space="0" w:color="auto"/>
                      </w:divBdr>
                      <w:divsChild>
                        <w:div w:id="1284262923">
                          <w:marLeft w:val="0"/>
                          <w:marRight w:val="0"/>
                          <w:marTop w:val="0"/>
                          <w:marBottom w:val="0"/>
                          <w:divBdr>
                            <w:top w:val="none" w:sz="0" w:space="0" w:color="auto"/>
                            <w:left w:val="none" w:sz="0" w:space="0" w:color="auto"/>
                            <w:bottom w:val="none" w:sz="0" w:space="0" w:color="auto"/>
                            <w:right w:val="none" w:sz="0" w:space="0" w:color="auto"/>
                          </w:divBdr>
                          <w:divsChild>
                            <w:div w:id="510412653">
                              <w:marLeft w:val="0"/>
                              <w:marRight w:val="0"/>
                              <w:marTop w:val="0"/>
                              <w:marBottom w:val="0"/>
                              <w:divBdr>
                                <w:top w:val="none" w:sz="0" w:space="0" w:color="auto"/>
                                <w:left w:val="none" w:sz="0" w:space="0" w:color="auto"/>
                                <w:bottom w:val="none" w:sz="0" w:space="0" w:color="auto"/>
                                <w:right w:val="none" w:sz="0" w:space="0" w:color="auto"/>
                              </w:divBdr>
                              <w:divsChild>
                                <w:div w:id="2090613014">
                                  <w:marLeft w:val="0"/>
                                  <w:marRight w:val="0"/>
                                  <w:marTop w:val="0"/>
                                  <w:marBottom w:val="0"/>
                                  <w:divBdr>
                                    <w:top w:val="none" w:sz="0" w:space="0" w:color="auto"/>
                                    <w:left w:val="none" w:sz="0" w:space="0" w:color="auto"/>
                                    <w:bottom w:val="none" w:sz="0" w:space="0" w:color="auto"/>
                                    <w:right w:val="none" w:sz="0" w:space="0" w:color="auto"/>
                                  </w:divBdr>
                                  <w:divsChild>
                                    <w:div w:id="1992521296">
                                      <w:marLeft w:val="0"/>
                                      <w:marRight w:val="0"/>
                                      <w:marTop w:val="0"/>
                                      <w:marBottom w:val="0"/>
                                      <w:divBdr>
                                        <w:top w:val="none" w:sz="0" w:space="0" w:color="auto"/>
                                        <w:left w:val="none" w:sz="0" w:space="0" w:color="auto"/>
                                        <w:bottom w:val="none" w:sz="0" w:space="0" w:color="auto"/>
                                        <w:right w:val="none" w:sz="0" w:space="0" w:color="auto"/>
                                      </w:divBdr>
                                      <w:divsChild>
                                        <w:div w:id="314648914">
                                          <w:marLeft w:val="0"/>
                                          <w:marRight w:val="0"/>
                                          <w:marTop w:val="0"/>
                                          <w:marBottom w:val="0"/>
                                          <w:divBdr>
                                            <w:top w:val="none" w:sz="0" w:space="0" w:color="auto"/>
                                            <w:left w:val="none" w:sz="0" w:space="0" w:color="auto"/>
                                            <w:bottom w:val="none" w:sz="0" w:space="0" w:color="auto"/>
                                            <w:right w:val="none" w:sz="0" w:space="0" w:color="auto"/>
                                          </w:divBdr>
                                        </w:div>
                                        <w:div w:id="321743766">
                                          <w:marLeft w:val="0"/>
                                          <w:marRight w:val="0"/>
                                          <w:marTop w:val="0"/>
                                          <w:marBottom w:val="0"/>
                                          <w:divBdr>
                                            <w:top w:val="none" w:sz="0" w:space="0" w:color="auto"/>
                                            <w:left w:val="none" w:sz="0" w:space="0" w:color="auto"/>
                                            <w:bottom w:val="none" w:sz="0" w:space="0" w:color="auto"/>
                                            <w:right w:val="none" w:sz="0" w:space="0" w:color="auto"/>
                                          </w:divBdr>
                                          <w:divsChild>
                                            <w:div w:id="442263139">
                                              <w:marLeft w:val="0"/>
                                              <w:marRight w:val="0"/>
                                              <w:marTop w:val="0"/>
                                              <w:marBottom w:val="0"/>
                                              <w:divBdr>
                                                <w:top w:val="none" w:sz="0" w:space="0" w:color="auto"/>
                                                <w:left w:val="none" w:sz="0" w:space="0" w:color="auto"/>
                                                <w:bottom w:val="none" w:sz="0" w:space="0" w:color="auto"/>
                                                <w:right w:val="none" w:sz="0" w:space="0" w:color="auto"/>
                                              </w:divBdr>
                                              <w:divsChild>
                                                <w:div w:id="653528679">
                                                  <w:marLeft w:val="0"/>
                                                  <w:marRight w:val="0"/>
                                                  <w:marTop w:val="0"/>
                                                  <w:marBottom w:val="0"/>
                                                  <w:divBdr>
                                                    <w:top w:val="none" w:sz="0" w:space="0" w:color="auto"/>
                                                    <w:left w:val="none" w:sz="0" w:space="0" w:color="auto"/>
                                                    <w:bottom w:val="none" w:sz="0" w:space="0" w:color="auto"/>
                                                    <w:right w:val="none" w:sz="0" w:space="0" w:color="auto"/>
                                                  </w:divBdr>
                                                  <w:divsChild>
                                                    <w:div w:id="2028409294">
                                                      <w:marLeft w:val="0"/>
                                                      <w:marRight w:val="0"/>
                                                      <w:marTop w:val="0"/>
                                                      <w:marBottom w:val="0"/>
                                                      <w:divBdr>
                                                        <w:top w:val="none" w:sz="0" w:space="0" w:color="auto"/>
                                                        <w:left w:val="none" w:sz="0" w:space="0" w:color="auto"/>
                                                        <w:bottom w:val="none" w:sz="0" w:space="0" w:color="auto"/>
                                                        <w:right w:val="none" w:sz="0" w:space="0" w:color="auto"/>
                                                      </w:divBdr>
                                                      <w:divsChild>
                                                        <w:div w:id="727844922">
                                                          <w:marLeft w:val="0"/>
                                                          <w:marRight w:val="0"/>
                                                          <w:marTop w:val="0"/>
                                                          <w:marBottom w:val="0"/>
                                                          <w:divBdr>
                                                            <w:top w:val="none" w:sz="0" w:space="0" w:color="auto"/>
                                                            <w:left w:val="none" w:sz="0" w:space="0" w:color="auto"/>
                                                            <w:bottom w:val="none" w:sz="0" w:space="0" w:color="auto"/>
                                                            <w:right w:val="none" w:sz="0" w:space="0" w:color="auto"/>
                                                          </w:divBdr>
                                                          <w:divsChild>
                                                            <w:div w:id="824277852">
                                                              <w:marLeft w:val="0"/>
                                                              <w:marRight w:val="0"/>
                                                              <w:marTop w:val="0"/>
                                                              <w:marBottom w:val="0"/>
                                                              <w:divBdr>
                                                                <w:top w:val="none" w:sz="0" w:space="0" w:color="auto"/>
                                                                <w:left w:val="none" w:sz="0" w:space="0" w:color="auto"/>
                                                                <w:bottom w:val="none" w:sz="0" w:space="0" w:color="auto"/>
                                                                <w:right w:val="none" w:sz="0" w:space="0" w:color="auto"/>
                                                              </w:divBdr>
                                                              <w:divsChild>
                                                                <w:div w:id="495195265">
                                                                  <w:marLeft w:val="0"/>
                                                                  <w:marRight w:val="0"/>
                                                                  <w:marTop w:val="0"/>
                                                                  <w:marBottom w:val="0"/>
                                                                  <w:divBdr>
                                                                    <w:top w:val="none" w:sz="0" w:space="0" w:color="auto"/>
                                                                    <w:left w:val="none" w:sz="0" w:space="0" w:color="auto"/>
                                                                    <w:bottom w:val="none" w:sz="0" w:space="0" w:color="auto"/>
                                                                    <w:right w:val="none" w:sz="0" w:space="0" w:color="auto"/>
                                                                  </w:divBdr>
                                                                  <w:divsChild>
                                                                    <w:div w:id="1156339769">
                                                                      <w:marLeft w:val="0"/>
                                                                      <w:marRight w:val="0"/>
                                                                      <w:marTop w:val="0"/>
                                                                      <w:marBottom w:val="0"/>
                                                                      <w:divBdr>
                                                                        <w:top w:val="none" w:sz="0" w:space="0" w:color="auto"/>
                                                                        <w:left w:val="none" w:sz="0" w:space="0" w:color="auto"/>
                                                                        <w:bottom w:val="none" w:sz="0" w:space="0" w:color="auto"/>
                                                                        <w:right w:val="none" w:sz="0" w:space="0" w:color="auto"/>
                                                                      </w:divBdr>
                                                                      <w:divsChild>
                                                                        <w:div w:id="220754500">
                                                                          <w:marLeft w:val="0"/>
                                                                          <w:marRight w:val="0"/>
                                                                          <w:marTop w:val="0"/>
                                                                          <w:marBottom w:val="0"/>
                                                                          <w:divBdr>
                                                                            <w:top w:val="none" w:sz="0" w:space="0" w:color="auto"/>
                                                                            <w:left w:val="none" w:sz="0" w:space="0" w:color="auto"/>
                                                                            <w:bottom w:val="none" w:sz="0" w:space="0" w:color="auto"/>
                                                                            <w:right w:val="none" w:sz="0" w:space="0" w:color="auto"/>
                                                                          </w:divBdr>
                                                                          <w:divsChild>
                                                                            <w:div w:id="1677272458">
                                                                              <w:marLeft w:val="0"/>
                                                                              <w:marRight w:val="0"/>
                                                                              <w:marTop w:val="0"/>
                                                                              <w:marBottom w:val="0"/>
                                                                              <w:divBdr>
                                                                                <w:top w:val="none" w:sz="0" w:space="0" w:color="auto"/>
                                                                                <w:left w:val="none" w:sz="0" w:space="0" w:color="auto"/>
                                                                                <w:bottom w:val="none" w:sz="0" w:space="0" w:color="auto"/>
                                                                                <w:right w:val="none" w:sz="0" w:space="0" w:color="auto"/>
                                                                              </w:divBdr>
                                                                              <w:divsChild>
                                                                                <w:div w:id="1988047540">
                                                                                  <w:marLeft w:val="0"/>
                                                                                  <w:marRight w:val="0"/>
                                                                                  <w:marTop w:val="0"/>
                                                                                  <w:marBottom w:val="0"/>
                                                                                  <w:divBdr>
                                                                                    <w:top w:val="none" w:sz="0" w:space="0" w:color="auto"/>
                                                                                    <w:left w:val="none" w:sz="0" w:space="0" w:color="auto"/>
                                                                                    <w:bottom w:val="none" w:sz="0" w:space="0" w:color="auto"/>
                                                                                    <w:right w:val="none" w:sz="0" w:space="0" w:color="auto"/>
                                                                                  </w:divBdr>
                                                                                  <w:divsChild>
                                                                                    <w:div w:id="1264805314">
                                                                                      <w:marLeft w:val="0"/>
                                                                                      <w:marRight w:val="0"/>
                                                                                      <w:marTop w:val="0"/>
                                                                                      <w:marBottom w:val="0"/>
                                                                                      <w:divBdr>
                                                                                        <w:top w:val="none" w:sz="0" w:space="0" w:color="auto"/>
                                                                                        <w:left w:val="none" w:sz="0" w:space="0" w:color="auto"/>
                                                                                        <w:bottom w:val="none" w:sz="0" w:space="0" w:color="auto"/>
                                                                                        <w:right w:val="none" w:sz="0" w:space="0" w:color="auto"/>
                                                                                      </w:divBdr>
                                                                                      <w:divsChild>
                                                                                        <w:div w:id="1773277267">
                                                                                          <w:marLeft w:val="0"/>
                                                                                          <w:marRight w:val="0"/>
                                                                                          <w:marTop w:val="0"/>
                                                                                          <w:marBottom w:val="0"/>
                                                                                          <w:divBdr>
                                                                                            <w:top w:val="none" w:sz="0" w:space="0" w:color="auto"/>
                                                                                            <w:left w:val="none" w:sz="0" w:space="0" w:color="auto"/>
                                                                                            <w:bottom w:val="none" w:sz="0" w:space="0" w:color="auto"/>
                                                                                            <w:right w:val="none" w:sz="0" w:space="0" w:color="auto"/>
                                                                                          </w:divBdr>
                                                                                          <w:divsChild>
                                                                                            <w:div w:id="1280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8193">
                                                                                  <w:marLeft w:val="0"/>
                                                                                  <w:marRight w:val="0"/>
                                                                                  <w:marTop w:val="0"/>
                                                                                  <w:marBottom w:val="0"/>
                                                                                  <w:divBdr>
                                                                                    <w:top w:val="none" w:sz="0" w:space="0" w:color="auto"/>
                                                                                    <w:left w:val="none" w:sz="0" w:space="0" w:color="auto"/>
                                                                                    <w:bottom w:val="none" w:sz="0" w:space="0" w:color="auto"/>
                                                                                    <w:right w:val="none" w:sz="0" w:space="0" w:color="auto"/>
                                                                                  </w:divBdr>
                                                                                </w:div>
                                                                              </w:divsChild>
                                                                            </w:div>
                                                                            <w:div w:id="1581678087">
                                                                              <w:marLeft w:val="0"/>
                                                                              <w:marRight w:val="0"/>
                                                                              <w:marTop w:val="0"/>
                                                                              <w:marBottom w:val="0"/>
                                                                              <w:divBdr>
                                                                                <w:top w:val="none" w:sz="0" w:space="0" w:color="auto"/>
                                                                                <w:left w:val="none" w:sz="0" w:space="0" w:color="auto"/>
                                                                                <w:bottom w:val="none" w:sz="0" w:space="0" w:color="auto"/>
                                                                                <w:right w:val="none" w:sz="0" w:space="0" w:color="auto"/>
                                                                              </w:divBdr>
                                                                              <w:divsChild>
                                                                                <w:div w:id="7379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7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6281">
                                                  <w:marLeft w:val="0"/>
                                                  <w:marRight w:val="0"/>
                                                  <w:marTop w:val="0"/>
                                                  <w:marBottom w:val="0"/>
                                                  <w:divBdr>
                                                    <w:top w:val="none" w:sz="0" w:space="0" w:color="auto"/>
                                                    <w:left w:val="none" w:sz="0" w:space="0" w:color="auto"/>
                                                    <w:bottom w:val="none" w:sz="0" w:space="0" w:color="auto"/>
                                                    <w:right w:val="none" w:sz="0" w:space="0" w:color="auto"/>
                                                  </w:divBdr>
                                                  <w:divsChild>
                                                    <w:div w:id="441192167">
                                                      <w:marLeft w:val="0"/>
                                                      <w:marRight w:val="0"/>
                                                      <w:marTop w:val="0"/>
                                                      <w:marBottom w:val="0"/>
                                                      <w:divBdr>
                                                        <w:top w:val="none" w:sz="0" w:space="0" w:color="auto"/>
                                                        <w:left w:val="none" w:sz="0" w:space="0" w:color="auto"/>
                                                        <w:bottom w:val="none" w:sz="0" w:space="0" w:color="auto"/>
                                                        <w:right w:val="none" w:sz="0" w:space="0" w:color="auto"/>
                                                      </w:divBdr>
                                                    </w:div>
                                                    <w:div w:id="10512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030412">
          <w:marLeft w:val="0"/>
          <w:marRight w:val="0"/>
          <w:marTop w:val="0"/>
          <w:marBottom w:val="0"/>
          <w:divBdr>
            <w:top w:val="none" w:sz="0" w:space="0" w:color="auto"/>
            <w:left w:val="none" w:sz="0" w:space="0" w:color="auto"/>
            <w:bottom w:val="none" w:sz="0" w:space="0" w:color="auto"/>
            <w:right w:val="none" w:sz="0" w:space="0" w:color="auto"/>
          </w:divBdr>
          <w:divsChild>
            <w:div w:id="349068849">
              <w:marLeft w:val="0"/>
              <w:marRight w:val="0"/>
              <w:marTop w:val="0"/>
              <w:marBottom w:val="0"/>
              <w:divBdr>
                <w:top w:val="none" w:sz="0" w:space="0" w:color="auto"/>
                <w:left w:val="none" w:sz="0" w:space="0" w:color="auto"/>
                <w:bottom w:val="none" w:sz="0" w:space="0" w:color="auto"/>
                <w:right w:val="none" w:sz="0" w:space="0" w:color="auto"/>
              </w:divBdr>
              <w:divsChild>
                <w:div w:id="1384792142">
                  <w:marLeft w:val="0"/>
                  <w:marRight w:val="0"/>
                  <w:marTop w:val="0"/>
                  <w:marBottom w:val="0"/>
                  <w:divBdr>
                    <w:top w:val="none" w:sz="0" w:space="0" w:color="auto"/>
                    <w:left w:val="none" w:sz="0" w:space="0" w:color="auto"/>
                    <w:bottom w:val="none" w:sz="0" w:space="0" w:color="auto"/>
                    <w:right w:val="none" w:sz="0" w:space="0" w:color="auto"/>
                  </w:divBdr>
                  <w:divsChild>
                    <w:div w:id="2121680613">
                      <w:marLeft w:val="0"/>
                      <w:marRight w:val="0"/>
                      <w:marTop w:val="0"/>
                      <w:marBottom w:val="0"/>
                      <w:divBdr>
                        <w:top w:val="none" w:sz="0" w:space="0" w:color="auto"/>
                        <w:left w:val="none" w:sz="0" w:space="0" w:color="auto"/>
                        <w:bottom w:val="none" w:sz="0" w:space="0" w:color="auto"/>
                        <w:right w:val="none" w:sz="0" w:space="0" w:color="auto"/>
                      </w:divBdr>
                      <w:divsChild>
                        <w:div w:id="712386189">
                          <w:marLeft w:val="0"/>
                          <w:marRight w:val="0"/>
                          <w:marTop w:val="0"/>
                          <w:marBottom w:val="0"/>
                          <w:divBdr>
                            <w:top w:val="none" w:sz="0" w:space="0" w:color="auto"/>
                            <w:left w:val="none" w:sz="0" w:space="0" w:color="auto"/>
                            <w:bottom w:val="none" w:sz="0" w:space="0" w:color="auto"/>
                            <w:right w:val="none" w:sz="0" w:space="0" w:color="auto"/>
                          </w:divBdr>
                          <w:divsChild>
                            <w:div w:id="2108965570">
                              <w:marLeft w:val="0"/>
                              <w:marRight w:val="0"/>
                              <w:marTop w:val="0"/>
                              <w:marBottom w:val="0"/>
                              <w:divBdr>
                                <w:top w:val="none" w:sz="0" w:space="0" w:color="auto"/>
                                <w:left w:val="none" w:sz="0" w:space="0" w:color="auto"/>
                                <w:bottom w:val="none" w:sz="0" w:space="0" w:color="auto"/>
                                <w:right w:val="none" w:sz="0" w:space="0" w:color="auto"/>
                              </w:divBdr>
                              <w:divsChild>
                                <w:div w:id="1544564196">
                                  <w:marLeft w:val="0"/>
                                  <w:marRight w:val="0"/>
                                  <w:marTop w:val="0"/>
                                  <w:marBottom w:val="0"/>
                                  <w:divBdr>
                                    <w:top w:val="none" w:sz="0" w:space="0" w:color="auto"/>
                                    <w:left w:val="none" w:sz="0" w:space="0" w:color="auto"/>
                                    <w:bottom w:val="none" w:sz="0" w:space="0" w:color="auto"/>
                                    <w:right w:val="none" w:sz="0" w:space="0" w:color="auto"/>
                                  </w:divBdr>
                                  <w:divsChild>
                                    <w:div w:id="928196436">
                                      <w:marLeft w:val="0"/>
                                      <w:marRight w:val="0"/>
                                      <w:marTop w:val="0"/>
                                      <w:marBottom w:val="0"/>
                                      <w:divBdr>
                                        <w:top w:val="none" w:sz="0" w:space="0" w:color="auto"/>
                                        <w:left w:val="none" w:sz="0" w:space="0" w:color="auto"/>
                                        <w:bottom w:val="none" w:sz="0" w:space="0" w:color="auto"/>
                                        <w:right w:val="none" w:sz="0" w:space="0" w:color="auto"/>
                                      </w:divBdr>
                                      <w:divsChild>
                                        <w:div w:id="406922036">
                                          <w:marLeft w:val="0"/>
                                          <w:marRight w:val="0"/>
                                          <w:marTop w:val="0"/>
                                          <w:marBottom w:val="0"/>
                                          <w:divBdr>
                                            <w:top w:val="none" w:sz="0" w:space="0" w:color="auto"/>
                                            <w:left w:val="none" w:sz="0" w:space="0" w:color="auto"/>
                                            <w:bottom w:val="none" w:sz="0" w:space="0" w:color="auto"/>
                                            <w:right w:val="none" w:sz="0" w:space="0" w:color="auto"/>
                                          </w:divBdr>
                                        </w:div>
                                        <w:div w:id="2051370367">
                                          <w:marLeft w:val="0"/>
                                          <w:marRight w:val="0"/>
                                          <w:marTop w:val="0"/>
                                          <w:marBottom w:val="0"/>
                                          <w:divBdr>
                                            <w:top w:val="none" w:sz="0" w:space="0" w:color="auto"/>
                                            <w:left w:val="none" w:sz="0" w:space="0" w:color="auto"/>
                                            <w:bottom w:val="none" w:sz="0" w:space="0" w:color="auto"/>
                                            <w:right w:val="none" w:sz="0" w:space="0" w:color="auto"/>
                                          </w:divBdr>
                                          <w:divsChild>
                                            <w:div w:id="264848762">
                                              <w:marLeft w:val="0"/>
                                              <w:marRight w:val="0"/>
                                              <w:marTop w:val="0"/>
                                              <w:marBottom w:val="0"/>
                                              <w:divBdr>
                                                <w:top w:val="none" w:sz="0" w:space="0" w:color="auto"/>
                                                <w:left w:val="none" w:sz="0" w:space="0" w:color="auto"/>
                                                <w:bottom w:val="none" w:sz="0" w:space="0" w:color="auto"/>
                                                <w:right w:val="none" w:sz="0" w:space="0" w:color="auto"/>
                                              </w:divBdr>
                                              <w:divsChild>
                                                <w:div w:id="465901982">
                                                  <w:marLeft w:val="0"/>
                                                  <w:marRight w:val="0"/>
                                                  <w:marTop w:val="0"/>
                                                  <w:marBottom w:val="0"/>
                                                  <w:divBdr>
                                                    <w:top w:val="none" w:sz="0" w:space="0" w:color="auto"/>
                                                    <w:left w:val="none" w:sz="0" w:space="0" w:color="auto"/>
                                                    <w:bottom w:val="none" w:sz="0" w:space="0" w:color="auto"/>
                                                    <w:right w:val="none" w:sz="0" w:space="0" w:color="auto"/>
                                                  </w:divBdr>
                                                  <w:divsChild>
                                                    <w:div w:id="595359009">
                                                      <w:marLeft w:val="0"/>
                                                      <w:marRight w:val="0"/>
                                                      <w:marTop w:val="0"/>
                                                      <w:marBottom w:val="0"/>
                                                      <w:divBdr>
                                                        <w:top w:val="none" w:sz="0" w:space="0" w:color="auto"/>
                                                        <w:left w:val="none" w:sz="0" w:space="0" w:color="auto"/>
                                                        <w:bottom w:val="none" w:sz="0" w:space="0" w:color="auto"/>
                                                        <w:right w:val="none" w:sz="0" w:space="0" w:color="auto"/>
                                                      </w:divBdr>
                                                      <w:divsChild>
                                                        <w:div w:id="1938829606">
                                                          <w:marLeft w:val="0"/>
                                                          <w:marRight w:val="0"/>
                                                          <w:marTop w:val="0"/>
                                                          <w:marBottom w:val="0"/>
                                                          <w:divBdr>
                                                            <w:top w:val="none" w:sz="0" w:space="0" w:color="auto"/>
                                                            <w:left w:val="none" w:sz="0" w:space="0" w:color="auto"/>
                                                            <w:bottom w:val="none" w:sz="0" w:space="0" w:color="auto"/>
                                                            <w:right w:val="none" w:sz="0" w:space="0" w:color="auto"/>
                                                          </w:divBdr>
                                                          <w:divsChild>
                                                            <w:div w:id="1729648285">
                                                              <w:marLeft w:val="0"/>
                                                              <w:marRight w:val="0"/>
                                                              <w:marTop w:val="0"/>
                                                              <w:marBottom w:val="0"/>
                                                              <w:divBdr>
                                                                <w:top w:val="none" w:sz="0" w:space="0" w:color="auto"/>
                                                                <w:left w:val="none" w:sz="0" w:space="0" w:color="auto"/>
                                                                <w:bottom w:val="none" w:sz="0" w:space="0" w:color="auto"/>
                                                                <w:right w:val="none" w:sz="0" w:space="0" w:color="auto"/>
                                                              </w:divBdr>
                                                              <w:divsChild>
                                                                <w:div w:id="2076391117">
                                                                  <w:marLeft w:val="0"/>
                                                                  <w:marRight w:val="0"/>
                                                                  <w:marTop w:val="0"/>
                                                                  <w:marBottom w:val="0"/>
                                                                  <w:divBdr>
                                                                    <w:top w:val="none" w:sz="0" w:space="0" w:color="auto"/>
                                                                    <w:left w:val="none" w:sz="0" w:space="0" w:color="auto"/>
                                                                    <w:bottom w:val="none" w:sz="0" w:space="0" w:color="auto"/>
                                                                    <w:right w:val="none" w:sz="0" w:space="0" w:color="auto"/>
                                                                  </w:divBdr>
                                                                  <w:divsChild>
                                                                    <w:div w:id="745230415">
                                                                      <w:marLeft w:val="0"/>
                                                                      <w:marRight w:val="0"/>
                                                                      <w:marTop w:val="0"/>
                                                                      <w:marBottom w:val="0"/>
                                                                      <w:divBdr>
                                                                        <w:top w:val="none" w:sz="0" w:space="0" w:color="auto"/>
                                                                        <w:left w:val="none" w:sz="0" w:space="0" w:color="auto"/>
                                                                        <w:bottom w:val="none" w:sz="0" w:space="0" w:color="auto"/>
                                                                        <w:right w:val="none" w:sz="0" w:space="0" w:color="auto"/>
                                                                      </w:divBdr>
                                                                      <w:divsChild>
                                                                        <w:div w:id="1925072105">
                                                                          <w:marLeft w:val="0"/>
                                                                          <w:marRight w:val="0"/>
                                                                          <w:marTop w:val="0"/>
                                                                          <w:marBottom w:val="0"/>
                                                                          <w:divBdr>
                                                                            <w:top w:val="none" w:sz="0" w:space="0" w:color="auto"/>
                                                                            <w:left w:val="none" w:sz="0" w:space="0" w:color="auto"/>
                                                                            <w:bottom w:val="none" w:sz="0" w:space="0" w:color="auto"/>
                                                                            <w:right w:val="none" w:sz="0" w:space="0" w:color="auto"/>
                                                                          </w:divBdr>
                                                                          <w:divsChild>
                                                                            <w:div w:id="122890815">
                                                                              <w:marLeft w:val="0"/>
                                                                              <w:marRight w:val="0"/>
                                                                              <w:marTop w:val="0"/>
                                                                              <w:marBottom w:val="0"/>
                                                                              <w:divBdr>
                                                                                <w:top w:val="none" w:sz="0" w:space="0" w:color="auto"/>
                                                                                <w:left w:val="none" w:sz="0" w:space="0" w:color="auto"/>
                                                                                <w:bottom w:val="none" w:sz="0" w:space="0" w:color="auto"/>
                                                                                <w:right w:val="none" w:sz="0" w:space="0" w:color="auto"/>
                                                                              </w:divBdr>
                                                                              <w:divsChild>
                                                                                <w:div w:id="368147954">
                                                                                  <w:marLeft w:val="0"/>
                                                                                  <w:marRight w:val="0"/>
                                                                                  <w:marTop w:val="0"/>
                                                                                  <w:marBottom w:val="0"/>
                                                                                  <w:divBdr>
                                                                                    <w:top w:val="none" w:sz="0" w:space="0" w:color="auto"/>
                                                                                    <w:left w:val="none" w:sz="0" w:space="0" w:color="auto"/>
                                                                                    <w:bottom w:val="none" w:sz="0" w:space="0" w:color="auto"/>
                                                                                    <w:right w:val="none" w:sz="0" w:space="0" w:color="auto"/>
                                                                                  </w:divBdr>
                                                                                  <w:divsChild>
                                                                                    <w:div w:id="930315250">
                                                                                      <w:marLeft w:val="0"/>
                                                                                      <w:marRight w:val="0"/>
                                                                                      <w:marTop w:val="0"/>
                                                                                      <w:marBottom w:val="0"/>
                                                                                      <w:divBdr>
                                                                                        <w:top w:val="none" w:sz="0" w:space="0" w:color="auto"/>
                                                                                        <w:left w:val="none" w:sz="0" w:space="0" w:color="auto"/>
                                                                                        <w:bottom w:val="none" w:sz="0" w:space="0" w:color="auto"/>
                                                                                        <w:right w:val="none" w:sz="0" w:space="0" w:color="auto"/>
                                                                                      </w:divBdr>
                                                                                      <w:divsChild>
                                                                                        <w:div w:id="2091927475">
                                                                                          <w:marLeft w:val="0"/>
                                                                                          <w:marRight w:val="0"/>
                                                                                          <w:marTop w:val="0"/>
                                                                                          <w:marBottom w:val="0"/>
                                                                                          <w:divBdr>
                                                                                            <w:top w:val="none" w:sz="0" w:space="0" w:color="auto"/>
                                                                                            <w:left w:val="none" w:sz="0" w:space="0" w:color="auto"/>
                                                                                            <w:bottom w:val="none" w:sz="0" w:space="0" w:color="auto"/>
                                                                                            <w:right w:val="none" w:sz="0" w:space="0" w:color="auto"/>
                                                                                          </w:divBdr>
                                                                                          <w:divsChild>
                                                                                            <w:div w:id="2148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512">
                                                                                  <w:marLeft w:val="0"/>
                                                                                  <w:marRight w:val="0"/>
                                                                                  <w:marTop w:val="0"/>
                                                                                  <w:marBottom w:val="0"/>
                                                                                  <w:divBdr>
                                                                                    <w:top w:val="none" w:sz="0" w:space="0" w:color="auto"/>
                                                                                    <w:left w:val="none" w:sz="0" w:space="0" w:color="auto"/>
                                                                                    <w:bottom w:val="none" w:sz="0" w:space="0" w:color="auto"/>
                                                                                    <w:right w:val="none" w:sz="0" w:space="0" w:color="auto"/>
                                                                                  </w:divBdr>
                                                                                </w:div>
                                                                              </w:divsChild>
                                                                            </w:div>
                                                                            <w:div w:id="383144008">
                                                                              <w:marLeft w:val="0"/>
                                                                              <w:marRight w:val="0"/>
                                                                              <w:marTop w:val="0"/>
                                                                              <w:marBottom w:val="0"/>
                                                                              <w:divBdr>
                                                                                <w:top w:val="none" w:sz="0" w:space="0" w:color="auto"/>
                                                                                <w:left w:val="none" w:sz="0" w:space="0" w:color="auto"/>
                                                                                <w:bottom w:val="none" w:sz="0" w:space="0" w:color="auto"/>
                                                                                <w:right w:val="none" w:sz="0" w:space="0" w:color="auto"/>
                                                                              </w:divBdr>
                                                                              <w:divsChild>
                                                                                <w:div w:id="14058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2233">
                                                  <w:marLeft w:val="0"/>
                                                  <w:marRight w:val="0"/>
                                                  <w:marTop w:val="0"/>
                                                  <w:marBottom w:val="0"/>
                                                  <w:divBdr>
                                                    <w:top w:val="none" w:sz="0" w:space="0" w:color="auto"/>
                                                    <w:left w:val="none" w:sz="0" w:space="0" w:color="auto"/>
                                                    <w:bottom w:val="none" w:sz="0" w:space="0" w:color="auto"/>
                                                    <w:right w:val="none" w:sz="0" w:space="0" w:color="auto"/>
                                                  </w:divBdr>
                                                  <w:divsChild>
                                                    <w:div w:id="1471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8241">
                                  <w:marLeft w:val="0"/>
                                  <w:marRight w:val="0"/>
                                  <w:marTop w:val="0"/>
                                  <w:marBottom w:val="0"/>
                                  <w:divBdr>
                                    <w:top w:val="none" w:sz="0" w:space="0" w:color="auto"/>
                                    <w:left w:val="none" w:sz="0" w:space="0" w:color="auto"/>
                                    <w:bottom w:val="none" w:sz="0" w:space="0" w:color="auto"/>
                                    <w:right w:val="none" w:sz="0" w:space="0" w:color="auto"/>
                                  </w:divBdr>
                                  <w:divsChild>
                                    <w:div w:id="1498032501">
                                      <w:marLeft w:val="0"/>
                                      <w:marRight w:val="0"/>
                                      <w:marTop w:val="0"/>
                                      <w:marBottom w:val="0"/>
                                      <w:divBdr>
                                        <w:top w:val="none" w:sz="0" w:space="0" w:color="auto"/>
                                        <w:left w:val="none" w:sz="0" w:space="0" w:color="auto"/>
                                        <w:bottom w:val="none" w:sz="0" w:space="0" w:color="auto"/>
                                        <w:right w:val="none" w:sz="0" w:space="0" w:color="auto"/>
                                      </w:divBdr>
                                      <w:divsChild>
                                        <w:div w:id="17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8552">
          <w:marLeft w:val="0"/>
          <w:marRight w:val="0"/>
          <w:marTop w:val="0"/>
          <w:marBottom w:val="0"/>
          <w:divBdr>
            <w:top w:val="none" w:sz="0" w:space="0" w:color="auto"/>
            <w:left w:val="none" w:sz="0" w:space="0" w:color="auto"/>
            <w:bottom w:val="none" w:sz="0" w:space="0" w:color="auto"/>
            <w:right w:val="none" w:sz="0" w:space="0" w:color="auto"/>
          </w:divBdr>
          <w:divsChild>
            <w:div w:id="1038896224">
              <w:marLeft w:val="0"/>
              <w:marRight w:val="0"/>
              <w:marTop w:val="0"/>
              <w:marBottom w:val="0"/>
              <w:divBdr>
                <w:top w:val="none" w:sz="0" w:space="0" w:color="auto"/>
                <w:left w:val="none" w:sz="0" w:space="0" w:color="auto"/>
                <w:bottom w:val="none" w:sz="0" w:space="0" w:color="auto"/>
                <w:right w:val="none" w:sz="0" w:space="0" w:color="auto"/>
              </w:divBdr>
              <w:divsChild>
                <w:div w:id="2087652161">
                  <w:marLeft w:val="0"/>
                  <w:marRight w:val="0"/>
                  <w:marTop w:val="0"/>
                  <w:marBottom w:val="0"/>
                  <w:divBdr>
                    <w:top w:val="none" w:sz="0" w:space="0" w:color="auto"/>
                    <w:left w:val="none" w:sz="0" w:space="0" w:color="auto"/>
                    <w:bottom w:val="none" w:sz="0" w:space="0" w:color="auto"/>
                    <w:right w:val="none" w:sz="0" w:space="0" w:color="auto"/>
                  </w:divBdr>
                  <w:divsChild>
                    <w:div w:id="1305502303">
                      <w:marLeft w:val="0"/>
                      <w:marRight w:val="0"/>
                      <w:marTop w:val="0"/>
                      <w:marBottom w:val="0"/>
                      <w:divBdr>
                        <w:top w:val="none" w:sz="0" w:space="0" w:color="auto"/>
                        <w:left w:val="none" w:sz="0" w:space="0" w:color="auto"/>
                        <w:bottom w:val="none" w:sz="0" w:space="0" w:color="auto"/>
                        <w:right w:val="none" w:sz="0" w:space="0" w:color="auto"/>
                      </w:divBdr>
                      <w:divsChild>
                        <w:div w:id="128548091">
                          <w:marLeft w:val="0"/>
                          <w:marRight w:val="0"/>
                          <w:marTop w:val="0"/>
                          <w:marBottom w:val="0"/>
                          <w:divBdr>
                            <w:top w:val="none" w:sz="0" w:space="0" w:color="auto"/>
                            <w:left w:val="none" w:sz="0" w:space="0" w:color="auto"/>
                            <w:bottom w:val="none" w:sz="0" w:space="0" w:color="auto"/>
                            <w:right w:val="none" w:sz="0" w:space="0" w:color="auto"/>
                          </w:divBdr>
                          <w:divsChild>
                            <w:div w:id="406615192">
                              <w:marLeft w:val="0"/>
                              <w:marRight w:val="0"/>
                              <w:marTop w:val="0"/>
                              <w:marBottom w:val="0"/>
                              <w:divBdr>
                                <w:top w:val="none" w:sz="0" w:space="0" w:color="auto"/>
                                <w:left w:val="none" w:sz="0" w:space="0" w:color="auto"/>
                                <w:bottom w:val="none" w:sz="0" w:space="0" w:color="auto"/>
                                <w:right w:val="none" w:sz="0" w:space="0" w:color="auto"/>
                              </w:divBdr>
                              <w:divsChild>
                                <w:div w:id="1436631502">
                                  <w:marLeft w:val="0"/>
                                  <w:marRight w:val="0"/>
                                  <w:marTop w:val="0"/>
                                  <w:marBottom w:val="0"/>
                                  <w:divBdr>
                                    <w:top w:val="none" w:sz="0" w:space="0" w:color="auto"/>
                                    <w:left w:val="none" w:sz="0" w:space="0" w:color="auto"/>
                                    <w:bottom w:val="none" w:sz="0" w:space="0" w:color="auto"/>
                                    <w:right w:val="none" w:sz="0" w:space="0" w:color="auto"/>
                                  </w:divBdr>
                                  <w:divsChild>
                                    <w:div w:id="759717079">
                                      <w:marLeft w:val="0"/>
                                      <w:marRight w:val="0"/>
                                      <w:marTop w:val="0"/>
                                      <w:marBottom w:val="0"/>
                                      <w:divBdr>
                                        <w:top w:val="none" w:sz="0" w:space="0" w:color="auto"/>
                                        <w:left w:val="none" w:sz="0" w:space="0" w:color="auto"/>
                                        <w:bottom w:val="none" w:sz="0" w:space="0" w:color="auto"/>
                                        <w:right w:val="none" w:sz="0" w:space="0" w:color="auto"/>
                                      </w:divBdr>
                                      <w:divsChild>
                                        <w:div w:id="1876118490">
                                          <w:marLeft w:val="0"/>
                                          <w:marRight w:val="0"/>
                                          <w:marTop w:val="0"/>
                                          <w:marBottom w:val="0"/>
                                          <w:divBdr>
                                            <w:top w:val="none" w:sz="0" w:space="0" w:color="auto"/>
                                            <w:left w:val="none" w:sz="0" w:space="0" w:color="auto"/>
                                            <w:bottom w:val="none" w:sz="0" w:space="0" w:color="auto"/>
                                            <w:right w:val="none" w:sz="0" w:space="0" w:color="auto"/>
                                          </w:divBdr>
                                        </w:div>
                                        <w:div w:id="521089152">
                                          <w:marLeft w:val="0"/>
                                          <w:marRight w:val="0"/>
                                          <w:marTop w:val="0"/>
                                          <w:marBottom w:val="0"/>
                                          <w:divBdr>
                                            <w:top w:val="none" w:sz="0" w:space="0" w:color="auto"/>
                                            <w:left w:val="none" w:sz="0" w:space="0" w:color="auto"/>
                                            <w:bottom w:val="none" w:sz="0" w:space="0" w:color="auto"/>
                                            <w:right w:val="none" w:sz="0" w:space="0" w:color="auto"/>
                                          </w:divBdr>
                                          <w:divsChild>
                                            <w:div w:id="706176241">
                                              <w:marLeft w:val="0"/>
                                              <w:marRight w:val="0"/>
                                              <w:marTop w:val="0"/>
                                              <w:marBottom w:val="0"/>
                                              <w:divBdr>
                                                <w:top w:val="none" w:sz="0" w:space="0" w:color="auto"/>
                                                <w:left w:val="none" w:sz="0" w:space="0" w:color="auto"/>
                                                <w:bottom w:val="none" w:sz="0" w:space="0" w:color="auto"/>
                                                <w:right w:val="none" w:sz="0" w:space="0" w:color="auto"/>
                                              </w:divBdr>
                                              <w:divsChild>
                                                <w:div w:id="1203592144">
                                                  <w:marLeft w:val="0"/>
                                                  <w:marRight w:val="0"/>
                                                  <w:marTop w:val="0"/>
                                                  <w:marBottom w:val="0"/>
                                                  <w:divBdr>
                                                    <w:top w:val="none" w:sz="0" w:space="0" w:color="auto"/>
                                                    <w:left w:val="none" w:sz="0" w:space="0" w:color="auto"/>
                                                    <w:bottom w:val="none" w:sz="0" w:space="0" w:color="auto"/>
                                                    <w:right w:val="none" w:sz="0" w:space="0" w:color="auto"/>
                                                  </w:divBdr>
                                                  <w:divsChild>
                                                    <w:div w:id="685450548">
                                                      <w:marLeft w:val="0"/>
                                                      <w:marRight w:val="0"/>
                                                      <w:marTop w:val="0"/>
                                                      <w:marBottom w:val="0"/>
                                                      <w:divBdr>
                                                        <w:top w:val="none" w:sz="0" w:space="0" w:color="auto"/>
                                                        <w:left w:val="none" w:sz="0" w:space="0" w:color="auto"/>
                                                        <w:bottom w:val="none" w:sz="0" w:space="0" w:color="auto"/>
                                                        <w:right w:val="none" w:sz="0" w:space="0" w:color="auto"/>
                                                      </w:divBdr>
                                                      <w:divsChild>
                                                        <w:div w:id="928343164">
                                                          <w:marLeft w:val="0"/>
                                                          <w:marRight w:val="0"/>
                                                          <w:marTop w:val="0"/>
                                                          <w:marBottom w:val="0"/>
                                                          <w:divBdr>
                                                            <w:top w:val="none" w:sz="0" w:space="0" w:color="auto"/>
                                                            <w:left w:val="none" w:sz="0" w:space="0" w:color="auto"/>
                                                            <w:bottom w:val="none" w:sz="0" w:space="0" w:color="auto"/>
                                                            <w:right w:val="none" w:sz="0" w:space="0" w:color="auto"/>
                                                          </w:divBdr>
                                                          <w:divsChild>
                                                            <w:div w:id="15621141">
                                                              <w:marLeft w:val="0"/>
                                                              <w:marRight w:val="0"/>
                                                              <w:marTop w:val="0"/>
                                                              <w:marBottom w:val="0"/>
                                                              <w:divBdr>
                                                                <w:top w:val="none" w:sz="0" w:space="0" w:color="auto"/>
                                                                <w:left w:val="none" w:sz="0" w:space="0" w:color="auto"/>
                                                                <w:bottom w:val="none" w:sz="0" w:space="0" w:color="auto"/>
                                                                <w:right w:val="none" w:sz="0" w:space="0" w:color="auto"/>
                                                              </w:divBdr>
                                                              <w:divsChild>
                                                                <w:div w:id="1854146247">
                                                                  <w:marLeft w:val="0"/>
                                                                  <w:marRight w:val="0"/>
                                                                  <w:marTop w:val="0"/>
                                                                  <w:marBottom w:val="0"/>
                                                                  <w:divBdr>
                                                                    <w:top w:val="none" w:sz="0" w:space="0" w:color="auto"/>
                                                                    <w:left w:val="none" w:sz="0" w:space="0" w:color="auto"/>
                                                                    <w:bottom w:val="none" w:sz="0" w:space="0" w:color="auto"/>
                                                                    <w:right w:val="none" w:sz="0" w:space="0" w:color="auto"/>
                                                                  </w:divBdr>
                                                                  <w:divsChild>
                                                                    <w:div w:id="1892841086">
                                                                      <w:marLeft w:val="0"/>
                                                                      <w:marRight w:val="0"/>
                                                                      <w:marTop w:val="0"/>
                                                                      <w:marBottom w:val="0"/>
                                                                      <w:divBdr>
                                                                        <w:top w:val="none" w:sz="0" w:space="0" w:color="auto"/>
                                                                        <w:left w:val="none" w:sz="0" w:space="0" w:color="auto"/>
                                                                        <w:bottom w:val="none" w:sz="0" w:space="0" w:color="auto"/>
                                                                        <w:right w:val="none" w:sz="0" w:space="0" w:color="auto"/>
                                                                      </w:divBdr>
                                                                      <w:divsChild>
                                                                        <w:div w:id="2024477834">
                                                                          <w:marLeft w:val="0"/>
                                                                          <w:marRight w:val="0"/>
                                                                          <w:marTop w:val="0"/>
                                                                          <w:marBottom w:val="0"/>
                                                                          <w:divBdr>
                                                                            <w:top w:val="none" w:sz="0" w:space="0" w:color="auto"/>
                                                                            <w:left w:val="none" w:sz="0" w:space="0" w:color="auto"/>
                                                                            <w:bottom w:val="none" w:sz="0" w:space="0" w:color="auto"/>
                                                                            <w:right w:val="none" w:sz="0" w:space="0" w:color="auto"/>
                                                                          </w:divBdr>
                                                                          <w:divsChild>
                                                                            <w:div w:id="1297490564">
                                                                              <w:marLeft w:val="0"/>
                                                                              <w:marRight w:val="0"/>
                                                                              <w:marTop w:val="0"/>
                                                                              <w:marBottom w:val="0"/>
                                                                              <w:divBdr>
                                                                                <w:top w:val="none" w:sz="0" w:space="0" w:color="auto"/>
                                                                                <w:left w:val="none" w:sz="0" w:space="0" w:color="auto"/>
                                                                                <w:bottom w:val="none" w:sz="0" w:space="0" w:color="auto"/>
                                                                                <w:right w:val="none" w:sz="0" w:space="0" w:color="auto"/>
                                                                              </w:divBdr>
                                                                              <w:divsChild>
                                                                                <w:div w:id="724178877">
                                                                                  <w:marLeft w:val="0"/>
                                                                                  <w:marRight w:val="0"/>
                                                                                  <w:marTop w:val="0"/>
                                                                                  <w:marBottom w:val="0"/>
                                                                                  <w:divBdr>
                                                                                    <w:top w:val="none" w:sz="0" w:space="0" w:color="auto"/>
                                                                                    <w:left w:val="none" w:sz="0" w:space="0" w:color="auto"/>
                                                                                    <w:bottom w:val="none" w:sz="0" w:space="0" w:color="auto"/>
                                                                                    <w:right w:val="none" w:sz="0" w:space="0" w:color="auto"/>
                                                                                  </w:divBdr>
                                                                                  <w:divsChild>
                                                                                    <w:div w:id="2139684982">
                                                                                      <w:marLeft w:val="0"/>
                                                                                      <w:marRight w:val="0"/>
                                                                                      <w:marTop w:val="0"/>
                                                                                      <w:marBottom w:val="0"/>
                                                                                      <w:divBdr>
                                                                                        <w:top w:val="none" w:sz="0" w:space="0" w:color="auto"/>
                                                                                        <w:left w:val="none" w:sz="0" w:space="0" w:color="auto"/>
                                                                                        <w:bottom w:val="none" w:sz="0" w:space="0" w:color="auto"/>
                                                                                        <w:right w:val="none" w:sz="0" w:space="0" w:color="auto"/>
                                                                                      </w:divBdr>
                                                                                      <w:divsChild>
                                                                                        <w:div w:id="414864476">
                                                                                          <w:marLeft w:val="0"/>
                                                                                          <w:marRight w:val="0"/>
                                                                                          <w:marTop w:val="0"/>
                                                                                          <w:marBottom w:val="0"/>
                                                                                          <w:divBdr>
                                                                                            <w:top w:val="none" w:sz="0" w:space="0" w:color="auto"/>
                                                                                            <w:left w:val="none" w:sz="0" w:space="0" w:color="auto"/>
                                                                                            <w:bottom w:val="none" w:sz="0" w:space="0" w:color="auto"/>
                                                                                            <w:right w:val="none" w:sz="0" w:space="0" w:color="auto"/>
                                                                                          </w:divBdr>
                                                                                          <w:divsChild>
                                                                                            <w:div w:id="266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0857">
                                                                                  <w:marLeft w:val="0"/>
                                                                                  <w:marRight w:val="0"/>
                                                                                  <w:marTop w:val="0"/>
                                                                                  <w:marBottom w:val="0"/>
                                                                                  <w:divBdr>
                                                                                    <w:top w:val="none" w:sz="0" w:space="0" w:color="auto"/>
                                                                                    <w:left w:val="none" w:sz="0" w:space="0" w:color="auto"/>
                                                                                    <w:bottom w:val="none" w:sz="0" w:space="0" w:color="auto"/>
                                                                                    <w:right w:val="none" w:sz="0" w:space="0" w:color="auto"/>
                                                                                  </w:divBdr>
                                                                                </w:div>
                                                                              </w:divsChild>
                                                                            </w:div>
                                                                            <w:div w:id="399523390">
                                                                              <w:marLeft w:val="0"/>
                                                                              <w:marRight w:val="0"/>
                                                                              <w:marTop w:val="0"/>
                                                                              <w:marBottom w:val="0"/>
                                                                              <w:divBdr>
                                                                                <w:top w:val="none" w:sz="0" w:space="0" w:color="auto"/>
                                                                                <w:left w:val="none" w:sz="0" w:space="0" w:color="auto"/>
                                                                                <w:bottom w:val="none" w:sz="0" w:space="0" w:color="auto"/>
                                                                                <w:right w:val="none" w:sz="0" w:space="0" w:color="auto"/>
                                                                              </w:divBdr>
                                                                              <w:divsChild>
                                                                                <w:div w:id="8922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2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0192">
                                                  <w:marLeft w:val="0"/>
                                                  <w:marRight w:val="0"/>
                                                  <w:marTop w:val="0"/>
                                                  <w:marBottom w:val="0"/>
                                                  <w:divBdr>
                                                    <w:top w:val="none" w:sz="0" w:space="0" w:color="auto"/>
                                                    <w:left w:val="none" w:sz="0" w:space="0" w:color="auto"/>
                                                    <w:bottom w:val="none" w:sz="0" w:space="0" w:color="auto"/>
                                                    <w:right w:val="none" w:sz="0" w:space="0" w:color="auto"/>
                                                  </w:divBdr>
                                                  <w:divsChild>
                                                    <w:div w:id="1585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371324">
          <w:marLeft w:val="0"/>
          <w:marRight w:val="0"/>
          <w:marTop w:val="0"/>
          <w:marBottom w:val="0"/>
          <w:divBdr>
            <w:top w:val="none" w:sz="0" w:space="0" w:color="auto"/>
            <w:left w:val="none" w:sz="0" w:space="0" w:color="auto"/>
            <w:bottom w:val="none" w:sz="0" w:space="0" w:color="auto"/>
            <w:right w:val="none" w:sz="0" w:space="0" w:color="auto"/>
          </w:divBdr>
          <w:divsChild>
            <w:div w:id="1989901065">
              <w:marLeft w:val="0"/>
              <w:marRight w:val="0"/>
              <w:marTop w:val="0"/>
              <w:marBottom w:val="0"/>
              <w:divBdr>
                <w:top w:val="none" w:sz="0" w:space="0" w:color="auto"/>
                <w:left w:val="none" w:sz="0" w:space="0" w:color="auto"/>
                <w:bottom w:val="none" w:sz="0" w:space="0" w:color="auto"/>
                <w:right w:val="none" w:sz="0" w:space="0" w:color="auto"/>
              </w:divBdr>
              <w:divsChild>
                <w:div w:id="1880121857">
                  <w:marLeft w:val="0"/>
                  <w:marRight w:val="0"/>
                  <w:marTop w:val="0"/>
                  <w:marBottom w:val="0"/>
                  <w:divBdr>
                    <w:top w:val="none" w:sz="0" w:space="0" w:color="auto"/>
                    <w:left w:val="none" w:sz="0" w:space="0" w:color="auto"/>
                    <w:bottom w:val="none" w:sz="0" w:space="0" w:color="auto"/>
                    <w:right w:val="none" w:sz="0" w:space="0" w:color="auto"/>
                  </w:divBdr>
                  <w:divsChild>
                    <w:div w:id="1606107870">
                      <w:marLeft w:val="0"/>
                      <w:marRight w:val="0"/>
                      <w:marTop w:val="0"/>
                      <w:marBottom w:val="0"/>
                      <w:divBdr>
                        <w:top w:val="none" w:sz="0" w:space="0" w:color="auto"/>
                        <w:left w:val="none" w:sz="0" w:space="0" w:color="auto"/>
                        <w:bottom w:val="none" w:sz="0" w:space="0" w:color="auto"/>
                        <w:right w:val="none" w:sz="0" w:space="0" w:color="auto"/>
                      </w:divBdr>
                    </w:div>
                    <w:div w:id="1249801597">
                      <w:marLeft w:val="0"/>
                      <w:marRight w:val="0"/>
                      <w:marTop w:val="0"/>
                      <w:marBottom w:val="0"/>
                      <w:divBdr>
                        <w:top w:val="none" w:sz="0" w:space="0" w:color="auto"/>
                        <w:left w:val="none" w:sz="0" w:space="0" w:color="auto"/>
                        <w:bottom w:val="none" w:sz="0" w:space="0" w:color="auto"/>
                        <w:right w:val="none" w:sz="0" w:space="0" w:color="auto"/>
                      </w:divBdr>
                      <w:divsChild>
                        <w:div w:id="1222867715">
                          <w:marLeft w:val="0"/>
                          <w:marRight w:val="0"/>
                          <w:marTop w:val="0"/>
                          <w:marBottom w:val="0"/>
                          <w:divBdr>
                            <w:top w:val="none" w:sz="0" w:space="0" w:color="auto"/>
                            <w:left w:val="none" w:sz="0" w:space="0" w:color="auto"/>
                            <w:bottom w:val="none" w:sz="0" w:space="0" w:color="auto"/>
                            <w:right w:val="none" w:sz="0" w:space="0" w:color="auto"/>
                          </w:divBdr>
                          <w:divsChild>
                            <w:div w:id="1147361104">
                              <w:marLeft w:val="0"/>
                              <w:marRight w:val="0"/>
                              <w:marTop w:val="0"/>
                              <w:marBottom w:val="0"/>
                              <w:divBdr>
                                <w:top w:val="none" w:sz="0" w:space="0" w:color="auto"/>
                                <w:left w:val="none" w:sz="0" w:space="0" w:color="auto"/>
                                <w:bottom w:val="none" w:sz="0" w:space="0" w:color="auto"/>
                                <w:right w:val="none" w:sz="0" w:space="0" w:color="auto"/>
                              </w:divBdr>
                              <w:divsChild>
                                <w:div w:id="2103642708">
                                  <w:marLeft w:val="0"/>
                                  <w:marRight w:val="0"/>
                                  <w:marTop w:val="0"/>
                                  <w:marBottom w:val="0"/>
                                  <w:divBdr>
                                    <w:top w:val="none" w:sz="0" w:space="0" w:color="auto"/>
                                    <w:left w:val="none" w:sz="0" w:space="0" w:color="auto"/>
                                    <w:bottom w:val="none" w:sz="0" w:space="0" w:color="auto"/>
                                    <w:right w:val="none" w:sz="0" w:space="0" w:color="auto"/>
                                  </w:divBdr>
                                  <w:divsChild>
                                    <w:div w:id="279721697">
                                      <w:marLeft w:val="0"/>
                                      <w:marRight w:val="0"/>
                                      <w:marTop w:val="0"/>
                                      <w:marBottom w:val="0"/>
                                      <w:divBdr>
                                        <w:top w:val="none" w:sz="0" w:space="0" w:color="auto"/>
                                        <w:left w:val="none" w:sz="0" w:space="0" w:color="auto"/>
                                        <w:bottom w:val="none" w:sz="0" w:space="0" w:color="auto"/>
                                        <w:right w:val="none" w:sz="0" w:space="0" w:color="auto"/>
                                      </w:divBdr>
                                      <w:divsChild>
                                        <w:div w:id="2080708660">
                                          <w:marLeft w:val="0"/>
                                          <w:marRight w:val="0"/>
                                          <w:marTop w:val="0"/>
                                          <w:marBottom w:val="0"/>
                                          <w:divBdr>
                                            <w:top w:val="none" w:sz="0" w:space="0" w:color="auto"/>
                                            <w:left w:val="none" w:sz="0" w:space="0" w:color="auto"/>
                                            <w:bottom w:val="none" w:sz="0" w:space="0" w:color="auto"/>
                                            <w:right w:val="none" w:sz="0" w:space="0" w:color="auto"/>
                                          </w:divBdr>
                                          <w:divsChild>
                                            <w:div w:id="1544781362">
                                              <w:marLeft w:val="0"/>
                                              <w:marRight w:val="0"/>
                                              <w:marTop w:val="0"/>
                                              <w:marBottom w:val="0"/>
                                              <w:divBdr>
                                                <w:top w:val="none" w:sz="0" w:space="0" w:color="auto"/>
                                                <w:left w:val="none" w:sz="0" w:space="0" w:color="auto"/>
                                                <w:bottom w:val="none" w:sz="0" w:space="0" w:color="auto"/>
                                                <w:right w:val="none" w:sz="0" w:space="0" w:color="auto"/>
                                              </w:divBdr>
                                              <w:divsChild>
                                                <w:div w:id="2089039137">
                                                  <w:marLeft w:val="0"/>
                                                  <w:marRight w:val="0"/>
                                                  <w:marTop w:val="0"/>
                                                  <w:marBottom w:val="0"/>
                                                  <w:divBdr>
                                                    <w:top w:val="none" w:sz="0" w:space="0" w:color="auto"/>
                                                    <w:left w:val="none" w:sz="0" w:space="0" w:color="auto"/>
                                                    <w:bottom w:val="none" w:sz="0" w:space="0" w:color="auto"/>
                                                    <w:right w:val="none" w:sz="0" w:space="0" w:color="auto"/>
                                                  </w:divBdr>
                                                  <w:divsChild>
                                                    <w:div w:id="589045161">
                                                      <w:marLeft w:val="0"/>
                                                      <w:marRight w:val="0"/>
                                                      <w:marTop w:val="0"/>
                                                      <w:marBottom w:val="0"/>
                                                      <w:divBdr>
                                                        <w:top w:val="none" w:sz="0" w:space="0" w:color="auto"/>
                                                        <w:left w:val="none" w:sz="0" w:space="0" w:color="auto"/>
                                                        <w:bottom w:val="none" w:sz="0" w:space="0" w:color="auto"/>
                                                        <w:right w:val="none" w:sz="0" w:space="0" w:color="auto"/>
                                                      </w:divBdr>
                                                      <w:divsChild>
                                                        <w:div w:id="21515841">
                                                          <w:marLeft w:val="0"/>
                                                          <w:marRight w:val="0"/>
                                                          <w:marTop w:val="0"/>
                                                          <w:marBottom w:val="0"/>
                                                          <w:divBdr>
                                                            <w:top w:val="none" w:sz="0" w:space="0" w:color="auto"/>
                                                            <w:left w:val="none" w:sz="0" w:space="0" w:color="auto"/>
                                                            <w:bottom w:val="none" w:sz="0" w:space="0" w:color="auto"/>
                                                            <w:right w:val="none" w:sz="0" w:space="0" w:color="auto"/>
                                                          </w:divBdr>
                                                          <w:divsChild>
                                                            <w:div w:id="1651474266">
                                                              <w:marLeft w:val="0"/>
                                                              <w:marRight w:val="0"/>
                                                              <w:marTop w:val="0"/>
                                                              <w:marBottom w:val="0"/>
                                                              <w:divBdr>
                                                                <w:top w:val="none" w:sz="0" w:space="0" w:color="auto"/>
                                                                <w:left w:val="none" w:sz="0" w:space="0" w:color="auto"/>
                                                                <w:bottom w:val="none" w:sz="0" w:space="0" w:color="auto"/>
                                                                <w:right w:val="none" w:sz="0" w:space="0" w:color="auto"/>
                                                              </w:divBdr>
                                                              <w:divsChild>
                                                                <w:div w:id="1564025978">
                                                                  <w:marLeft w:val="0"/>
                                                                  <w:marRight w:val="0"/>
                                                                  <w:marTop w:val="0"/>
                                                                  <w:marBottom w:val="0"/>
                                                                  <w:divBdr>
                                                                    <w:top w:val="none" w:sz="0" w:space="0" w:color="auto"/>
                                                                    <w:left w:val="none" w:sz="0" w:space="0" w:color="auto"/>
                                                                    <w:bottom w:val="none" w:sz="0" w:space="0" w:color="auto"/>
                                                                    <w:right w:val="none" w:sz="0" w:space="0" w:color="auto"/>
                                                                  </w:divBdr>
                                                                  <w:divsChild>
                                                                    <w:div w:id="2106800484">
                                                                      <w:marLeft w:val="0"/>
                                                                      <w:marRight w:val="0"/>
                                                                      <w:marTop w:val="0"/>
                                                                      <w:marBottom w:val="0"/>
                                                                      <w:divBdr>
                                                                        <w:top w:val="none" w:sz="0" w:space="0" w:color="auto"/>
                                                                        <w:left w:val="none" w:sz="0" w:space="0" w:color="auto"/>
                                                                        <w:bottom w:val="none" w:sz="0" w:space="0" w:color="auto"/>
                                                                        <w:right w:val="none" w:sz="0" w:space="0" w:color="auto"/>
                                                                      </w:divBdr>
                                                                      <w:divsChild>
                                                                        <w:div w:id="1616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083100">
          <w:marLeft w:val="0"/>
          <w:marRight w:val="0"/>
          <w:marTop w:val="0"/>
          <w:marBottom w:val="0"/>
          <w:divBdr>
            <w:top w:val="none" w:sz="0" w:space="0" w:color="auto"/>
            <w:left w:val="none" w:sz="0" w:space="0" w:color="auto"/>
            <w:bottom w:val="none" w:sz="0" w:space="0" w:color="auto"/>
            <w:right w:val="none" w:sz="0" w:space="0" w:color="auto"/>
          </w:divBdr>
          <w:divsChild>
            <w:div w:id="55012706">
              <w:marLeft w:val="0"/>
              <w:marRight w:val="0"/>
              <w:marTop w:val="0"/>
              <w:marBottom w:val="0"/>
              <w:divBdr>
                <w:top w:val="none" w:sz="0" w:space="0" w:color="auto"/>
                <w:left w:val="none" w:sz="0" w:space="0" w:color="auto"/>
                <w:bottom w:val="none" w:sz="0" w:space="0" w:color="auto"/>
                <w:right w:val="none" w:sz="0" w:space="0" w:color="auto"/>
              </w:divBdr>
              <w:divsChild>
                <w:div w:id="1962683605">
                  <w:marLeft w:val="0"/>
                  <w:marRight w:val="0"/>
                  <w:marTop w:val="0"/>
                  <w:marBottom w:val="0"/>
                  <w:divBdr>
                    <w:top w:val="none" w:sz="0" w:space="0" w:color="auto"/>
                    <w:left w:val="none" w:sz="0" w:space="0" w:color="auto"/>
                    <w:bottom w:val="none" w:sz="0" w:space="0" w:color="auto"/>
                    <w:right w:val="none" w:sz="0" w:space="0" w:color="auto"/>
                  </w:divBdr>
                  <w:divsChild>
                    <w:div w:id="889876471">
                      <w:marLeft w:val="0"/>
                      <w:marRight w:val="0"/>
                      <w:marTop w:val="0"/>
                      <w:marBottom w:val="0"/>
                      <w:divBdr>
                        <w:top w:val="none" w:sz="0" w:space="0" w:color="auto"/>
                        <w:left w:val="none" w:sz="0" w:space="0" w:color="auto"/>
                        <w:bottom w:val="none" w:sz="0" w:space="0" w:color="auto"/>
                        <w:right w:val="none" w:sz="0" w:space="0" w:color="auto"/>
                      </w:divBdr>
                      <w:divsChild>
                        <w:div w:id="1379236807">
                          <w:marLeft w:val="0"/>
                          <w:marRight w:val="0"/>
                          <w:marTop w:val="0"/>
                          <w:marBottom w:val="0"/>
                          <w:divBdr>
                            <w:top w:val="none" w:sz="0" w:space="0" w:color="auto"/>
                            <w:left w:val="none" w:sz="0" w:space="0" w:color="auto"/>
                            <w:bottom w:val="none" w:sz="0" w:space="0" w:color="auto"/>
                            <w:right w:val="none" w:sz="0" w:space="0" w:color="auto"/>
                          </w:divBdr>
                          <w:divsChild>
                            <w:div w:id="1637635814">
                              <w:marLeft w:val="0"/>
                              <w:marRight w:val="0"/>
                              <w:marTop w:val="0"/>
                              <w:marBottom w:val="0"/>
                              <w:divBdr>
                                <w:top w:val="none" w:sz="0" w:space="0" w:color="auto"/>
                                <w:left w:val="none" w:sz="0" w:space="0" w:color="auto"/>
                                <w:bottom w:val="none" w:sz="0" w:space="0" w:color="auto"/>
                                <w:right w:val="none" w:sz="0" w:space="0" w:color="auto"/>
                              </w:divBdr>
                              <w:divsChild>
                                <w:div w:id="625042061">
                                  <w:marLeft w:val="0"/>
                                  <w:marRight w:val="0"/>
                                  <w:marTop w:val="0"/>
                                  <w:marBottom w:val="0"/>
                                  <w:divBdr>
                                    <w:top w:val="none" w:sz="0" w:space="0" w:color="auto"/>
                                    <w:left w:val="none" w:sz="0" w:space="0" w:color="auto"/>
                                    <w:bottom w:val="none" w:sz="0" w:space="0" w:color="auto"/>
                                    <w:right w:val="none" w:sz="0" w:space="0" w:color="auto"/>
                                  </w:divBdr>
                                  <w:divsChild>
                                    <w:div w:id="1119715098">
                                      <w:marLeft w:val="0"/>
                                      <w:marRight w:val="0"/>
                                      <w:marTop w:val="0"/>
                                      <w:marBottom w:val="0"/>
                                      <w:divBdr>
                                        <w:top w:val="none" w:sz="0" w:space="0" w:color="auto"/>
                                        <w:left w:val="none" w:sz="0" w:space="0" w:color="auto"/>
                                        <w:bottom w:val="none" w:sz="0" w:space="0" w:color="auto"/>
                                        <w:right w:val="none" w:sz="0" w:space="0" w:color="auto"/>
                                      </w:divBdr>
                                      <w:divsChild>
                                        <w:div w:id="1116364985">
                                          <w:marLeft w:val="0"/>
                                          <w:marRight w:val="0"/>
                                          <w:marTop w:val="0"/>
                                          <w:marBottom w:val="0"/>
                                          <w:divBdr>
                                            <w:top w:val="none" w:sz="0" w:space="0" w:color="auto"/>
                                            <w:left w:val="none" w:sz="0" w:space="0" w:color="auto"/>
                                            <w:bottom w:val="none" w:sz="0" w:space="0" w:color="auto"/>
                                            <w:right w:val="none" w:sz="0" w:space="0" w:color="auto"/>
                                          </w:divBdr>
                                          <w:divsChild>
                                            <w:div w:id="1001472994">
                                              <w:marLeft w:val="0"/>
                                              <w:marRight w:val="0"/>
                                              <w:marTop w:val="0"/>
                                              <w:marBottom w:val="0"/>
                                              <w:divBdr>
                                                <w:top w:val="none" w:sz="0" w:space="0" w:color="auto"/>
                                                <w:left w:val="none" w:sz="0" w:space="0" w:color="auto"/>
                                                <w:bottom w:val="none" w:sz="0" w:space="0" w:color="auto"/>
                                                <w:right w:val="none" w:sz="0" w:space="0" w:color="auto"/>
                                              </w:divBdr>
                                              <w:divsChild>
                                                <w:div w:id="1372534054">
                                                  <w:marLeft w:val="0"/>
                                                  <w:marRight w:val="0"/>
                                                  <w:marTop w:val="0"/>
                                                  <w:marBottom w:val="0"/>
                                                  <w:divBdr>
                                                    <w:top w:val="none" w:sz="0" w:space="0" w:color="auto"/>
                                                    <w:left w:val="none" w:sz="0" w:space="0" w:color="auto"/>
                                                    <w:bottom w:val="none" w:sz="0" w:space="0" w:color="auto"/>
                                                    <w:right w:val="none" w:sz="0" w:space="0" w:color="auto"/>
                                                  </w:divBdr>
                                                  <w:divsChild>
                                                    <w:div w:id="169219592">
                                                      <w:marLeft w:val="0"/>
                                                      <w:marRight w:val="0"/>
                                                      <w:marTop w:val="0"/>
                                                      <w:marBottom w:val="0"/>
                                                      <w:divBdr>
                                                        <w:top w:val="none" w:sz="0" w:space="0" w:color="auto"/>
                                                        <w:left w:val="none" w:sz="0" w:space="0" w:color="auto"/>
                                                        <w:bottom w:val="none" w:sz="0" w:space="0" w:color="auto"/>
                                                        <w:right w:val="none" w:sz="0" w:space="0" w:color="auto"/>
                                                      </w:divBdr>
                                                      <w:divsChild>
                                                        <w:div w:id="738284102">
                                                          <w:marLeft w:val="0"/>
                                                          <w:marRight w:val="0"/>
                                                          <w:marTop w:val="0"/>
                                                          <w:marBottom w:val="0"/>
                                                          <w:divBdr>
                                                            <w:top w:val="none" w:sz="0" w:space="0" w:color="auto"/>
                                                            <w:left w:val="none" w:sz="0" w:space="0" w:color="auto"/>
                                                            <w:bottom w:val="none" w:sz="0" w:space="0" w:color="auto"/>
                                                            <w:right w:val="none" w:sz="0" w:space="0" w:color="auto"/>
                                                          </w:divBdr>
                                                          <w:divsChild>
                                                            <w:div w:id="1305281747">
                                                              <w:marLeft w:val="0"/>
                                                              <w:marRight w:val="0"/>
                                                              <w:marTop w:val="0"/>
                                                              <w:marBottom w:val="0"/>
                                                              <w:divBdr>
                                                                <w:top w:val="none" w:sz="0" w:space="0" w:color="auto"/>
                                                                <w:left w:val="none" w:sz="0" w:space="0" w:color="auto"/>
                                                                <w:bottom w:val="none" w:sz="0" w:space="0" w:color="auto"/>
                                                                <w:right w:val="none" w:sz="0" w:space="0" w:color="auto"/>
                                                              </w:divBdr>
                                                              <w:divsChild>
                                                                <w:div w:id="114180303">
                                                                  <w:marLeft w:val="0"/>
                                                                  <w:marRight w:val="0"/>
                                                                  <w:marTop w:val="0"/>
                                                                  <w:marBottom w:val="0"/>
                                                                  <w:divBdr>
                                                                    <w:top w:val="none" w:sz="0" w:space="0" w:color="auto"/>
                                                                    <w:left w:val="none" w:sz="0" w:space="0" w:color="auto"/>
                                                                    <w:bottom w:val="none" w:sz="0" w:space="0" w:color="auto"/>
                                                                    <w:right w:val="none" w:sz="0" w:space="0" w:color="auto"/>
                                                                  </w:divBdr>
                                                                  <w:divsChild>
                                                                    <w:div w:id="1856574826">
                                                                      <w:marLeft w:val="0"/>
                                                                      <w:marRight w:val="0"/>
                                                                      <w:marTop w:val="0"/>
                                                                      <w:marBottom w:val="0"/>
                                                                      <w:divBdr>
                                                                        <w:top w:val="none" w:sz="0" w:space="0" w:color="auto"/>
                                                                        <w:left w:val="none" w:sz="0" w:space="0" w:color="auto"/>
                                                                        <w:bottom w:val="none" w:sz="0" w:space="0" w:color="auto"/>
                                                                        <w:right w:val="none" w:sz="0" w:space="0" w:color="auto"/>
                                                                      </w:divBdr>
                                                                      <w:divsChild>
                                                                        <w:div w:id="1022361810">
                                                                          <w:marLeft w:val="0"/>
                                                                          <w:marRight w:val="0"/>
                                                                          <w:marTop w:val="0"/>
                                                                          <w:marBottom w:val="0"/>
                                                                          <w:divBdr>
                                                                            <w:top w:val="none" w:sz="0" w:space="0" w:color="auto"/>
                                                                            <w:left w:val="none" w:sz="0" w:space="0" w:color="auto"/>
                                                                            <w:bottom w:val="none" w:sz="0" w:space="0" w:color="auto"/>
                                                                            <w:right w:val="none" w:sz="0" w:space="0" w:color="auto"/>
                                                                          </w:divBdr>
                                                                          <w:divsChild>
                                                                            <w:div w:id="1110196737">
                                                                              <w:marLeft w:val="0"/>
                                                                              <w:marRight w:val="0"/>
                                                                              <w:marTop w:val="0"/>
                                                                              <w:marBottom w:val="0"/>
                                                                              <w:divBdr>
                                                                                <w:top w:val="none" w:sz="0" w:space="0" w:color="auto"/>
                                                                                <w:left w:val="none" w:sz="0" w:space="0" w:color="auto"/>
                                                                                <w:bottom w:val="none" w:sz="0" w:space="0" w:color="auto"/>
                                                                                <w:right w:val="none" w:sz="0" w:space="0" w:color="auto"/>
                                                                              </w:divBdr>
                                                                              <w:divsChild>
                                                                                <w:div w:id="640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487">
                                                  <w:marLeft w:val="0"/>
                                                  <w:marRight w:val="0"/>
                                                  <w:marTop w:val="0"/>
                                                  <w:marBottom w:val="0"/>
                                                  <w:divBdr>
                                                    <w:top w:val="none" w:sz="0" w:space="0" w:color="auto"/>
                                                    <w:left w:val="none" w:sz="0" w:space="0" w:color="auto"/>
                                                    <w:bottom w:val="none" w:sz="0" w:space="0" w:color="auto"/>
                                                    <w:right w:val="none" w:sz="0" w:space="0" w:color="auto"/>
                                                  </w:divBdr>
                                                  <w:divsChild>
                                                    <w:div w:id="249702181">
                                                      <w:marLeft w:val="0"/>
                                                      <w:marRight w:val="0"/>
                                                      <w:marTop w:val="0"/>
                                                      <w:marBottom w:val="0"/>
                                                      <w:divBdr>
                                                        <w:top w:val="none" w:sz="0" w:space="0" w:color="auto"/>
                                                        <w:left w:val="none" w:sz="0" w:space="0" w:color="auto"/>
                                                        <w:bottom w:val="none" w:sz="0" w:space="0" w:color="auto"/>
                                                        <w:right w:val="none" w:sz="0" w:space="0" w:color="auto"/>
                                                      </w:divBdr>
                                                    </w:div>
                                                  </w:divsChild>
                                                </w:div>
                                                <w:div w:id="2088527050">
                                                  <w:marLeft w:val="0"/>
                                                  <w:marRight w:val="0"/>
                                                  <w:marTop w:val="0"/>
                                                  <w:marBottom w:val="0"/>
                                                  <w:divBdr>
                                                    <w:top w:val="none" w:sz="0" w:space="0" w:color="auto"/>
                                                    <w:left w:val="none" w:sz="0" w:space="0" w:color="auto"/>
                                                    <w:bottom w:val="none" w:sz="0" w:space="0" w:color="auto"/>
                                                    <w:right w:val="none" w:sz="0" w:space="0" w:color="auto"/>
                                                  </w:divBdr>
                                                  <w:divsChild>
                                                    <w:div w:id="1397581287">
                                                      <w:marLeft w:val="0"/>
                                                      <w:marRight w:val="0"/>
                                                      <w:marTop w:val="0"/>
                                                      <w:marBottom w:val="0"/>
                                                      <w:divBdr>
                                                        <w:top w:val="none" w:sz="0" w:space="0" w:color="auto"/>
                                                        <w:left w:val="none" w:sz="0" w:space="0" w:color="auto"/>
                                                        <w:bottom w:val="none" w:sz="0" w:space="0" w:color="auto"/>
                                                        <w:right w:val="none" w:sz="0" w:space="0" w:color="auto"/>
                                                      </w:divBdr>
                                                      <w:divsChild>
                                                        <w:div w:id="288976382">
                                                          <w:marLeft w:val="0"/>
                                                          <w:marRight w:val="0"/>
                                                          <w:marTop w:val="0"/>
                                                          <w:marBottom w:val="0"/>
                                                          <w:divBdr>
                                                            <w:top w:val="none" w:sz="0" w:space="0" w:color="auto"/>
                                                            <w:left w:val="none" w:sz="0" w:space="0" w:color="auto"/>
                                                            <w:bottom w:val="none" w:sz="0" w:space="0" w:color="auto"/>
                                                            <w:right w:val="none" w:sz="0" w:space="0" w:color="auto"/>
                                                          </w:divBdr>
                                                          <w:divsChild>
                                                            <w:div w:id="688213194">
                                                              <w:marLeft w:val="0"/>
                                                              <w:marRight w:val="0"/>
                                                              <w:marTop w:val="0"/>
                                                              <w:marBottom w:val="0"/>
                                                              <w:divBdr>
                                                                <w:top w:val="none" w:sz="0" w:space="0" w:color="auto"/>
                                                                <w:left w:val="none" w:sz="0" w:space="0" w:color="auto"/>
                                                                <w:bottom w:val="none" w:sz="0" w:space="0" w:color="auto"/>
                                                                <w:right w:val="none" w:sz="0" w:space="0" w:color="auto"/>
                                                              </w:divBdr>
                                                              <w:divsChild>
                                                                <w:div w:id="1864245221">
                                                                  <w:marLeft w:val="0"/>
                                                                  <w:marRight w:val="0"/>
                                                                  <w:marTop w:val="0"/>
                                                                  <w:marBottom w:val="0"/>
                                                                  <w:divBdr>
                                                                    <w:top w:val="none" w:sz="0" w:space="0" w:color="auto"/>
                                                                    <w:left w:val="none" w:sz="0" w:space="0" w:color="auto"/>
                                                                    <w:bottom w:val="none" w:sz="0" w:space="0" w:color="auto"/>
                                                                    <w:right w:val="none" w:sz="0" w:space="0" w:color="auto"/>
                                                                  </w:divBdr>
                                                                  <w:divsChild>
                                                                    <w:div w:id="710155863">
                                                                      <w:marLeft w:val="0"/>
                                                                      <w:marRight w:val="0"/>
                                                                      <w:marTop w:val="0"/>
                                                                      <w:marBottom w:val="0"/>
                                                                      <w:divBdr>
                                                                        <w:top w:val="none" w:sz="0" w:space="0" w:color="auto"/>
                                                                        <w:left w:val="none" w:sz="0" w:space="0" w:color="auto"/>
                                                                        <w:bottom w:val="none" w:sz="0" w:space="0" w:color="auto"/>
                                                                        <w:right w:val="none" w:sz="0" w:space="0" w:color="auto"/>
                                                                      </w:divBdr>
                                                                      <w:divsChild>
                                                                        <w:div w:id="1702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65359">
          <w:marLeft w:val="0"/>
          <w:marRight w:val="0"/>
          <w:marTop w:val="0"/>
          <w:marBottom w:val="0"/>
          <w:divBdr>
            <w:top w:val="none" w:sz="0" w:space="0" w:color="auto"/>
            <w:left w:val="none" w:sz="0" w:space="0" w:color="auto"/>
            <w:bottom w:val="none" w:sz="0" w:space="0" w:color="auto"/>
            <w:right w:val="none" w:sz="0" w:space="0" w:color="auto"/>
          </w:divBdr>
          <w:divsChild>
            <w:div w:id="1950896157">
              <w:marLeft w:val="0"/>
              <w:marRight w:val="0"/>
              <w:marTop w:val="0"/>
              <w:marBottom w:val="0"/>
              <w:divBdr>
                <w:top w:val="none" w:sz="0" w:space="0" w:color="auto"/>
                <w:left w:val="none" w:sz="0" w:space="0" w:color="auto"/>
                <w:bottom w:val="none" w:sz="0" w:space="0" w:color="auto"/>
                <w:right w:val="none" w:sz="0" w:space="0" w:color="auto"/>
              </w:divBdr>
              <w:divsChild>
                <w:div w:id="1312714538">
                  <w:marLeft w:val="0"/>
                  <w:marRight w:val="0"/>
                  <w:marTop w:val="0"/>
                  <w:marBottom w:val="0"/>
                  <w:divBdr>
                    <w:top w:val="none" w:sz="0" w:space="0" w:color="auto"/>
                    <w:left w:val="none" w:sz="0" w:space="0" w:color="auto"/>
                    <w:bottom w:val="none" w:sz="0" w:space="0" w:color="auto"/>
                    <w:right w:val="none" w:sz="0" w:space="0" w:color="auto"/>
                  </w:divBdr>
                  <w:divsChild>
                    <w:div w:id="10420353">
                      <w:marLeft w:val="0"/>
                      <w:marRight w:val="0"/>
                      <w:marTop w:val="0"/>
                      <w:marBottom w:val="0"/>
                      <w:divBdr>
                        <w:top w:val="none" w:sz="0" w:space="0" w:color="auto"/>
                        <w:left w:val="none" w:sz="0" w:space="0" w:color="auto"/>
                        <w:bottom w:val="none" w:sz="0" w:space="0" w:color="auto"/>
                        <w:right w:val="none" w:sz="0" w:space="0" w:color="auto"/>
                      </w:divBdr>
                      <w:divsChild>
                        <w:div w:id="917205801">
                          <w:marLeft w:val="0"/>
                          <w:marRight w:val="0"/>
                          <w:marTop w:val="0"/>
                          <w:marBottom w:val="0"/>
                          <w:divBdr>
                            <w:top w:val="none" w:sz="0" w:space="0" w:color="auto"/>
                            <w:left w:val="none" w:sz="0" w:space="0" w:color="auto"/>
                            <w:bottom w:val="none" w:sz="0" w:space="0" w:color="auto"/>
                            <w:right w:val="none" w:sz="0" w:space="0" w:color="auto"/>
                          </w:divBdr>
                          <w:divsChild>
                            <w:div w:id="1338919142">
                              <w:marLeft w:val="0"/>
                              <w:marRight w:val="0"/>
                              <w:marTop w:val="0"/>
                              <w:marBottom w:val="0"/>
                              <w:divBdr>
                                <w:top w:val="none" w:sz="0" w:space="0" w:color="auto"/>
                                <w:left w:val="none" w:sz="0" w:space="0" w:color="auto"/>
                                <w:bottom w:val="none" w:sz="0" w:space="0" w:color="auto"/>
                                <w:right w:val="none" w:sz="0" w:space="0" w:color="auto"/>
                              </w:divBdr>
                              <w:divsChild>
                                <w:div w:id="1634213318">
                                  <w:marLeft w:val="0"/>
                                  <w:marRight w:val="0"/>
                                  <w:marTop w:val="0"/>
                                  <w:marBottom w:val="0"/>
                                  <w:divBdr>
                                    <w:top w:val="none" w:sz="0" w:space="0" w:color="auto"/>
                                    <w:left w:val="none" w:sz="0" w:space="0" w:color="auto"/>
                                    <w:bottom w:val="none" w:sz="0" w:space="0" w:color="auto"/>
                                    <w:right w:val="none" w:sz="0" w:space="0" w:color="auto"/>
                                  </w:divBdr>
                                  <w:divsChild>
                                    <w:div w:id="368265280">
                                      <w:marLeft w:val="0"/>
                                      <w:marRight w:val="0"/>
                                      <w:marTop w:val="0"/>
                                      <w:marBottom w:val="0"/>
                                      <w:divBdr>
                                        <w:top w:val="none" w:sz="0" w:space="0" w:color="auto"/>
                                        <w:left w:val="none" w:sz="0" w:space="0" w:color="auto"/>
                                        <w:bottom w:val="none" w:sz="0" w:space="0" w:color="auto"/>
                                        <w:right w:val="none" w:sz="0" w:space="0" w:color="auto"/>
                                      </w:divBdr>
                                      <w:divsChild>
                                        <w:div w:id="1249730268">
                                          <w:marLeft w:val="0"/>
                                          <w:marRight w:val="0"/>
                                          <w:marTop w:val="0"/>
                                          <w:marBottom w:val="0"/>
                                          <w:divBdr>
                                            <w:top w:val="none" w:sz="0" w:space="0" w:color="auto"/>
                                            <w:left w:val="none" w:sz="0" w:space="0" w:color="auto"/>
                                            <w:bottom w:val="none" w:sz="0" w:space="0" w:color="auto"/>
                                            <w:right w:val="none" w:sz="0" w:space="0" w:color="auto"/>
                                          </w:divBdr>
                                        </w:div>
                                        <w:div w:id="958561252">
                                          <w:marLeft w:val="0"/>
                                          <w:marRight w:val="0"/>
                                          <w:marTop w:val="0"/>
                                          <w:marBottom w:val="0"/>
                                          <w:divBdr>
                                            <w:top w:val="none" w:sz="0" w:space="0" w:color="auto"/>
                                            <w:left w:val="none" w:sz="0" w:space="0" w:color="auto"/>
                                            <w:bottom w:val="none" w:sz="0" w:space="0" w:color="auto"/>
                                            <w:right w:val="none" w:sz="0" w:space="0" w:color="auto"/>
                                          </w:divBdr>
                                          <w:divsChild>
                                            <w:div w:id="991912318">
                                              <w:marLeft w:val="0"/>
                                              <w:marRight w:val="0"/>
                                              <w:marTop w:val="0"/>
                                              <w:marBottom w:val="0"/>
                                              <w:divBdr>
                                                <w:top w:val="none" w:sz="0" w:space="0" w:color="auto"/>
                                                <w:left w:val="none" w:sz="0" w:space="0" w:color="auto"/>
                                                <w:bottom w:val="none" w:sz="0" w:space="0" w:color="auto"/>
                                                <w:right w:val="none" w:sz="0" w:space="0" w:color="auto"/>
                                              </w:divBdr>
                                              <w:divsChild>
                                                <w:div w:id="1315834497">
                                                  <w:marLeft w:val="0"/>
                                                  <w:marRight w:val="0"/>
                                                  <w:marTop w:val="0"/>
                                                  <w:marBottom w:val="0"/>
                                                  <w:divBdr>
                                                    <w:top w:val="none" w:sz="0" w:space="0" w:color="auto"/>
                                                    <w:left w:val="none" w:sz="0" w:space="0" w:color="auto"/>
                                                    <w:bottom w:val="none" w:sz="0" w:space="0" w:color="auto"/>
                                                    <w:right w:val="none" w:sz="0" w:space="0" w:color="auto"/>
                                                  </w:divBdr>
                                                  <w:divsChild>
                                                    <w:div w:id="459693908">
                                                      <w:marLeft w:val="0"/>
                                                      <w:marRight w:val="0"/>
                                                      <w:marTop w:val="0"/>
                                                      <w:marBottom w:val="0"/>
                                                      <w:divBdr>
                                                        <w:top w:val="none" w:sz="0" w:space="0" w:color="auto"/>
                                                        <w:left w:val="none" w:sz="0" w:space="0" w:color="auto"/>
                                                        <w:bottom w:val="none" w:sz="0" w:space="0" w:color="auto"/>
                                                        <w:right w:val="none" w:sz="0" w:space="0" w:color="auto"/>
                                                      </w:divBdr>
                                                      <w:divsChild>
                                                        <w:div w:id="117068729">
                                                          <w:marLeft w:val="0"/>
                                                          <w:marRight w:val="0"/>
                                                          <w:marTop w:val="0"/>
                                                          <w:marBottom w:val="0"/>
                                                          <w:divBdr>
                                                            <w:top w:val="none" w:sz="0" w:space="0" w:color="auto"/>
                                                            <w:left w:val="none" w:sz="0" w:space="0" w:color="auto"/>
                                                            <w:bottom w:val="none" w:sz="0" w:space="0" w:color="auto"/>
                                                            <w:right w:val="none" w:sz="0" w:space="0" w:color="auto"/>
                                                          </w:divBdr>
                                                          <w:divsChild>
                                                            <w:div w:id="540702842">
                                                              <w:marLeft w:val="0"/>
                                                              <w:marRight w:val="0"/>
                                                              <w:marTop w:val="0"/>
                                                              <w:marBottom w:val="0"/>
                                                              <w:divBdr>
                                                                <w:top w:val="none" w:sz="0" w:space="0" w:color="auto"/>
                                                                <w:left w:val="none" w:sz="0" w:space="0" w:color="auto"/>
                                                                <w:bottom w:val="none" w:sz="0" w:space="0" w:color="auto"/>
                                                                <w:right w:val="none" w:sz="0" w:space="0" w:color="auto"/>
                                                              </w:divBdr>
                                                              <w:divsChild>
                                                                <w:div w:id="673611422">
                                                                  <w:marLeft w:val="0"/>
                                                                  <w:marRight w:val="0"/>
                                                                  <w:marTop w:val="0"/>
                                                                  <w:marBottom w:val="0"/>
                                                                  <w:divBdr>
                                                                    <w:top w:val="none" w:sz="0" w:space="0" w:color="auto"/>
                                                                    <w:left w:val="none" w:sz="0" w:space="0" w:color="auto"/>
                                                                    <w:bottom w:val="none" w:sz="0" w:space="0" w:color="auto"/>
                                                                    <w:right w:val="none" w:sz="0" w:space="0" w:color="auto"/>
                                                                  </w:divBdr>
                                                                  <w:divsChild>
                                                                    <w:div w:id="1639529901">
                                                                      <w:marLeft w:val="0"/>
                                                                      <w:marRight w:val="0"/>
                                                                      <w:marTop w:val="0"/>
                                                                      <w:marBottom w:val="0"/>
                                                                      <w:divBdr>
                                                                        <w:top w:val="none" w:sz="0" w:space="0" w:color="auto"/>
                                                                        <w:left w:val="none" w:sz="0" w:space="0" w:color="auto"/>
                                                                        <w:bottom w:val="none" w:sz="0" w:space="0" w:color="auto"/>
                                                                        <w:right w:val="none" w:sz="0" w:space="0" w:color="auto"/>
                                                                      </w:divBdr>
                                                                      <w:divsChild>
                                                                        <w:div w:id="127675317">
                                                                          <w:marLeft w:val="0"/>
                                                                          <w:marRight w:val="0"/>
                                                                          <w:marTop w:val="0"/>
                                                                          <w:marBottom w:val="0"/>
                                                                          <w:divBdr>
                                                                            <w:top w:val="none" w:sz="0" w:space="0" w:color="auto"/>
                                                                            <w:left w:val="none" w:sz="0" w:space="0" w:color="auto"/>
                                                                            <w:bottom w:val="none" w:sz="0" w:space="0" w:color="auto"/>
                                                                            <w:right w:val="none" w:sz="0" w:space="0" w:color="auto"/>
                                                                          </w:divBdr>
                                                                          <w:divsChild>
                                                                            <w:div w:id="1769346713">
                                                                              <w:marLeft w:val="0"/>
                                                                              <w:marRight w:val="0"/>
                                                                              <w:marTop w:val="0"/>
                                                                              <w:marBottom w:val="0"/>
                                                                              <w:divBdr>
                                                                                <w:top w:val="none" w:sz="0" w:space="0" w:color="auto"/>
                                                                                <w:left w:val="none" w:sz="0" w:space="0" w:color="auto"/>
                                                                                <w:bottom w:val="none" w:sz="0" w:space="0" w:color="auto"/>
                                                                                <w:right w:val="none" w:sz="0" w:space="0" w:color="auto"/>
                                                                              </w:divBdr>
                                                                              <w:divsChild>
                                                                                <w:div w:id="554507755">
                                                                                  <w:marLeft w:val="0"/>
                                                                                  <w:marRight w:val="0"/>
                                                                                  <w:marTop w:val="0"/>
                                                                                  <w:marBottom w:val="0"/>
                                                                                  <w:divBdr>
                                                                                    <w:top w:val="none" w:sz="0" w:space="0" w:color="auto"/>
                                                                                    <w:left w:val="none" w:sz="0" w:space="0" w:color="auto"/>
                                                                                    <w:bottom w:val="none" w:sz="0" w:space="0" w:color="auto"/>
                                                                                    <w:right w:val="none" w:sz="0" w:space="0" w:color="auto"/>
                                                                                  </w:divBdr>
                                                                                  <w:divsChild>
                                                                                    <w:div w:id="347684275">
                                                                                      <w:marLeft w:val="0"/>
                                                                                      <w:marRight w:val="0"/>
                                                                                      <w:marTop w:val="0"/>
                                                                                      <w:marBottom w:val="0"/>
                                                                                      <w:divBdr>
                                                                                        <w:top w:val="none" w:sz="0" w:space="0" w:color="auto"/>
                                                                                        <w:left w:val="none" w:sz="0" w:space="0" w:color="auto"/>
                                                                                        <w:bottom w:val="none" w:sz="0" w:space="0" w:color="auto"/>
                                                                                        <w:right w:val="none" w:sz="0" w:space="0" w:color="auto"/>
                                                                                      </w:divBdr>
                                                                                      <w:divsChild>
                                                                                        <w:div w:id="520122983">
                                                                                          <w:marLeft w:val="0"/>
                                                                                          <w:marRight w:val="0"/>
                                                                                          <w:marTop w:val="0"/>
                                                                                          <w:marBottom w:val="0"/>
                                                                                          <w:divBdr>
                                                                                            <w:top w:val="none" w:sz="0" w:space="0" w:color="auto"/>
                                                                                            <w:left w:val="none" w:sz="0" w:space="0" w:color="auto"/>
                                                                                            <w:bottom w:val="none" w:sz="0" w:space="0" w:color="auto"/>
                                                                                            <w:right w:val="none" w:sz="0" w:space="0" w:color="auto"/>
                                                                                          </w:divBdr>
                                                                                          <w:divsChild>
                                                                                            <w:div w:id="12389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5115">
                                                                                  <w:marLeft w:val="0"/>
                                                                                  <w:marRight w:val="0"/>
                                                                                  <w:marTop w:val="0"/>
                                                                                  <w:marBottom w:val="0"/>
                                                                                  <w:divBdr>
                                                                                    <w:top w:val="none" w:sz="0" w:space="0" w:color="auto"/>
                                                                                    <w:left w:val="none" w:sz="0" w:space="0" w:color="auto"/>
                                                                                    <w:bottom w:val="none" w:sz="0" w:space="0" w:color="auto"/>
                                                                                    <w:right w:val="none" w:sz="0" w:space="0" w:color="auto"/>
                                                                                  </w:divBdr>
                                                                                </w:div>
                                                                              </w:divsChild>
                                                                            </w:div>
                                                                            <w:div w:id="1882664166">
                                                                              <w:marLeft w:val="0"/>
                                                                              <w:marRight w:val="0"/>
                                                                              <w:marTop w:val="0"/>
                                                                              <w:marBottom w:val="0"/>
                                                                              <w:divBdr>
                                                                                <w:top w:val="none" w:sz="0" w:space="0" w:color="auto"/>
                                                                                <w:left w:val="none" w:sz="0" w:space="0" w:color="auto"/>
                                                                                <w:bottom w:val="none" w:sz="0" w:space="0" w:color="auto"/>
                                                                                <w:right w:val="none" w:sz="0" w:space="0" w:color="auto"/>
                                                                              </w:divBdr>
                                                                              <w:divsChild>
                                                                                <w:div w:id="1837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77853">
                                                  <w:marLeft w:val="0"/>
                                                  <w:marRight w:val="0"/>
                                                  <w:marTop w:val="0"/>
                                                  <w:marBottom w:val="0"/>
                                                  <w:divBdr>
                                                    <w:top w:val="none" w:sz="0" w:space="0" w:color="auto"/>
                                                    <w:left w:val="none" w:sz="0" w:space="0" w:color="auto"/>
                                                    <w:bottom w:val="none" w:sz="0" w:space="0" w:color="auto"/>
                                                    <w:right w:val="none" w:sz="0" w:space="0" w:color="auto"/>
                                                  </w:divBdr>
                                                  <w:divsChild>
                                                    <w:div w:id="1906404364">
                                                      <w:marLeft w:val="0"/>
                                                      <w:marRight w:val="0"/>
                                                      <w:marTop w:val="0"/>
                                                      <w:marBottom w:val="0"/>
                                                      <w:divBdr>
                                                        <w:top w:val="none" w:sz="0" w:space="0" w:color="auto"/>
                                                        <w:left w:val="none" w:sz="0" w:space="0" w:color="auto"/>
                                                        <w:bottom w:val="none" w:sz="0" w:space="0" w:color="auto"/>
                                                        <w:right w:val="none" w:sz="0" w:space="0" w:color="auto"/>
                                                      </w:divBdr>
                                                    </w:div>
                                                    <w:div w:id="9908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86389">
                          <w:marLeft w:val="0"/>
                          <w:marRight w:val="0"/>
                          <w:marTop w:val="0"/>
                          <w:marBottom w:val="0"/>
                          <w:divBdr>
                            <w:top w:val="none" w:sz="0" w:space="0" w:color="auto"/>
                            <w:left w:val="none" w:sz="0" w:space="0" w:color="auto"/>
                            <w:bottom w:val="none" w:sz="0" w:space="0" w:color="auto"/>
                            <w:right w:val="none" w:sz="0" w:space="0" w:color="auto"/>
                          </w:divBdr>
                          <w:divsChild>
                            <w:div w:id="1504738007">
                              <w:marLeft w:val="0"/>
                              <w:marRight w:val="0"/>
                              <w:marTop w:val="0"/>
                              <w:marBottom w:val="0"/>
                              <w:divBdr>
                                <w:top w:val="none" w:sz="0" w:space="0" w:color="auto"/>
                                <w:left w:val="none" w:sz="0" w:space="0" w:color="auto"/>
                                <w:bottom w:val="none" w:sz="0" w:space="0" w:color="auto"/>
                                <w:right w:val="none" w:sz="0" w:space="0" w:color="auto"/>
                              </w:divBdr>
                              <w:divsChild>
                                <w:div w:id="1936013548">
                                  <w:marLeft w:val="0"/>
                                  <w:marRight w:val="0"/>
                                  <w:marTop w:val="0"/>
                                  <w:marBottom w:val="0"/>
                                  <w:divBdr>
                                    <w:top w:val="none" w:sz="0" w:space="0" w:color="auto"/>
                                    <w:left w:val="none" w:sz="0" w:space="0" w:color="auto"/>
                                    <w:bottom w:val="none" w:sz="0" w:space="0" w:color="auto"/>
                                    <w:right w:val="none" w:sz="0" w:space="0" w:color="auto"/>
                                  </w:divBdr>
                                  <w:divsChild>
                                    <w:div w:id="1367560751">
                                      <w:marLeft w:val="0"/>
                                      <w:marRight w:val="0"/>
                                      <w:marTop w:val="0"/>
                                      <w:marBottom w:val="0"/>
                                      <w:divBdr>
                                        <w:top w:val="none" w:sz="0" w:space="0" w:color="auto"/>
                                        <w:left w:val="none" w:sz="0" w:space="0" w:color="auto"/>
                                        <w:bottom w:val="none" w:sz="0" w:space="0" w:color="auto"/>
                                        <w:right w:val="none" w:sz="0" w:space="0" w:color="auto"/>
                                      </w:divBdr>
                                      <w:divsChild>
                                        <w:div w:id="1161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28959">
                  <w:marLeft w:val="0"/>
                  <w:marRight w:val="0"/>
                  <w:marTop w:val="0"/>
                  <w:marBottom w:val="0"/>
                  <w:divBdr>
                    <w:top w:val="none" w:sz="0" w:space="0" w:color="auto"/>
                    <w:left w:val="none" w:sz="0" w:space="0" w:color="auto"/>
                    <w:bottom w:val="none" w:sz="0" w:space="0" w:color="auto"/>
                    <w:right w:val="none" w:sz="0" w:space="0" w:color="auto"/>
                  </w:divBdr>
                  <w:divsChild>
                    <w:div w:id="253320872">
                      <w:marLeft w:val="0"/>
                      <w:marRight w:val="0"/>
                      <w:marTop w:val="0"/>
                      <w:marBottom w:val="0"/>
                      <w:divBdr>
                        <w:top w:val="none" w:sz="0" w:space="0" w:color="auto"/>
                        <w:left w:val="none" w:sz="0" w:space="0" w:color="auto"/>
                        <w:bottom w:val="none" w:sz="0" w:space="0" w:color="auto"/>
                        <w:right w:val="none" w:sz="0" w:space="0" w:color="auto"/>
                      </w:divBdr>
                      <w:divsChild>
                        <w:div w:id="644242902">
                          <w:marLeft w:val="0"/>
                          <w:marRight w:val="0"/>
                          <w:marTop w:val="0"/>
                          <w:marBottom w:val="0"/>
                          <w:divBdr>
                            <w:top w:val="none" w:sz="0" w:space="0" w:color="auto"/>
                            <w:left w:val="none" w:sz="0" w:space="0" w:color="auto"/>
                            <w:bottom w:val="none" w:sz="0" w:space="0" w:color="auto"/>
                            <w:right w:val="none" w:sz="0" w:space="0" w:color="auto"/>
                          </w:divBdr>
                          <w:divsChild>
                            <w:div w:id="207685640">
                              <w:marLeft w:val="0"/>
                              <w:marRight w:val="0"/>
                              <w:marTop w:val="0"/>
                              <w:marBottom w:val="0"/>
                              <w:divBdr>
                                <w:top w:val="none" w:sz="0" w:space="0" w:color="auto"/>
                                <w:left w:val="none" w:sz="0" w:space="0" w:color="auto"/>
                                <w:bottom w:val="none" w:sz="0" w:space="0" w:color="auto"/>
                                <w:right w:val="none" w:sz="0" w:space="0" w:color="auto"/>
                              </w:divBdr>
                              <w:divsChild>
                                <w:div w:id="1148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183411">
          <w:marLeft w:val="0"/>
          <w:marRight w:val="0"/>
          <w:marTop w:val="0"/>
          <w:marBottom w:val="0"/>
          <w:divBdr>
            <w:top w:val="none" w:sz="0" w:space="0" w:color="auto"/>
            <w:left w:val="none" w:sz="0" w:space="0" w:color="auto"/>
            <w:bottom w:val="none" w:sz="0" w:space="0" w:color="auto"/>
            <w:right w:val="none" w:sz="0" w:space="0" w:color="auto"/>
          </w:divBdr>
          <w:divsChild>
            <w:div w:id="860972445">
              <w:marLeft w:val="0"/>
              <w:marRight w:val="0"/>
              <w:marTop w:val="0"/>
              <w:marBottom w:val="0"/>
              <w:divBdr>
                <w:top w:val="none" w:sz="0" w:space="0" w:color="auto"/>
                <w:left w:val="none" w:sz="0" w:space="0" w:color="auto"/>
                <w:bottom w:val="none" w:sz="0" w:space="0" w:color="auto"/>
                <w:right w:val="none" w:sz="0" w:space="0" w:color="auto"/>
              </w:divBdr>
              <w:divsChild>
                <w:div w:id="1795442057">
                  <w:marLeft w:val="0"/>
                  <w:marRight w:val="0"/>
                  <w:marTop w:val="0"/>
                  <w:marBottom w:val="0"/>
                  <w:divBdr>
                    <w:top w:val="none" w:sz="0" w:space="0" w:color="auto"/>
                    <w:left w:val="none" w:sz="0" w:space="0" w:color="auto"/>
                    <w:bottom w:val="none" w:sz="0" w:space="0" w:color="auto"/>
                    <w:right w:val="none" w:sz="0" w:space="0" w:color="auto"/>
                  </w:divBdr>
                  <w:divsChild>
                    <w:div w:id="718213197">
                      <w:marLeft w:val="0"/>
                      <w:marRight w:val="0"/>
                      <w:marTop w:val="0"/>
                      <w:marBottom w:val="0"/>
                      <w:divBdr>
                        <w:top w:val="none" w:sz="0" w:space="0" w:color="auto"/>
                        <w:left w:val="none" w:sz="0" w:space="0" w:color="auto"/>
                        <w:bottom w:val="none" w:sz="0" w:space="0" w:color="auto"/>
                        <w:right w:val="none" w:sz="0" w:space="0" w:color="auto"/>
                      </w:divBdr>
                      <w:divsChild>
                        <w:div w:id="575017509">
                          <w:marLeft w:val="0"/>
                          <w:marRight w:val="0"/>
                          <w:marTop w:val="0"/>
                          <w:marBottom w:val="0"/>
                          <w:divBdr>
                            <w:top w:val="none" w:sz="0" w:space="0" w:color="auto"/>
                            <w:left w:val="none" w:sz="0" w:space="0" w:color="auto"/>
                            <w:bottom w:val="none" w:sz="0" w:space="0" w:color="auto"/>
                            <w:right w:val="none" w:sz="0" w:space="0" w:color="auto"/>
                          </w:divBdr>
                          <w:divsChild>
                            <w:div w:id="880945643">
                              <w:marLeft w:val="0"/>
                              <w:marRight w:val="0"/>
                              <w:marTop w:val="0"/>
                              <w:marBottom w:val="0"/>
                              <w:divBdr>
                                <w:top w:val="none" w:sz="0" w:space="0" w:color="auto"/>
                                <w:left w:val="none" w:sz="0" w:space="0" w:color="auto"/>
                                <w:bottom w:val="none" w:sz="0" w:space="0" w:color="auto"/>
                                <w:right w:val="none" w:sz="0" w:space="0" w:color="auto"/>
                              </w:divBdr>
                              <w:divsChild>
                                <w:div w:id="358513197">
                                  <w:marLeft w:val="0"/>
                                  <w:marRight w:val="0"/>
                                  <w:marTop w:val="0"/>
                                  <w:marBottom w:val="0"/>
                                  <w:divBdr>
                                    <w:top w:val="none" w:sz="0" w:space="0" w:color="auto"/>
                                    <w:left w:val="none" w:sz="0" w:space="0" w:color="auto"/>
                                    <w:bottom w:val="none" w:sz="0" w:space="0" w:color="auto"/>
                                    <w:right w:val="none" w:sz="0" w:space="0" w:color="auto"/>
                                  </w:divBdr>
                                  <w:divsChild>
                                    <w:div w:id="1366103516">
                                      <w:marLeft w:val="0"/>
                                      <w:marRight w:val="0"/>
                                      <w:marTop w:val="0"/>
                                      <w:marBottom w:val="0"/>
                                      <w:divBdr>
                                        <w:top w:val="none" w:sz="0" w:space="0" w:color="auto"/>
                                        <w:left w:val="none" w:sz="0" w:space="0" w:color="auto"/>
                                        <w:bottom w:val="none" w:sz="0" w:space="0" w:color="auto"/>
                                        <w:right w:val="none" w:sz="0" w:space="0" w:color="auto"/>
                                      </w:divBdr>
                                      <w:divsChild>
                                        <w:div w:id="1921670383">
                                          <w:marLeft w:val="0"/>
                                          <w:marRight w:val="0"/>
                                          <w:marTop w:val="0"/>
                                          <w:marBottom w:val="0"/>
                                          <w:divBdr>
                                            <w:top w:val="none" w:sz="0" w:space="0" w:color="auto"/>
                                            <w:left w:val="none" w:sz="0" w:space="0" w:color="auto"/>
                                            <w:bottom w:val="none" w:sz="0" w:space="0" w:color="auto"/>
                                            <w:right w:val="none" w:sz="0" w:space="0" w:color="auto"/>
                                          </w:divBdr>
                                          <w:divsChild>
                                            <w:div w:id="976227765">
                                              <w:marLeft w:val="0"/>
                                              <w:marRight w:val="0"/>
                                              <w:marTop w:val="0"/>
                                              <w:marBottom w:val="0"/>
                                              <w:divBdr>
                                                <w:top w:val="none" w:sz="0" w:space="0" w:color="auto"/>
                                                <w:left w:val="none" w:sz="0" w:space="0" w:color="auto"/>
                                                <w:bottom w:val="none" w:sz="0" w:space="0" w:color="auto"/>
                                                <w:right w:val="none" w:sz="0" w:space="0" w:color="auto"/>
                                              </w:divBdr>
                                              <w:divsChild>
                                                <w:div w:id="1622416878">
                                                  <w:marLeft w:val="0"/>
                                                  <w:marRight w:val="0"/>
                                                  <w:marTop w:val="0"/>
                                                  <w:marBottom w:val="0"/>
                                                  <w:divBdr>
                                                    <w:top w:val="none" w:sz="0" w:space="0" w:color="auto"/>
                                                    <w:left w:val="none" w:sz="0" w:space="0" w:color="auto"/>
                                                    <w:bottom w:val="none" w:sz="0" w:space="0" w:color="auto"/>
                                                    <w:right w:val="none" w:sz="0" w:space="0" w:color="auto"/>
                                                  </w:divBdr>
                                                  <w:divsChild>
                                                    <w:div w:id="146171944">
                                                      <w:marLeft w:val="0"/>
                                                      <w:marRight w:val="0"/>
                                                      <w:marTop w:val="0"/>
                                                      <w:marBottom w:val="0"/>
                                                      <w:divBdr>
                                                        <w:top w:val="none" w:sz="0" w:space="0" w:color="auto"/>
                                                        <w:left w:val="none" w:sz="0" w:space="0" w:color="auto"/>
                                                        <w:bottom w:val="none" w:sz="0" w:space="0" w:color="auto"/>
                                                        <w:right w:val="none" w:sz="0" w:space="0" w:color="auto"/>
                                                      </w:divBdr>
                                                      <w:divsChild>
                                                        <w:div w:id="1198082140">
                                                          <w:marLeft w:val="0"/>
                                                          <w:marRight w:val="0"/>
                                                          <w:marTop w:val="0"/>
                                                          <w:marBottom w:val="0"/>
                                                          <w:divBdr>
                                                            <w:top w:val="none" w:sz="0" w:space="0" w:color="auto"/>
                                                            <w:left w:val="none" w:sz="0" w:space="0" w:color="auto"/>
                                                            <w:bottom w:val="none" w:sz="0" w:space="0" w:color="auto"/>
                                                            <w:right w:val="none" w:sz="0" w:space="0" w:color="auto"/>
                                                          </w:divBdr>
                                                          <w:divsChild>
                                                            <w:div w:id="820464981">
                                                              <w:marLeft w:val="0"/>
                                                              <w:marRight w:val="0"/>
                                                              <w:marTop w:val="0"/>
                                                              <w:marBottom w:val="0"/>
                                                              <w:divBdr>
                                                                <w:top w:val="none" w:sz="0" w:space="0" w:color="auto"/>
                                                                <w:left w:val="none" w:sz="0" w:space="0" w:color="auto"/>
                                                                <w:bottom w:val="none" w:sz="0" w:space="0" w:color="auto"/>
                                                                <w:right w:val="none" w:sz="0" w:space="0" w:color="auto"/>
                                                              </w:divBdr>
                                                            </w:div>
                                                            <w:div w:id="514154064">
                                                              <w:marLeft w:val="0"/>
                                                              <w:marRight w:val="0"/>
                                                              <w:marTop w:val="0"/>
                                                              <w:marBottom w:val="0"/>
                                                              <w:divBdr>
                                                                <w:top w:val="none" w:sz="0" w:space="0" w:color="auto"/>
                                                                <w:left w:val="none" w:sz="0" w:space="0" w:color="auto"/>
                                                                <w:bottom w:val="none" w:sz="0" w:space="0" w:color="auto"/>
                                                                <w:right w:val="none" w:sz="0" w:space="0" w:color="auto"/>
                                                              </w:divBdr>
                                                              <w:divsChild>
                                                                <w:div w:id="765467877">
                                                                  <w:marLeft w:val="0"/>
                                                                  <w:marRight w:val="0"/>
                                                                  <w:marTop w:val="0"/>
                                                                  <w:marBottom w:val="0"/>
                                                                  <w:divBdr>
                                                                    <w:top w:val="none" w:sz="0" w:space="0" w:color="auto"/>
                                                                    <w:left w:val="none" w:sz="0" w:space="0" w:color="auto"/>
                                                                    <w:bottom w:val="none" w:sz="0" w:space="0" w:color="auto"/>
                                                                    <w:right w:val="none" w:sz="0" w:space="0" w:color="auto"/>
                                                                  </w:divBdr>
                                                                  <w:divsChild>
                                                                    <w:div w:id="1452242546">
                                                                      <w:marLeft w:val="0"/>
                                                                      <w:marRight w:val="0"/>
                                                                      <w:marTop w:val="0"/>
                                                                      <w:marBottom w:val="0"/>
                                                                      <w:divBdr>
                                                                        <w:top w:val="none" w:sz="0" w:space="0" w:color="auto"/>
                                                                        <w:left w:val="none" w:sz="0" w:space="0" w:color="auto"/>
                                                                        <w:bottom w:val="none" w:sz="0" w:space="0" w:color="auto"/>
                                                                        <w:right w:val="none" w:sz="0" w:space="0" w:color="auto"/>
                                                                      </w:divBdr>
                                                                      <w:divsChild>
                                                                        <w:div w:id="590241294">
                                                                          <w:marLeft w:val="0"/>
                                                                          <w:marRight w:val="0"/>
                                                                          <w:marTop w:val="0"/>
                                                                          <w:marBottom w:val="0"/>
                                                                          <w:divBdr>
                                                                            <w:top w:val="none" w:sz="0" w:space="0" w:color="auto"/>
                                                                            <w:left w:val="none" w:sz="0" w:space="0" w:color="auto"/>
                                                                            <w:bottom w:val="none" w:sz="0" w:space="0" w:color="auto"/>
                                                                            <w:right w:val="none" w:sz="0" w:space="0" w:color="auto"/>
                                                                          </w:divBdr>
                                                                          <w:divsChild>
                                                                            <w:div w:id="132021648">
                                                                              <w:marLeft w:val="0"/>
                                                                              <w:marRight w:val="0"/>
                                                                              <w:marTop w:val="0"/>
                                                                              <w:marBottom w:val="0"/>
                                                                              <w:divBdr>
                                                                                <w:top w:val="none" w:sz="0" w:space="0" w:color="auto"/>
                                                                                <w:left w:val="none" w:sz="0" w:space="0" w:color="auto"/>
                                                                                <w:bottom w:val="none" w:sz="0" w:space="0" w:color="auto"/>
                                                                                <w:right w:val="none" w:sz="0" w:space="0" w:color="auto"/>
                                                                              </w:divBdr>
                                                                              <w:divsChild>
                                                                                <w:div w:id="244649822">
                                                                                  <w:marLeft w:val="0"/>
                                                                                  <w:marRight w:val="0"/>
                                                                                  <w:marTop w:val="0"/>
                                                                                  <w:marBottom w:val="0"/>
                                                                                  <w:divBdr>
                                                                                    <w:top w:val="none" w:sz="0" w:space="0" w:color="auto"/>
                                                                                    <w:left w:val="none" w:sz="0" w:space="0" w:color="auto"/>
                                                                                    <w:bottom w:val="none" w:sz="0" w:space="0" w:color="auto"/>
                                                                                    <w:right w:val="none" w:sz="0" w:space="0" w:color="auto"/>
                                                                                  </w:divBdr>
                                                                                  <w:divsChild>
                                                                                    <w:div w:id="69620635">
                                                                                      <w:marLeft w:val="0"/>
                                                                                      <w:marRight w:val="0"/>
                                                                                      <w:marTop w:val="0"/>
                                                                                      <w:marBottom w:val="0"/>
                                                                                      <w:divBdr>
                                                                                        <w:top w:val="none" w:sz="0" w:space="0" w:color="auto"/>
                                                                                        <w:left w:val="none" w:sz="0" w:space="0" w:color="auto"/>
                                                                                        <w:bottom w:val="none" w:sz="0" w:space="0" w:color="auto"/>
                                                                                        <w:right w:val="none" w:sz="0" w:space="0" w:color="auto"/>
                                                                                      </w:divBdr>
                                                                                      <w:divsChild>
                                                                                        <w:div w:id="26494651">
                                                                                          <w:marLeft w:val="0"/>
                                                                                          <w:marRight w:val="0"/>
                                                                                          <w:marTop w:val="0"/>
                                                                                          <w:marBottom w:val="0"/>
                                                                                          <w:divBdr>
                                                                                            <w:top w:val="none" w:sz="0" w:space="0" w:color="auto"/>
                                                                                            <w:left w:val="none" w:sz="0" w:space="0" w:color="auto"/>
                                                                                            <w:bottom w:val="none" w:sz="0" w:space="0" w:color="auto"/>
                                                                                            <w:right w:val="none" w:sz="0" w:space="0" w:color="auto"/>
                                                                                          </w:divBdr>
                                                                                          <w:divsChild>
                                                                                            <w:div w:id="974526853">
                                                                                              <w:marLeft w:val="0"/>
                                                                                              <w:marRight w:val="0"/>
                                                                                              <w:marTop w:val="0"/>
                                                                                              <w:marBottom w:val="0"/>
                                                                                              <w:divBdr>
                                                                                                <w:top w:val="none" w:sz="0" w:space="0" w:color="auto"/>
                                                                                                <w:left w:val="none" w:sz="0" w:space="0" w:color="auto"/>
                                                                                                <w:bottom w:val="none" w:sz="0" w:space="0" w:color="auto"/>
                                                                                                <w:right w:val="none" w:sz="0" w:space="0" w:color="auto"/>
                                                                                              </w:divBdr>
                                                                                              <w:divsChild>
                                                                                                <w:div w:id="480775522">
                                                                                                  <w:marLeft w:val="0"/>
                                                                                                  <w:marRight w:val="0"/>
                                                                                                  <w:marTop w:val="0"/>
                                                                                                  <w:marBottom w:val="0"/>
                                                                                                  <w:divBdr>
                                                                                                    <w:top w:val="none" w:sz="0" w:space="0" w:color="auto"/>
                                                                                                    <w:left w:val="none" w:sz="0" w:space="0" w:color="auto"/>
                                                                                                    <w:bottom w:val="none" w:sz="0" w:space="0" w:color="auto"/>
                                                                                                    <w:right w:val="none" w:sz="0" w:space="0" w:color="auto"/>
                                                                                                  </w:divBdr>
                                                                                                  <w:divsChild>
                                                                                                    <w:div w:id="1020470264">
                                                                                                      <w:marLeft w:val="0"/>
                                                                                                      <w:marRight w:val="0"/>
                                                                                                      <w:marTop w:val="0"/>
                                                                                                      <w:marBottom w:val="0"/>
                                                                                                      <w:divBdr>
                                                                                                        <w:top w:val="none" w:sz="0" w:space="0" w:color="auto"/>
                                                                                                        <w:left w:val="none" w:sz="0" w:space="0" w:color="auto"/>
                                                                                                        <w:bottom w:val="none" w:sz="0" w:space="0" w:color="auto"/>
                                                                                                        <w:right w:val="none" w:sz="0" w:space="0" w:color="auto"/>
                                                                                                      </w:divBdr>
                                                                                                      <w:divsChild>
                                                                                                        <w:div w:id="1293101017">
                                                                                                          <w:marLeft w:val="0"/>
                                                                                                          <w:marRight w:val="0"/>
                                                                                                          <w:marTop w:val="0"/>
                                                                                                          <w:marBottom w:val="0"/>
                                                                                                          <w:divBdr>
                                                                                                            <w:top w:val="none" w:sz="0" w:space="0" w:color="auto"/>
                                                                                                            <w:left w:val="none" w:sz="0" w:space="0" w:color="auto"/>
                                                                                                            <w:bottom w:val="none" w:sz="0" w:space="0" w:color="auto"/>
                                                                                                            <w:right w:val="none" w:sz="0" w:space="0" w:color="auto"/>
                                                                                                          </w:divBdr>
                                                                                                          <w:divsChild>
                                                                                                            <w:div w:id="1655793877">
                                                                                                              <w:marLeft w:val="0"/>
                                                                                                              <w:marRight w:val="0"/>
                                                                                                              <w:marTop w:val="0"/>
                                                                                                              <w:marBottom w:val="0"/>
                                                                                                              <w:divBdr>
                                                                                                                <w:top w:val="none" w:sz="0" w:space="0" w:color="auto"/>
                                                                                                                <w:left w:val="none" w:sz="0" w:space="0" w:color="auto"/>
                                                                                                                <w:bottom w:val="none" w:sz="0" w:space="0" w:color="auto"/>
                                                                                                                <w:right w:val="none" w:sz="0" w:space="0" w:color="auto"/>
                                                                                                              </w:divBdr>
                                                                                                              <w:divsChild>
                                                                                                                <w:div w:id="15199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436">
                                                                                                      <w:marLeft w:val="0"/>
                                                                                                      <w:marRight w:val="0"/>
                                                                                                      <w:marTop w:val="0"/>
                                                                                                      <w:marBottom w:val="0"/>
                                                                                                      <w:divBdr>
                                                                                                        <w:top w:val="none" w:sz="0" w:space="0" w:color="auto"/>
                                                                                                        <w:left w:val="none" w:sz="0" w:space="0" w:color="auto"/>
                                                                                                        <w:bottom w:val="none" w:sz="0" w:space="0" w:color="auto"/>
                                                                                                        <w:right w:val="none" w:sz="0" w:space="0" w:color="auto"/>
                                                                                                      </w:divBdr>
                                                                                                    </w:div>
                                                                                                  </w:divsChild>
                                                                                                </w:div>
                                                                                                <w:div w:id="1649555441">
                                                                                                  <w:marLeft w:val="0"/>
                                                                                                  <w:marRight w:val="0"/>
                                                                                                  <w:marTop w:val="0"/>
                                                                                                  <w:marBottom w:val="0"/>
                                                                                                  <w:divBdr>
                                                                                                    <w:top w:val="none" w:sz="0" w:space="0" w:color="auto"/>
                                                                                                    <w:left w:val="none" w:sz="0" w:space="0" w:color="auto"/>
                                                                                                    <w:bottom w:val="none" w:sz="0" w:space="0" w:color="auto"/>
                                                                                                    <w:right w:val="none" w:sz="0" w:space="0" w:color="auto"/>
                                                                                                  </w:divBdr>
                                                                                                  <w:divsChild>
                                                                                                    <w:div w:id="667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0071">
                                                                      <w:marLeft w:val="0"/>
                                                                      <w:marRight w:val="0"/>
                                                                      <w:marTop w:val="0"/>
                                                                      <w:marBottom w:val="0"/>
                                                                      <w:divBdr>
                                                                        <w:top w:val="none" w:sz="0" w:space="0" w:color="auto"/>
                                                                        <w:left w:val="none" w:sz="0" w:space="0" w:color="auto"/>
                                                                        <w:bottom w:val="none" w:sz="0" w:space="0" w:color="auto"/>
                                                                        <w:right w:val="none" w:sz="0" w:space="0" w:color="auto"/>
                                                                      </w:divBdr>
                                                                      <w:divsChild>
                                                                        <w:div w:id="477502967">
                                                                          <w:marLeft w:val="0"/>
                                                                          <w:marRight w:val="0"/>
                                                                          <w:marTop w:val="0"/>
                                                                          <w:marBottom w:val="0"/>
                                                                          <w:divBdr>
                                                                            <w:top w:val="none" w:sz="0" w:space="0" w:color="auto"/>
                                                                            <w:left w:val="none" w:sz="0" w:space="0" w:color="auto"/>
                                                                            <w:bottom w:val="none" w:sz="0" w:space="0" w:color="auto"/>
                                                                            <w:right w:val="none" w:sz="0" w:space="0" w:color="auto"/>
                                                                          </w:divBdr>
                                                                        </w:div>
                                                                        <w:div w:id="7932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892015">
          <w:marLeft w:val="0"/>
          <w:marRight w:val="0"/>
          <w:marTop w:val="0"/>
          <w:marBottom w:val="0"/>
          <w:divBdr>
            <w:top w:val="none" w:sz="0" w:space="0" w:color="auto"/>
            <w:left w:val="none" w:sz="0" w:space="0" w:color="auto"/>
            <w:bottom w:val="none" w:sz="0" w:space="0" w:color="auto"/>
            <w:right w:val="none" w:sz="0" w:space="0" w:color="auto"/>
          </w:divBdr>
          <w:divsChild>
            <w:div w:id="588733359">
              <w:marLeft w:val="0"/>
              <w:marRight w:val="0"/>
              <w:marTop w:val="0"/>
              <w:marBottom w:val="0"/>
              <w:divBdr>
                <w:top w:val="none" w:sz="0" w:space="0" w:color="auto"/>
                <w:left w:val="none" w:sz="0" w:space="0" w:color="auto"/>
                <w:bottom w:val="none" w:sz="0" w:space="0" w:color="auto"/>
                <w:right w:val="none" w:sz="0" w:space="0" w:color="auto"/>
              </w:divBdr>
              <w:divsChild>
                <w:div w:id="1713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2237">
      <w:bodyDiv w:val="1"/>
      <w:marLeft w:val="0"/>
      <w:marRight w:val="0"/>
      <w:marTop w:val="0"/>
      <w:marBottom w:val="0"/>
      <w:divBdr>
        <w:top w:val="none" w:sz="0" w:space="0" w:color="auto"/>
        <w:left w:val="none" w:sz="0" w:space="0" w:color="auto"/>
        <w:bottom w:val="none" w:sz="0" w:space="0" w:color="auto"/>
        <w:right w:val="none" w:sz="0" w:space="0" w:color="auto"/>
      </w:divBdr>
    </w:div>
    <w:div w:id="346948713">
      <w:bodyDiv w:val="1"/>
      <w:marLeft w:val="0"/>
      <w:marRight w:val="0"/>
      <w:marTop w:val="0"/>
      <w:marBottom w:val="0"/>
      <w:divBdr>
        <w:top w:val="none" w:sz="0" w:space="0" w:color="auto"/>
        <w:left w:val="none" w:sz="0" w:space="0" w:color="auto"/>
        <w:bottom w:val="none" w:sz="0" w:space="0" w:color="auto"/>
        <w:right w:val="none" w:sz="0" w:space="0" w:color="auto"/>
      </w:divBdr>
    </w:div>
    <w:div w:id="356583821">
      <w:bodyDiv w:val="1"/>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368339222">
      <w:bodyDiv w:val="1"/>
      <w:marLeft w:val="0"/>
      <w:marRight w:val="0"/>
      <w:marTop w:val="0"/>
      <w:marBottom w:val="0"/>
      <w:divBdr>
        <w:top w:val="none" w:sz="0" w:space="0" w:color="auto"/>
        <w:left w:val="none" w:sz="0" w:space="0" w:color="auto"/>
        <w:bottom w:val="none" w:sz="0" w:space="0" w:color="auto"/>
        <w:right w:val="none" w:sz="0" w:space="0" w:color="auto"/>
      </w:divBdr>
    </w:div>
    <w:div w:id="383870680">
      <w:bodyDiv w:val="1"/>
      <w:marLeft w:val="0"/>
      <w:marRight w:val="0"/>
      <w:marTop w:val="0"/>
      <w:marBottom w:val="0"/>
      <w:divBdr>
        <w:top w:val="none" w:sz="0" w:space="0" w:color="auto"/>
        <w:left w:val="none" w:sz="0" w:space="0" w:color="auto"/>
        <w:bottom w:val="none" w:sz="0" w:space="0" w:color="auto"/>
        <w:right w:val="none" w:sz="0" w:space="0" w:color="auto"/>
      </w:divBdr>
    </w:div>
    <w:div w:id="393046029">
      <w:bodyDiv w:val="1"/>
      <w:marLeft w:val="0"/>
      <w:marRight w:val="0"/>
      <w:marTop w:val="0"/>
      <w:marBottom w:val="0"/>
      <w:divBdr>
        <w:top w:val="none" w:sz="0" w:space="0" w:color="auto"/>
        <w:left w:val="none" w:sz="0" w:space="0" w:color="auto"/>
        <w:bottom w:val="none" w:sz="0" w:space="0" w:color="auto"/>
        <w:right w:val="none" w:sz="0" w:space="0" w:color="auto"/>
      </w:divBdr>
    </w:div>
    <w:div w:id="414329595">
      <w:bodyDiv w:val="1"/>
      <w:marLeft w:val="0"/>
      <w:marRight w:val="0"/>
      <w:marTop w:val="0"/>
      <w:marBottom w:val="0"/>
      <w:divBdr>
        <w:top w:val="none" w:sz="0" w:space="0" w:color="auto"/>
        <w:left w:val="none" w:sz="0" w:space="0" w:color="auto"/>
        <w:bottom w:val="none" w:sz="0" w:space="0" w:color="auto"/>
        <w:right w:val="none" w:sz="0" w:space="0" w:color="auto"/>
      </w:divBdr>
      <w:divsChild>
        <w:div w:id="791486535">
          <w:marLeft w:val="0"/>
          <w:marRight w:val="0"/>
          <w:marTop w:val="0"/>
          <w:marBottom w:val="0"/>
          <w:divBdr>
            <w:top w:val="none" w:sz="0" w:space="0" w:color="auto"/>
            <w:left w:val="none" w:sz="0" w:space="0" w:color="auto"/>
            <w:bottom w:val="none" w:sz="0" w:space="0" w:color="auto"/>
            <w:right w:val="none" w:sz="0" w:space="0" w:color="auto"/>
          </w:divBdr>
        </w:div>
        <w:div w:id="1745493101">
          <w:marLeft w:val="0"/>
          <w:marRight w:val="0"/>
          <w:marTop w:val="0"/>
          <w:marBottom w:val="0"/>
          <w:divBdr>
            <w:top w:val="none" w:sz="0" w:space="0" w:color="auto"/>
            <w:left w:val="none" w:sz="0" w:space="0" w:color="auto"/>
            <w:bottom w:val="none" w:sz="0" w:space="0" w:color="auto"/>
            <w:right w:val="none" w:sz="0" w:space="0" w:color="auto"/>
          </w:divBdr>
        </w:div>
      </w:divsChild>
    </w:div>
    <w:div w:id="432555924">
      <w:bodyDiv w:val="1"/>
      <w:marLeft w:val="0"/>
      <w:marRight w:val="0"/>
      <w:marTop w:val="0"/>
      <w:marBottom w:val="0"/>
      <w:divBdr>
        <w:top w:val="none" w:sz="0" w:space="0" w:color="auto"/>
        <w:left w:val="none" w:sz="0" w:space="0" w:color="auto"/>
        <w:bottom w:val="none" w:sz="0" w:space="0" w:color="auto"/>
        <w:right w:val="none" w:sz="0" w:space="0" w:color="auto"/>
      </w:divBdr>
    </w:div>
    <w:div w:id="446506201">
      <w:bodyDiv w:val="1"/>
      <w:marLeft w:val="0"/>
      <w:marRight w:val="0"/>
      <w:marTop w:val="0"/>
      <w:marBottom w:val="0"/>
      <w:divBdr>
        <w:top w:val="none" w:sz="0" w:space="0" w:color="auto"/>
        <w:left w:val="none" w:sz="0" w:space="0" w:color="auto"/>
        <w:bottom w:val="none" w:sz="0" w:space="0" w:color="auto"/>
        <w:right w:val="none" w:sz="0" w:space="0" w:color="auto"/>
      </w:divBdr>
    </w:div>
    <w:div w:id="454057265">
      <w:bodyDiv w:val="1"/>
      <w:marLeft w:val="0"/>
      <w:marRight w:val="0"/>
      <w:marTop w:val="0"/>
      <w:marBottom w:val="0"/>
      <w:divBdr>
        <w:top w:val="none" w:sz="0" w:space="0" w:color="auto"/>
        <w:left w:val="none" w:sz="0" w:space="0" w:color="auto"/>
        <w:bottom w:val="none" w:sz="0" w:space="0" w:color="auto"/>
        <w:right w:val="none" w:sz="0" w:space="0" w:color="auto"/>
      </w:divBdr>
    </w:div>
    <w:div w:id="45718780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80271744">
      <w:bodyDiv w:val="1"/>
      <w:marLeft w:val="0"/>
      <w:marRight w:val="0"/>
      <w:marTop w:val="0"/>
      <w:marBottom w:val="0"/>
      <w:divBdr>
        <w:top w:val="none" w:sz="0" w:space="0" w:color="auto"/>
        <w:left w:val="none" w:sz="0" w:space="0" w:color="auto"/>
        <w:bottom w:val="none" w:sz="0" w:space="0" w:color="auto"/>
        <w:right w:val="none" w:sz="0" w:space="0" w:color="auto"/>
      </w:divBdr>
    </w:div>
    <w:div w:id="488399133">
      <w:bodyDiv w:val="1"/>
      <w:marLeft w:val="0"/>
      <w:marRight w:val="0"/>
      <w:marTop w:val="0"/>
      <w:marBottom w:val="0"/>
      <w:divBdr>
        <w:top w:val="none" w:sz="0" w:space="0" w:color="auto"/>
        <w:left w:val="none" w:sz="0" w:space="0" w:color="auto"/>
        <w:bottom w:val="none" w:sz="0" w:space="0" w:color="auto"/>
        <w:right w:val="none" w:sz="0" w:space="0" w:color="auto"/>
      </w:divBdr>
    </w:div>
    <w:div w:id="510333804">
      <w:bodyDiv w:val="1"/>
      <w:marLeft w:val="0"/>
      <w:marRight w:val="0"/>
      <w:marTop w:val="0"/>
      <w:marBottom w:val="0"/>
      <w:divBdr>
        <w:top w:val="none" w:sz="0" w:space="0" w:color="auto"/>
        <w:left w:val="none" w:sz="0" w:space="0" w:color="auto"/>
        <w:bottom w:val="none" w:sz="0" w:space="0" w:color="auto"/>
        <w:right w:val="none" w:sz="0" w:space="0" w:color="auto"/>
      </w:divBdr>
    </w:div>
    <w:div w:id="540021522">
      <w:bodyDiv w:val="1"/>
      <w:marLeft w:val="0"/>
      <w:marRight w:val="0"/>
      <w:marTop w:val="0"/>
      <w:marBottom w:val="0"/>
      <w:divBdr>
        <w:top w:val="none" w:sz="0" w:space="0" w:color="auto"/>
        <w:left w:val="none" w:sz="0" w:space="0" w:color="auto"/>
        <w:bottom w:val="none" w:sz="0" w:space="0" w:color="auto"/>
        <w:right w:val="none" w:sz="0" w:space="0" w:color="auto"/>
      </w:divBdr>
    </w:div>
    <w:div w:id="552695610">
      <w:bodyDiv w:val="1"/>
      <w:marLeft w:val="0"/>
      <w:marRight w:val="0"/>
      <w:marTop w:val="0"/>
      <w:marBottom w:val="0"/>
      <w:divBdr>
        <w:top w:val="none" w:sz="0" w:space="0" w:color="auto"/>
        <w:left w:val="none" w:sz="0" w:space="0" w:color="auto"/>
        <w:bottom w:val="none" w:sz="0" w:space="0" w:color="auto"/>
        <w:right w:val="none" w:sz="0" w:space="0" w:color="auto"/>
      </w:divBdr>
    </w:div>
    <w:div w:id="571164322">
      <w:bodyDiv w:val="1"/>
      <w:marLeft w:val="0"/>
      <w:marRight w:val="0"/>
      <w:marTop w:val="0"/>
      <w:marBottom w:val="0"/>
      <w:divBdr>
        <w:top w:val="none" w:sz="0" w:space="0" w:color="auto"/>
        <w:left w:val="none" w:sz="0" w:space="0" w:color="auto"/>
        <w:bottom w:val="none" w:sz="0" w:space="0" w:color="auto"/>
        <w:right w:val="none" w:sz="0" w:space="0" w:color="auto"/>
      </w:divBdr>
    </w:div>
    <w:div w:id="608320484">
      <w:bodyDiv w:val="1"/>
      <w:marLeft w:val="0"/>
      <w:marRight w:val="0"/>
      <w:marTop w:val="0"/>
      <w:marBottom w:val="0"/>
      <w:divBdr>
        <w:top w:val="none" w:sz="0" w:space="0" w:color="auto"/>
        <w:left w:val="none" w:sz="0" w:space="0" w:color="auto"/>
        <w:bottom w:val="none" w:sz="0" w:space="0" w:color="auto"/>
        <w:right w:val="none" w:sz="0" w:space="0" w:color="auto"/>
      </w:divBdr>
    </w:div>
    <w:div w:id="608583902">
      <w:bodyDiv w:val="1"/>
      <w:marLeft w:val="0"/>
      <w:marRight w:val="0"/>
      <w:marTop w:val="0"/>
      <w:marBottom w:val="0"/>
      <w:divBdr>
        <w:top w:val="none" w:sz="0" w:space="0" w:color="auto"/>
        <w:left w:val="none" w:sz="0" w:space="0" w:color="auto"/>
        <w:bottom w:val="none" w:sz="0" w:space="0" w:color="auto"/>
        <w:right w:val="none" w:sz="0" w:space="0" w:color="auto"/>
      </w:divBdr>
    </w:div>
    <w:div w:id="609357154">
      <w:bodyDiv w:val="1"/>
      <w:marLeft w:val="0"/>
      <w:marRight w:val="0"/>
      <w:marTop w:val="0"/>
      <w:marBottom w:val="0"/>
      <w:divBdr>
        <w:top w:val="none" w:sz="0" w:space="0" w:color="auto"/>
        <w:left w:val="none" w:sz="0" w:space="0" w:color="auto"/>
        <w:bottom w:val="none" w:sz="0" w:space="0" w:color="auto"/>
        <w:right w:val="none" w:sz="0" w:space="0" w:color="auto"/>
      </w:divBdr>
    </w:div>
    <w:div w:id="643044923">
      <w:bodyDiv w:val="1"/>
      <w:marLeft w:val="0"/>
      <w:marRight w:val="0"/>
      <w:marTop w:val="0"/>
      <w:marBottom w:val="0"/>
      <w:divBdr>
        <w:top w:val="none" w:sz="0" w:space="0" w:color="auto"/>
        <w:left w:val="none" w:sz="0" w:space="0" w:color="auto"/>
        <w:bottom w:val="none" w:sz="0" w:space="0" w:color="auto"/>
        <w:right w:val="none" w:sz="0" w:space="0" w:color="auto"/>
      </w:divBdr>
    </w:div>
    <w:div w:id="661811844">
      <w:bodyDiv w:val="1"/>
      <w:marLeft w:val="0"/>
      <w:marRight w:val="0"/>
      <w:marTop w:val="0"/>
      <w:marBottom w:val="0"/>
      <w:divBdr>
        <w:top w:val="none" w:sz="0" w:space="0" w:color="auto"/>
        <w:left w:val="none" w:sz="0" w:space="0" w:color="auto"/>
        <w:bottom w:val="none" w:sz="0" w:space="0" w:color="auto"/>
        <w:right w:val="none" w:sz="0" w:space="0" w:color="auto"/>
      </w:divBdr>
    </w:div>
    <w:div w:id="664476266">
      <w:bodyDiv w:val="1"/>
      <w:marLeft w:val="0"/>
      <w:marRight w:val="0"/>
      <w:marTop w:val="0"/>
      <w:marBottom w:val="0"/>
      <w:divBdr>
        <w:top w:val="none" w:sz="0" w:space="0" w:color="auto"/>
        <w:left w:val="none" w:sz="0" w:space="0" w:color="auto"/>
        <w:bottom w:val="none" w:sz="0" w:space="0" w:color="auto"/>
        <w:right w:val="none" w:sz="0" w:space="0" w:color="auto"/>
      </w:divBdr>
    </w:div>
    <w:div w:id="666445640">
      <w:bodyDiv w:val="1"/>
      <w:marLeft w:val="0"/>
      <w:marRight w:val="0"/>
      <w:marTop w:val="0"/>
      <w:marBottom w:val="0"/>
      <w:divBdr>
        <w:top w:val="none" w:sz="0" w:space="0" w:color="auto"/>
        <w:left w:val="none" w:sz="0" w:space="0" w:color="auto"/>
        <w:bottom w:val="none" w:sz="0" w:space="0" w:color="auto"/>
        <w:right w:val="none" w:sz="0" w:space="0" w:color="auto"/>
      </w:divBdr>
    </w:div>
    <w:div w:id="669521704">
      <w:bodyDiv w:val="1"/>
      <w:marLeft w:val="0"/>
      <w:marRight w:val="0"/>
      <w:marTop w:val="0"/>
      <w:marBottom w:val="0"/>
      <w:divBdr>
        <w:top w:val="none" w:sz="0" w:space="0" w:color="auto"/>
        <w:left w:val="none" w:sz="0" w:space="0" w:color="auto"/>
        <w:bottom w:val="none" w:sz="0" w:space="0" w:color="auto"/>
        <w:right w:val="none" w:sz="0" w:space="0" w:color="auto"/>
      </w:divBdr>
    </w:div>
    <w:div w:id="673383312">
      <w:bodyDiv w:val="1"/>
      <w:marLeft w:val="0"/>
      <w:marRight w:val="0"/>
      <w:marTop w:val="0"/>
      <w:marBottom w:val="0"/>
      <w:divBdr>
        <w:top w:val="none" w:sz="0" w:space="0" w:color="auto"/>
        <w:left w:val="none" w:sz="0" w:space="0" w:color="auto"/>
        <w:bottom w:val="none" w:sz="0" w:space="0" w:color="auto"/>
        <w:right w:val="none" w:sz="0" w:space="0" w:color="auto"/>
      </w:divBdr>
    </w:div>
    <w:div w:id="692540342">
      <w:bodyDiv w:val="1"/>
      <w:marLeft w:val="0"/>
      <w:marRight w:val="0"/>
      <w:marTop w:val="0"/>
      <w:marBottom w:val="0"/>
      <w:divBdr>
        <w:top w:val="none" w:sz="0" w:space="0" w:color="auto"/>
        <w:left w:val="none" w:sz="0" w:space="0" w:color="auto"/>
        <w:bottom w:val="none" w:sz="0" w:space="0" w:color="auto"/>
        <w:right w:val="none" w:sz="0" w:space="0" w:color="auto"/>
      </w:divBdr>
    </w:div>
    <w:div w:id="692612719">
      <w:bodyDiv w:val="1"/>
      <w:marLeft w:val="0"/>
      <w:marRight w:val="0"/>
      <w:marTop w:val="0"/>
      <w:marBottom w:val="0"/>
      <w:divBdr>
        <w:top w:val="none" w:sz="0" w:space="0" w:color="auto"/>
        <w:left w:val="none" w:sz="0" w:space="0" w:color="auto"/>
        <w:bottom w:val="none" w:sz="0" w:space="0" w:color="auto"/>
        <w:right w:val="none" w:sz="0" w:space="0" w:color="auto"/>
      </w:divBdr>
      <w:divsChild>
        <w:div w:id="1037895975">
          <w:marLeft w:val="0"/>
          <w:marRight w:val="0"/>
          <w:marTop w:val="0"/>
          <w:marBottom w:val="0"/>
          <w:divBdr>
            <w:top w:val="none" w:sz="0" w:space="0" w:color="auto"/>
            <w:left w:val="none" w:sz="0" w:space="0" w:color="auto"/>
            <w:bottom w:val="none" w:sz="0" w:space="0" w:color="auto"/>
            <w:right w:val="none" w:sz="0" w:space="0" w:color="auto"/>
          </w:divBdr>
        </w:div>
      </w:divsChild>
    </w:div>
    <w:div w:id="695734857">
      <w:bodyDiv w:val="1"/>
      <w:marLeft w:val="0"/>
      <w:marRight w:val="0"/>
      <w:marTop w:val="0"/>
      <w:marBottom w:val="0"/>
      <w:divBdr>
        <w:top w:val="none" w:sz="0" w:space="0" w:color="auto"/>
        <w:left w:val="none" w:sz="0" w:space="0" w:color="auto"/>
        <w:bottom w:val="none" w:sz="0" w:space="0" w:color="auto"/>
        <w:right w:val="none" w:sz="0" w:space="0" w:color="auto"/>
      </w:divBdr>
    </w:div>
    <w:div w:id="709307841">
      <w:bodyDiv w:val="1"/>
      <w:marLeft w:val="0"/>
      <w:marRight w:val="0"/>
      <w:marTop w:val="0"/>
      <w:marBottom w:val="0"/>
      <w:divBdr>
        <w:top w:val="none" w:sz="0" w:space="0" w:color="auto"/>
        <w:left w:val="none" w:sz="0" w:space="0" w:color="auto"/>
        <w:bottom w:val="none" w:sz="0" w:space="0" w:color="auto"/>
        <w:right w:val="none" w:sz="0" w:space="0" w:color="auto"/>
      </w:divBdr>
    </w:div>
    <w:div w:id="716440968">
      <w:bodyDiv w:val="1"/>
      <w:marLeft w:val="0"/>
      <w:marRight w:val="0"/>
      <w:marTop w:val="0"/>
      <w:marBottom w:val="0"/>
      <w:divBdr>
        <w:top w:val="none" w:sz="0" w:space="0" w:color="auto"/>
        <w:left w:val="none" w:sz="0" w:space="0" w:color="auto"/>
        <w:bottom w:val="none" w:sz="0" w:space="0" w:color="auto"/>
        <w:right w:val="none" w:sz="0" w:space="0" w:color="auto"/>
      </w:divBdr>
    </w:div>
    <w:div w:id="735277342">
      <w:bodyDiv w:val="1"/>
      <w:marLeft w:val="0"/>
      <w:marRight w:val="0"/>
      <w:marTop w:val="0"/>
      <w:marBottom w:val="0"/>
      <w:divBdr>
        <w:top w:val="none" w:sz="0" w:space="0" w:color="auto"/>
        <w:left w:val="none" w:sz="0" w:space="0" w:color="auto"/>
        <w:bottom w:val="none" w:sz="0" w:space="0" w:color="auto"/>
        <w:right w:val="none" w:sz="0" w:space="0" w:color="auto"/>
      </w:divBdr>
    </w:div>
    <w:div w:id="752750091">
      <w:bodyDiv w:val="1"/>
      <w:marLeft w:val="0"/>
      <w:marRight w:val="0"/>
      <w:marTop w:val="0"/>
      <w:marBottom w:val="0"/>
      <w:divBdr>
        <w:top w:val="none" w:sz="0" w:space="0" w:color="auto"/>
        <w:left w:val="none" w:sz="0" w:space="0" w:color="auto"/>
        <w:bottom w:val="none" w:sz="0" w:space="0" w:color="auto"/>
        <w:right w:val="none" w:sz="0" w:space="0" w:color="auto"/>
      </w:divBdr>
    </w:div>
    <w:div w:id="764958774">
      <w:bodyDiv w:val="1"/>
      <w:marLeft w:val="0"/>
      <w:marRight w:val="0"/>
      <w:marTop w:val="0"/>
      <w:marBottom w:val="0"/>
      <w:divBdr>
        <w:top w:val="none" w:sz="0" w:space="0" w:color="auto"/>
        <w:left w:val="none" w:sz="0" w:space="0" w:color="auto"/>
        <w:bottom w:val="none" w:sz="0" w:space="0" w:color="auto"/>
        <w:right w:val="none" w:sz="0" w:space="0" w:color="auto"/>
      </w:divBdr>
    </w:div>
    <w:div w:id="783423715">
      <w:bodyDiv w:val="1"/>
      <w:marLeft w:val="0"/>
      <w:marRight w:val="0"/>
      <w:marTop w:val="0"/>
      <w:marBottom w:val="0"/>
      <w:divBdr>
        <w:top w:val="none" w:sz="0" w:space="0" w:color="auto"/>
        <w:left w:val="none" w:sz="0" w:space="0" w:color="auto"/>
        <w:bottom w:val="none" w:sz="0" w:space="0" w:color="auto"/>
        <w:right w:val="none" w:sz="0" w:space="0" w:color="auto"/>
      </w:divBdr>
    </w:div>
    <w:div w:id="784466013">
      <w:bodyDiv w:val="1"/>
      <w:marLeft w:val="0"/>
      <w:marRight w:val="0"/>
      <w:marTop w:val="0"/>
      <w:marBottom w:val="0"/>
      <w:divBdr>
        <w:top w:val="none" w:sz="0" w:space="0" w:color="auto"/>
        <w:left w:val="none" w:sz="0" w:space="0" w:color="auto"/>
        <w:bottom w:val="none" w:sz="0" w:space="0" w:color="auto"/>
        <w:right w:val="none" w:sz="0" w:space="0" w:color="auto"/>
      </w:divBdr>
    </w:div>
    <w:div w:id="786201265">
      <w:bodyDiv w:val="1"/>
      <w:marLeft w:val="0"/>
      <w:marRight w:val="0"/>
      <w:marTop w:val="0"/>
      <w:marBottom w:val="0"/>
      <w:divBdr>
        <w:top w:val="none" w:sz="0" w:space="0" w:color="auto"/>
        <w:left w:val="none" w:sz="0" w:space="0" w:color="auto"/>
        <w:bottom w:val="none" w:sz="0" w:space="0" w:color="auto"/>
        <w:right w:val="none" w:sz="0" w:space="0" w:color="auto"/>
      </w:divBdr>
    </w:div>
    <w:div w:id="814220622">
      <w:bodyDiv w:val="1"/>
      <w:marLeft w:val="0"/>
      <w:marRight w:val="0"/>
      <w:marTop w:val="0"/>
      <w:marBottom w:val="0"/>
      <w:divBdr>
        <w:top w:val="none" w:sz="0" w:space="0" w:color="auto"/>
        <w:left w:val="none" w:sz="0" w:space="0" w:color="auto"/>
        <w:bottom w:val="none" w:sz="0" w:space="0" w:color="auto"/>
        <w:right w:val="none" w:sz="0" w:space="0" w:color="auto"/>
      </w:divBdr>
    </w:div>
    <w:div w:id="865405078">
      <w:bodyDiv w:val="1"/>
      <w:marLeft w:val="0"/>
      <w:marRight w:val="0"/>
      <w:marTop w:val="0"/>
      <w:marBottom w:val="0"/>
      <w:divBdr>
        <w:top w:val="none" w:sz="0" w:space="0" w:color="auto"/>
        <w:left w:val="none" w:sz="0" w:space="0" w:color="auto"/>
        <w:bottom w:val="none" w:sz="0" w:space="0" w:color="auto"/>
        <w:right w:val="none" w:sz="0" w:space="0" w:color="auto"/>
      </w:divBdr>
      <w:divsChild>
        <w:div w:id="1442339210">
          <w:marLeft w:val="0"/>
          <w:marRight w:val="0"/>
          <w:marTop w:val="0"/>
          <w:marBottom w:val="75"/>
          <w:divBdr>
            <w:top w:val="none" w:sz="0" w:space="0" w:color="auto"/>
            <w:left w:val="none" w:sz="0" w:space="0" w:color="auto"/>
            <w:bottom w:val="none" w:sz="0" w:space="0" w:color="auto"/>
            <w:right w:val="none" w:sz="0" w:space="0" w:color="auto"/>
          </w:divBdr>
        </w:div>
      </w:divsChild>
    </w:div>
    <w:div w:id="873616562">
      <w:bodyDiv w:val="1"/>
      <w:marLeft w:val="0"/>
      <w:marRight w:val="0"/>
      <w:marTop w:val="0"/>
      <w:marBottom w:val="0"/>
      <w:divBdr>
        <w:top w:val="none" w:sz="0" w:space="0" w:color="auto"/>
        <w:left w:val="none" w:sz="0" w:space="0" w:color="auto"/>
        <w:bottom w:val="none" w:sz="0" w:space="0" w:color="auto"/>
        <w:right w:val="none" w:sz="0" w:space="0" w:color="auto"/>
      </w:divBdr>
    </w:div>
    <w:div w:id="877819956">
      <w:bodyDiv w:val="1"/>
      <w:marLeft w:val="0"/>
      <w:marRight w:val="0"/>
      <w:marTop w:val="0"/>
      <w:marBottom w:val="0"/>
      <w:divBdr>
        <w:top w:val="none" w:sz="0" w:space="0" w:color="auto"/>
        <w:left w:val="none" w:sz="0" w:space="0" w:color="auto"/>
        <w:bottom w:val="none" w:sz="0" w:space="0" w:color="auto"/>
        <w:right w:val="none" w:sz="0" w:space="0" w:color="auto"/>
      </w:divBdr>
    </w:div>
    <w:div w:id="882060831">
      <w:bodyDiv w:val="1"/>
      <w:marLeft w:val="0"/>
      <w:marRight w:val="0"/>
      <w:marTop w:val="0"/>
      <w:marBottom w:val="0"/>
      <w:divBdr>
        <w:top w:val="none" w:sz="0" w:space="0" w:color="auto"/>
        <w:left w:val="none" w:sz="0" w:space="0" w:color="auto"/>
        <w:bottom w:val="none" w:sz="0" w:space="0" w:color="auto"/>
        <w:right w:val="none" w:sz="0" w:space="0" w:color="auto"/>
      </w:divBdr>
    </w:div>
    <w:div w:id="884023333">
      <w:bodyDiv w:val="1"/>
      <w:marLeft w:val="0"/>
      <w:marRight w:val="0"/>
      <w:marTop w:val="0"/>
      <w:marBottom w:val="0"/>
      <w:divBdr>
        <w:top w:val="none" w:sz="0" w:space="0" w:color="auto"/>
        <w:left w:val="none" w:sz="0" w:space="0" w:color="auto"/>
        <w:bottom w:val="none" w:sz="0" w:space="0" w:color="auto"/>
        <w:right w:val="none" w:sz="0" w:space="0" w:color="auto"/>
      </w:divBdr>
    </w:div>
    <w:div w:id="940256705">
      <w:bodyDiv w:val="1"/>
      <w:marLeft w:val="0"/>
      <w:marRight w:val="0"/>
      <w:marTop w:val="0"/>
      <w:marBottom w:val="0"/>
      <w:divBdr>
        <w:top w:val="none" w:sz="0" w:space="0" w:color="auto"/>
        <w:left w:val="none" w:sz="0" w:space="0" w:color="auto"/>
        <w:bottom w:val="none" w:sz="0" w:space="0" w:color="auto"/>
        <w:right w:val="none" w:sz="0" w:space="0" w:color="auto"/>
      </w:divBdr>
    </w:div>
    <w:div w:id="941036771">
      <w:bodyDiv w:val="1"/>
      <w:marLeft w:val="0"/>
      <w:marRight w:val="0"/>
      <w:marTop w:val="0"/>
      <w:marBottom w:val="0"/>
      <w:divBdr>
        <w:top w:val="none" w:sz="0" w:space="0" w:color="auto"/>
        <w:left w:val="none" w:sz="0" w:space="0" w:color="auto"/>
        <w:bottom w:val="none" w:sz="0" w:space="0" w:color="auto"/>
        <w:right w:val="none" w:sz="0" w:space="0" w:color="auto"/>
      </w:divBdr>
      <w:divsChild>
        <w:div w:id="2172875">
          <w:marLeft w:val="0"/>
          <w:marRight w:val="0"/>
          <w:marTop w:val="0"/>
          <w:marBottom w:val="0"/>
          <w:divBdr>
            <w:top w:val="none" w:sz="0" w:space="0" w:color="auto"/>
            <w:left w:val="none" w:sz="0" w:space="0" w:color="auto"/>
            <w:bottom w:val="none" w:sz="0" w:space="0" w:color="auto"/>
            <w:right w:val="none" w:sz="0" w:space="0" w:color="auto"/>
          </w:divBdr>
        </w:div>
      </w:divsChild>
    </w:div>
    <w:div w:id="955790790">
      <w:bodyDiv w:val="1"/>
      <w:marLeft w:val="0"/>
      <w:marRight w:val="0"/>
      <w:marTop w:val="0"/>
      <w:marBottom w:val="0"/>
      <w:divBdr>
        <w:top w:val="none" w:sz="0" w:space="0" w:color="auto"/>
        <w:left w:val="none" w:sz="0" w:space="0" w:color="auto"/>
        <w:bottom w:val="none" w:sz="0" w:space="0" w:color="auto"/>
        <w:right w:val="none" w:sz="0" w:space="0" w:color="auto"/>
      </w:divBdr>
    </w:div>
    <w:div w:id="960764067">
      <w:bodyDiv w:val="1"/>
      <w:marLeft w:val="0"/>
      <w:marRight w:val="0"/>
      <w:marTop w:val="0"/>
      <w:marBottom w:val="0"/>
      <w:divBdr>
        <w:top w:val="none" w:sz="0" w:space="0" w:color="auto"/>
        <w:left w:val="none" w:sz="0" w:space="0" w:color="auto"/>
        <w:bottom w:val="none" w:sz="0" w:space="0" w:color="auto"/>
        <w:right w:val="none" w:sz="0" w:space="0" w:color="auto"/>
      </w:divBdr>
    </w:div>
    <w:div w:id="975599242">
      <w:bodyDiv w:val="1"/>
      <w:marLeft w:val="0"/>
      <w:marRight w:val="0"/>
      <w:marTop w:val="0"/>
      <w:marBottom w:val="0"/>
      <w:divBdr>
        <w:top w:val="none" w:sz="0" w:space="0" w:color="auto"/>
        <w:left w:val="none" w:sz="0" w:space="0" w:color="auto"/>
        <w:bottom w:val="none" w:sz="0" w:space="0" w:color="auto"/>
        <w:right w:val="none" w:sz="0" w:space="0" w:color="auto"/>
      </w:divBdr>
    </w:div>
    <w:div w:id="977153800">
      <w:bodyDiv w:val="1"/>
      <w:marLeft w:val="0"/>
      <w:marRight w:val="0"/>
      <w:marTop w:val="0"/>
      <w:marBottom w:val="0"/>
      <w:divBdr>
        <w:top w:val="none" w:sz="0" w:space="0" w:color="auto"/>
        <w:left w:val="none" w:sz="0" w:space="0" w:color="auto"/>
        <w:bottom w:val="none" w:sz="0" w:space="0" w:color="auto"/>
        <w:right w:val="none" w:sz="0" w:space="0" w:color="auto"/>
      </w:divBdr>
    </w:div>
    <w:div w:id="979270399">
      <w:bodyDiv w:val="1"/>
      <w:marLeft w:val="0"/>
      <w:marRight w:val="0"/>
      <w:marTop w:val="0"/>
      <w:marBottom w:val="0"/>
      <w:divBdr>
        <w:top w:val="none" w:sz="0" w:space="0" w:color="auto"/>
        <w:left w:val="none" w:sz="0" w:space="0" w:color="auto"/>
        <w:bottom w:val="none" w:sz="0" w:space="0" w:color="auto"/>
        <w:right w:val="none" w:sz="0" w:space="0" w:color="auto"/>
      </w:divBdr>
    </w:div>
    <w:div w:id="989283383">
      <w:bodyDiv w:val="1"/>
      <w:marLeft w:val="0"/>
      <w:marRight w:val="0"/>
      <w:marTop w:val="0"/>
      <w:marBottom w:val="0"/>
      <w:divBdr>
        <w:top w:val="none" w:sz="0" w:space="0" w:color="auto"/>
        <w:left w:val="none" w:sz="0" w:space="0" w:color="auto"/>
        <w:bottom w:val="none" w:sz="0" w:space="0" w:color="auto"/>
        <w:right w:val="none" w:sz="0" w:space="0" w:color="auto"/>
      </w:divBdr>
    </w:div>
    <w:div w:id="1002471116">
      <w:bodyDiv w:val="1"/>
      <w:marLeft w:val="0"/>
      <w:marRight w:val="0"/>
      <w:marTop w:val="0"/>
      <w:marBottom w:val="0"/>
      <w:divBdr>
        <w:top w:val="none" w:sz="0" w:space="0" w:color="auto"/>
        <w:left w:val="none" w:sz="0" w:space="0" w:color="auto"/>
        <w:bottom w:val="none" w:sz="0" w:space="0" w:color="auto"/>
        <w:right w:val="none" w:sz="0" w:space="0" w:color="auto"/>
      </w:divBdr>
    </w:div>
    <w:div w:id="1028605887">
      <w:bodyDiv w:val="1"/>
      <w:marLeft w:val="0"/>
      <w:marRight w:val="0"/>
      <w:marTop w:val="0"/>
      <w:marBottom w:val="0"/>
      <w:divBdr>
        <w:top w:val="none" w:sz="0" w:space="0" w:color="auto"/>
        <w:left w:val="none" w:sz="0" w:space="0" w:color="auto"/>
        <w:bottom w:val="none" w:sz="0" w:space="0" w:color="auto"/>
        <w:right w:val="none" w:sz="0" w:space="0" w:color="auto"/>
      </w:divBdr>
    </w:div>
    <w:div w:id="1028876988">
      <w:bodyDiv w:val="1"/>
      <w:marLeft w:val="0"/>
      <w:marRight w:val="0"/>
      <w:marTop w:val="0"/>
      <w:marBottom w:val="0"/>
      <w:divBdr>
        <w:top w:val="none" w:sz="0" w:space="0" w:color="auto"/>
        <w:left w:val="none" w:sz="0" w:space="0" w:color="auto"/>
        <w:bottom w:val="none" w:sz="0" w:space="0" w:color="auto"/>
        <w:right w:val="none" w:sz="0" w:space="0" w:color="auto"/>
      </w:divBdr>
    </w:div>
    <w:div w:id="1061249452">
      <w:bodyDiv w:val="1"/>
      <w:marLeft w:val="0"/>
      <w:marRight w:val="0"/>
      <w:marTop w:val="0"/>
      <w:marBottom w:val="0"/>
      <w:divBdr>
        <w:top w:val="none" w:sz="0" w:space="0" w:color="auto"/>
        <w:left w:val="none" w:sz="0" w:space="0" w:color="auto"/>
        <w:bottom w:val="none" w:sz="0" w:space="0" w:color="auto"/>
        <w:right w:val="none" w:sz="0" w:space="0" w:color="auto"/>
      </w:divBdr>
    </w:div>
    <w:div w:id="1066146468">
      <w:bodyDiv w:val="1"/>
      <w:marLeft w:val="0"/>
      <w:marRight w:val="0"/>
      <w:marTop w:val="0"/>
      <w:marBottom w:val="0"/>
      <w:divBdr>
        <w:top w:val="none" w:sz="0" w:space="0" w:color="auto"/>
        <w:left w:val="none" w:sz="0" w:space="0" w:color="auto"/>
        <w:bottom w:val="none" w:sz="0" w:space="0" w:color="auto"/>
        <w:right w:val="none" w:sz="0" w:space="0" w:color="auto"/>
      </w:divBdr>
    </w:div>
    <w:div w:id="1078361418">
      <w:bodyDiv w:val="1"/>
      <w:marLeft w:val="0"/>
      <w:marRight w:val="0"/>
      <w:marTop w:val="0"/>
      <w:marBottom w:val="0"/>
      <w:divBdr>
        <w:top w:val="none" w:sz="0" w:space="0" w:color="auto"/>
        <w:left w:val="none" w:sz="0" w:space="0" w:color="auto"/>
        <w:bottom w:val="none" w:sz="0" w:space="0" w:color="auto"/>
        <w:right w:val="none" w:sz="0" w:space="0" w:color="auto"/>
      </w:divBdr>
    </w:div>
    <w:div w:id="1082215216">
      <w:bodyDiv w:val="1"/>
      <w:marLeft w:val="0"/>
      <w:marRight w:val="0"/>
      <w:marTop w:val="0"/>
      <w:marBottom w:val="0"/>
      <w:divBdr>
        <w:top w:val="none" w:sz="0" w:space="0" w:color="auto"/>
        <w:left w:val="none" w:sz="0" w:space="0" w:color="auto"/>
        <w:bottom w:val="none" w:sz="0" w:space="0" w:color="auto"/>
        <w:right w:val="none" w:sz="0" w:space="0" w:color="auto"/>
      </w:divBdr>
    </w:div>
    <w:div w:id="1086539799">
      <w:bodyDiv w:val="1"/>
      <w:marLeft w:val="0"/>
      <w:marRight w:val="0"/>
      <w:marTop w:val="0"/>
      <w:marBottom w:val="0"/>
      <w:divBdr>
        <w:top w:val="none" w:sz="0" w:space="0" w:color="auto"/>
        <w:left w:val="none" w:sz="0" w:space="0" w:color="auto"/>
        <w:bottom w:val="none" w:sz="0" w:space="0" w:color="auto"/>
        <w:right w:val="none" w:sz="0" w:space="0" w:color="auto"/>
      </w:divBdr>
    </w:div>
    <w:div w:id="1108156238">
      <w:bodyDiv w:val="1"/>
      <w:marLeft w:val="0"/>
      <w:marRight w:val="0"/>
      <w:marTop w:val="0"/>
      <w:marBottom w:val="0"/>
      <w:divBdr>
        <w:top w:val="none" w:sz="0" w:space="0" w:color="auto"/>
        <w:left w:val="none" w:sz="0" w:space="0" w:color="auto"/>
        <w:bottom w:val="none" w:sz="0" w:space="0" w:color="auto"/>
        <w:right w:val="none" w:sz="0" w:space="0" w:color="auto"/>
      </w:divBdr>
    </w:div>
    <w:div w:id="1122306043">
      <w:bodyDiv w:val="1"/>
      <w:marLeft w:val="0"/>
      <w:marRight w:val="0"/>
      <w:marTop w:val="0"/>
      <w:marBottom w:val="0"/>
      <w:divBdr>
        <w:top w:val="none" w:sz="0" w:space="0" w:color="auto"/>
        <w:left w:val="none" w:sz="0" w:space="0" w:color="auto"/>
        <w:bottom w:val="none" w:sz="0" w:space="0" w:color="auto"/>
        <w:right w:val="none" w:sz="0" w:space="0" w:color="auto"/>
      </w:divBdr>
    </w:div>
    <w:div w:id="1127553397">
      <w:bodyDiv w:val="1"/>
      <w:marLeft w:val="0"/>
      <w:marRight w:val="0"/>
      <w:marTop w:val="0"/>
      <w:marBottom w:val="0"/>
      <w:divBdr>
        <w:top w:val="none" w:sz="0" w:space="0" w:color="auto"/>
        <w:left w:val="none" w:sz="0" w:space="0" w:color="auto"/>
        <w:bottom w:val="none" w:sz="0" w:space="0" w:color="auto"/>
        <w:right w:val="none" w:sz="0" w:space="0" w:color="auto"/>
      </w:divBdr>
    </w:div>
    <w:div w:id="1142769290">
      <w:bodyDiv w:val="1"/>
      <w:marLeft w:val="0"/>
      <w:marRight w:val="0"/>
      <w:marTop w:val="0"/>
      <w:marBottom w:val="0"/>
      <w:divBdr>
        <w:top w:val="none" w:sz="0" w:space="0" w:color="auto"/>
        <w:left w:val="none" w:sz="0" w:space="0" w:color="auto"/>
        <w:bottom w:val="none" w:sz="0" w:space="0" w:color="auto"/>
        <w:right w:val="none" w:sz="0" w:space="0" w:color="auto"/>
      </w:divBdr>
    </w:div>
    <w:div w:id="1148593684">
      <w:bodyDiv w:val="1"/>
      <w:marLeft w:val="0"/>
      <w:marRight w:val="0"/>
      <w:marTop w:val="0"/>
      <w:marBottom w:val="0"/>
      <w:divBdr>
        <w:top w:val="none" w:sz="0" w:space="0" w:color="auto"/>
        <w:left w:val="none" w:sz="0" w:space="0" w:color="auto"/>
        <w:bottom w:val="none" w:sz="0" w:space="0" w:color="auto"/>
        <w:right w:val="none" w:sz="0" w:space="0" w:color="auto"/>
      </w:divBdr>
    </w:div>
    <w:div w:id="1150444992">
      <w:bodyDiv w:val="1"/>
      <w:marLeft w:val="0"/>
      <w:marRight w:val="0"/>
      <w:marTop w:val="0"/>
      <w:marBottom w:val="0"/>
      <w:divBdr>
        <w:top w:val="none" w:sz="0" w:space="0" w:color="auto"/>
        <w:left w:val="none" w:sz="0" w:space="0" w:color="auto"/>
        <w:bottom w:val="none" w:sz="0" w:space="0" w:color="auto"/>
        <w:right w:val="none" w:sz="0" w:space="0" w:color="auto"/>
      </w:divBdr>
    </w:div>
    <w:div w:id="1159808338">
      <w:bodyDiv w:val="1"/>
      <w:marLeft w:val="0"/>
      <w:marRight w:val="0"/>
      <w:marTop w:val="0"/>
      <w:marBottom w:val="0"/>
      <w:divBdr>
        <w:top w:val="none" w:sz="0" w:space="0" w:color="auto"/>
        <w:left w:val="none" w:sz="0" w:space="0" w:color="auto"/>
        <w:bottom w:val="none" w:sz="0" w:space="0" w:color="auto"/>
        <w:right w:val="none" w:sz="0" w:space="0" w:color="auto"/>
      </w:divBdr>
    </w:div>
    <w:div w:id="1162937735">
      <w:bodyDiv w:val="1"/>
      <w:marLeft w:val="0"/>
      <w:marRight w:val="0"/>
      <w:marTop w:val="0"/>
      <w:marBottom w:val="0"/>
      <w:divBdr>
        <w:top w:val="none" w:sz="0" w:space="0" w:color="auto"/>
        <w:left w:val="none" w:sz="0" w:space="0" w:color="auto"/>
        <w:bottom w:val="none" w:sz="0" w:space="0" w:color="auto"/>
        <w:right w:val="none" w:sz="0" w:space="0" w:color="auto"/>
      </w:divBdr>
    </w:div>
    <w:div w:id="1170483289">
      <w:bodyDiv w:val="1"/>
      <w:marLeft w:val="0"/>
      <w:marRight w:val="0"/>
      <w:marTop w:val="0"/>
      <w:marBottom w:val="0"/>
      <w:divBdr>
        <w:top w:val="none" w:sz="0" w:space="0" w:color="auto"/>
        <w:left w:val="none" w:sz="0" w:space="0" w:color="auto"/>
        <w:bottom w:val="none" w:sz="0" w:space="0" w:color="auto"/>
        <w:right w:val="none" w:sz="0" w:space="0" w:color="auto"/>
      </w:divBdr>
    </w:div>
    <w:div w:id="1179463247">
      <w:bodyDiv w:val="1"/>
      <w:marLeft w:val="0"/>
      <w:marRight w:val="0"/>
      <w:marTop w:val="0"/>
      <w:marBottom w:val="0"/>
      <w:divBdr>
        <w:top w:val="none" w:sz="0" w:space="0" w:color="auto"/>
        <w:left w:val="none" w:sz="0" w:space="0" w:color="auto"/>
        <w:bottom w:val="none" w:sz="0" w:space="0" w:color="auto"/>
        <w:right w:val="none" w:sz="0" w:space="0" w:color="auto"/>
      </w:divBdr>
    </w:div>
    <w:div w:id="1187330369">
      <w:bodyDiv w:val="1"/>
      <w:marLeft w:val="0"/>
      <w:marRight w:val="0"/>
      <w:marTop w:val="0"/>
      <w:marBottom w:val="0"/>
      <w:divBdr>
        <w:top w:val="none" w:sz="0" w:space="0" w:color="auto"/>
        <w:left w:val="none" w:sz="0" w:space="0" w:color="auto"/>
        <w:bottom w:val="none" w:sz="0" w:space="0" w:color="auto"/>
        <w:right w:val="none" w:sz="0" w:space="0" w:color="auto"/>
      </w:divBdr>
      <w:divsChild>
        <w:div w:id="709765098">
          <w:marLeft w:val="0"/>
          <w:marRight w:val="0"/>
          <w:marTop w:val="0"/>
          <w:marBottom w:val="0"/>
          <w:divBdr>
            <w:top w:val="none" w:sz="0" w:space="0" w:color="auto"/>
            <w:left w:val="none" w:sz="0" w:space="0" w:color="auto"/>
            <w:bottom w:val="none" w:sz="0" w:space="0" w:color="auto"/>
            <w:right w:val="none" w:sz="0" w:space="0" w:color="auto"/>
          </w:divBdr>
        </w:div>
      </w:divsChild>
    </w:div>
    <w:div w:id="1190801958">
      <w:bodyDiv w:val="1"/>
      <w:marLeft w:val="0"/>
      <w:marRight w:val="0"/>
      <w:marTop w:val="0"/>
      <w:marBottom w:val="0"/>
      <w:divBdr>
        <w:top w:val="none" w:sz="0" w:space="0" w:color="auto"/>
        <w:left w:val="none" w:sz="0" w:space="0" w:color="auto"/>
        <w:bottom w:val="none" w:sz="0" w:space="0" w:color="auto"/>
        <w:right w:val="none" w:sz="0" w:space="0" w:color="auto"/>
      </w:divBdr>
    </w:div>
    <w:div w:id="1196965991">
      <w:bodyDiv w:val="1"/>
      <w:marLeft w:val="0"/>
      <w:marRight w:val="0"/>
      <w:marTop w:val="0"/>
      <w:marBottom w:val="0"/>
      <w:divBdr>
        <w:top w:val="none" w:sz="0" w:space="0" w:color="auto"/>
        <w:left w:val="none" w:sz="0" w:space="0" w:color="auto"/>
        <w:bottom w:val="none" w:sz="0" w:space="0" w:color="auto"/>
        <w:right w:val="none" w:sz="0" w:space="0" w:color="auto"/>
      </w:divBdr>
    </w:div>
    <w:div w:id="1205482496">
      <w:bodyDiv w:val="1"/>
      <w:marLeft w:val="0"/>
      <w:marRight w:val="0"/>
      <w:marTop w:val="0"/>
      <w:marBottom w:val="0"/>
      <w:divBdr>
        <w:top w:val="none" w:sz="0" w:space="0" w:color="auto"/>
        <w:left w:val="none" w:sz="0" w:space="0" w:color="auto"/>
        <w:bottom w:val="none" w:sz="0" w:space="0" w:color="auto"/>
        <w:right w:val="none" w:sz="0" w:space="0" w:color="auto"/>
      </w:divBdr>
    </w:div>
    <w:div w:id="1210385847">
      <w:bodyDiv w:val="1"/>
      <w:marLeft w:val="0"/>
      <w:marRight w:val="0"/>
      <w:marTop w:val="0"/>
      <w:marBottom w:val="0"/>
      <w:divBdr>
        <w:top w:val="none" w:sz="0" w:space="0" w:color="auto"/>
        <w:left w:val="none" w:sz="0" w:space="0" w:color="auto"/>
        <w:bottom w:val="none" w:sz="0" w:space="0" w:color="auto"/>
        <w:right w:val="none" w:sz="0" w:space="0" w:color="auto"/>
      </w:divBdr>
    </w:div>
    <w:div w:id="1213538858">
      <w:bodyDiv w:val="1"/>
      <w:marLeft w:val="0"/>
      <w:marRight w:val="0"/>
      <w:marTop w:val="0"/>
      <w:marBottom w:val="0"/>
      <w:divBdr>
        <w:top w:val="none" w:sz="0" w:space="0" w:color="auto"/>
        <w:left w:val="none" w:sz="0" w:space="0" w:color="auto"/>
        <w:bottom w:val="none" w:sz="0" w:space="0" w:color="auto"/>
        <w:right w:val="none" w:sz="0" w:space="0" w:color="auto"/>
      </w:divBdr>
    </w:div>
    <w:div w:id="1222642931">
      <w:bodyDiv w:val="1"/>
      <w:marLeft w:val="0"/>
      <w:marRight w:val="0"/>
      <w:marTop w:val="0"/>
      <w:marBottom w:val="0"/>
      <w:divBdr>
        <w:top w:val="none" w:sz="0" w:space="0" w:color="auto"/>
        <w:left w:val="none" w:sz="0" w:space="0" w:color="auto"/>
        <w:bottom w:val="none" w:sz="0" w:space="0" w:color="auto"/>
        <w:right w:val="none" w:sz="0" w:space="0" w:color="auto"/>
      </w:divBdr>
    </w:div>
    <w:div w:id="1223516492">
      <w:bodyDiv w:val="1"/>
      <w:marLeft w:val="0"/>
      <w:marRight w:val="0"/>
      <w:marTop w:val="0"/>
      <w:marBottom w:val="0"/>
      <w:divBdr>
        <w:top w:val="none" w:sz="0" w:space="0" w:color="auto"/>
        <w:left w:val="none" w:sz="0" w:space="0" w:color="auto"/>
        <w:bottom w:val="none" w:sz="0" w:space="0" w:color="auto"/>
        <w:right w:val="none" w:sz="0" w:space="0" w:color="auto"/>
      </w:divBdr>
    </w:div>
    <w:div w:id="1247422234">
      <w:bodyDiv w:val="1"/>
      <w:marLeft w:val="0"/>
      <w:marRight w:val="0"/>
      <w:marTop w:val="0"/>
      <w:marBottom w:val="0"/>
      <w:divBdr>
        <w:top w:val="none" w:sz="0" w:space="0" w:color="auto"/>
        <w:left w:val="none" w:sz="0" w:space="0" w:color="auto"/>
        <w:bottom w:val="none" w:sz="0" w:space="0" w:color="auto"/>
        <w:right w:val="none" w:sz="0" w:space="0" w:color="auto"/>
      </w:divBdr>
    </w:div>
    <w:div w:id="1257520813">
      <w:bodyDiv w:val="1"/>
      <w:marLeft w:val="0"/>
      <w:marRight w:val="0"/>
      <w:marTop w:val="0"/>
      <w:marBottom w:val="0"/>
      <w:divBdr>
        <w:top w:val="none" w:sz="0" w:space="0" w:color="auto"/>
        <w:left w:val="none" w:sz="0" w:space="0" w:color="auto"/>
        <w:bottom w:val="none" w:sz="0" w:space="0" w:color="auto"/>
        <w:right w:val="none" w:sz="0" w:space="0" w:color="auto"/>
      </w:divBdr>
    </w:div>
    <w:div w:id="1261109953">
      <w:bodyDiv w:val="1"/>
      <w:marLeft w:val="0"/>
      <w:marRight w:val="0"/>
      <w:marTop w:val="0"/>
      <w:marBottom w:val="0"/>
      <w:divBdr>
        <w:top w:val="none" w:sz="0" w:space="0" w:color="auto"/>
        <w:left w:val="none" w:sz="0" w:space="0" w:color="auto"/>
        <w:bottom w:val="none" w:sz="0" w:space="0" w:color="auto"/>
        <w:right w:val="none" w:sz="0" w:space="0" w:color="auto"/>
      </w:divBdr>
    </w:div>
    <w:div w:id="1264535129">
      <w:bodyDiv w:val="1"/>
      <w:marLeft w:val="0"/>
      <w:marRight w:val="0"/>
      <w:marTop w:val="0"/>
      <w:marBottom w:val="0"/>
      <w:divBdr>
        <w:top w:val="none" w:sz="0" w:space="0" w:color="auto"/>
        <w:left w:val="none" w:sz="0" w:space="0" w:color="auto"/>
        <w:bottom w:val="none" w:sz="0" w:space="0" w:color="auto"/>
        <w:right w:val="none" w:sz="0" w:space="0" w:color="auto"/>
      </w:divBdr>
    </w:div>
    <w:div w:id="1266109516">
      <w:bodyDiv w:val="1"/>
      <w:marLeft w:val="0"/>
      <w:marRight w:val="0"/>
      <w:marTop w:val="0"/>
      <w:marBottom w:val="0"/>
      <w:divBdr>
        <w:top w:val="none" w:sz="0" w:space="0" w:color="auto"/>
        <w:left w:val="none" w:sz="0" w:space="0" w:color="auto"/>
        <w:bottom w:val="none" w:sz="0" w:space="0" w:color="auto"/>
        <w:right w:val="none" w:sz="0" w:space="0" w:color="auto"/>
      </w:divBdr>
    </w:div>
    <w:div w:id="1267543037">
      <w:bodyDiv w:val="1"/>
      <w:marLeft w:val="0"/>
      <w:marRight w:val="0"/>
      <w:marTop w:val="0"/>
      <w:marBottom w:val="0"/>
      <w:divBdr>
        <w:top w:val="none" w:sz="0" w:space="0" w:color="auto"/>
        <w:left w:val="none" w:sz="0" w:space="0" w:color="auto"/>
        <w:bottom w:val="none" w:sz="0" w:space="0" w:color="auto"/>
        <w:right w:val="none" w:sz="0" w:space="0" w:color="auto"/>
      </w:divBdr>
    </w:div>
    <w:div w:id="1271665259">
      <w:bodyDiv w:val="1"/>
      <w:marLeft w:val="0"/>
      <w:marRight w:val="0"/>
      <w:marTop w:val="0"/>
      <w:marBottom w:val="0"/>
      <w:divBdr>
        <w:top w:val="none" w:sz="0" w:space="0" w:color="auto"/>
        <w:left w:val="none" w:sz="0" w:space="0" w:color="auto"/>
        <w:bottom w:val="none" w:sz="0" w:space="0" w:color="auto"/>
        <w:right w:val="none" w:sz="0" w:space="0" w:color="auto"/>
      </w:divBdr>
    </w:div>
    <w:div w:id="1281182556">
      <w:bodyDiv w:val="1"/>
      <w:marLeft w:val="0"/>
      <w:marRight w:val="0"/>
      <w:marTop w:val="0"/>
      <w:marBottom w:val="0"/>
      <w:divBdr>
        <w:top w:val="none" w:sz="0" w:space="0" w:color="auto"/>
        <w:left w:val="none" w:sz="0" w:space="0" w:color="auto"/>
        <w:bottom w:val="none" w:sz="0" w:space="0" w:color="auto"/>
        <w:right w:val="none" w:sz="0" w:space="0" w:color="auto"/>
      </w:divBdr>
    </w:div>
    <w:div w:id="1301223889">
      <w:bodyDiv w:val="1"/>
      <w:marLeft w:val="0"/>
      <w:marRight w:val="0"/>
      <w:marTop w:val="0"/>
      <w:marBottom w:val="0"/>
      <w:divBdr>
        <w:top w:val="none" w:sz="0" w:space="0" w:color="auto"/>
        <w:left w:val="none" w:sz="0" w:space="0" w:color="auto"/>
        <w:bottom w:val="none" w:sz="0" w:space="0" w:color="auto"/>
        <w:right w:val="none" w:sz="0" w:space="0" w:color="auto"/>
      </w:divBdr>
    </w:div>
    <w:div w:id="1303076831">
      <w:bodyDiv w:val="1"/>
      <w:marLeft w:val="0"/>
      <w:marRight w:val="0"/>
      <w:marTop w:val="0"/>
      <w:marBottom w:val="0"/>
      <w:divBdr>
        <w:top w:val="none" w:sz="0" w:space="0" w:color="auto"/>
        <w:left w:val="none" w:sz="0" w:space="0" w:color="auto"/>
        <w:bottom w:val="none" w:sz="0" w:space="0" w:color="auto"/>
        <w:right w:val="none" w:sz="0" w:space="0" w:color="auto"/>
      </w:divBdr>
    </w:div>
    <w:div w:id="1304191118">
      <w:bodyDiv w:val="1"/>
      <w:marLeft w:val="0"/>
      <w:marRight w:val="0"/>
      <w:marTop w:val="0"/>
      <w:marBottom w:val="0"/>
      <w:divBdr>
        <w:top w:val="none" w:sz="0" w:space="0" w:color="auto"/>
        <w:left w:val="none" w:sz="0" w:space="0" w:color="auto"/>
        <w:bottom w:val="none" w:sz="0" w:space="0" w:color="auto"/>
        <w:right w:val="none" w:sz="0" w:space="0" w:color="auto"/>
      </w:divBdr>
    </w:div>
    <w:div w:id="1320885309">
      <w:bodyDiv w:val="1"/>
      <w:marLeft w:val="0"/>
      <w:marRight w:val="0"/>
      <w:marTop w:val="0"/>
      <w:marBottom w:val="0"/>
      <w:divBdr>
        <w:top w:val="none" w:sz="0" w:space="0" w:color="auto"/>
        <w:left w:val="none" w:sz="0" w:space="0" w:color="auto"/>
        <w:bottom w:val="none" w:sz="0" w:space="0" w:color="auto"/>
        <w:right w:val="none" w:sz="0" w:space="0" w:color="auto"/>
      </w:divBdr>
    </w:div>
    <w:div w:id="1322196125">
      <w:bodyDiv w:val="1"/>
      <w:marLeft w:val="0"/>
      <w:marRight w:val="0"/>
      <w:marTop w:val="0"/>
      <w:marBottom w:val="0"/>
      <w:divBdr>
        <w:top w:val="none" w:sz="0" w:space="0" w:color="auto"/>
        <w:left w:val="none" w:sz="0" w:space="0" w:color="auto"/>
        <w:bottom w:val="none" w:sz="0" w:space="0" w:color="auto"/>
        <w:right w:val="none" w:sz="0" w:space="0" w:color="auto"/>
      </w:divBdr>
    </w:div>
    <w:div w:id="1366515149">
      <w:bodyDiv w:val="1"/>
      <w:marLeft w:val="0"/>
      <w:marRight w:val="0"/>
      <w:marTop w:val="0"/>
      <w:marBottom w:val="0"/>
      <w:divBdr>
        <w:top w:val="none" w:sz="0" w:space="0" w:color="auto"/>
        <w:left w:val="none" w:sz="0" w:space="0" w:color="auto"/>
        <w:bottom w:val="none" w:sz="0" w:space="0" w:color="auto"/>
        <w:right w:val="none" w:sz="0" w:space="0" w:color="auto"/>
      </w:divBdr>
    </w:div>
    <w:div w:id="1384449781">
      <w:bodyDiv w:val="1"/>
      <w:marLeft w:val="0"/>
      <w:marRight w:val="0"/>
      <w:marTop w:val="0"/>
      <w:marBottom w:val="0"/>
      <w:divBdr>
        <w:top w:val="none" w:sz="0" w:space="0" w:color="auto"/>
        <w:left w:val="none" w:sz="0" w:space="0" w:color="auto"/>
        <w:bottom w:val="none" w:sz="0" w:space="0" w:color="auto"/>
        <w:right w:val="none" w:sz="0" w:space="0" w:color="auto"/>
      </w:divBdr>
    </w:div>
    <w:div w:id="1425685554">
      <w:bodyDiv w:val="1"/>
      <w:marLeft w:val="0"/>
      <w:marRight w:val="0"/>
      <w:marTop w:val="0"/>
      <w:marBottom w:val="0"/>
      <w:divBdr>
        <w:top w:val="none" w:sz="0" w:space="0" w:color="auto"/>
        <w:left w:val="none" w:sz="0" w:space="0" w:color="auto"/>
        <w:bottom w:val="none" w:sz="0" w:space="0" w:color="auto"/>
        <w:right w:val="none" w:sz="0" w:space="0" w:color="auto"/>
      </w:divBdr>
    </w:div>
    <w:div w:id="1434127431">
      <w:bodyDiv w:val="1"/>
      <w:marLeft w:val="0"/>
      <w:marRight w:val="0"/>
      <w:marTop w:val="0"/>
      <w:marBottom w:val="0"/>
      <w:divBdr>
        <w:top w:val="none" w:sz="0" w:space="0" w:color="auto"/>
        <w:left w:val="none" w:sz="0" w:space="0" w:color="auto"/>
        <w:bottom w:val="none" w:sz="0" w:space="0" w:color="auto"/>
        <w:right w:val="none" w:sz="0" w:space="0" w:color="auto"/>
      </w:divBdr>
    </w:div>
    <w:div w:id="1440296078">
      <w:bodyDiv w:val="1"/>
      <w:marLeft w:val="0"/>
      <w:marRight w:val="0"/>
      <w:marTop w:val="0"/>
      <w:marBottom w:val="0"/>
      <w:divBdr>
        <w:top w:val="none" w:sz="0" w:space="0" w:color="auto"/>
        <w:left w:val="none" w:sz="0" w:space="0" w:color="auto"/>
        <w:bottom w:val="none" w:sz="0" w:space="0" w:color="auto"/>
        <w:right w:val="none" w:sz="0" w:space="0" w:color="auto"/>
      </w:divBdr>
    </w:div>
    <w:div w:id="1447191838">
      <w:bodyDiv w:val="1"/>
      <w:marLeft w:val="0"/>
      <w:marRight w:val="0"/>
      <w:marTop w:val="0"/>
      <w:marBottom w:val="0"/>
      <w:divBdr>
        <w:top w:val="none" w:sz="0" w:space="0" w:color="auto"/>
        <w:left w:val="none" w:sz="0" w:space="0" w:color="auto"/>
        <w:bottom w:val="none" w:sz="0" w:space="0" w:color="auto"/>
        <w:right w:val="none" w:sz="0" w:space="0" w:color="auto"/>
      </w:divBdr>
    </w:div>
    <w:div w:id="1459107849">
      <w:bodyDiv w:val="1"/>
      <w:marLeft w:val="0"/>
      <w:marRight w:val="0"/>
      <w:marTop w:val="0"/>
      <w:marBottom w:val="0"/>
      <w:divBdr>
        <w:top w:val="none" w:sz="0" w:space="0" w:color="auto"/>
        <w:left w:val="none" w:sz="0" w:space="0" w:color="auto"/>
        <w:bottom w:val="none" w:sz="0" w:space="0" w:color="auto"/>
        <w:right w:val="none" w:sz="0" w:space="0" w:color="auto"/>
      </w:divBdr>
    </w:div>
    <w:div w:id="1491216301">
      <w:bodyDiv w:val="1"/>
      <w:marLeft w:val="0"/>
      <w:marRight w:val="0"/>
      <w:marTop w:val="0"/>
      <w:marBottom w:val="0"/>
      <w:divBdr>
        <w:top w:val="none" w:sz="0" w:space="0" w:color="auto"/>
        <w:left w:val="none" w:sz="0" w:space="0" w:color="auto"/>
        <w:bottom w:val="none" w:sz="0" w:space="0" w:color="auto"/>
        <w:right w:val="none" w:sz="0" w:space="0" w:color="auto"/>
      </w:divBdr>
    </w:div>
    <w:div w:id="1522430620">
      <w:bodyDiv w:val="1"/>
      <w:marLeft w:val="0"/>
      <w:marRight w:val="0"/>
      <w:marTop w:val="0"/>
      <w:marBottom w:val="0"/>
      <w:divBdr>
        <w:top w:val="none" w:sz="0" w:space="0" w:color="auto"/>
        <w:left w:val="none" w:sz="0" w:space="0" w:color="auto"/>
        <w:bottom w:val="none" w:sz="0" w:space="0" w:color="auto"/>
        <w:right w:val="none" w:sz="0" w:space="0" w:color="auto"/>
      </w:divBdr>
    </w:div>
    <w:div w:id="1531190186">
      <w:bodyDiv w:val="1"/>
      <w:marLeft w:val="0"/>
      <w:marRight w:val="0"/>
      <w:marTop w:val="0"/>
      <w:marBottom w:val="0"/>
      <w:divBdr>
        <w:top w:val="none" w:sz="0" w:space="0" w:color="auto"/>
        <w:left w:val="none" w:sz="0" w:space="0" w:color="auto"/>
        <w:bottom w:val="none" w:sz="0" w:space="0" w:color="auto"/>
        <w:right w:val="none" w:sz="0" w:space="0" w:color="auto"/>
      </w:divBdr>
    </w:div>
    <w:div w:id="1543514757">
      <w:bodyDiv w:val="1"/>
      <w:marLeft w:val="0"/>
      <w:marRight w:val="0"/>
      <w:marTop w:val="0"/>
      <w:marBottom w:val="0"/>
      <w:divBdr>
        <w:top w:val="none" w:sz="0" w:space="0" w:color="auto"/>
        <w:left w:val="none" w:sz="0" w:space="0" w:color="auto"/>
        <w:bottom w:val="none" w:sz="0" w:space="0" w:color="auto"/>
        <w:right w:val="none" w:sz="0" w:space="0" w:color="auto"/>
      </w:divBdr>
    </w:div>
    <w:div w:id="1565869373">
      <w:bodyDiv w:val="1"/>
      <w:marLeft w:val="0"/>
      <w:marRight w:val="0"/>
      <w:marTop w:val="0"/>
      <w:marBottom w:val="0"/>
      <w:divBdr>
        <w:top w:val="none" w:sz="0" w:space="0" w:color="auto"/>
        <w:left w:val="none" w:sz="0" w:space="0" w:color="auto"/>
        <w:bottom w:val="none" w:sz="0" w:space="0" w:color="auto"/>
        <w:right w:val="none" w:sz="0" w:space="0" w:color="auto"/>
      </w:divBdr>
    </w:div>
    <w:div w:id="1579361724">
      <w:bodyDiv w:val="1"/>
      <w:marLeft w:val="0"/>
      <w:marRight w:val="0"/>
      <w:marTop w:val="0"/>
      <w:marBottom w:val="0"/>
      <w:divBdr>
        <w:top w:val="none" w:sz="0" w:space="0" w:color="auto"/>
        <w:left w:val="none" w:sz="0" w:space="0" w:color="auto"/>
        <w:bottom w:val="none" w:sz="0" w:space="0" w:color="auto"/>
        <w:right w:val="none" w:sz="0" w:space="0" w:color="auto"/>
      </w:divBdr>
    </w:div>
    <w:div w:id="1586306652">
      <w:bodyDiv w:val="1"/>
      <w:marLeft w:val="0"/>
      <w:marRight w:val="0"/>
      <w:marTop w:val="0"/>
      <w:marBottom w:val="0"/>
      <w:divBdr>
        <w:top w:val="none" w:sz="0" w:space="0" w:color="auto"/>
        <w:left w:val="none" w:sz="0" w:space="0" w:color="auto"/>
        <w:bottom w:val="none" w:sz="0" w:space="0" w:color="auto"/>
        <w:right w:val="none" w:sz="0" w:space="0" w:color="auto"/>
      </w:divBdr>
    </w:div>
    <w:div w:id="1610813196">
      <w:bodyDiv w:val="1"/>
      <w:marLeft w:val="0"/>
      <w:marRight w:val="0"/>
      <w:marTop w:val="0"/>
      <w:marBottom w:val="0"/>
      <w:divBdr>
        <w:top w:val="none" w:sz="0" w:space="0" w:color="auto"/>
        <w:left w:val="none" w:sz="0" w:space="0" w:color="auto"/>
        <w:bottom w:val="none" w:sz="0" w:space="0" w:color="auto"/>
        <w:right w:val="none" w:sz="0" w:space="0" w:color="auto"/>
      </w:divBdr>
    </w:div>
    <w:div w:id="1632662300">
      <w:bodyDiv w:val="1"/>
      <w:marLeft w:val="0"/>
      <w:marRight w:val="0"/>
      <w:marTop w:val="0"/>
      <w:marBottom w:val="0"/>
      <w:divBdr>
        <w:top w:val="none" w:sz="0" w:space="0" w:color="auto"/>
        <w:left w:val="none" w:sz="0" w:space="0" w:color="auto"/>
        <w:bottom w:val="none" w:sz="0" w:space="0" w:color="auto"/>
        <w:right w:val="none" w:sz="0" w:space="0" w:color="auto"/>
      </w:divBdr>
    </w:div>
    <w:div w:id="1640260163">
      <w:bodyDiv w:val="1"/>
      <w:marLeft w:val="0"/>
      <w:marRight w:val="0"/>
      <w:marTop w:val="0"/>
      <w:marBottom w:val="0"/>
      <w:divBdr>
        <w:top w:val="none" w:sz="0" w:space="0" w:color="auto"/>
        <w:left w:val="none" w:sz="0" w:space="0" w:color="auto"/>
        <w:bottom w:val="none" w:sz="0" w:space="0" w:color="auto"/>
        <w:right w:val="none" w:sz="0" w:space="0" w:color="auto"/>
      </w:divBdr>
    </w:div>
    <w:div w:id="1672633739">
      <w:bodyDiv w:val="1"/>
      <w:marLeft w:val="0"/>
      <w:marRight w:val="0"/>
      <w:marTop w:val="0"/>
      <w:marBottom w:val="0"/>
      <w:divBdr>
        <w:top w:val="none" w:sz="0" w:space="0" w:color="auto"/>
        <w:left w:val="none" w:sz="0" w:space="0" w:color="auto"/>
        <w:bottom w:val="none" w:sz="0" w:space="0" w:color="auto"/>
        <w:right w:val="none" w:sz="0" w:space="0" w:color="auto"/>
      </w:divBdr>
    </w:div>
    <w:div w:id="1674144074">
      <w:bodyDiv w:val="1"/>
      <w:marLeft w:val="0"/>
      <w:marRight w:val="0"/>
      <w:marTop w:val="0"/>
      <w:marBottom w:val="0"/>
      <w:divBdr>
        <w:top w:val="none" w:sz="0" w:space="0" w:color="auto"/>
        <w:left w:val="none" w:sz="0" w:space="0" w:color="auto"/>
        <w:bottom w:val="none" w:sz="0" w:space="0" w:color="auto"/>
        <w:right w:val="none" w:sz="0" w:space="0" w:color="auto"/>
      </w:divBdr>
    </w:div>
    <w:div w:id="1679237921">
      <w:bodyDiv w:val="1"/>
      <w:marLeft w:val="0"/>
      <w:marRight w:val="0"/>
      <w:marTop w:val="0"/>
      <w:marBottom w:val="0"/>
      <w:divBdr>
        <w:top w:val="none" w:sz="0" w:space="0" w:color="auto"/>
        <w:left w:val="none" w:sz="0" w:space="0" w:color="auto"/>
        <w:bottom w:val="none" w:sz="0" w:space="0" w:color="auto"/>
        <w:right w:val="none" w:sz="0" w:space="0" w:color="auto"/>
      </w:divBdr>
    </w:div>
    <w:div w:id="1685744314">
      <w:bodyDiv w:val="1"/>
      <w:marLeft w:val="0"/>
      <w:marRight w:val="0"/>
      <w:marTop w:val="0"/>
      <w:marBottom w:val="0"/>
      <w:divBdr>
        <w:top w:val="none" w:sz="0" w:space="0" w:color="auto"/>
        <w:left w:val="none" w:sz="0" w:space="0" w:color="auto"/>
        <w:bottom w:val="none" w:sz="0" w:space="0" w:color="auto"/>
        <w:right w:val="none" w:sz="0" w:space="0" w:color="auto"/>
      </w:divBdr>
    </w:div>
    <w:div w:id="1688017461">
      <w:bodyDiv w:val="1"/>
      <w:marLeft w:val="0"/>
      <w:marRight w:val="0"/>
      <w:marTop w:val="0"/>
      <w:marBottom w:val="0"/>
      <w:divBdr>
        <w:top w:val="none" w:sz="0" w:space="0" w:color="auto"/>
        <w:left w:val="none" w:sz="0" w:space="0" w:color="auto"/>
        <w:bottom w:val="none" w:sz="0" w:space="0" w:color="auto"/>
        <w:right w:val="none" w:sz="0" w:space="0" w:color="auto"/>
      </w:divBdr>
    </w:div>
    <w:div w:id="1688754231">
      <w:bodyDiv w:val="1"/>
      <w:marLeft w:val="0"/>
      <w:marRight w:val="0"/>
      <w:marTop w:val="0"/>
      <w:marBottom w:val="0"/>
      <w:divBdr>
        <w:top w:val="none" w:sz="0" w:space="0" w:color="auto"/>
        <w:left w:val="none" w:sz="0" w:space="0" w:color="auto"/>
        <w:bottom w:val="none" w:sz="0" w:space="0" w:color="auto"/>
        <w:right w:val="none" w:sz="0" w:space="0" w:color="auto"/>
      </w:divBdr>
    </w:div>
    <w:div w:id="1700163357">
      <w:bodyDiv w:val="1"/>
      <w:marLeft w:val="0"/>
      <w:marRight w:val="0"/>
      <w:marTop w:val="0"/>
      <w:marBottom w:val="0"/>
      <w:divBdr>
        <w:top w:val="none" w:sz="0" w:space="0" w:color="auto"/>
        <w:left w:val="none" w:sz="0" w:space="0" w:color="auto"/>
        <w:bottom w:val="none" w:sz="0" w:space="0" w:color="auto"/>
        <w:right w:val="none" w:sz="0" w:space="0" w:color="auto"/>
      </w:divBdr>
    </w:div>
    <w:div w:id="1713266361">
      <w:bodyDiv w:val="1"/>
      <w:marLeft w:val="0"/>
      <w:marRight w:val="0"/>
      <w:marTop w:val="0"/>
      <w:marBottom w:val="0"/>
      <w:divBdr>
        <w:top w:val="none" w:sz="0" w:space="0" w:color="auto"/>
        <w:left w:val="none" w:sz="0" w:space="0" w:color="auto"/>
        <w:bottom w:val="none" w:sz="0" w:space="0" w:color="auto"/>
        <w:right w:val="none" w:sz="0" w:space="0" w:color="auto"/>
      </w:divBdr>
    </w:div>
    <w:div w:id="1736320098">
      <w:bodyDiv w:val="1"/>
      <w:marLeft w:val="0"/>
      <w:marRight w:val="0"/>
      <w:marTop w:val="0"/>
      <w:marBottom w:val="0"/>
      <w:divBdr>
        <w:top w:val="none" w:sz="0" w:space="0" w:color="auto"/>
        <w:left w:val="none" w:sz="0" w:space="0" w:color="auto"/>
        <w:bottom w:val="none" w:sz="0" w:space="0" w:color="auto"/>
        <w:right w:val="none" w:sz="0" w:space="0" w:color="auto"/>
      </w:divBdr>
    </w:div>
    <w:div w:id="1754744048">
      <w:bodyDiv w:val="1"/>
      <w:marLeft w:val="0"/>
      <w:marRight w:val="0"/>
      <w:marTop w:val="0"/>
      <w:marBottom w:val="0"/>
      <w:divBdr>
        <w:top w:val="none" w:sz="0" w:space="0" w:color="auto"/>
        <w:left w:val="none" w:sz="0" w:space="0" w:color="auto"/>
        <w:bottom w:val="none" w:sz="0" w:space="0" w:color="auto"/>
        <w:right w:val="none" w:sz="0" w:space="0" w:color="auto"/>
      </w:divBdr>
      <w:divsChild>
        <w:div w:id="963660183">
          <w:marLeft w:val="0"/>
          <w:marRight w:val="0"/>
          <w:marTop w:val="0"/>
          <w:marBottom w:val="0"/>
          <w:divBdr>
            <w:top w:val="none" w:sz="0" w:space="0" w:color="auto"/>
            <w:left w:val="none" w:sz="0" w:space="0" w:color="auto"/>
            <w:bottom w:val="none" w:sz="0" w:space="0" w:color="auto"/>
            <w:right w:val="none" w:sz="0" w:space="0" w:color="auto"/>
          </w:divBdr>
        </w:div>
        <w:div w:id="1008631579">
          <w:marLeft w:val="0"/>
          <w:marRight w:val="0"/>
          <w:marTop w:val="0"/>
          <w:marBottom w:val="0"/>
          <w:divBdr>
            <w:top w:val="none" w:sz="0" w:space="0" w:color="auto"/>
            <w:left w:val="none" w:sz="0" w:space="0" w:color="auto"/>
            <w:bottom w:val="none" w:sz="0" w:space="0" w:color="auto"/>
            <w:right w:val="none" w:sz="0" w:space="0" w:color="auto"/>
          </w:divBdr>
        </w:div>
      </w:divsChild>
    </w:div>
    <w:div w:id="1763604581">
      <w:bodyDiv w:val="1"/>
      <w:marLeft w:val="0"/>
      <w:marRight w:val="0"/>
      <w:marTop w:val="0"/>
      <w:marBottom w:val="0"/>
      <w:divBdr>
        <w:top w:val="none" w:sz="0" w:space="0" w:color="auto"/>
        <w:left w:val="none" w:sz="0" w:space="0" w:color="auto"/>
        <w:bottom w:val="none" w:sz="0" w:space="0" w:color="auto"/>
        <w:right w:val="none" w:sz="0" w:space="0" w:color="auto"/>
      </w:divBdr>
    </w:div>
    <w:div w:id="1774864693">
      <w:bodyDiv w:val="1"/>
      <w:marLeft w:val="0"/>
      <w:marRight w:val="0"/>
      <w:marTop w:val="0"/>
      <w:marBottom w:val="0"/>
      <w:divBdr>
        <w:top w:val="none" w:sz="0" w:space="0" w:color="auto"/>
        <w:left w:val="none" w:sz="0" w:space="0" w:color="auto"/>
        <w:bottom w:val="none" w:sz="0" w:space="0" w:color="auto"/>
        <w:right w:val="none" w:sz="0" w:space="0" w:color="auto"/>
      </w:divBdr>
    </w:div>
    <w:div w:id="1783069916">
      <w:bodyDiv w:val="1"/>
      <w:marLeft w:val="0"/>
      <w:marRight w:val="0"/>
      <w:marTop w:val="0"/>
      <w:marBottom w:val="0"/>
      <w:divBdr>
        <w:top w:val="none" w:sz="0" w:space="0" w:color="auto"/>
        <w:left w:val="none" w:sz="0" w:space="0" w:color="auto"/>
        <w:bottom w:val="none" w:sz="0" w:space="0" w:color="auto"/>
        <w:right w:val="none" w:sz="0" w:space="0" w:color="auto"/>
      </w:divBdr>
    </w:div>
    <w:div w:id="1819690311">
      <w:bodyDiv w:val="1"/>
      <w:marLeft w:val="0"/>
      <w:marRight w:val="0"/>
      <w:marTop w:val="0"/>
      <w:marBottom w:val="0"/>
      <w:divBdr>
        <w:top w:val="none" w:sz="0" w:space="0" w:color="auto"/>
        <w:left w:val="none" w:sz="0" w:space="0" w:color="auto"/>
        <w:bottom w:val="none" w:sz="0" w:space="0" w:color="auto"/>
        <w:right w:val="none" w:sz="0" w:space="0" w:color="auto"/>
      </w:divBdr>
    </w:div>
    <w:div w:id="1821120597">
      <w:bodyDiv w:val="1"/>
      <w:marLeft w:val="0"/>
      <w:marRight w:val="0"/>
      <w:marTop w:val="0"/>
      <w:marBottom w:val="0"/>
      <w:divBdr>
        <w:top w:val="none" w:sz="0" w:space="0" w:color="auto"/>
        <w:left w:val="none" w:sz="0" w:space="0" w:color="auto"/>
        <w:bottom w:val="none" w:sz="0" w:space="0" w:color="auto"/>
        <w:right w:val="none" w:sz="0" w:space="0" w:color="auto"/>
      </w:divBdr>
    </w:div>
    <w:div w:id="1835023317">
      <w:bodyDiv w:val="1"/>
      <w:marLeft w:val="0"/>
      <w:marRight w:val="0"/>
      <w:marTop w:val="0"/>
      <w:marBottom w:val="0"/>
      <w:divBdr>
        <w:top w:val="none" w:sz="0" w:space="0" w:color="auto"/>
        <w:left w:val="none" w:sz="0" w:space="0" w:color="auto"/>
        <w:bottom w:val="none" w:sz="0" w:space="0" w:color="auto"/>
        <w:right w:val="none" w:sz="0" w:space="0" w:color="auto"/>
      </w:divBdr>
    </w:div>
    <w:div w:id="1855070717">
      <w:bodyDiv w:val="1"/>
      <w:marLeft w:val="0"/>
      <w:marRight w:val="0"/>
      <w:marTop w:val="0"/>
      <w:marBottom w:val="0"/>
      <w:divBdr>
        <w:top w:val="none" w:sz="0" w:space="0" w:color="auto"/>
        <w:left w:val="none" w:sz="0" w:space="0" w:color="auto"/>
        <w:bottom w:val="none" w:sz="0" w:space="0" w:color="auto"/>
        <w:right w:val="none" w:sz="0" w:space="0" w:color="auto"/>
      </w:divBdr>
    </w:div>
    <w:div w:id="1860780767">
      <w:bodyDiv w:val="1"/>
      <w:marLeft w:val="0"/>
      <w:marRight w:val="0"/>
      <w:marTop w:val="0"/>
      <w:marBottom w:val="0"/>
      <w:divBdr>
        <w:top w:val="none" w:sz="0" w:space="0" w:color="auto"/>
        <w:left w:val="none" w:sz="0" w:space="0" w:color="auto"/>
        <w:bottom w:val="none" w:sz="0" w:space="0" w:color="auto"/>
        <w:right w:val="none" w:sz="0" w:space="0" w:color="auto"/>
      </w:divBdr>
    </w:div>
    <w:div w:id="1864780336">
      <w:bodyDiv w:val="1"/>
      <w:marLeft w:val="0"/>
      <w:marRight w:val="0"/>
      <w:marTop w:val="0"/>
      <w:marBottom w:val="0"/>
      <w:divBdr>
        <w:top w:val="none" w:sz="0" w:space="0" w:color="auto"/>
        <w:left w:val="none" w:sz="0" w:space="0" w:color="auto"/>
        <w:bottom w:val="none" w:sz="0" w:space="0" w:color="auto"/>
        <w:right w:val="none" w:sz="0" w:space="0" w:color="auto"/>
      </w:divBdr>
    </w:div>
    <w:div w:id="1868987447">
      <w:bodyDiv w:val="1"/>
      <w:marLeft w:val="0"/>
      <w:marRight w:val="0"/>
      <w:marTop w:val="0"/>
      <w:marBottom w:val="0"/>
      <w:divBdr>
        <w:top w:val="none" w:sz="0" w:space="0" w:color="auto"/>
        <w:left w:val="none" w:sz="0" w:space="0" w:color="auto"/>
        <w:bottom w:val="none" w:sz="0" w:space="0" w:color="auto"/>
        <w:right w:val="none" w:sz="0" w:space="0" w:color="auto"/>
      </w:divBdr>
    </w:div>
    <w:div w:id="1873835047">
      <w:bodyDiv w:val="1"/>
      <w:marLeft w:val="0"/>
      <w:marRight w:val="0"/>
      <w:marTop w:val="0"/>
      <w:marBottom w:val="0"/>
      <w:divBdr>
        <w:top w:val="none" w:sz="0" w:space="0" w:color="auto"/>
        <w:left w:val="none" w:sz="0" w:space="0" w:color="auto"/>
        <w:bottom w:val="none" w:sz="0" w:space="0" w:color="auto"/>
        <w:right w:val="none" w:sz="0" w:space="0" w:color="auto"/>
      </w:divBdr>
    </w:div>
    <w:div w:id="1879538702">
      <w:bodyDiv w:val="1"/>
      <w:marLeft w:val="0"/>
      <w:marRight w:val="0"/>
      <w:marTop w:val="0"/>
      <w:marBottom w:val="0"/>
      <w:divBdr>
        <w:top w:val="none" w:sz="0" w:space="0" w:color="auto"/>
        <w:left w:val="none" w:sz="0" w:space="0" w:color="auto"/>
        <w:bottom w:val="none" w:sz="0" w:space="0" w:color="auto"/>
        <w:right w:val="none" w:sz="0" w:space="0" w:color="auto"/>
      </w:divBdr>
    </w:div>
    <w:div w:id="1886142684">
      <w:bodyDiv w:val="1"/>
      <w:marLeft w:val="0"/>
      <w:marRight w:val="0"/>
      <w:marTop w:val="0"/>
      <w:marBottom w:val="0"/>
      <w:divBdr>
        <w:top w:val="none" w:sz="0" w:space="0" w:color="auto"/>
        <w:left w:val="none" w:sz="0" w:space="0" w:color="auto"/>
        <w:bottom w:val="none" w:sz="0" w:space="0" w:color="auto"/>
        <w:right w:val="none" w:sz="0" w:space="0" w:color="auto"/>
      </w:divBdr>
    </w:div>
    <w:div w:id="1892188091">
      <w:bodyDiv w:val="1"/>
      <w:marLeft w:val="0"/>
      <w:marRight w:val="0"/>
      <w:marTop w:val="0"/>
      <w:marBottom w:val="0"/>
      <w:divBdr>
        <w:top w:val="none" w:sz="0" w:space="0" w:color="auto"/>
        <w:left w:val="none" w:sz="0" w:space="0" w:color="auto"/>
        <w:bottom w:val="none" w:sz="0" w:space="0" w:color="auto"/>
        <w:right w:val="none" w:sz="0" w:space="0" w:color="auto"/>
      </w:divBdr>
    </w:div>
    <w:div w:id="1908416581">
      <w:bodyDiv w:val="1"/>
      <w:marLeft w:val="0"/>
      <w:marRight w:val="0"/>
      <w:marTop w:val="0"/>
      <w:marBottom w:val="0"/>
      <w:divBdr>
        <w:top w:val="none" w:sz="0" w:space="0" w:color="auto"/>
        <w:left w:val="none" w:sz="0" w:space="0" w:color="auto"/>
        <w:bottom w:val="none" w:sz="0" w:space="0" w:color="auto"/>
        <w:right w:val="none" w:sz="0" w:space="0" w:color="auto"/>
      </w:divBdr>
    </w:div>
    <w:div w:id="1919750548">
      <w:bodyDiv w:val="1"/>
      <w:marLeft w:val="0"/>
      <w:marRight w:val="0"/>
      <w:marTop w:val="0"/>
      <w:marBottom w:val="0"/>
      <w:divBdr>
        <w:top w:val="none" w:sz="0" w:space="0" w:color="auto"/>
        <w:left w:val="none" w:sz="0" w:space="0" w:color="auto"/>
        <w:bottom w:val="none" w:sz="0" w:space="0" w:color="auto"/>
        <w:right w:val="none" w:sz="0" w:space="0" w:color="auto"/>
      </w:divBdr>
    </w:div>
    <w:div w:id="1926265132">
      <w:bodyDiv w:val="1"/>
      <w:marLeft w:val="0"/>
      <w:marRight w:val="0"/>
      <w:marTop w:val="0"/>
      <w:marBottom w:val="0"/>
      <w:divBdr>
        <w:top w:val="none" w:sz="0" w:space="0" w:color="auto"/>
        <w:left w:val="none" w:sz="0" w:space="0" w:color="auto"/>
        <w:bottom w:val="none" w:sz="0" w:space="0" w:color="auto"/>
        <w:right w:val="none" w:sz="0" w:space="0" w:color="auto"/>
      </w:divBdr>
    </w:div>
    <w:div w:id="1952125073">
      <w:bodyDiv w:val="1"/>
      <w:marLeft w:val="0"/>
      <w:marRight w:val="0"/>
      <w:marTop w:val="0"/>
      <w:marBottom w:val="0"/>
      <w:divBdr>
        <w:top w:val="none" w:sz="0" w:space="0" w:color="auto"/>
        <w:left w:val="none" w:sz="0" w:space="0" w:color="auto"/>
        <w:bottom w:val="none" w:sz="0" w:space="0" w:color="auto"/>
        <w:right w:val="none" w:sz="0" w:space="0" w:color="auto"/>
      </w:divBdr>
      <w:divsChild>
        <w:div w:id="907760966">
          <w:marLeft w:val="0"/>
          <w:marRight w:val="0"/>
          <w:marTop w:val="0"/>
          <w:marBottom w:val="0"/>
          <w:divBdr>
            <w:top w:val="none" w:sz="0" w:space="0" w:color="auto"/>
            <w:left w:val="none" w:sz="0" w:space="0" w:color="auto"/>
            <w:bottom w:val="none" w:sz="0" w:space="0" w:color="auto"/>
            <w:right w:val="none" w:sz="0" w:space="0" w:color="auto"/>
          </w:divBdr>
        </w:div>
      </w:divsChild>
    </w:div>
    <w:div w:id="2011368227">
      <w:bodyDiv w:val="1"/>
      <w:marLeft w:val="0"/>
      <w:marRight w:val="0"/>
      <w:marTop w:val="0"/>
      <w:marBottom w:val="0"/>
      <w:divBdr>
        <w:top w:val="none" w:sz="0" w:space="0" w:color="auto"/>
        <w:left w:val="none" w:sz="0" w:space="0" w:color="auto"/>
        <w:bottom w:val="none" w:sz="0" w:space="0" w:color="auto"/>
        <w:right w:val="none" w:sz="0" w:space="0" w:color="auto"/>
      </w:divBdr>
    </w:div>
    <w:div w:id="2014339025">
      <w:bodyDiv w:val="1"/>
      <w:marLeft w:val="0"/>
      <w:marRight w:val="0"/>
      <w:marTop w:val="0"/>
      <w:marBottom w:val="0"/>
      <w:divBdr>
        <w:top w:val="none" w:sz="0" w:space="0" w:color="auto"/>
        <w:left w:val="none" w:sz="0" w:space="0" w:color="auto"/>
        <w:bottom w:val="none" w:sz="0" w:space="0" w:color="auto"/>
        <w:right w:val="none" w:sz="0" w:space="0" w:color="auto"/>
      </w:divBdr>
    </w:div>
    <w:div w:id="2031829419">
      <w:bodyDiv w:val="1"/>
      <w:marLeft w:val="0"/>
      <w:marRight w:val="0"/>
      <w:marTop w:val="0"/>
      <w:marBottom w:val="0"/>
      <w:divBdr>
        <w:top w:val="none" w:sz="0" w:space="0" w:color="auto"/>
        <w:left w:val="none" w:sz="0" w:space="0" w:color="auto"/>
        <w:bottom w:val="none" w:sz="0" w:space="0" w:color="auto"/>
        <w:right w:val="none" w:sz="0" w:space="0" w:color="auto"/>
      </w:divBdr>
    </w:div>
    <w:div w:id="2053068713">
      <w:bodyDiv w:val="1"/>
      <w:marLeft w:val="0"/>
      <w:marRight w:val="0"/>
      <w:marTop w:val="0"/>
      <w:marBottom w:val="0"/>
      <w:divBdr>
        <w:top w:val="none" w:sz="0" w:space="0" w:color="auto"/>
        <w:left w:val="none" w:sz="0" w:space="0" w:color="auto"/>
        <w:bottom w:val="none" w:sz="0" w:space="0" w:color="auto"/>
        <w:right w:val="none" w:sz="0" w:space="0" w:color="auto"/>
      </w:divBdr>
    </w:div>
    <w:div w:id="2071807164">
      <w:bodyDiv w:val="1"/>
      <w:marLeft w:val="0"/>
      <w:marRight w:val="0"/>
      <w:marTop w:val="0"/>
      <w:marBottom w:val="0"/>
      <w:divBdr>
        <w:top w:val="none" w:sz="0" w:space="0" w:color="auto"/>
        <w:left w:val="none" w:sz="0" w:space="0" w:color="auto"/>
        <w:bottom w:val="none" w:sz="0" w:space="0" w:color="auto"/>
        <w:right w:val="none" w:sz="0" w:space="0" w:color="auto"/>
      </w:divBdr>
      <w:divsChild>
        <w:div w:id="1283538881">
          <w:marLeft w:val="0"/>
          <w:marRight w:val="0"/>
          <w:marTop w:val="0"/>
          <w:marBottom w:val="0"/>
          <w:divBdr>
            <w:top w:val="none" w:sz="0" w:space="0" w:color="auto"/>
            <w:left w:val="none" w:sz="0" w:space="0" w:color="auto"/>
            <w:bottom w:val="none" w:sz="0" w:space="0" w:color="auto"/>
            <w:right w:val="none" w:sz="0" w:space="0" w:color="auto"/>
          </w:divBdr>
        </w:div>
      </w:divsChild>
    </w:div>
    <w:div w:id="2075424104">
      <w:bodyDiv w:val="1"/>
      <w:marLeft w:val="0"/>
      <w:marRight w:val="0"/>
      <w:marTop w:val="0"/>
      <w:marBottom w:val="0"/>
      <w:divBdr>
        <w:top w:val="none" w:sz="0" w:space="0" w:color="auto"/>
        <w:left w:val="none" w:sz="0" w:space="0" w:color="auto"/>
        <w:bottom w:val="none" w:sz="0" w:space="0" w:color="auto"/>
        <w:right w:val="none" w:sz="0" w:space="0" w:color="auto"/>
      </w:divBdr>
    </w:div>
    <w:div w:id="2076471190">
      <w:bodyDiv w:val="1"/>
      <w:marLeft w:val="0"/>
      <w:marRight w:val="0"/>
      <w:marTop w:val="0"/>
      <w:marBottom w:val="0"/>
      <w:divBdr>
        <w:top w:val="none" w:sz="0" w:space="0" w:color="auto"/>
        <w:left w:val="none" w:sz="0" w:space="0" w:color="auto"/>
        <w:bottom w:val="none" w:sz="0" w:space="0" w:color="auto"/>
        <w:right w:val="none" w:sz="0" w:space="0" w:color="auto"/>
      </w:divBdr>
    </w:div>
    <w:div w:id="2091582578">
      <w:bodyDiv w:val="1"/>
      <w:marLeft w:val="0"/>
      <w:marRight w:val="0"/>
      <w:marTop w:val="0"/>
      <w:marBottom w:val="0"/>
      <w:divBdr>
        <w:top w:val="none" w:sz="0" w:space="0" w:color="auto"/>
        <w:left w:val="none" w:sz="0" w:space="0" w:color="auto"/>
        <w:bottom w:val="none" w:sz="0" w:space="0" w:color="auto"/>
        <w:right w:val="none" w:sz="0" w:space="0" w:color="auto"/>
      </w:divBdr>
    </w:div>
    <w:div w:id="2126651029">
      <w:bodyDiv w:val="1"/>
      <w:marLeft w:val="0"/>
      <w:marRight w:val="0"/>
      <w:marTop w:val="0"/>
      <w:marBottom w:val="0"/>
      <w:divBdr>
        <w:top w:val="none" w:sz="0" w:space="0" w:color="auto"/>
        <w:left w:val="none" w:sz="0" w:space="0" w:color="auto"/>
        <w:bottom w:val="none" w:sz="0" w:space="0" w:color="auto"/>
        <w:right w:val="none" w:sz="0" w:space="0" w:color="auto"/>
      </w:divBdr>
    </w:div>
    <w:div w:id="2127237431">
      <w:bodyDiv w:val="1"/>
      <w:marLeft w:val="0"/>
      <w:marRight w:val="0"/>
      <w:marTop w:val="0"/>
      <w:marBottom w:val="0"/>
      <w:divBdr>
        <w:top w:val="none" w:sz="0" w:space="0" w:color="auto"/>
        <w:left w:val="none" w:sz="0" w:space="0" w:color="auto"/>
        <w:bottom w:val="none" w:sz="0" w:space="0" w:color="auto"/>
        <w:right w:val="none" w:sz="0" w:space="0" w:color="auto"/>
      </w:divBdr>
    </w:div>
    <w:div w:id="214499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onavirus.gimbe.org"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hyperlink" Target="https://www.trovanorme.salute.gov.it/norme/renderNormsanPdf?anno=2022&amp;codLeg=88043&amp;parte=1%20&amp;serie=null" TargetMode="External"/><Relationship Id="rId17" Type="http://schemas.openxmlformats.org/officeDocument/2006/relationships/header" Target="header1.xml"/><Relationship Id="rId25" Type="http://schemas.openxmlformats.org/officeDocument/2006/relationships/image" Target="media/image10.png"/><Relationship Id="rId33"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italia/covid19-opendata-vaccini/blob/master/dati/platea-second-booster.csv" TargetMode="Externa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hyperlink" Target="https://github.com/italia/covid19-opendata-vaccini/blob/master/dati/platea-booster-immunocompromessi.csv" TargetMode="Externa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s://github.com/italia/covid19-opendata-vaccini/blob/master/dati/platea-dose-addizionale-booster.csv" TargetMode="External"/><Relationship Id="rId14" Type="http://schemas.openxmlformats.org/officeDocument/2006/relationships/hyperlink" Target="mailto:ufficio.stampa@gimbe.org"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hyperlink" Target="https://www.epicentro.iss.it/coronavirus/bollettino/Bollettino-sorveglianza-integrata-COVID-19_6-luglio-2022.pdf"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A1B00-46A6-4E26-A9F4-5DEC763E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3125</Words>
  <Characters>17813</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Nino Cartabellotta</dc:creator>
  <cp:lastModifiedBy>Luca Bellusci</cp:lastModifiedBy>
  <cp:revision>3</cp:revision>
  <cp:lastPrinted>2022-06-29T11:59:00Z</cp:lastPrinted>
  <dcterms:created xsi:type="dcterms:W3CDTF">2022-07-13T13:10:00Z</dcterms:created>
  <dcterms:modified xsi:type="dcterms:W3CDTF">2022-07-14T09:56:00Z</dcterms:modified>
</cp:coreProperties>
</file>