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7E3" w:rsidRDefault="001527E3" w:rsidP="001527E3">
      <w:pPr>
        <w:jc w:val="center"/>
        <w:rPr>
          <w:rFonts w:cs="Calibri"/>
          <w:b/>
          <w:bCs/>
          <w:color w:val="auto"/>
          <w:sz w:val="32"/>
          <w:szCs w:val="32"/>
        </w:rPr>
      </w:pPr>
      <w:r>
        <w:rPr>
          <w:b/>
          <w:bCs/>
          <w:sz w:val="32"/>
          <w:szCs w:val="32"/>
        </w:rPr>
        <w:t>COMUNICATO STAMPA</w:t>
      </w:r>
    </w:p>
    <w:p w:rsidR="00101803" w:rsidRDefault="001527E3" w:rsidP="00D225B0">
      <w:pPr>
        <w:spacing w:after="0" w:line="276" w:lineRule="auto"/>
        <w:jc w:val="center"/>
        <w:rPr>
          <w:b/>
          <w:bCs/>
          <w:spacing w:val="-2"/>
          <w:sz w:val="32"/>
          <w:szCs w:val="32"/>
        </w:rPr>
      </w:pPr>
      <w:r w:rsidRPr="001527E3">
        <w:rPr>
          <w:b/>
          <w:bCs/>
          <w:spacing w:val="-2"/>
          <w:sz w:val="32"/>
          <w:szCs w:val="32"/>
        </w:rPr>
        <w:t>CORONAVIRUS: SCENDONO ANCORA NUOVI CASI (-13,5%), RICOVERI IN AREA MEDICA (-10,2%), TERAPIE INTENSIVE (-14,5%) E DECESSI (-14,5%).</w:t>
      </w:r>
    </w:p>
    <w:p w:rsidR="00DA7117" w:rsidRDefault="00DA7117" w:rsidP="00D225B0">
      <w:pPr>
        <w:spacing w:after="0" w:line="276" w:lineRule="auto"/>
        <w:jc w:val="center"/>
        <w:rPr>
          <w:b/>
          <w:bCs/>
          <w:spacing w:val="-2"/>
          <w:sz w:val="32"/>
          <w:szCs w:val="32"/>
          <w:lang w:eastAsia="en-US"/>
        </w:rPr>
      </w:pPr>
      <w:r w:rsidRPr="00DA7117">
        <w:rPr>
          <w:b/>
          <w:bCs/>
          <w:spacing w:val="-2"/>
          <w:sz w:val="32"/>
          <w:szCs w:val="32"/>
          <w:lang w:eastAsia="en-US"/>
        </w:rPr>
        <w:t>ULTERIORE CROLLO DELLE PRIME DOSI (-23,2% IN 7 GIORNI)</w:t>
      </w:r>
      <w:r w:rsidR="00C1172E">
        <w:rPr>
          <w:b/>
          <w:bCs/>
          <w:spacing w:val="-2"/>
          <w:sz w:val="32"/>
          <w:szCs w:val="32"/>
          <w:lang w:eastAsia="en-US"/>
        </w:rPr>
        <w:t>:</w:t>
      </w:r>
      <w:r w:rsidRPr="00DA7117">
        <w:rPr>
          <w:b/>
          <w:bCs/>
          <w:spacing w:val="-2"/>
          <w:sz w:val="32"/>
          <w:szCs w:val="32"/>
          <w:lang w:eastAsia="en-US"/>
        </w:rPr>
        <w:t xml:space="preserve"> CON 3,8 MLN DI LAVORATORI NON </w:t>
      </w:r>
      <w:r>
        <w:rPr>
          <w:b/>
          <w:bCs/>
          <w:spacing w:val="-2"/>
          <w:sz w:val="32"/>
          <w:szCs w:val="32"/>
          <w:lang w:eastAsia="en-US"/>
        </w:rPr>
        <w:t>VACCINATI RISCHIO CAOS TAMPONI.</w:t>
      </w:r>
      <w:r>
        <w:rPr>
          <w:b/>
          <w:bCs/>
          <w:spacing w:val="-2"/>
          <w:sz w:val="32"/>
          <w:szCs w:val="32"/>
          <w:lang w:eastAsia="en-US"/>
        </w:rPr>
        <w:br/>
      </w:r>
      <w:r w:rsidRPr="00E412E8">
        <w:rPr>
          <w:b/>
          <w:bCs/>
          <w:spacing w:val="-2"/>
          <w:sz w:val="32"/>
          <w:szCs w:val="32"/>
          <w:lang w:eastAsia="en-US"/>
        </w:rPr>
        <w:t xml:space="preserve">SPINTA GENTILE DEL GREEN PASS </w:t>
      </w:r>
      <w:r w:rsidR="0014184C" w:rsidRPr="00E412E8">
        <w:rPr>
          <w:b/>
          <w:bCs/>
          <w:spacing w:val="-2"/>
          <w:sz w:val="32"/>
          <w:szCs w:val="32"/>
          <w:lang w:eastAsia="en-US"/>
        </w:rPr>
        <w:t xml:space="preserve">NON </w:t>
      </w:r>
      <w:r w:rsidR="00CC723C" w:rsidRPr="00E412E8">
        <w:rPr>
          <w:b/>
          <w:bCs/>
          <w:spacing w:val="-2"/>
          <w:sz w:val="32"/>
          <w:szCs w:val="32"/>
          <w:lang w:eastAsia="en-US"/>
        </w:rPr>
        <w:t>SUFFICIENTE</w:t>
      </w:r>
      <w:r w:rsidRPr="00E412E8">
        <w:rPr>
          <w:b/>
          <w:bCs/>
          <w:spacing w:val="-2"/>
          <w:sz w:val="32"/>
          <w:szCs w:val="32"/>
          <w:lang w:eastAsia="en-US"/>
        </w:rPr>
        <w:t xml:space="preserve">, </w:t>
      </w:r>
      <w:r w:rsidRPr="00E412E8">
        <w:rPr>
          <w:b/>
          <w:bCs/>
          <w:spacing w:val="-2"/>
          <w:sz w:val="32"/>
          <w:szCs w:val="32"/>
          <w:lang w:eastAsia="en-US"/>
        </w:rPr>
        <w:br/>
      </w:r>
      <w:r w:rsidR="00F55396" w:rsidRPr="00E412E8">
        <w:rPr>
          <w:b/>
          <w:bCs/>
          <w:spacing w:val="-2"/>
          <w:sz w:val="32"/>
          <w:szCs w:val="32"/>
          <w:lang w:eastAsia="en-US"/>
        </w:rPr>
        <w:t xml:space="preserve">ORA </w:t>
      </w:r>
      <w:r w:rsidR="003B19AE" w:rsidRPr="00E412E8">
        <w:rPr>
          <w:b/>
          <w:bCs/>
          <w:spacing w:val="-2"/>
          <w:sz w:val="32"/>
          <w:szCs w:val="32"/>
          <w:lang w:eastAsia="en-US"/>
        </w:rPr>
        <w:t>CONSIDERARE</w:t>
      </w:r>
      <w:r w:rsidR="000421A9" w:rsidRPr="00E412E8">
        <w:rPr>
          <w:b/>
          <w:bCs/>
          <w:spacing w:val="-2"/>
          <w:sz w:val="32"/>
          <w:szCs w:val="32"/>
          <w:lang w:eastAsia="en-US"/>
        </w:rPr>
        <w:t xml:space="preserve"> </w:t>
      </w:r>
      <w:r w:rsidRPr="00E412E8">
        <w:rPr>
          <w:b/>
          <w:bCs/>
          <w:spacing w:val="-2"/>
          <w:sz w:val="32"/>
          <w:szCs w:val="32"/>
          <w:lang w:eastAsia="en-US"/>
        </w:rPr>
        <w:t>L’OBBLIGO VACCINALE</w:t>
      </w:r>
    </w:p>
    <w:p w:rsidR="001527E3" w:rsidRPr="008A3887" w:rsidRDefault="001527E3" w:rsidP="008A3887">
      <w:pPr>
        <w:spacing w:after="0" w:line="276" w:lineRule="auto"/>
        <w:jc w:val="both"/>
        <w:rPr>
          <w:b/>
          <w:bCs/>
          <w:spacing w:val="-2"/>
          <w:sz w:val="32"/>
          <w:szCs w:val="32"/>
          <w:lang w:eastAsia="en-US"/>
        </w:rPr>
      </w:pPr>
      <w:r>
        <w:rPr>
          <w:b/>
          <w:bCs/>
          <w:sz w:val="24"/>
          <w:szCs w:val="24"/>
        </w:rPr>
        <w:t>IL MONITORAGGIO DELLA FONDAZIONE GIMBE, NELLA SETTIMANA 6-12 OTTOBRE, CONFERMA TUTTI I NUMERI IN CALO. CAMPAGNA VACCINALE: SCENDONO ANCORA LE SOMMINISTRAZIONI (-14,8%)</w:t>
      </w:r>
      <w:r w:rsidR="00880B5D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</w:t>
      </w:r>
      <w:r w:rsidR="00880B5D">
        <w:rPr>
          <w:b/>
          <w:bCs/>
          <w:sz w:val="24"/>
          <w:szCs w:val="24"/>
        </w:rPr>
        <w:t xml:space="preserve">MA RIMANGONO </w:t>
      </w:r>
      <w:r w:rsidR="00D225B0">
        <w:rPr>
          <w:b/>
          <w:bCs/>
          <w:sz w:val="24"/>
          <w:szCs w:val="24"/>
        </w:rPr>
        <w:t xml:space="preserve">QUASI </w:t>
      </w:r>
      <w:r w:rsidRPr="00434350">
        <w:rPr>
          <w:b/>
          <w:bCs/>
          <w:color w:val="auto"/>
          <w:sz w:val="24"/>
          <w:szCs w:val="24"/>
        </w:rPr>
        <w:t xml:space="preserve">2,5 MILIONI </w:t>
      </w:r>
      <w:r w:rsidR="002A4098">
        <w:rPr>
          <w:b/>
          <w:bCs/>
          <w:color w:val="auto"/>
          <w:sz w:val="24"/>
          <w:szCs w:val="24"/>
        </w:rPr>
        <w:t>DI</w:t>
      </w:r>
      <w:r w:rsidR="002A4098" w:rsidRPr="00434350">
        <w:rPr>
          <w:b/>
          <w:bCs/>
          <w:color w:val="auto"/>
          <w:sz w:val="24"/>
          <w:szCs w:val="24"/>
        </w:rPr>
        <w:t xml:space="preserve"> </w:t>
      </w:r>
      <w:r w:rsidRPr="00434350">
        <w:rPr>
          <w:b/>
          <w:bCs/>
          <w:color w:val="auto"/>
          <w:sz w:val="24"/>
          <w:szCs w:val="24"/>
        </w:rPr>
        <w:t xml:space="preserve">OVER 50 </w:t>
      </w:r>
      <w:r w:rsidR="005F2C47">
        <w:rPr>
          <w:b/>
          <w:bCs/>
          <w:color w:val="auto"/>
          <w:sz w:val="24"/>
          <w:szCs w:val="24"/>
        </w:rPr>
        <w:t>TOTALMENTE SCOPERTI</w:t>
      </w:r>
      <w:r>
        <w:rPr>
          <w:b/>
          <w:bCs/>
          <w:sz w:val="24"/>
          <w:szCs w:val="24"/>
        </w:rPr>
        <w:t xml:space="preserve">. </w:t>
      </w:r>
      <w:r w:rsidR="00101803">
        <w:rPr>
          <w:b/>
          <w:bCs/>
          <w:sz w:val="24"/>
          <w:szCs w:val="24"/>
        </w:rPr>
        <w:t xml:space="preserve">TERZA DOSE: </w:t>
      </w:r>
      <w:r>
        <w:rPr>
          <w:b/>
          <w:bCs/>
          <w:sz w:val="24"/>
          <w:szCs w:val="24"/>
        </w:rPr>
        <w:t xml:space="preserve">COPERTURA ATTUALE AL 5,1% CON NOTEVOLI DIFFERENZE TRA REGIONI. </w:t>
      </w:r>
      <w:r w:rsidR="00101803">
        <w:rPr>
          <w:b/>
          <w:bCs/>
          <w:sz w:val="24"/>
          <w:szCs w:val="24"/>
        </w:rPr>
        <w:t xml:space="preserve">GREEN PASS: </w:t>
      </w:r>
      <w:r w:rsidRPr="001527E3">
        <w:rPr>
          <w:b/>
          <w:bCs/>
          <w:sz w:val="24"/>
          <w:szCs w:val="24"/>
        </w:rPr>
        <w:t xml:space="preserve">OLTRE 175 MILA TAMPONI RAPIDI AL GIORNO </w:t>
      </w:r>
      <w:r w:rsidR="00101803">
        <w:rPr>
          <w:b/>
          <w:bCs/>
          <w:sz w:val="24"/>
          <w:szCs w:val="24"/>
        </w:rPr>
        <w:t xml:space="preserve">E IL </w:t>
      </w:r>
      <w:r w:rsidR="00A16EF0">
        <w:rPr>
          <w:b/>
          <w:bCs/>
          <w:sz w:val="24"/>
          <w:szCs w:val="24"/>
        </w:rPr>
        <w:t xml:space="preserve">CROLLO </w:t>
      </w:r>
      <w:r w:rsidR="00101803">
        <w:rPr>
          <w:b/>
          <w:bCs/>
          <w:sz w:val="24"/>
          <w:szCs w:val="24"/>
        </w:rPr>
        <w:t xml:space="preserve">DEI NUOVI VACCINATI INDICANO </w:t>
      </w:r>
      <w:r w:rsidR="00DD3438">
        <w:rPr>
          <w:b/>
          <w:bCs/>
          <w:sz w:val="24"/>
          <w:szCs w:val="24"/>
        </w:rPr>
        <w:t xml:space="preserve">DA SETTIMANE </w:t>
      </w:r>
      <w:r w:rsidR="00101803">
        <w:rPr>
          <w:b/>
          <w:bCs/>
          <w:sz w:val="24"/>
          <w:szCs w:val="24"/>
        </w:rPr>
        <w:t xml:space="preserve">UNO ZOCCOLO DURO DI </w:t>
      </w:r>
      <w:r w:rsidRPr="001527E3">
        <w:rPr>
          <w:b/>
          <w:bCs/>
          <w:sz w:val="24"/>
          <w:szCs w:val="24"/>
        </w:rPr>
        <w:t>POPOLAZIONE NON INTENZIONATA A VACCINARSI</w:t>
      </w:r>
      <w:r>
        <w:rPr>
          <w:b/>
          <w:bCs/>
          <w:sz w:val="24"/>
          <w:szCs w:val="24"/>
        </w:rPr>
        <w:t>, TRA CUI 3,8 MILIONI DI LAVORAT</w:t>
      </w:r>
      <w:r w:rsidR="00DD3438" w:rsidRPr="00E412E8">
        <w:rPr>
          <w:b/>
          <w:bCs/>
          <w:sz w:val="24"/>
          <w:szCs w:val="24"/>
        </w:rPr>
        <w:t>ORI</w:t>
      </w:r>
      <w:r w:rsidR="00632798" w:rsidRPr="00E412E8">
        <w:rPr>
          <w:b/>
          <w:bCs/>
          <w:sz w:val="24"/>
          <w:szCs w:val="24"/>
        </w:rPr>
        <w:t>.</w:t>
      </w:r>
      <w:r w:rsidR="000421A9" w:rsidRPr="00E412E8">
        <w:rPr>
          <w:b/>
          <w:bCs/>
          <w:sz w:val="24"/>
          <w:szCs w:val="24"/>
        </w:rPr>
        <w:t xml:space="preserve"> </w:t>
      </w:r>
      <w:r w:rsidR="00A16EF0" w:rsidRPr="00E412E8">
        <w:rPr>
          <w:b/>
          <w:bCs/>
          <w:sz w:val="24"/>
          <w:szCs w:val="24"/>
        </w:rPr>
        <w:t xml:space="preserve">I </w:t>
      </w:r>
      <w:r w:rsidR="003B19AE" w:rsidRPr="00E412E8">
        <w:rPr>
          <w:b/>
          <w:bCs/>
          <w:sz w:val="24"/>
          <w:szCs w:val="24"/>
        </w:rPr>
        <w:t>MODESTI</w:t>
      </w:r>
      <w:r w:rsidR="000421A9" w:rsidRPr="00E412E8">
        <w:rPr>
          <w:b/>
          <w:bCs/>
          <w:sz w:val="24"/>
          <w:szCs w:val="24"/>
        </w:rPr>
        <w:t xml:space="preserve"> </w:t>
      </w:r>
      <w:r w:rsidR="00A16EF0" w:rsidRPr="00E412E8">
        <w:rPr>
          <w:b/>
          <w:bCs/>
          <w:sz w:val="24"/>
          <w:szCs w:val="24"/>
        </w:rPr>
        <w:t xml:space="preserve">RISULTATI </w:t>
      </w:r>
      <w:r w:rsidR="003B19AE" w:rsidRPr="00E412E8">
        <w:rPr>
          <w:b/>
          <w:bCs/>
          <w:sz w:val="24"/>
          <w:szCs w:val="24"/>
        </w:rPr>
        <w:t xml:space="preserve">OTTENUTI CON </w:t>
      </w:r>
      <w:r w:rsidR="00A16EF0" w:rsidRPr="00E412E8">
        <w:rPr>
          <w:b/>
          <w:bCs/>
          <w:sz w:val="24"/>
          <w:szCs w:val="24"/>
        </w:rPr>
        <w:t xml:space="preserve">LA PROGRESSIVA ESPANSIONE DEL GREEN PASS </w:t>
      </w:r>
      <w:r w:rsidR="00A01528" w:rsidRPr="00E412E8">
        <w:rPr>
          <w:b/>
          <w:bCs/>
          <w:sz w:val="24"/>
          <w:szCs w:val="24"/>
        </w:rPr>
        <w:t xml:space="preserve">E IL RISCHIO CAOS TAMPONI </w:t>
      </w:r>
      <w:r w:rsidR="000421A9" w:rsidRPr="00E412E8">
        <w:rPr>
          <w:b/>
          <w:bCs/>
          <w:sz w:val="24"/>
          <w:szCs w:val="24"/>
        </w:rPr>
        <w:t xml:space="preserve">INVITANO A </w:t>
      </w:r>
      <w:r w:rsidR="00AF12C3" w:rsidRPr="00E412E8">
        <w:rPr>
          <w:b/>
          <w:bCs/>
          <w:sz w:val="24"/>
          <w:szCs w:val="24"/>
        </w:rPr>
        <w:t>VALUTARE L’INTRODUZIONE DEL</w:t>
      </w:r>
      <w:r w:rsidR="000421A9" w:rsidRPr="00E412E8">
        <w:rPr>
          <w:b/>
          <w:bCs/>
          <w:sz w:val="24"/>
          <w:szCs w:val="24"/>
        </w:rPr>
        <w:t>L’</w:t>
      </w:r>
      <w:r w:rsidR="00A16EF0" w:rsidRPr="00E412E8">
        <w:rPr>
          <w:b/>
          <w:bCs/>
          <w:sz w:val="24"/>
          <w:szCs w:val="24"/>
        </w:rPr>
        <w:t>OBBLIGO VACCINALE</w:t>
      </w:r>
      <w:r w:rsidR="000421A9">
        <w:rPr>
          <w:b/>
          <w:bCs/>
          <w:sz w:val="24"/>
          <w:szCs w:val="24"/>
        </w:rPr>
        <w:t xml:space="preserve"> </w:t>
      </w:r>
    </w:p>
    <w:p w:rsidR="007B682B" w:rsidRPr="00234B97" w:rsidRDefault="00910EAA">
      <w:pPr>
        <w:spacing w:before="120"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</w:t>
      </w:r>
      <w:r w:rsidR="005C1E56">
        <w:rPr>
          <w:b/>
          <w:bCs/>
          <w:sz w:val="24"/>
          <w:szCs w:val="24"/>
        </w:rPr>
        <w:t xml:space="preserve"> ottobre</w:t>
      </w:r>
      <w:r w:rsidR="00CE577D" w:rsidRPr="00234B97">
        <w:rPr>
          <w:b/>
          <w:bCs/>
          <w:sz w:val="24"/>
          <w:szCs w:val="24"/>
        </w:rPr>
        <w:t xml:space="preserve"> 2021 - Fondazione GIMBE, Bologna</w:t>
      </w:r>
    </w:p>
    <w:p w:rsidR="00F92CFC" w:rsidRPr="005C4488" w:rsidRDefault="00643C9B" w:rsidP="007A602C">
      <w:pPr>
        <w:spacing w:after="120" w:line="276" w:lineRule="auto"/>
        <w:jc w:val="both"/>
        <w:rPr>
          <w:color w:val="auto"/>
        </w:rPr>
      </w:pPr>
      <w:r w:rsidRPr="005C4488">
        <w:rPr>
          <w:color w:val="auto"/>
        </w:rPr>
        <w:t>Il monitoraggio indipendente della Fondazione GIMBE rileva nella settimana 6-12 ottobre, rispetto alla precedente, una diminuzione di nuovi casi (18.209 vs 21.060) (</w:t>
      </w:r>
      <w:r w:rsidRPr="005C4488">
        <w:rPr>
          <w:color w:val="auto"/>
          <w:highlight w:val="yellow"/>
        </w:rPr>
        <w:t>figura 1</w:t>
      </w:r>
      <w:r w:rsidRPr="005C4488">
        <w:rPr>
          <w:color w:val="auto"/>
        </w:rPr>
        <w:t>) e dei decessi (266 vs 311) (</w:t>
      </w:r>
      <w:r w:rsidRPr="005C4488">
        <w:rPr>
          <w:color w:val="auto"/>
          <w:highlight w:val="yellow"/>
        </w:rPr>
        <w:t>figura 2</w:t>
      </w:r>
      <w:r w:rsidRPr="005C4488">
        <w:rPr>
          <w:color w:val="auto"/>
        </w:rPr>
        <w:t>). In calo anche i casi attualmente positivi (82.546 vs 90.299), le persone in isolamento domiciliare (79.511 vs 86.898), i ricoveri con sintomi (2.665 vs 2.968) e le terapie intensive (370 vs 433) (</w:t>
      </w:r>
      <w:r w:rsidRPr="005C4488">
        <w:rPr>
          <w:color w:val="auto"/>
          <w:highlight w:val="yellow"/>
        </w:rPr>
        <w:t>figura 3</w:t>
      </w:r>
      <w:r w:rsidRPr="005C4488">
        <w:rPr>
          <w:color w:val="auto"/>
        </w:rPr>
        <w:t>). In dettaglio, rispetto alla settimana precedente, si registrano le seguenti variazioni:</w:t>
      </w:r>
    </w:p>
    <w:p w:rsidR="005C4488" w:rsidRPr="005C4488" w:rsidRDefault="005C4488" w:rsidP="005C4488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>
        <w:rPr>
          <w:color w:val="auto"/>
        </w:rPr>
        <w:t>Decessi: 266 (</w:t>
      </w:r>
      <w:r w:rsidRPr="005C4488">
        <w:rPr>
          <w:color w:val="auto"/>
        </w:rPr>
        <w:t>-14,5%), di cui 25 riferiti a periodi precedenti</w:t>
      </w:r>
    </w:p>
    <w:p w:rsidR="005C4488" w:rsidRPr="005C4488" w:rsidRDefault="005C4488" w:rsidP="005C4488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5C4488">
        <w:rPr>
          <w:color w:val="auto"/>
        </w:rPr>
        <w:t>Terapia intensiva: -63 (-14,5%)</w:t>
      </w:r>
    </w:p>
    <w:p w:rsidR="005C4488" w:rsidRPr="005C4488" w:rsidRDefault="005C4488" w:rsidP="005C4488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5C4488">
        <w:rPr>
          <w:color w:val="auto"/>
        </w:rPr>
        <w:t>Ricoverati con sintomi: -303 (-10,2%)</w:t>
      </w:r>
    </w:p>
    <w:p w:rsidR="005C4488" w:rsidRPr="005C4488" w:rsidRDefault="005C4488" w:rsidP="005C4488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5C4488">
        <w:rPr>
          <w:color w:val="auto"/>
        </w:rPr>
        <w:t>Isolamento domiciliare: -7.387 (-8,5%)</w:t>
      </w:r>
    </w:p>
    <w:p w:rsidR="005C4488" w:rsidRPr="005C4488" w:rsidRDefault="005C4488" w:rsidP="005C4488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5C4488">
        <w:rPr>
          <w:color w:val="auto"/>
        </w:rPr>
        <w:t>Nuovi casi: 18.209 (-13,5%)</w:t>
      </w:r>
    </w:p>
    <w:p w:rsidR="005C4488" w:rsidRPr="005C4488" w:rsidRDefault="005C4488" w:rsidP="005C4488">
      <w:pPr>
        <w:pStyle w:val="Paragrafoelenco"/>
        <w:numPr>
          <w:ilvl w:val="0"/>
          <w:numId w:val="2"/>
        </w:numPr>
        <w:spacing w:line="276" w:lineRule="auto"/>
        <w:ind w:left="357" w:hanging="357"/>
        <w:jc w:val="both"/>
        <w:rPr>
          <w:color w:val="auto"/>
        </w:rPr>
      </w:pPr>
      <w:r w:rsidRPr="005C4488">
        <w:rPr>
          <w:color w:val="auto"/>
        </w:rPr>
        <w:t>Casi attualmente positivi: -7.753 (-8,6%)</w:t>
      </w:r>
    </w:p>
    <w:p w:rsidR="00F92CFC" w:rsidRPr="00626103" w:rsidRDefault="00797AB7" w:rsidP="00626103">
      <w:pPr>
        <w:spacing w:line="276" w:lineRule="auto"/>
        <w:jc w:val="both"/>
        <w:rPr>
          <w:color w:val="auto"/>
        </w:rPr>
      </w:pPr>
      <w:r w:rsidRPr="005C4488">
        <w:rPr>
          <w:color w:val="auto"/>
        </w:rPr>
        <w:t>«</w:t>
      </w:r>
      <w:r w:rsidR="0026464D" w:rsidRPr="005C4488">
        <w:rPr>
          <w:color w:val="auto"/>
        </w:rPr>
        <w:t xml:space="preserve">Ormai da </w:t>
      </w:r>
      <w:r w:rsidR="005C4488" w:rsidRPr="005C4488">
        <w:rPr>
          <w:color w:val="auto"/>
        </w:rPr>
        <w:t>6</w:t>
      </w:r>
      <w:r w:rsidR="0026464D" w:rsidRPr="005C4488">
        <w:rPr>
          <w:color w:val="auto"/>
        </w:rPr>
        <w:t xml:space="preserve"> settimane consecutive </w:t>
      </w:r>
      <w:r w:rsidRPr="005C4488">
        <w:rPr>
          <w:color w:val="auto"/>
        </w:rPr>
        <w:t>– dichiara Nino Cartabellotta, Presidente della Fondazione GIMBE –</w:t>
      </w:r>
      <w:r w:rsidR="0026464D" w:rsidRPr="005C4488">
        <w:rPr>
          <w:color w:val="auto"/>
        </w:rPr>
        <w:t xml:space="preserve"> </w:t>
      </w:r>
      <w:r w:rsidR="00D6645A">
        <w:rPr>
          <w:color w:val="auto"/>
        </w:rPr>
        <w:t>a livello nazionale si registra</w:t>
      </w:r>
      <w:r w:rsidR="00480E53" w:rsidRPr="005C4488">
        <w:rPr>
          <w:color w:val="auto"/>
        </w:rPr>
        <w:t xml:space="preserve"> una discesa de</w:t>
      </w:r>
      <w:r w:rsidR="0026464D" w:rsidRPr="005C4488">
        <w:rPr>
          <w:color w:val="auto"/>
        </w:rPr>
        <w:t>i nuovi casi settimanali</w:t>
      </w:r>
      <w:r w:rsidR="005F2C47">
        <w:rPr>
          <w:color w:val="auto"/>
        </w:rPr>
        <w:t xml:space="preserve">. </w:t>
      </w:r>
      <w:r w:rsidR="00B86D95">
        <w:rPr>
          <w:color w:val="auto"/>
        </w:rPr>
        <w:t>Solo i</w:t>
      </w:r>
      <w:r w:rsidR="005F2C47">
        <w:rPr>
          <w:color w:val="auto"/>
        </w:rPr>
        <w:t xml:space="preserve">n tre Regioni (Calabria, Molise, Piemonte) si </w:t>
      </w:r>
      <w:r w:rsidR="00B86D95">
        <w:rPr>
          <w:color w:val="auto"/>
        </w:rPr>
        <w:t xml:space="preserve">rileva </w:t>
      </w:r>
      <w:r w:rsidR="005F2C47">
        <w:rPr>
          <w:color w:val="auto"/>
        </w:rPr>
        <w:t xml:space="preserve">un incremento percentuale dei contagi, </w:t>
      </w:r>
      <w:r w:rsidR="00B86D95">
        <w:rPr>
          <w:color w:val="auto"/>
        </w:rPr>
        <w:t xml:space="preserve">ma </w:t>
      </w:r>
      <w:r w:rsidR="005F2C47">
        <w:rPr>
          <w:color w:val="auto"/>
        </w:rPr>
        <w:t xml:space="preserve">con numeri assoluti </w:t>
      </w:r>
      <w:r w:rsidR="00B86D95">
        <w:rPr>
          <w:color w:val="auto"/>
        </w:rPr>
        <w:t xml:space="preserve">molto </w:t>
      </w:r>
      <w:r w:rsidR="00BD7DAB">
        <w:rPr>
          <w:color w:val="auto"/>
        </w:rPr>
        <w:t>bassi</w:t>
      </w:r>
      <w:r w:rsidR="005F2C47">
        <w:rPr>
          <w:color w:val="auto"/>
        </w:rPr>
        <w:t xml:space="preserve"> (</w:t>
      </w:r>
      <w:r w:rsidR="005F2C47" w:rsidRPr="00D00D7E">
        <w:rPr>
          <w:color w:val="auto"/>
          <w:highlight w:val="yellow"/>
        </w:rPr>
        <w:t>tabella 1</w:t>
      </w:r>
      <w:r w:rsidR="005F2C47">
        <w:rPr>
          <w:color w:val="auto"/>
        </w:rPr>
        <w:t>)</w:t>
      </w:r>
      <w:r w:rsidRPr="005C4488">
        <w:rPr>
          <w:color w:val="auto"/>
        </w:rPr>
        <w:t>».</w:t>
      </w:r>
      <w:r w:rsidR="005F2C47">
        <w:rPr>
          <w:color w:val="auto"/>
        </w:rPr>
        <w:t xml:space="preserve"> </w:t>
      </w:r>
      <w:r w:rsidR="005C4488" w:rsidRPr="005C4488">
        <w:rPr>
          <w:color w:val="auto"/>
        </w:rPr>
        <w:t>Scendono a 12</w:t>
      </w:r>
      <w:r w:rsidR="00F92CFC" w:rsidRPr="005C4488">
        <w:rPr>
          <w:color w:val="auto"/>
        </w:rPr>
        <w:t xml:space="preserve"> le Province con incidenza pari o superiore a 50 casi per 100.000 abitanti</w:t>
      </w:r>
      <w:r w:rsidR="006236A4" w:rsidRPr="005C4488">
        <w:rPr>
          <w:color w:val="auto"/>
        </w:rPr>
        <w:t xml:space="preserve"> e nessuna </w:t>
      </w:r>
      <w:r w:rsidR="0026464D" w:rsidRPr="005C4488">
        <w:rPr>
          <w:color w:val="auto"/>
        </w:rPr>
        <w:t>conta</w:t>
      </w:r>
      <w:r w:rsidR="006236A4" w:rsidRPr="005C4488">
        <w:rPr>
          <w:color w:val="auto"/>
        </w:rPr>
        <w:t xml:space="preserve"> oltre 150 casi per 100.000 abitanti. </w:t>
      </w:r>
      <w:r w:rsidR="00F92CFC" w:rsidRPr="005C4488">
        <w:rPr>
          <w:color w:val="auto"/>
        </w:rPr>
        <w:t>In</w:t>
      </w:r>
      <w:r w:rsidR="00903DE5" w:rsidRPr="005C4488">
        <w:rPr>
          <w:color w:val="auto"/>
        </w:rPr>
        <w:t xml:space="preserve"> calo </w:t>
      </w:r>
      <w:r w:rsidR="00480E53" w:rsidRPr="005C4488">
        <w:rPr>
          <w:color w:val="auto"/>
        </w:rPr>
        <w:t xml:space="preserve">anche </w:t>
      </w:r>
      <w:r w:rsidR="006236A4" w:rsidRPr="005C4488">
        <w:rPr>
          <w:color w:val="auto"/>
        </w:rPr>
        <w:t>i decessi</w:t>
      </w:r>
      <w:r w:rsidR="00F92CFC" w:rsidRPr="005C4488">
        <w:rPr>
          <w:color w:val="auto"/>
        </w:rPr>
        <w:t xml:space="preserve">: </w:t>
      </w:r>
      <w:r w:rsidR="005C4488" w:rsidRPr="005C4488">
        <w:rPr>
          <w:color w:val="auto"/>
        </w:rPr>
        <w:t xml:space="preserve">266 negli ultimi 7 giorni (di cui 25 riferiti a periodi precedenti), con una </w:t>
      </w:r>
      <w:r w:rsidR="005C4488" w:rsidRPr="00626103">
        <w:rPr>
          <w:color w:val="auto"/>
        </w:rPr>
        <w:t>media di 38 al giorno rispetto ai 44 della settimana precedente.</w:t>
      </w:r>
    </w:p>
    <w:p w:rsidR="003C1BE8" w:rsidRPr="00626103" w:rsidRDefault="00626103" w:rsidP="00626103">
      <w:pPr>
        <w:spacing w:line="276" w:lineRule="auto"/>
        <w:jc w:val="both"/>
        <w:rPr>
          <w:color w:val="auto"/>
        </w:rPr>
      </w:pPr>
      <w:bookmarkStart w:id="0" w:name="_Hlk85025666"/>
      <w:r w:rsidRPr="00626103">
        <w:rPr>
          <w:color w:val="auto"/>
        </w:rPr>
        <w:t>«</w:t>
      </w:r>
      <w:r w:rsidR="005F2C47">
        <w:rPr>
          <w:color w:val="auto"/>
        </w:rPr>
        <w:t xml:space="preserve">A livello ospedaliero </w:t>
      </w:r>
      <w:r w:rsidRPr="00626103">
        <w:rPr>
          <w:color w:val="auto"/>
        </w:rPr>
        <w:t xml:space="preserve">– afferma Renata Gili, responsabile Ricerca sui Servizi Sanitari della Fondazione GIMBE – </w:t>
      </w:r>
      <w:r w:rsidRPr="00626103">
        <w:rPr>
          <w:rFonts w:eastAsia="Times New Roman" w:cs="Calibri"/>
          <w:color w:val="auto"/>
          <w:bdr w:val="none" w:sz="0" w:space="0" w:color="auto"/>
        </w:rPr>
        <w:t>si registra un ulteriore calo dei posti letto occupati da</w:t>
      </w:r>
      <w:r w:rsidR="00BD7DAB">
        <w:rPr>
          <w:rFonts w:eastAsia="Times New Roman" w:cs="Calibri"/>
          <w:color w:val="auto"/>
          <w:bdr w:val="none" w:sz="0" w:space="0" w:color="auto"/>
        </w:rPr>
        <w:t xml:space="preserve">i </w:t>
      </w:r>
      <w:r w:rsidRPr="00626103">
        <w:rPr>
          <w:rFonts w:eastAsia="Times New Roman" w:cs="Calibri"/>
          <w:color w:val="auto"/>
          <w:bdr w:val="none" w:sz="0" w:space="0" w:color="auto"/>
        </w:rPr>
        <w:t>pazienti COVID-19</w:t>
      </w:r>
      <w:r w:rsidRPr="00626103">
        <w:rPr>
          <w:color w:val="auto"/>
        </w:rPr>
        <w:t>: rispetto alla settimana precedente scendono</w:t>
      </w:r>
      <w:r w:rsidR="00BD7DAB">
        <w:rPr>
          <w:color w:val="auto"/>
        </w:rPr>
        <w:t xml:space="preserve"> </w:t>
      </w:r>
      <w:r w:rsidRPr="00626103">
        <w:rPr>
          <w:color w:val="auto"/>
        </w:rPr>
        <w:t>del 10,2% in area medica e del 14,5% in terapia intensiva». A livello nazionale il tasso di occupazione rimane</w:t>
      </w:r>
      <w:r w:rsidR="00E3714A">
        <w:rPr>
          <w:color w:val="auto"/>
        </w:rPr>
        <w:t xml:space="preserve"> molto</w:t>
      </w:r>
      <w:r w:rsidRPr="00626103">
        <w:rPr>
          <w:color w:val="auto"/>
        </w:rPr>
        <w:t xml:space="preserve"> basso (5% in area medica e 4% in area critica</w:t>
      </w:r>
      <w:r w:rsidR="000F6EBD">
        <w:rPr>
          <w:color w:val="auto"/>
        </w:rPr>
        <w:t>)</w:t>
      </w:r>
      <w:r w:rsidRPr="00626103">
        <w:rPr>
          <w:color w:val="auto"/>
        </w:rPr>
        <w:t xml:space="preserve"> e nessuna Regione supera le soglie del 15% per l’area medica e del 10% per l’area critica (</w:t>
      </w:r>
      <w:r w:rsidRPr="00626103">
        <w:rPr>
          <w:color w:val="auto"/>
          <w:highlight w:val="yellow"/>
        </w:rPr>
        <w:t>figura 4</w:t>
      </w:r>
      <w:r w:rsidRPr="00626103">
        <w:rPr>
          <w:color w:val="auto"/>
        </w:rPr>
        <w:t>).</w:t>
      </w:r>
      <w:r>
        <w:rPr>
          <w:color w:val="auto"/>
        </w:rPr>
        <w:t xml:space="preserve"> </w:t>
      </w:r>
      <w:bookmarkEnd w:id="0"/>
      <w:r w:rsidR="003C1BE8" w:rsidRPr="005C4488">
        <w:rPr>
          <w:color w:val="auto"/>
        </w:rPr>
        <w:t>«</w:t>
      </w:r>
      <w:r w:rsidR="003C1BE8" w:rsidRPr="005C4488">
        <w:rPr>
          <w:rFonts w:eastAsia="Times New Roman" w:cs="Calibri"/>
          <w:color w:val="auto"/>
          <w:bdr w:val="none" w:sz="0" w:space="0" w:color="auto"/>
        </w:rPr>
        <w:t xml:space="preserve">Continuano a </w:t>
      </w:r>
      <w:r w:rsidR="00480E53" w:rsidRPr="005C4488">
        <w:rPr>
          <w:rFonts w:eastAsia="Times New Roman" w:cs="Calibri"/>
          <w:color w:val="auto"/>
          <w:bdr w:val="none" w:sz="0" w:space="0" w:color="auto"/>
        </w:rPr>
        <w:t>scendere</w:t>
      </w:r>
      <w:r w:rsidR="003C1BE8" w:rsidRPr="005C4488">
        <w:rPr>
          <w:rFonts w:eastAsia="Times New Roman" w:cs="Calibri"/>
          <w:color w:val="auto"/>
          <w:bdr w:val="none" w:sz="0" w:space="0" w:color="auto"/>
        </w:rPr>
        <w:t xml:space="preserve"> anche gli ingressi giornalieri in terapia intensiva</w:t>
      </w:r>
      <w:r w:rsidR="003C1BE8" w:rsidRPr="005C4488">
        <w:rPr>
          <w:color w:val="auto"/>
        </w:rPr>
        <w:t xml:space="preserve"> – spiega Marco Mosti, Direttore Operativo della Fondazione GIMBE – con una media mobile a 7 giorni di </w:t>
      </w:r>
      <w:r w:rsidR="005C4488" w:rsidRPr="005C4488">
        <w:rPr>
          <w:color w:val="auto"/>
        </w:rPr>
        <w:t>19</w:t>
      </w:r>
      <w:r w:rsidR="003C1BE8" w:rsidRPr="005C4488">
        <w:rPr>
          <w:color w:val="auto"/>
        </w:rPr>
        <w:t xml:space="preserve"> ingressi/die rispetto ai </w:t>
      </w:r>
      <w:r w:rsidR="005C4488" w:rsidRPr="005C4488">
        <w:rPr>
          <w:color w:val="auto"/>
        </w:rPr>
        <w:t xml:space="preserve">22 </w:t>
      </w:r>
      <w:r w:rsidR="003C1BE8" w:rsidRPr="005C4488">
        <w:rPr>
          <w:color w:val="auto"/>
        </w:rPr>
        <w:t>della settimana precedente».</w:t>
      </w:r>
    </w:p>
    <w:p w:rsidR="00D325D0" w:rsidRPr="00E618D5" w:rsidRDefault="00D325D0" w:rsidP="00A5775A">
      <w:pPr>
        <w:spacing w:line="276" w:lineRule="auto"/>
        <w:jc w:val="both"/>
        <w:rPr>
          <w:color w:val="auto"/>
        </w:rPr>
      </w:pPr>
      <w:r w:rsidRPr="00E618D5">
        <w:rPr>
          <w:b/>
          <w:bCs/>
          <w:color w:val="auto"/>
        </w:rPr>
        <w:t>Vaccini: forniture</w:t>
      </w:r>
      <w:r w:rsidRPr="00E618D5">
        <w:rPr>
          <w:color w:val="auto"/>
        </w:rPr>
        <w:t xml:space="preserve">. </w:t>
      </w:r>
      <w:r w:rsidR="00993DFA" w:rsidRPr="00E618D5">
        <w:rPr>
          <w:color w:val="auto"/>
        </w:rPr>
        <w:t xml:space="preserve">Al </w:t>
      </w:r>
      <w:r w:rsidR="00E618D5" w:rsidRPr="00E618D5">
        <w:rPr>
          <w:color w:val="auto"/>
        </w:rPr>
        <w:t>1</w:t>
      </w:r>
      <w:r w:rsidR="00D83353">
        <w:rPr>
          <w:color w:val="auto"/>
        </w:rPr>
        <w:t>3</w:t>
      </w:r>
      <w:r w:rsidR="00993DFA" w:rsidRPr="00E618D5">
        <w:rPr>
          <w:color w:val="auto"/>
        </w:rPr>
        <w:t xml:space="preserve"> ottobre (aggiornamento ore </w:t>
      </w:r>
      <w:r w:rsidR="00D83353">
        <w:rPr>
          <w:color w:val="auto"/>
        </w:rPr>
        <w:t>10.33</w:t>
      </w:r>
      <w:r w:rsidR="00993DFA" w:rsidRPr="00E618D5">
        <w:rPr>
          <w:color w:val="auto"/>
        </w:rPr>
        <w:t xml:space="preserve">) </w:t>
      </w:r>
      <w:r w:rsidR="00E618D5" w:rsidRPr="00E618D5">
        <w:rPr>
          <w:color w:val="auto"/>
        </w:rPr>
        <w:t>risultano consegnate 99.713.1</w:t>
      </w:r>
      <w:r w:rsidR="00D83353">
        <w:rPr>
          <w:color w:val="auto"/>
        </w:rPr>
        <w:t>27</w:t>
      </w:r>
      <w:r w:rsidR="00E618D5" w:rsidRPr="00E618D5">
        <w:rPr>
          <w:color w:val="auto"/>
        </w:rPr>
        <w:t xml:space="preserve"> dosi</w:t>
      </w:r>
      <w:r w:rsidR="00A5775A" w:rsidRPr="00E618D5">
        <w:rPr>
          <w:color w:val="auto"/>
        </w:rPr>
        <w:t xml:space="preserve">: </w:t>
      </w:r>
      <w:r w:rsidR="00E618D5" w:rsidRPr="00E618D5">
        <w:rPr>
          <w:color w:val="auto"/>
        </w:rPr>
        <w:t xml:space="preserve">pur </w:t>
      </w:r>
      <w:r w:rsidR="006642BB">
        <w:rPr>
          <w:color w:val="auto"/>
        </w:rPr>
        <w:t>avendo ricevuto</w:t>
      </w:r>
      <w:r w:rsidR="00651334" w:rsidRPr="00E618D5">
        <w:rPr>
          <w:color w:val="auto"/>
        </w:rPr>
        <w:t xml:space="preserve"> </w:t>
      </w:r>
      <w:r w:rsidR="00E618D5" w:rsidRPr="00E618D5">
        <w:rPr>
          <w:color w:val="auto"/>
        </w:rPr>
        <w:t>solo 950mila</w:t>
      </w:r>
      <w:r w:rsidR="00651334" w:rsidRPr="00E618D5">
        <w:rPr>
          <w:color w:val="auto"/>
        </w:rPr>
        <w:t xml:space="preserve"> dosi </w:t>
      </w:r>
      <w:r w:rsidR="00F14A72" w:rsidRPr="00E618D5">
        <w:rPr>
          <w:color w:val="auto"/>
        </w:rPr>
        <w:t xml:space="preserve">nell’ultima </w:t>
      </w:r>
      <w:r w:rsidR="009216B6" w:rsidRPr="00E618D5">
        <w:rPr>
          <w:color w:val="auto"/>
        </w:rPr>
        <w:t>settimana</w:t>
      </w:r>
      <w:r w:rsidR="00BD0D3E" w:rsidRPr="00E618D5">
        <w:rPr>
          <w:color w:val="auto"/>
        </w:rPr>
        <w:t xml:space="preserve"> </w:t>
      </w:r>
      <w:r w:rsidR="009216B6" w:rsidRPr="00E618D5">
        <w:rPr>
          <w:color w:val="auto"/>
        </w:rPr>
        <w:t>(</w:t>
      </w:r>
      <w:r w:rsidR="009216B6" w:rsidRPr="00E618D5">
        <w:rPr>
          <w:color w:val="auto"/>
          <w:highlight w:val="yellow"/>
        </w:rPr>
        <w:t xml:space="preserve">figura </w:t>
      </w:r>
      <w:r w:rsidR="00542585" w:rsidRPr="00E618D5">
        <w:rPr>
          <w:color w:val="auto"/>
          <w:highlight w:val="yellow"/>
        </w:rPr>
        <w:t>5</w:t>
      </w:r>
      <w:r w:rsidR="009216B6" w:rsidRPr="00E618D5">
        <w:rPr>
          <w:color w:val="auto"/>
        </w:rPr>
        <w:t>)</w:t>
      </w:r>
      <w:r w:rsidR="006642BB">
        <w:rPr>
          <w:color w:val="auto"/>
        </w:rPr>
        <w:t>,</w:t>
      </w:r>
      <w:r w:rsidR="00741B18" w:rsidRPr="00E618D5">
        <w:rPr>
          <w:color w:val="auto"/>
        </w:rPr>
        <w:t xml:space="preserve"> </w:t>
      </w:r>
      <w:r w:rsidR="00315CB0" w:rsidRPr="00E618D5">
        <w:rPr>
          <w:color w:val="auto"/>
        </w:rPr>
        <w:t>le scorte di vaccini a mRNA</w:t>
      </w:r>
      <w:r w:rsidR="00E618D5" w:rsidRPr="00E618D5">
        <w:rPr>
          <w:color w:val="auto"/>
        </w:rPr>
        <w:t xml:space="preserve"> restano stabili a </w:t>
      </w:r>
      <w:r w:rsidR="00FE2F96" w:rsidRPr="00E618D5">
        <w:rPr>
          <w:color w:val="auto"/>
        </w:rPr>
        <w:t xml:space="preserve">quota </w:t>
      </w:r>
      <w:r w:rsidR="00993DFA" w:rsidRPr="00E618D5">
        <w:rPr>
          <w:color w:val="auto"/>
        </w:rPr>
        <w:t>13</w:t>
      </w:r>
      <w:r w:rsidR="006236A4" w:rsidRPr="00E618D5">
        <w:rPr>
          <w:color w:val="auto"/>
        </w:rPr>
        <w:t>,</w:t>
      </w:r>
      <w:r w:rsidR="00E618D5">
        <w:rPr>
          <w:color w:val="auto"/>
        </w:rPr>
        <w:t>3</w:t>
      </w:r>
      <w:r w:rsidR="009332D3" w:rsidRPr="00E618D5">
        <w:rPr>
          <w:color w:val="auto"/>
        </w:rPr>
        <w:t xml:space="preserve"> milioni</w:t>
      </w:r>
      <w:r w:rsidRPr="00E618D5">
        <w:rPr>
          <w:color w:val="auto"/>
        </w:rPr>
        <w:t>.</w:t>
      </w:r>
    </w:p>
    <w:p w:rsidR="00EF64BE" w:rsidRPr="008F29A1" w:rsidRDefault="00993DFA" w:rsidP="00595E53">
      <w:pPr>
        <w:spacing w:line="276" w:lineRule="auto"/>
        <w:jc w:val="both"/>
        <w:rPr>
          <w:color w:val="auto"/>
        </w:rPr>
      </w:pPr>
      <w:r w:rsidRPr="00E618D5">
        <w:rPr>
          <w:b/>
          <w:color w:val="auto"/>
        </w:rPr>
        <w:t>Vaccini: somministrazioni.</w:t>
      </w:r>
      <w:r w:rsidRPr="00E618D5">
        <w:rPr>
          <w:color w:val="auto"/>
        </w:rPr>
        <w:t xml:space="preserve"> Al </w:t>
      </w:r>
      <w:r w:rsidR="00E618D5" w:rsidRPr="00E618D5">
        <w:rPr>
          <w:color w:val="auto"/>
        </w:rPr>
        <w:t>1</w:t>
      </w:r>
      <w:r w:rsidR="00D83353">
        <w:rPr>
          <w:color w:val="auto"/>
        </w:rPr>
        <w:t>3</w:t>
      </w:r>
      <w:r w:rsidRPr="00E618D5">
        <w:rPr>
          <w:color w:val="auto"/>
        </w:rPr>
        <w:t xml:space="preserve"> ottobre (aggiornamento ore </w:t>
      </w:r>
      <w:r w:rsidR="00D83353">
        <w:rPr>
          <w:color w:val="auto"/>
        </w:rPr>
        <w:t>10.33</w:t>
      </w:r>
      <w:r w:rsidRPr="00E618D5">
        <w:rPr>
          <w:color w:val="auto"/>
        </w:rPr>
        <w:t>) il 7</w:t>
      </w:r>
      <w:r w:rsidR="00E618D5" w:rsidRPr="00E618D5">
        <w:rPr>
          <w:color w:val="auto"/>
        </w:rPr>
        <w:t>7</w:t>
      </w:r>
      <w:r w:rsidRPr="00E618D5">
        <w:rPr>
          <w:color w:val="auto"/>
        </w:rPr>
        <w:t>,</w:t>
      </w:r>
      <w:r w:rsidR="00D83353">
        <w:rPr>
          <w:color w:val="auto"/>
        </w:rPr>
        <w:t>5</w:t>
      </w:r>
      <w:r w:rsidRPr="00E618D5">
        <w:rPr>
          <w:color w:val="auto"/>
        </w:rPr>
        <w:t xml:space="preserve">% della popolazione (n. </w:t>
      </w:r>
      <w:r w:rsidR="00D83353" w:rsidRPr="00D83353">
        <w:rPr>
          <w:color w:val="auto"/>
        </w:rPr>
        <w:t>45.896.082</w:t>
      </w:r>
      <w:r w:rsidRPr="00E618D5">
        <w:rPr>
          <w:color w:val="auto"/>
        </w:rPr>
        <w:t>) ha ricevuto almeno una dose di vaccino (</w:t>
      </w:r>
      <w:r w:rsidR="00D83353" w:rsidRPr="00D83353">
        <w:rPr>
          <w:color w:val="auto"/>
        </w:rPr>
        <w:t xml:space="preserve">+402.786 </w:t>
      </w:r>
      <w:r w:rsidRPr="00E618D5">
        <w:rPr>
          <w:color w:val="auto"/>
        </w:rPr>
        <w:t>rispetto alla settimana precedente) e il 7</w:t>
      </w:r>
      <w:r w:rsidR="00E618D5" w:rsidRPr="00E618D5">
        <w:rPr>
          <w:color w:val="auto"/>
        </w:rPr>
        <w:t>3</w:t>
      </w:r>
      <w:r w:rsidRPr="00E618D5">
        <w:rPr>
          <w:color w:val="auto"/>
        </w:rPr>
        <w:t>,</w:t>
      </w:r>
      <w:r w:rsidR="00E618D5" w:rsidRPr="00E618D5">
        <w:rPr>
          <w:color w:val="auto"/>
        </w:rPr>
        <w:t>3</w:t>
      </w:r>
      <w:r w:rsidRPr="00E618D5">
        <w:rPr>
          <w:color w:val="auto"/>
        </w:rPr>
        <w:t xml:space="preserve">% (n. </w:t>
      </w:r>
      <w:r w:rsidR="00D83353" w:rsidRPr="00D83353">
        <w:rPr>
          <w:color w:val="auto"/>
        </w:rPr>
        <w:t>43.455.924</w:t>
      </w:r>
      <w:r w:rsidRPr="00E618D5">
        <w:rPr>
          <w:color w:val="auto"/>
        </w:rPr>
        <w:t xml:space="preserve">) ha completato il ciclo vaccinale </w:t>
      </w:r>
      <w:r w:rsidR="00E618D5" w:rsidRPr="00E618D5">
        <w:rPr>
          <w:color w:val="auto"/>
        </w:rPr>
        <w:t>(</w:t>
      </w:r>
      <w:r w:rsidR="00D83353" w:rsidRPr="00D83353">
        <w:rPr>
          <w:color w:val="auto"/>
        </w:rPr>
        <w:t>+534.900</w:t>
      </w:r>
      <w:r w:rsidR="00D83353">
        <w:rPr>
          <w:color w:val="auto"/>
        </w:rPr>
        <w:t xml:space="preserve"> </w:t>
      </w:r>
      <w:r w:rsidR="00C66C47" w:rsidRPr="00E618D5">
        <w:rPr>
          <w:color w:val="auto"/>
        </w:rPr>
        <w:t>rispetto alla settimana precedente</w:t>
      </w:r>
      <w:r w:rsidRPr="00E618D5">
        <w:rPr>
          <w:color w:val="auto"/>
        </w:rPr>
        <w:t>) (</w:t>
      </w:r>
      <w:r w:rsidRPr="00E618D5">
        <w:rPr>
          <w:color w:val="auto"/>
          <w:highlight w:val="yellow"/>
        </w:rPr>
        <w:t>figura 6</w:t>
      </w:r>
      <w:r w:rsidRPr="00E618D5">
        <w:rPr>
          <w:color w:val="auto"/>
        </w:rPr>
        <w:t xml:space="preserve">). </w:t>
      </w:r>
      <w:r w:rsidR="00480E53" w:rsidRPr="00E618D5">
        <w:rPr>
          <w:color w:val="auto"/>
        </w:rPr>
        <w:t>N</w:t>
      </w:r>
      <w:r w:rsidRPr="00E618D5">
        <w:rPr>
          <w:color w:val="auto"/>
        </w:rPr>
        <w:t xml:space="preserve">ell’ultima settimana </w:t>
      </w:r>
      <w:r w:rsidR="00480E53" w:rsidRPr="00E618D5">
        <w:rPr>
          <w:color w:val="auto"/>
        </w:rPr>
        <w:t xml:space="preserve">scende ancora </w:t>
      </w:r>
      <w:r w:rsidRPr="00E618D5">
        <w:rPr>
          <w:color w:val="auto"/>
        </w:rPr>
        <w:t xml:space="preserve">il numero di somministrazioni (n. </w:t>
      </w:r>
      <w:r w:rsidR="00E618D5" w:rsidRPr="00E618D5">
        <w:rPr>
          <w:color w:val="auto"/>
        </w:rPr>
        <w:t>1.040.</w:t>
      </w:r>
      <w:r w:rsidR="00D83353">
        <w:rPr>
          <w:color w:val="auto"/>
        </w:rPr>
        <w:t>938</w:t>
      </w:r>
      <w:r w:rsidRPr="00E618D5">
        <w:rPr>
          <w:color w:val="auto"/>
        </w:rPr>
        <w:t>) (</w:t>
      </w:r>
      <w:r w:rsidRPr="00E618D5">
        <w:rPr>
          <w:color w:val="auto"/>
          <w:highlight w:val="yellow"/>
        </w:rPr>
        <w:t>figura 7</w:t>
      </w:r>
      <w:r w:rsidRPr="00E618D5">
        <w:rPr>
          <w:color w:val="auto"/>
        </w:rPr>
        <w:t xml:space="preserve">), con una media mobile a 7 giorni </w:t>
      </w:r>
      <w:r w:rsidR="006642BB">
        <w:rPr>
          <w:color w:val="auto"/>
        </w:rPr>
        <w:t xml:space="preserve">che sfiora </w:t>
      </w:r>
      <w:r w:rsidR="00480E53" w:rsidRPr="00E618D5">
        <w:rPr>
          <w:color w:val="auto"/>
        </w:rPr>
        <w:t>1</w:t>
      </w:r>
      <w:r w:rsidR="00D83353">
        <w:rPr>
          <w:color w:val="auto"/>
        </w:rPr>
        <w:t>52</w:t>
      </w:r>
      <w:r w:rsidR="00480E53" w:rsidRPr="00E618D5">
        <w:rPr>
          <w:color w:val="auto"/>
        </w:rPr>
        <w:t xml:space="preserve">mila </w:t>
      </w:r>
      <w:r w:rsidRPr="00E618D5">
        <w:rPr>
          <w:color w:val="auto"/>
        </w:rPr>
        <w:t>somministrazioni/die.</w:t>
      </w:r>
      <w:r w:rsidR="008F29A1">
        <w:rPr>
          <w:color w:val="auto"/>
        </w:rPr>
        <w:t xml:space="preserve"> </w:t>
      </w:r>
      <w:r w:rsidR="00E47A88">
        <w:rPr>
          <w:color w:val="auto"/>
        </w:rPr>
        <w:t>P</w:t>
      </w:r>
      <w:r w:rsidR="008F29A1" w:rsidRPr="008F29A1">
        <w:rPr>
          <w:color w:val="auto"/>
        </w:rPr>
        <w:t xml:space="preserve">er </w:t>
      </w:r>
      <w:r w:rsidR="00EF64BE" w:rsidRPr="008F29A1">
        <w:rPr>
          <w:color w:val="auto"/>
        </w:rPr>
        <w:t>la seconda settimana consecutiva</w:t>
      </w:r>
      <w:r w:rsidR="00E47A88">
        <w:rPr>
          <w:color w:val="auto"/>
        </w:rPr>
        <w:t xml:space="preserve"> cala i</w:t>
      </w:r>
      <w:r w:rsidR="00E47A88" w:rsidRPr="008F29A1">
        <w:rPr>
          <w:color w:val="auto"/>
        </w:rPr>
        <w:t>l numero di nuovi vaccinati</w:t>
      </w:r>
      <w:r w:rsidR="00E47A88">
        <w:rPr>
          <w:color w:val="auto"/>
        </w:rPr>
        <w:t>:</w:t>
      </w:r>
      <w:r w:rsidR="00E47A88" w:rsidRPr="008F29A1">
        <w:rPr>
          <w:color w:val="auto"/>
        </w:rPr>
        <w:t xml:space="preserve"> </w:t>
      </w:r>
      <w:r w:rsidR="00EF64BE" w:rsidRPr="008F29A1">
        <w:rPr>
          <w:color w:val="auto"/>
        </w:rPr>
        <w:t xml:space="preserve">da 493mila a 378mila </w:t>
      </w:r>
      <w:r w:rsidR="008F29A1" w:rsidRPr="008F29A1">
        <w:rPr>
          <w:color w:val="auto"/>
        </w:rPr>
        <w:t xml:space="preserve">(-23,2%) </w:t>
      </w:r>
      <w:r w:rsidR="00EF64BE" w:rsidRPr="008F29A1">
        <w:rPr>
          <w:color w:val="auto"/>
        </w:rPr>
        <w:t>(</w:t>
      </w:r>
      <w:r w:rsidR="00EF64BE" w:rsidRPr="008F29A1">
        <w:rPr>
          <w:color w:val="auto"/>
          <w:highlight w:val="yellow"/>
        </w:rPr>
        <w:t>figura 8</w:t>
      </w:r>
      <w:r w:rsidR="005F2C47">
        <w:rPr>
          <w:color w:val="auto"/>
        </w:rPr>
        <w:t>).</w:t>
      </w:r>
    </w:p>
    <w:p w:rsidR="00DA33DB" w:rsidRDefault="00DD1090" w:rsidP="00C5216E">
      <w:pPr>
        <w:spacing w:line="276" w:lineRule="auto"/>
        <w:jc w:val="both"/>
        <w:rPr>
          <w:color w:val="auto"/>
        </w:rPr>
      </w:pPr>
      <w:r w:rsidRPr="007F139F">
        <w:rPr>
          <w:b/>
          <w:color w:val="auto"/>
          <w:u w:color="FF0000"/>
        </w:rPr>
        <w:t>Vaccini: copertur</w:t>
      </w:r>
      <w:r w:rsidR="004A3B4B" w:rsidRPr="007F139F">
        <w:rPr>
          <w:b/>
          <w:color w:val="auto"/>
          <w:u w:color="FF0000"/>
        </w:rPr>
        <w:t>e</w:t>
      </w:r>
      <w:r w:rsidRPr="007F139F">
        <w:rPr>
          <w:b/>
          <w:color w:val="auto"/>
          <w:u w:color="FF0000"/>
        </w:rPr>
        <w:t>.</w:t>
      </w:r>
      <w:r w:rsidRPr="007F139F">
        <w:rPr>
          <w:color w:val="auto"/>
          <w:u w:color="FF0000"/>
        </w:rPr>
        <w:t xml:space="preserve"> </w:t>
      </w:r>
      <w:r w:rsidR="004A3B4B" w:rsidRPr="007F139F">
        <w:rPr>
          <w:color w:val="auto"/>
        </w:rPr>
        <w:t>Le coperture vaccinali per fascia di età con almeno una dose di vaccino sono molto variabili: dal 96,</w:t>
      </w:r>
      <w:r w:rsidR="00E618D5" w:rsidRPr="007F139F">
        <w:rPr>
          <w:color w:val="auto"/>
        </w:rPr>
        <w:t>8</w:t>
      </w:r>
      <w:r w:rsidR="004A3B4B" w:rsidRPr="007F139F">
        <w:rPr>
          <w:color w:val="auto"/>
        </w:rPr>
        <w:t>% degli over 80 al 7</w:t>
      </w:r>
      <w:r w:rsidR="00E618D5" w:rsidRPr="007F139F">
        <w:rPr>
          <w:color w:val="auto"/>
        </w:rPr>
        <w:t>1</w:t>
      </w:r>
      <w:r w:rsidR="004A3B4B" w:rsidRPr="007F139F">
        <w:rPr>
          <w:color w:val="auto"/>
        </w:rPr>
        <w:t>,</w:t>
      </w:r>
      <w:r w:rsidR="007F139F" w:rsidRPr="007F139F">
        <w:rPr>
          <w:color w:val="auto"/>
        </w:rPr>
        <w:t>3</w:t>
      </w:r>
      <w:r w:rsidR="004A3B4B" w:rsidRPr="007F139F">
        <w:rPr>
          <w:color w:val="auto"/>
        </w:rPr>
        <w:t>% della fascia 12-19 (</w:t>
      </w:r>
      <w:r w:rsidR="004A3B4B" w:rsidRPr="007F139F">
        <w:rPr>
          <w:color w:val="auto"/>
          <w:highlight w:val="yellow"/>
        </w:rPr>
        <w:t xml:space="preserve">figura </w:t>
      </w:r>
      <w:r w:rsidR="00775DC3" w:rsidRPr="007F139F">
        <w:rPr>
          <w:color w:val="auto"/>
          <w:highlight w:val="yellow"/>
        </w:rPr>
        <w:t>9</w:t>
      </w:r>
      <w:r w:rsidR="004A3B4B" w:rsidRPr="007F139F">
        <w:rPr>
          <w:color w:val="auto"/>
        </w:rPr>
        <w:t>). In generale, rispetto alla settimana precedente, si registrano incrementi modesti: il numero di vaccinati con almeno una dose cresce dell’1,</w:t>
      </w:r>
      <w:r w:rsidR="00E618D5" w:rsidRPr="007F139F">
        <w:rPr>
          <w:color w:val="auto"/>
        </w:rPr>
        <w:t>2</w:t>
      </w:r>
      <w:r w:rsidR="004A3B4B" w:rsidRPr="007F139F">
        <w:rPr>
          <w:color w:val="auto"/>
        </w:rPr>
        <w:t>% nell</w:t>
      </w:r>
      <w:r w:rsidR="00624679" w:rsidRPr="007F139F">
        <w:rPr>
          <w:color w:val="auto"/>
        </w:rPr>
        <w:t>e fasc</w:t>
      </w:r>
      <w:r w:rsidR="00E618D5" w:rsidRPr="007F139F">
        <w:rPr>
          <w:color w:val="auto"/>
        </w:rPr>
        <w:t xml:space="preserve">e 20-29 e </w:t>
      </w:r>
      <w:r w:rsidR="004A3B4B" w:rsidRPr="007F139F">
        <w:rPr>
          <w:color w:val="auto"/>
        </w:rPr>
        <w:t>30-39, dell</w:t>
      </w:r>
      <w:r w:rsidR="00624679" w:rsidRPr="007F139F">
        <w:rPr>
          <w:color w:val="auto"/>
        </w:rPr>
        <w:t>o 0,9% nelle fasc</w:t>
      </w:r>
      <w:r w:rsidR="00E618D5" w:rsidRPr="007F139F">
        <w:rPr>
          <w:color w:val="auto"/>
        </w:rPr>
        <w:t>e 12-19 e 40-49</w:t>
      </w:r>
      <w:r w:rsidR="004A3B4B" w:rsidRPr="007F139F">
        <w:rPr>
          <w:color w:val="auto"/>
        </w:rPr>
        <w:t>, dell</w:t>
      </w:r>
      <w:r w:rsidR="00E618D5" w:rsidRPr="007F139F">
        <w:rPr>
          <w:color w:val="auto"/>
        </w:rPr>
        <w:t>o 0</w:t>
      </w:r>
      <w:r w:rsidR="004A3B4B" w:rsidRPr="007F139F">
        <w:rPr>
          <w:color w:val="auto"/>
        </w:rPr>
        <w:t>,</w:t>
      </w:r>
      <w:r w:rsidR="00E618D5" w:rsidRPr="007F139F">
        <w:rPr>
          <w:color w:val="auto"/>
        </w:rPr>
        <w:t>7</w:t>
      </w:r>
      <w:r w:rsidR="004A3B4B" w:rsidRPr="007F139F">
        <w:rPr>
          <w:color w:val="auto"/>
        </w:rPr>
        <w:t xml:space="preserve">% nella fascia </w:t>
      </w:r>
      <w:r w:rsidR="00E618D5" w:rsidRPr="007F139F">
        <w:rPr>
          <w:color w:val="auto"/>
        </w:rPr>
        <w:t>5</w:t>
      </w:r>
      <w:r w:rsidR="004A3B4B" w:rsidRPr="007F139F">
        <w:rPr>
          <w:color w:val="auto"/>
        </w:rPr>
        <w:t>0-</w:t>
      </w:r>
      <w:r w:rsidR="00E618D5" w:rsidRPr="007F139F">
        <w:rPr>
          <w:color w:val="auto"/>
        </w:rPr>
        <w:t>5</w:t>
      </w:r>
      <w:r w:rsidR="004A3B4B" w:rsidRPr="007F139F">
        <w:rPr>
          <w:color w:val="auto"/>
        </w:rPr>
        <w:t xml:space="preserve">9, mentre negli over 60 l’incremento non </w:t>
      </w:r>
      <w:r w:rsidR="00624679" w:rsidRPr="007F139F">
        <w:rPr>
          <w:color w:val="auto"/>
        </w:rPr>
        <w:t>supera</w:t>
      </w:r>
      <w:r w:rsidR="004A3B4B" w:rsidRPr="007F139F">
        <w:rPr>
          <w:color w:val="auto"/>
        </w:rPr>
        <w:t xml:space="preserve"> lo 0,</w:t>
      </w:r>
      <w:r w:rsidR="00624679" w:rsidRPr="007F139F">
        <w:rPr>
          <w:color w:val="auto"/>
        </w:rPr>
        <w:t>3</w:t>
      </w:r>
      <w:r w:rsidR="004A3B4B" w:rsidRPr="007F139F">
        <w:rPr>
          <w:color w:val="auto"/>
        </w:rPr>
        <w:t>%.</w:t>
      </w:r>
      <w:r w:rsidR="004A3B4B" w:rsidRPr="00624679">
        <w:rPr>
          <w:color w:val="auto"/>
        </w:rPr>
        <w:t xml:space="preserve"> </w:t>
      </w:r>
      <w:r w:rsidRPr="00624679">
        <w:rPr>
          <w:color w:val="auto"/>
          <w:u w:color="FF0000"/>
        </w:rPr>
        <w:t>I</w:t>
      </w:r>
      <w:r w:rsidR="00775DC3" w:rsidRPr="00624679">
        <w:rPr>
          <w:color w:val="auto"/>
          <w:u w:color="FF0000"/>
        </w:rPr>
        <w:t>n particolare</w:t>
      </w:r>
      <w:r w:rsidR="00C90B7F" w:rsidRPr="00624679">
        <w:rPr>
          <w:color w:val="auto"/>
          <w:u w:color="FF0000"/>
        </w:rPr>
        <w:t>,</w:t>
      </w:r>
      <w:r w:rsidR="003E3C44" w:rsidRPr="00624679">
        <w:rPr>
          <w:color w:val="auto"/>
          <w:u w:color="FF0000"/>
        </w:rPr>
        <w:t xml:space="preserve"> per le</w:t>
      </w:r>
      <w:r w:rsidR="00157CBE" w:rsidRPr="00624679">
        <w:rPr>
          <w:color w:val="auto"/>
          <w:u w:color="FF0000"/>
        </w:rPr>
        <w:t xml:space="preserve"> categorie a maggiore rischio di </w:t>
      </w:r>
      <w:r w:rsidR="003E3C44" w:rsidRPr="00624679">
        <w:rPr>
          <w:color w:val="auto"/>
          <w:u w:color="FF0000"/>
        </w:rPr>
        <w:t>malattia</w:t>
      </w:r>
      <w:r w:rsidR="00157CBE" w:rsidRPr="00624679">
        <w:rPr>
          <w:color w:val="auto"/>
          <w:u w:color="FF0000"/>
        </w:rPr>
        <w:t xml:space="preserve"> severa</w:t>
      </w:r>
      <w:r w:rsidR="00C90B7F" w:rsidRPr="00624679">
        <w:rPr>
          <w:color w:val="auto"/>
          <w:u w:color="FF0000"/>
        </w:rPr>
        <w:t>,</w:t>
      </w:r>
      <w:r w:rsidR="00157CBE" w:rsidRPr="00624679">
        <w:rPr>
          <w:color w:val="auto"/>
          <w:u w:color="FF0000"/>
        </w:rPr>
        <w:t xml:space="preserve"> </w:t>
      </w:r>
      <w:r w:rsidR="00775DC3" w:rsidRPr="00624679">
        <w:rPr>
          <w:color w:val="auto"/>
        </w:rPr>
        <w:t>sono ancora 3,</w:t>
      </w:r>
      <w:r w:rsidR="00624679" w:rsidRPr="00624679">
        <w:rPr>
          <w:color w:val="auto"/>
        </w:rPr>
        <w:t>2</w:t>
      </w:r>
      <w:r w:rsidR="00775DC3" w:rsidRPr="00624679">
        <w:rPr>
          <w:color w:val="auto"/>
        </w:rPr>
        <w:t xml:space="preserve"> milioni (1</w:t>
      </w:r>
      <w:r w:rsidR="00624679" w:rsidRPr="00624679">
        <w:rPr>
          <w:color w:val="auto"/>
        </w:rPr>
        <w:t>1</w:t>
      </w:r>
      <w:r w:rsidR="00775DC3" w:rsidRPr="00624679">
        <w:rPr>
          <w:color w:val="auto"/>
        </w:rPr>
        <w:t>,</w:t>
      </w:r>
      <w:r w:rsidR="00624679" w:rsidRPr="00624679">
        <w:rPr>
          <w:color w:val="auto"/>
        </w:rPr>
        <w:t>8</w:t>
      </w:r>
      <w:r w:rsidR="00775DC3" w:rsidRPr="00624679">
        <w:rPr>
          <w:color w:val="auto"/>
        </w:rPr>
        <w:t>%) gli over 50 che non hanno completato il ciclo vaccinale</w:t>
      </w:r>
      <w:r w:rsidR="00C90B7F" w:rsidRPr="00624679">
        <w:rPr>
          <w:color w:val="auto"/>
        </w:rPr>
        <w:t xml:space="preserve"> </w:t>
      </w:r>
      <w:r w:rsidR="00775DC3" w:rsidRPr="00624679">
        <w:rPr>
          <w:color w:val="auto"/>
        </w:rPr>
        <w:t>(</w:t>
      </w:r>
      <w:r w:rsidR="00775DC3" w:rsidRPr="00624679">
        <w:rPr>
          <w:color w:val="auto"/>
          <w:highlight w:val="yellow"/>
        </w:rPr>
        <w:t>figura 10</w:t>
      </w:r>
      <w:r w:rsidR="00775DC3" w:rsidRPr="00624679">
        <w:rPr>
          <w:color w:val="auto"/>
        </w:rPr>
        <w:t>), di cui 2,</w:t>
      </w:r>
      <w:r w:rsidR="00624679" w:rsidRPr="00624679">
        <w:rPr>
          <w:color w:val="auto"/>
        </w:rPr>
        <w:t>48</w:t>
      </w:r>
      <w:r w:rsidR="00775DC3" w:rsidRPr="00624679">
        <w:rPr>
          <w:color w:val="auto"/>
        </w:rPr>
        <w:t xml:space="preserve"> milioni non hanno ricevuto nemmeno una dose di vaccino, con rilevanti differenze regionali </w:t>
      </w:r>
      <w:r w:rsidR="00624679" w:rsidRPr="00624679">
        <w:rPr>
          <w:color w:val="auto"/>
        </w:rPr>
        <w:t xml:space="preserve">(dal 14,7% della Calabria al 5,3% della Puglia) </w:t>
      </w:r>
      <w:r w:rsidR="00775DC3" w:rsidRPr="00624679">
        <w:rPr>
          <w:color w:val="auto"/>
        </w:rPr>
        <w:t>(</w:t>
      </w:r>
      <w:r w:rsidR="00775DC3" w:rsidRPr="00624679">
        <w:rPr>
          <w:color w:val="auto"/>
          <w:highlight w:val="yellow"/>
        </w:rPr>
        <w:t>figura 11</w:t>
      </w:r>
      <w:r w:rsidR="00624679">
        <w:rPr>
          <w:color w:val="auto"/>
        </w:rPr>
        <w:t>).</w:t>
      </w:r>
    </w:p>
    <w:p w:rsidR="00F86251" w:rsidRDefault="00F86251" w:rsidP="00F86251">
      <w:pPr>
        <w:spacing w:line="276" w:lineRule="auto"/>
        <w:jc w:val="both"/>
        <w:rPr>
          <w:color w:val="auto"/>
        </w:rPr>
      </w:pPr>
      <w:r w:rsidRPr="00C9732C">
        <w:rPr>
          <w:b/>
          <w:color w:val="auto"/>
        </w:rPr>
        <w:t>Efficacia vaccini</w:t>
      </w:r>
      <w:r w:rsidRPr="00C9732C">
        <w:rPr>
          <w:color w:val="auto"/>
        </w:rPr>
        <w:t>. L’efficacia del vaccino sulla diagnosi di SARS-CoV-2 si è ridotta dall’88,5% (periodo 4 aprile-11 luglio) al 77,2% (periodo 4 aprile-26 settembre)</w:t>
      </w:r>
      <w:r>
        <w:rPr>
          <w:color w:val="auto"/>
        </w:rPr>
        <w:t xml:space="preserve"> per poi risalire al </w:t>
      </w:r>
      <w:r w:rsidRPr="00C9732C">
        <w:rPr>
          <w:color w:val="auto"/>
        </w:rPr>
        <w:t>77,</w:t>
      </w:r>
      <w:r>
        <w:rPr>
          <w:color w:val="auto"/>
        </w:rPr>
        <w:t>6</w:t>
      </w:r>
      <w:r w:rsidRPr="00C9732C">
        <w:rPr>
          <w:color w:val="auto"/>
        </w:rPr>
        <w:t>% (periodo 4 aprile-</w:t>
      </w:r>
      <w:r>
        <w:rPr>
          <w:color w:val="auto"/>
        </w:rPr>
        <w:t>3 ottobre</w:t>
      </w:r>
      <w:r w:rsidRPr="00C9732C">
        <w:rPr>
          <w:color w:val="auto"/>
        </w:rPr>
        <w:t>)</w:t>
      </w:r>
      <w:r>
        <w:rPr>
          <w:color w:val="auto"/>
        </w:rPr>
        <w:t>;</w:t>
      </w:r>
      <w:r w:rsidRPr="00C9732C">
        <w:rPr>
          <w:color w:val="auto"/>
        </w:rPr>
        <w:t xml:space="preserve"> in particolare nella fascia di età 12-39 anni è scesa sino al 67,2% (periodo 4 aprile-29 agosto)</w:t>
      </w:r>
      <w:r>
        <w:rPr>
          <w:color w:val="auto"/>
        </w:rPr>
        <w:t>,</w:t>
      </w:r>
      <w:r w:rsidRPr="00C9732C">
        <w:rPr>
          <w:color w:val="auto"/>
        </w:rPr>
        <w:t xml:space="preserve"> verosimilmente per</w:t>
      </w:r>
      <w:r>
        <w:rPr>
          <w:color w:val="auto"/>
        </w:rPr>
        <w:t xml:space="preserve"> l’aumentata socialità e una minore attenzione ai comportamenti durante il periodo estivo,</w:t>
      </w:r>
      <w:r w:rsidRPr="00C9732C">
        <w:rPr>
          <w:color w:val="auto"/>
        </w:rPr>
        <w:t xml:space="preserve"> per poi risalire fino al 7</w:t>
      </w:r>
      <w:r>
        <w:rPr>
          <w:color w:val="auto"/>
        </w:rPr>
        <w:t>4</w:t>
      </w:r>
      <w:r w:rsidRPr="00C9732C">
        <w:rPr>
          <w:color w:val="auto"/>
        </w:rPr>
        <w:t>,</w:t>
      </w:r>
      <w:r>
        <w:rPr>
          <w:color w:val="auto"/>
        </w:rPr>
        <w:t>1</w:t>
      </w:r>
      <w:r w:rsidRPr="00C9732C">
        <w:rPr>
          <w:color w:val="auto"/>
        </w:rPr>
        <w:t>% (periodo 4 aprile-</w:t>
      </w:r>
      <w:r>
        <w:rPr>
          <w:color w:val="auto"/>
        </w:rPr>
        <w:t>3 ottobre</w:t>
      </w:r>
      <w:r w:rsidRPr="00C9732C">
        <w:rPr>
          <w:color w:val="auto"/>
        </w:rPr>
        <w:t>) (</w:t>
      </w:r>
      <w:r w:rsidRPr="00C9732C">
        <w:rPr>
          <w:color w:val="auto"/>
          <w:highlight w:val="yellow"/>
        </w:rPr>
        <w:t>figura 12</w:t>
      </w:r>
      <w:r w:rsidRPr="00C9732C">
        <w:rPr>
          <w:color w:val="auto"/>
        </w:rPr>
        <w:t>). L’efficacia vaccinale si conferma, invece, molto elevata nel ridurre i decessi (94,</w:t>
      </w:r>
      <w:r>
        <w:rPr>
          <w:color w:val="auto"/>
        </w:rPr>
        <w:t>6</w:t>
      </w:r>
      <w:r w:rsidRPr="00C9732C">
        <w:rPr>
          <w:color w:val="auto"/>
        </w:rPr>
        <w:t>%) e le forme severe di malattia che necessitano di ricovero in area medica (92,</w:t>
      </w:r>
      <w:r>
        <w:rPr>
          <w:color w:val="auto"/>
        </w:rPr>
        <w:t>5</w:t>
      </w:r>
      <w:r w:rsidRPr="00C9732C">
        <w:rPr>
          <w:color w:val="auto"/>
        </w:rPr>
        <w:t>%) e in terapia intensiva (94,</w:t>
      </w:r>
      <w:r>
        <w:rPr>
          <w:color w:val="auto"/>
        </w:rPr>
        <w:t>8</w:t>
      </w:r>
      <w:r w:rsidRPr="00C9732C">
        <w:rPr>
          <w:color w:val="auto"/>
        </w:rPr>
        <w:t>%). Tuttavia, a partire da metà agosto, pur rimanendo superiore al 90%</w:t>
      </w:r>
      <w:r>
        <w:rPr>
          <w:color w:val="auto"/>
        </w:rPr>
        <w:t>,</w:t>
      </w:r>
      <w:r w:rsidRPr="00C9732C">
        <w:rPr>
          <w:color w:val="auto"/>
        </w:rPr>
        <w:t xml:space="preserve"> </w:t>
      </w:r>
      <w:r w:rsidR="00DE0043">
        <w:rPr>
          <w:color w:val="auto"/>
        </w:rPr>
        <w:t>il</w:t>
      </w:r>
      <w:r w:rsidRPr="00C9732C">
        <w:rPr>
          <w:color w:val="auto"/>
        </w:rPr>
        <w:t xml:space="preserve"> trend </w:t>
      </w:r>
      <w:r w:rsidR="00DE0043">
        <w:rPr>
          <w:color w:val="auto"/>
        </w:rPr>
        <w:t xml:space="preserve">è </w:t>
      </w:r>
      <w:r w:rsidRPr="00C9732C">
        <w:rPr>
          <w:color w:val="auto"/>
        </w:rPr>
        <w:t>in lieve riduzione per</w:t>
      </w:r>
      <w:r>
        <w:rPr>
          <w:color w:val="auto"/>
        </w:rPr>
        <w:t xml:space="preserve"> </w:t>
      </w:r>
      <w:r w:rsidRPr="00C9732C">
        <w:rPr>
          <w:color w:val="auto"/>
        </w:rPr>
        <w:t>ospedalizzazioni (-2,</w:t>
      </w:r>
      <w:r>
        <w:rPr>
          <w:color w:val="auto"/>
        </w:rPr>
        <w:t>4</w:t>
      </w:r>
      <w:r w:rsidRPr="00C9732C">
        <w:rPr>
          <w:color w:val="auto"/>
        </w:rPr>
        <w:t>%), ricoveri in terapia intensiva (-2,</w:t>
      </w:r>
      <w:r>
        <w:rPr>
          <w:color w:val="auto"/>
        </w:rPr>
        <w:t>2</w:t>
      </w:r>
      <w:r w:rsidRPr="00C9732C">
        <w:rPr>
          <w:color w:val="auto"/>
        </w:rPr>
        <w:t>%) e decessi (-2,</w:t>
      </w:r>
      <w:r>
        <w:rPr>
          <w:color w:val="auto"/>
        </w:rPr>
        <w:t>6</w:t>
      </w:r>
      <w:r w:rsidRPr="00C9732C">
        <w:rPr>
          <w:color w:val="auto"/>
        </w:rPr>
        <w:t>%) (</w:t>
      </w:r>
      <w:r w:rsidRPr="00C9732C">
        <w:rPr>
          <w:color w:val="auto"/>
          <w:highlight w:val="yellow"/>
        </w:rPr>
        <w:t>figura 13</w:t>
      </w:r>
      <w:r w:rsidRPr="00C9732C">
        <w:rPr>
          <w:color w:val="auto"/>
        </w:rPr>
        <w:t xml:space="preserve">). </w:t>
      </w:r>
      <w:r>
        <w:rPr>
          <w:color w:val="auto"/>
        </w:rPr>
        <w:t>Complessivamente nelle persone vaccinate con ciclo completo</w:t>
      </w:r>
      <w:r w:rsidR="00D42875">
        <w:rPr>
          <w:color w:val="auto"/>
        </w:rPr>
        <w:t>,</w:t>
      </w:r>
      <w:r>
        <w:rPr>
          <w:color w:val="auto"/>
        </w:rPr>
        <w:t xml:space="preserve"> rispetto a quelle non vaccinate, nelle varie fasce d’età si riduce nettamente l’incidenza di diagnosi (del </w:t>
      </w:r>
      <w:r w:rsidR="002F7EF9">
        <w:rPr>
          <w:color w:val="auto"/>
        </w:rPr>
        <w:t>78,8%</w:t>
      </w:r>
      <w:r>
        <w:rPr>
          <w:color w:val="auto"/>
        </w:rPr>
        <w:t>-84</w:t>
      </w:r>
      <w:r w:rsidR="002F7EF9">
        <w:rPr>
          <w:color w:val="auto"/>
        </w:rPr>
        <w:t>,6</w:t>
      </w:r>
      <w:r>
        <w:rPr>
          <w:color w:val="auto"/>
        </w:rPr>
        <w:t>%) e soprattutto di malattia grave (dell’87,7-96% per ricoveri ordinari; del 90,4-98% per le terapie intensive) e decesso (dell’81,5-97,1%) (</w:t>
      </w:r>
      <w:r>
        <w:rPr>
          <w:color w:val="auto"/>
          <w:highlight w:val="yellow"/>
        </w:rPr>
        <w:t>figura 14</w:t>
      </w:r>
      <w:r>
        <w:rPr>
          <w:color w:val="auto"/>
        </w:rPr>
        <w:t>).</w:t>
      </w:r>
    </w:p>
    <w:p w:rsidR="00F86251" w:rsidRDefault="00F86251" w:rsidP="00F86251">
      <w:pPr>
        <w:spacing w:line="276" w:lineRule="auto"/>
        <w:jc w:val="both"/>
        <w:rPr>
          <w:color w:val="auto"/>
        </w:rPr>
      </w:pPr>
      <w:r w:rsidRPr="00431BFA">
        <w:rPr>
          <w:b/>
          <w:color w:val="auto"/>
        </w:rPr>
        <w:t xml:space="preserve">Vaccini: terza dose. </w:t>
      </w:r>
      <w:r w:rsidRPr="00E814EF">
        <w:rPr>
          <w:color w:val="auto"/>
        </w:rPr>
        <w:t xml:space="preserve">Dopo l’approvazione della </w:t>
      </w:r>
      <w:r w:rsidRPr="00E814EF">
        <w:rPr>
          <w:i/>
          <w:color w:val="auto"/>
        </w:rPr>
        <w:t>European Medicines Agency</w:t>
      </w:r>
      <w:r w:rsidRPr="00E814EF">
        <w:rPr>
          <w:color w:val="auto"/>
        </w:rPr>
        <w:t xml:space="preserve"> (EMA)</w:t>
      </w:r>
      <w:r>
        <w:rPr>
          <w:color w:val="auto"/>
        </w:rPr>
        <w:t xml:space="preserve"> della </w:t>
      </w:r>
      <w:r w:rsidRPr="00431BFA">
        <w:rPr>
          <w:color w:val="auto"/>
        </w:rPr>
        <w:t xml:space="preserve">somministrazione di una dose </w:t>
      </w:r>
      <w:r>
        <w:rPr>
          <w:color w:val="auto"/>
        </w:rPr>
        <w:t>di richiamo (</w:t>
      </w:r>
      <w:r w:rsidRPr="00D22840">
        <w:rPr>
          <w:i/>
          <w:color w:val="auto"/>
        </w:rPr>
        <w:t>booster</w:t>
      </w:r>
      <w:r>
        <w:rPr>
          <w:color w:val="auto"/>
        </w:rPr>
        <w:t xml:space="preserve">) </w:t>
      </w:r>
      <w:r w:rsidRPr="00431BFA">
        <w:rPr>
          <w:color w:val="auto"/>
        </w:rPr>
        <w:t>di</w:t>
      </w:r>
      <w:r>
        <w:rPr>
          <w:color w:val="auto"/>
        </w:rPr>
        <w:t xml:space="preserve"> vaccino </w:t>
      </w:r>
      <w:r w:rsidRPr="00431BFA">
        <w:rPr>
          <w:color w:val="auto"/>
        </w:rPr>
        <w:t>Pfize</w:t>
      </w:r>
      <w:r>
        <w:rPr>
          <w:color w:val="auto"/>
        </w:rPr>
        <w:t xml:space="preserve">r nella popolazione di età </w:t>
      </w:r>
      <w:r>
        <w:rPr>
          <w:rFonts w:cs="Calibri"/>
          <w:color w:val="auto"/>
        </w:rPr>
        <w:t>≥</w:t>
      </w:r>
      <w:r>
        <w:rPr>
          <w:color w:val="auto"/>
        </w:rPr>
        <w:t xml:space="preserve">18 anni, la </w:t>
      </w:r>
      <w:hyperlink r:id="rId9" w:history="1">
        <w:r w:rsidRPr="00D22840">
          <w:rPr>
            <w:rStyle w:val="Collegamentoipertestuale"/>
          </w:rPr>
          <w:t>Circolare del Ministero della Salute del 27 settembre 2021</w:t>
        </w:r>
      </w:hyperlink>
      <w:r>
        <w:rPr>
          <w:color w:val="auto"/>
        </w:rPr>
        <w:t xml:space="preserve"> ha individuato, oltre ai pazienti immunocompromessi ai quali somministrare la dose addizionale di vaccino Pfizer o Moderna, le categorie di popolazione </w:t>
      </w:r>
      <w:r w:rsidR="005F2C47">
        <w:rPr>
          <w:color w:val="auto"/>
        </w:rPr>
        <w:t xml:space="preserve">per </w:t>
      </w:r>
      <w:r>
        <w:rPr>
          <w:color w:val="auto"/>
        </w:rPr>
        <w:t xml:space="preserve">la dose </w:t>
      </w:r>
      <w:r w:rsidRPr="00D93D70">
        <w:rPr>
          <w:i/>
          <w:color w:val="auto"/>
        </w:rPr>
        <w:t>booster</w:t>
      </w:r>
      <w:r>
        <w:rPr>
          <w:color w:val="auto"/>
        </w:rPr>
        <w:t xml:space="preserve">: </w:t>
      </w:r>
      <w:r w:rsidRPr="00D22840">
        <w:rPr>
          <w:color w:val="auto"/>
        </w:rPr>
        <w:t>in una prima fase over 80 e ospiti e personale sanitario e socio-sanitario delle RSA; successivamente gli operatori sanitari</w:t>
      </w:r>
      <w:r>
        <w:rPr>
          <w:color w:val="auto"/>
        </w:rPr>
        <w:t>,</w:t>
      </w:r>
      <w:r w:rsidRPr="00D22840">
        <w:rPr>
          <w:color w:val="auto"/>
        </w:rPr>
        <w:t xml:space="preserve"> con priorità per gli over 60 o vulnerabili a forme di COVID-19 severa </w:t>
      </w:r>
      <w:r>
        <w:rPr>
          <w:color w:val="auto"/>
        </w:rPr>
        <w:t xml:space="preserve">per </w:t>
      </w:r>
      <w:r w:rsidRPr="00D22840">
        <w:rPr>
          <w:color w:val="auto"/>
        </w:rPr>
        <w:t>patologie concomitanti o con elevato livello di esposizione all’infezione.</w:t>
      </w:r>
      <w:r>
        <w:rPr>
          <w:color w:val="auto"/>
        </w:rPr>
        <w:t xml:space="preserve"> La platea vaccinabile con terza dose è stata, poi, ulteriormente espansa dalla </w:t>
      </w:r>
      <w:hyperlink r:id="rId10" w:history="1">
        <w:r w:rsidRPr="00D22840">
          <w:rPr>
            <w:rStyle w:val="Collegamentoipertestuale"/>
          </w:rPr>
          <w:t>Circolare del Ministero della Salute dell’8 ottobre 2021</w:t>
        </w:r>
      </w:hyperlink>
      <w:r w:rsidRPr="00431BFA">
        <w:rPr>
          <w:color w:val="auto"/>
        </w:rPr>
        <w:t xml:space="preserve">, </w:t>
      </w:r>
      <w:r>
        <w:rPr>
          <w:color w:val="auto"/>
        </w:rPr>
        <w:t>che ha esteso l’indicazione del richiamo</w:t>
      </w:r>
      <w:r w:rsidRPr="00431BFA">
        <w:rPr>
          <w:color w:val="auto"/>
        </w:rPr>
        <w:t xml:space="preserve"> a</w:t>
      </w:r>
      <w:r>
        <w:rPr>
          <w:color w:val="auto"/>
        </w:rPr>
        <w:t xml:space="preserve"> tutti g</w:t>
      </w:r>
      <w:r w:rsidRPr="00431BFA">
        <w:rPr>
          <w:color w:val="auto"/>
        </w:rPr>
        <w:t>li over</w:t>
      </w:r>
      <w:r>
        <w:rPr>
          <w:color w:val="auto"/>
        </w:rPr>
        <w:t xml:space="preserve"> </w:t>
      </w:r>
      <w:r w:rsidRPr="00431BFA">
        <w:rPr>
          <w:color w:val="auto"/>
        </w:rPr>
        <w:t>60</w:t>
      </w:r>
      <w:r>
        <w:rPr>
          <w:color w:val="auto"/>
        </w:rPr>
        <w:t xml:space="preserve"> </w:t>
      </w:r>
      <w:r w:rsidRPr="00431BFA">
        <w:rPr>
          <w:color w:val="auto"/>
        </w:rPr>
        <w:t>e a</w:t>
      </w:r>
      <w:r w:rsidR="005F2C47">
        <w:rPr>
          <w:color w:val="auto"/>
        </w:rPr>
        <w:t xml:space="preserve">i </w:t>
      </w:r>
      <w:r>
        <w:rPr>
          <w:color w:val="auto"/>
        </w:rPr>
        <w:t>maggiorenni</w:t>
      </w:r>
      <w:r w:rsidRPr="00431BFA">
        <w:rPr>
          <w:color w:val="auto"/>
        </w:rPr>
        <w:t xml:space="preserve"> </w:t>
      </w:r>
      <w:r>
        <w:rPr>
          <w:color w:val="auto"/>
        </w:rPr>
        <w:t>fragili</w:t>
      </w:r>
      <w:r w:rsidRPr="00431BFA">
        <w:rPr>
          <w:color w:val="auto"/>
        </w:rPr>
        <w:t xml:space="preserve"> </w:t>
      </w:r>
      <w:r w:rsidR="005F2C47">
        <w:rPr>
          <w:color w:val="auto"/>
        </w:rPr>
        <w:t xml:space="preserve">con </w:t>
      </w:r>
      <w:r w:rsidRPr="00431BFA">
        <w:rPr>
          <w:color w:val="auto"/>
        </w:rPr>
        <w:t>specifiche patologie.</w:t>
      </w:r>
    </w:p>
    <w:p w:rsidR="00F86251" w:rsidRDefault="00F86251" w:rsidP="00F86251">
      <w:pPr>
        <w:spacing w:line="276" w:lineRule="auto"/>
        <w:jc w:val="both"/>
        <w:rPr>
          <w:color w:val="auto"/>
        </w:rPr>
      </w:pPr>
      <w:r w:rsidRPr="005522C0">
        <w:rPr>
          <w:color w:val="auto"/>
        </w:rPr>
        <w:t xml:space="preserve">Ad oggi la platea vaccinabile con la terza dose non è ancora stata aggiornata negli </w:t>
      </w:r>
      <w:hyperlink r:id="rId11" w:history="1">
        <w:r w:rsidRPr="007F139F">
          <w:rPr>
            <w:rStyle w:val="Collegamentoipertestuale"/>
          </w:rPr>
          <w:t>Open Data sui vaccini anti-COVID-19</w:t>
        </w:r>
      </w:hyperlink>
      <w:r w:rsidRPr="005522C0">
        <w:rPr>
          <w:color w:val="auto"/>
        </w:rPr>
        <w:t xml:space="preserve"> rispetto all’</w:t>
      </w:r>
      <w:r w:rsidR="00B03E87">
        <w:rPr>
          <w:color w:val="auto"/>
        </w:rPr>
        <w:t xml:space="preserve">ultima </w:t>
      </w:r>
      <w:r w:rsidRPr="005522C0">
        <w:rPr>
          <w:color w:val="auto"/>
        </w:rPr>
        <w:t>estensione</w:t>
      </w:r>
      <w:r w:rsidR="00D42875">
        <w:rPr>
          <w:color w:val="auto"/>
        </w:rPr>
        <w:t>,</w:t>
      </w:r>
      <w:r w:rsidRPr="005522C0">
        <w:rPr>
          <w:color w:val="auto"/>
        </w:rPr>
        <w:t xml:space="preserve"> restando dunque ferma a quota 7,6 milioni di persone secondo le categorie previste dalla precedente circolare ministeriale</w:t>
      </w:r>
      <w:r w:rsidRPr="007F139F">
        <w:rPr>
          <w:color w:val="auto"/>
        </w:rPr>
        <w:t>. Al 12 ottobre 2021 sono state somministrate 389.764 dosi con un tasso di copertura del 5,1%, e notevoli differenze regionali: dal 18,3% del Molise allo 0% della Valle D’Aosta</w:t>
      </w:r>
      <w:r w:rsidRPr="005522C0">
        <w:rPr>
          <w:color w:val="auto"/>
        </w:rPr>
        <w:t xml:space="preserve"> (</w:t>
      </w:r>
      <w:r w:rsidRPr="005522C0">
        <w:rPr>
          <w:color w:val="auto"/>
          <w:highlight w:val="yellow"/>
        </w:rPr>
        <w:t>figura</w:t>
      </w:r>
      <w:r>
        <w:rPr>
          <w:color w:val="auto"/>
          <w:highlight w:val="yellow"/>
        </w:rPr>
        <w:t xml:space="preserve"> 15</w:t>
      </w:r>
      <w:r w:rsidRPr="005522C0">
        <w:rPr>
          <w:color w:val="auto"/>
        </w:rPr>
        <w:t>).</w:t>
      </w:r>
    </w:p>
    <w:p w:rsidR="00E2010C" w:rsidRDefault="00E2010C" w:rsidP="00E2010C">
      <w:pPr>
        <w:spacing w:line="276" w:lineRule="auto"/>
        <w:jc w:val="both"/>
      </w:pPr>
      <w:bookmarkStart w:id="1" w:name="_Hlk84934176"/>
      <w:r w:rsidRPr="000760E9">
        <w:rPr>
          <w:b/>
        </w:rPr>
        <w:t>G</w:t>
      </w:r>
      <w:r>
        <w:rPr>
          <w:b/>
        </w:rPr>
        <w:t xml:space="preserve">reen </w:t>
      </w:r>
      <w:r w:rsidR="00D42875">
        <w:rPr>
          <w:b/>
        </w:rPr>
        <w:t>pass</w:t>
      </w:r>
      <w:r w:rsidRPr="000760E9">
        <w:rPr>
          <w:b/>
        </w:rPr>
        <w:t>.</w:t>
      </w:r>
      <w:r w:rsidRPr="000760E9">
        <w:t xml:space="preserve"> </w:t>
      </w:r>
      <w:r w:rsidRPr="007F139F">
        <w:t>Con la progressiva estensione del green pass il numero dei tamponi antigenici rapidi è aumentato del 57,7%</w:t>
      </w:r>
      <w:r w:rsidR="00D42875">
        <w:t xml:space="preserve"> in</w:t>
      </w:r>
      <w:r w:rsidR="00101803">
        <w:t xml:space="preserve"> </w:t>
      </w:r>
      <w:r w:rsidR="00FE61B8">
        <w:t>un mese</w:t>
      </w:r>
      <w:r w:rsidRPr="007F139F">
        <w:t>: la media mobile a 7 giorni è passata da 113 mila del 6 agosto a 178 mila il 7 settembre per poi stabilizzarsi tra 175mila e 185mila, documentando indirettamente l’esistenza di una fascia di popolazione non intenzionata a vaccinarsi. Viceversa</w:t>
      </w:r>
      <w:r>
        <w:t>, la media mobile a 7 giorni dei nuovi vaccinati, dai quasi 172 mila del 12 agosto è progressivamente calata fino a quota 54</w:t>
      </w:r>
      <w:r w:rsidR="001022BC">
        <w:t xml:space="preserve"> </w:t>
      </w:r>
      <w:r>
        <w:t xml:space="preserve">mila il 10 ottobre. </w:t>
      </w:r>
      <w:r w:rsidRPr="00C77080">
        <w:t xml:space="preserve">«La “spinta gentile” del green pass – commenta Cartabellotta – ha dunque avuto un’efficacia modesta </w:t>
      </w:r>
      <w:r w:rsidR="00566BD9">
        <w:t>nel</w:t>
      </w:r>
      <w:r w:rsidR="00566BD9" w:rsidRPr="00C77080">
        <w:t xml:space="preserve"> </w:t>
      </w:r>
      <w:r w:rsidRPr="00C77080">
        <w:t xml:space="preserve">contrastare l’esitazione vaccinale. </w:t>
      </w:r>
      <w:r w:rsidR="005F2C47">
        <w:t>C</w:t>
      </w:r>
      <w:r w:rsidRPr="00C77080">
        <w:t>onsiderato che la certificazione verde viene rilasciat</w:t>
      </w:r>
      <w:r w:rsidR="00F00978">
        <w:t xml:space="preserve">a a 15 giorni dalla prima dose e vista </w:t>
      </w:r>
      <w:r w:rsidR="005F2C47" w:rsidRPr="00C77080">
        <w:t>l’imminente decorrenza dell’obbligo di green pass per i lavoratori</w:t>
      </w:r>
      <w:r w:rsidR="00F00978">
        <w:t xml:space="preserve">, </w:t>
      </w:r>
      <w:r w:rsidR="00F00978" w:rsidRPr="00C77080">
        <w:t>già da fine</w:t>
      </w:r>
      <w:r w:rsidR="00F00978">
        <w:t xml:space="preserve"> settembre doveva essere visibile </w:t>
      </w:r>
      <w:r w:rsidR="005B1AF1">
        <w:t xml:space="preserve">una netta </w:t>
      </w:r>
      <w:r w:rsidR="005F2C47">
        <w:t xml:space="preserve">risalita </w:t>
      </w:r>
      <w:r w:rsidRPr="00C77080">
        <w:t>dei nuovi vaccinati</w:t>
      </w:r>
      <w:r w:rsidR="005B1AF1">
        <w:t>, ma così non è stato</w:t>
      </w:r>
      <w:r w:rsidRPr="002E0E26">
        <w:t>»</w:t>
      </w:r>
      <w:r>
        <w:t>.</w:t>
      </w:r>
    </w:p>
    <w:p w:rsidR="00E2010C" w:rsidRDefault="00E2010C" w:rsidP="00E2010C">
      <w:pPr>
        <w:spacing w:line="276" w:lineRule="auto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47EEAEE2" wp14:editId="2AB7DC7C">
            <wp:extent cx="5760000" cy="3545233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45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10C" w:rsidRDefault="00E2010C" w:rsidP="00E2010C">
      <w:pPr>
        <w:spacing w:line="276" w:lineRule="auto"/>
        <w:jc w:val="both"/>
        <w:rPr>
          <w:rFonts w:cs="Calibri"/>
        </w:rPr>
      </w:pPr>
      <w:r w:rsidRPr="002E0E26">
        <w:t>«</w:t>
      </w:r>
      <w:r>
        <w:t xml:space="preserve">In assenza di dati ufficiali </w:t>
      </w:r>
      <w:r w:rsidR="0098299E" w:rsidRPr="002E0E26">
        <w:t xml:space="preserve">– </w:t>
      </w:r>
      <w:r w:rsidR="0098299E">
        <w:t xml:space="preserve">spiega il Presidente </w:t>
      </w:r>
      <w:r w:rsidR="0098299E" w:rsidRPr="002E0E26">
        <w:t>–</w:t>
      </w:r>
      <w:r w:rsidR="00101803">
        <w:t xml:space="preserve"> </w:t>
      </w:r>
      <w:r>
        <w:t>è possibile effettuare solo stime indirette</w:t>
      </w:r>
      <w:r w:rsidR="0098299E">
        <w:t xml:space="preserve"> del </w:t>
      </w:r>
      <w:r w:rsidR="0098299E">
        <w:rPr>
          <w:rFonts w:cs="Calibri"/>
        </w:rPr>
        <w:t>numero di lavoratori non ancora vaccinati,</w:t>
      </w:r>
      <w:r w:rsidR="0098299E">
        <w:t xml:space="preserve"> </w:t>
      </w:r>
      <w:r>
        <w:t xml:space="preserve">utilizzando differenti fonti di dati e accettando i limiti che possono influenzare </w:t>
      </w:r>
      <w:r w:rsidR="00566BD9">
        <w:t>le stime stesse</w:t>
      </w:r>
      <w:r w:rsidRPr="002E0E26">
        <w:t>»</w:t>
      </w:r>
      <w:r>
        <w:t xml:space="preserve">. </w:t>
      </w:r>
      <w:r w:rsidRPr="00E640D2">
        <w:rPr>
          <w:rFonts w:cs="Calibri"/>
        </w:rPr>
        <w:t>Secondo</w:t>
      </w:r>
      <w:r w:rsidR="007F139F">
        <w:rPr>
          <w:rFonts w:cs="Calibri"/>
        </w:rPr>
        <w:t xml:space="preserve"> gli </w:t>
      </w:r>
      <w:hyperlink r:id="rId13" w:history="1">
        <w:r w:rsidR="007F139F" w:rsidRPr="007F139F">
          <w:rPr>
            <w:rStyle w:val="Collegamentoipertestuale"/>
          </w:rPr>
          <w:t>Open Data sui vaccini anti-COVID-19</w:t>
        </w:r>
      </w:hyperlink>
      <w:r w:rsidR="007F139F">
        <w:rPr>
          <w:color w:val="auto"/>
        </w:rPr>
        <w:t>,</w:t>
      </w:r>
      <w:r w:rsidRPr="00E640D2">
        <w:rPr>
          <w:rFonts w:cs="Calibri"/>
        </w:rPr>
        <w:t xml:space="preserve"> 8,</w:t>
      </w:r>
      <w:r w:rsidR="00FB396D">
        <w:rPr>
          <w:rFonts w:cs="Calibri"/>
        </w:rPr>
        <w:t>1</w:t>
      </w:r>
      <w:r w:rsidRPr="00E640D2">
        <w:rPr>
          <w:rFonts w:cs="Calibri"/>
        </w:rPr>
        <w:t xml:space="preserve"> milioni </w:t>
      </w:r>
      <w:r>
        <w:rPr>
          <w:rFonts w:cs="Calibri"/>
        </w:rPr>
        <w:t xml:space="preserve">di </w:t>
      </w:r>
      <w:r w:rsidRPr="00E640D2">
        <w:rPr>
          <w:rFonts w:cs="Calibri"/>
        </w:rPr>
        <w:t xml:space="preserve">over 12 non hanno ricevuto nemmeno una dose di vaccino. </w:t>
      </w:r>
      <w:r w:rsidRPr="00FB396D">
        <w:rPr>
          <w:rFonts w:cs="Calibri"/>
          <w:color w:val="auto"/>
        </w:rPr>
        <w:t xml:space="preserve">Di questi, </w:t>
      </w:r>
      <w:r w:rsidR="00EF64BE">
        <w:rPr>
          <w:rFonts w:cs="Calibri"/>
          <w:color w:val="auto"/>
        </w:rPr>
        <w:t xml:space="preserve">poco più di </w:t>
      </w:r>
      <w:r w:rsidR="002F60B6">
        <w:rPr>
          <w:rFonts w:cs="Calibri"/>
          <w:color w:val="auto"/>
        </w:rPr>
        <w:t>6</w:t>
      </w:r>
      <w:r w:rsidR="00EF64BE">
        <w:rPr>
          <w:rFonts w:cs="Calibri"/>
          <w:color w:val="auto"/>
        </w:rPr>
        <w:t xml:space="preserve"> </w:t>
      </w:r>
      <w:r w:rsidR="002F60B6">
        <w:rPr>
          <w:rFonts w:cs="Calibri"/>
          <w:color w:val="auto"/>
        </w:rPr>
        <w:t>milioni</w:t>
      </w:r>
      <w:r w:rsidRPr="00FB396D">
        <w:rPr>
          <w:rFonts w:cs="Calibri"/>
          <w:color w:val="auto"/>
        </w:rPr>
        <w:t xml:space="preserve"> sono persone in età lavorativa: </w:t>
      </w:r>
      <w:r w:rsidR="00FB396D" w:rsidRPr="00FB396D">
        <w:rPr>
          <w:rFonts w:cs="Calibri"/>
          <w:color w:val="auto"/>
        </w:rPr>
        <w:t>863</w:t>
      </w:r>
      <w:r w:rsidR="00D04E11">
        <w:rPr>
          <w:rFonts w:cs="Calibri"/>
          <w:color w:val="auto"/>
        </w:rPr>
        <w:t xml:space="preserve"> mila</w:t>
      </w:r>
      <w:r w:rsidRPr="00FB396D">
        <w:rPr>
          <w:rFonts w:cs="Calibri"/>
          <w:color w:val="auto"/>
        </w:rPr>
        <w:t xml:space="preserve"> nella fascia d’età 20-29, </w:t>
      </w:r>
      <w:r w:rsidR="00FB396D" w:rsidRPr="00FB396D">
        <w:rPr>
          <w:rFonts w:cs="Calibri"/>
          <w:color w:val="auto"/>
        </w:rPr>
        <w:t>1</w:t>
      </w:r>
      <w:r w:rsidR="00D04E11">
        <w:rPr>
          <w:rFonts w:cs="Calibri"/>
          <w:color w:val="auto"/>
        </w:rPr>
        <w:t>,32 milioni</w:t>
      </w:r>
      <w:r w:rsidRPr="00FB396D">
        <w:rPr>
          <w:rFonts w:cs="Calibri"/>
          <w:color w:val="auto"/>
        </w:rPr>
        <w:t xml:space="preserve"> nella fascia 30-39, 1</w:t>
      </w:r>
      <w:r w:rsidR="00D04E11">
        <w:rPr>
          <w:rFonts w:cs="Calibri"/>
          <w:color w:val="auto"/>
        </w:rPr>
        <w:t>,</w:t>
      </w:r>
      <w:r w:rsidR="00FB396D" w:rsidRPr="00FB396D">
        <w:rPr>
          <w:rFonts w:cs="Calibri"/>
          <w:color w:val="auto"/>
        </w:rPr>
        <w:t>65</w:t>
      </w:r>
      <w:r w:rsidR="00D04E11">
        <w:rPr>
          <w:rFonts w:cs="Calibri"/>
          <w:color w:val="auto"/>
        </w:rPr>
        <w:t xml:space="preserve"> milioni</w:t>
      </w:r>
      <w:r w:rsidRPr="00FB396D">
        <w:rPr>
          <w:rFonts w:cs="Calibri"/>
          <w:color w:val="auto"/>
        </w:rPr>
        <w:t xml:space="preserve"> nella fascia 40-49, 1</w:t>
      </w:r>
      <w:r w:rsidR="00D04E11">
        <w:rPr>
          <w:rFonts w:cs="Calibri"/>
          <w:color w:val="auto"/>
        </w:rPr>
        <w:t>,39 milioni</w:t>
      </w:r>
      <w:r w:rsidRPr="00FB396D">
        <w:rPr>
          <w:rFonts w:cs="Calibri"/>
          <w:color w:val="auto"/>
        </w:rPr>
        <w:t xml:space="preserve"> nella fascia 50-5</w:t>
      </w:r>
      <w:r w:rsidR="00FB396D" w:rsidRPr="00FB396D">
        <w:rPr>
          <w:rFonts w:cs="Calibri"/>
          <w:color w:val="auto"/>
        </w:rPr>
        <w:t>9 e 821</w:t>
      </w:r>
      <w:r w:rsidR="00D04E11">
        <w:rPr>
          <w:rFonts w:cs="Calibri"/>
          <w:color w:val="auto"/>
        </w:rPr>
        <w:t xml:space="preserve"> mila</w:t>
      </w:r>
      <w:r w:rsidRPr="00FB396D">
        <w:rPr>
          <w:rFonts w:cs="Calibri"/>
          <w:color w:val="auto"/>
        </w:rPr>
        <w:t xml:space="preserve"> nella fascia 60-69. </w:t>
      </w:r>
    </w:p>
    <w:p w:rsidR="00E2010C" w:rsidRDefault="00E2010C" w:rsidP="00E2010C">
      <w:pPr>
        <w:spacing w:line="276" w:lineRule="auto"/>
        <w:jc w:val="center"/>
        <w:rPr>
          <w:rFonts w:cs="Calibri"/>
        </w:rPr>
      </w:pPr>
      <w:r>
        <w:rPr>
          <w:rFonts w:cs="Calibri"/>
          <w:noProof/>
          <w:color w:val="auto"/>
        </w:rPr>
        <w:drawing>
          <wp:inline distT="0" distB="0" distL="0" distR="0" wp14:anchorId="6A92465A" wp14:editId="08A1EB93">
            <wp:extent cx="5760000" cy="3765717"/>
            <wp:effectExtent l="0" t="0" r="0" b="635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65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10C" w:rsidRDefault="00E2010C" w:rsidP="00E2010C">
      <w:pPr>
        <w:spacing w:line="276" w:lineRule="auto"/>
        <w:jc w:val="both"/>
        <w:rPr>
          <w:rFonts w:cs="Calibri"/>
        </w:rPr>
      </w:pPr>
      <w:r>
        <w:rPr>
          <w:rFonts w:cs="Calibri"/>
        </w:rPr>
        <w:t xml:space="preserve">Considerato che secondo </w:t>
      </w:r>
      <w:r w:rsidRPr="00E640D2">
        <w:rPr>
          <w:rFonts w:cs="Calibri"/>
        </w:rPr>
        <w:t>i dati ISTAT relativi al 4° trimestre 2020 il tasso di occupazione</w:t>
      </w:r>
      <w:r w:rsidR="002F60B6">
        <w:rPr>
          <w:rFonts w:cs="Calibri"/>
        </w:rPr>
        <w:t xml:space="preserve"> in Italia</w:t>
      </w:r>
      <w:r w:rsidRPr="00E640D2">
        <w:rPr>
          <w:rFonts w:cs="Calibri"/>
        </w:rPr>
        <w:t xml:space="preserve"> nella fascia 20-64 anni è del 62,9%</w:t>
      </w:r>
      <w:r>
        <w:rPr>
          <w:rFonts w:cs="Calibri"/>
        </w:rPr>
        <w:t xml:space="preserve">, </w:t>
      </w:r>
      <w:r w:rsidR="00E41677">
        <w:rPr>
          <w:rFonts w:cs="Calibri"/>
        </w:rPr>
        <w:t xml:space="preserve">si </w:t>
      </w:r>
      <w:r>
        <w:rPr>
          <w:rFonts w:cs="Calibri"/>
        </w:rPr>
        <w:t>stima</w:t>
      </w:r>
      <w:r w:rsidR="00E41677">
        <w:rPr>
          <w:rFonts w:cs="Calibri"/>
        </w:rPr>
        <w:t>no</w:t>
      </w:r>
      <w:r>
        <w:rPr>
          <w:rFonts w:cs="Calibri"/>
        </w:rPr>
        <w:t xml:space="preserve"> c</w:t>
      </w:r>
      <w:r w:rsidR="00FB396D">
        <w:rPr>
          <w:rFonts w:cs="Calibri"/>
        </w:rPr>
        <w:t>irca 3,8</w:t>
      </w:r>
      <w:r>
        <w:rPr>
          <w:rFonts w:cs="Calibri"/>
        </w:rPr>
        <w:t xml:space="preserve"> milioni di </w:t>
      </w:r>
      <w:r w:rsidRPr="00E640D2">
        <w:rPr>
          <w:rFonts w:cs="Calibri"/>
        </w:rPr>
        <w:t>lavoratori non vaccinati</w:t>
      </w:r>
      <w:r w:rsidR="008A3887">
        <w:rPr>
          <w:rFonts w:cs="Calibri"/>
        </w:rPr>
        <w:t xml:space="preserve">, ma </w:t>
      </w:r>
      <w:r>
        <w:rPr>
          <w:rFonts w:cs="Calibri"/>
        </w:rPr>
        <w:t xml:space="preserve">la precisione </w:t>
      </w:r>
      <w:r w:rsidR="008A3887">
        <w:rPr>
          <w:rFonts w:cs="Calibri"/>
        </w:rPr>
        <w:t>di questa stima</w:t>
      </w:r>
      <w:r w:rsidR="00707895">
        <w:rPr>
          <w:rFonts w:cs="Calibri"/>
        </w:rPr>
        <w:t xml:space="preserve"> </w:t>
      </w:r>
      <w:r w:rsidR="00EF64BE">
        <w:rPr>
          <w:rFonts w:cs="Calibri"/>
        </w:rPr>
        <w:t>è influenzata da</w:t>
      </w:r>
      <w:r>
        <w:rPr>
          <w:rFonts w:cs="Calibri"/>
        </w:rPr>
        <w:t xml:space="preserve"> </w:t>
      </w:r>
      <w:r w:rsidR="00707895">
        <w:rPr>
          <w:rFonts w:cs="Calibri"/>
        </w:rPr>
        <w:t>diverse</w:t>
      </w:r>
      <w:r>
        <w:rPr>
          <w:rFonts w:cs="Calibri"/>
        </w:rPr>
        <w:t xml:space="preserve"> variabili: </w:t>
      </w:r>
      <w:r w:rsidR="00880B5D">
        <w:rPr>
          <w:rFonts w:cs="Calibri"/>
        </w:rPr>
        <w:t xml:space="preserve">lavoratori under 20 e over 64, </w:t>
      </w:r>
      <w:r>
        <w:rPr>
          <w:rFonts w:cs="Calibri"/>
        </w:rPr>
        <w:t xml:space="preserve">numero di occupati guariti negli ultimi 6 mesi, numero di lavoratori esentati per patologia, distribuzione non omogenea tra le differenti fasce di età sia del tasso di occupazione, sia del numero dei non vaccinati tra lavoratori e non lavoratori. </w:t>
      </w:r>
    </w:p>
    <w:p w:rsidR="00E2010C" w:rsidRDefault="00E2042C" w:rsidP="00E2010C">
      <w:pPr>
        <w:spacing w:line="276" w:lineRule="auto"/>
        <w:jc w:val="both"/>
        <w:rPr>
          <w:rFonts w:cs="Calibri"/>
        </w:rPr>
      </w:pPr>
      <w:r>
        <w:rPr>
          <w:rFonts w:cs="Calibri"/>
        </w:rPr>
        <w:t>Pertanto</w:t>
      </w:r>
      <w:r w:rsidR="00E2010C">
        <w:rPr>
          <w:rFonts w:cs="Calibri"/>
        </w:rPr>
        <w:t xml:space="preserve">, </w:t>
      </w:r>
      <w:r w:rsidR="00E2010C" w:rsidRPr="00CF450B">
        <w:rPr>
          <w:rFonts w:cs="Calibri"/>
        </w:rPr>
        <w:t xml:space="preserve">dal 15 ottobre </w:t>
      </w:r>
      <w:r w:rsidR="008D351A">
        <w:rPr>
          <w:rFonts w:cs="Calibri"/>
        </w:rPr>
        <w:t>il</w:t>
      </w:r>
      <w:r w:rsidR="00E2010C">
        <w:rPr>
          <w:rFonts w:cs="Calibri"/>
        </w:rPr>
        <w:t xml:space="preserve"> fabbisogno settimanale </w:t>
      </w:r>
      <w:r w:rsidR="00FD4218">
        <w:rPr>
          <w:rFonts w:cs="Calibri"/>
        </w:rPr>
        <w:t xml:space="preserve">stimato </w:t>
      </w:r>
      <w:r w:rsidR="00E2010C" w:rsidRPr="00CF450B">
        <w:rPr>
          <w:rFonts w:cs="Calibri"/>
        </w:rPr>
        <w:t>di tamponi antigenici rapidi</w:t>
      </w:r>
      <w:r w:rsidR="00E2010C">
        <w:rPr>
          <w:rFonts w:cs="Calibri"/>
        </w:rPr>
        <w:t xml:space="preserve"> </w:t>
      </w:r>
      <w:r w:rsidR="00FD4218">
        <w:rPr>
          <w:rFonts w:cs="Calibri"/>
        </w:rPr>
        <w:t xml:space="preserve">è </w:t>
      </w:r>
      <w:r w:rsidR="00E2010C">
        <w:rPr>
          <w:rFonts w:cs="Calibri"/>
        </w:rPr>
        <w:t xml:space="preserve">compreso tra </w:t>
      </w:r>
      <w:r w:rsidR="00FB396D">
        <w:rPr>
          <w:rFonts w:cs="Calibri"/>
        </w:rPr>
        <w:t>7,5 e 11,5</w:t>
      </w:r>
      <w:r w:rsidR="00E2010C" w:rsidRPr="00CF450B">
        <w:rPr>
          <w:rFonts w:cs="Calibri"/>
        </w:rPr>
        <w:t xml:space="preserve"> milioni</w:t>
      </w:r>
      <w:r w:rsidR="00E2010C">
        <w:rPr>
          <w:rFonts w:cs="Calibri"/>
        </w:rPr>
        <w:t xml:space="preserve">: </w:t>
      </w:r>
      <w:r w:rsidR="00FB396D">
        <w:rPr>
          <w:rFonts w:cs="Calibri"/>
        </w:rPr>
        <w:t>un numero molto lontano dai 1,2</w:t>
      </w:r>
      <w:r w:rsidR="00E2010C">
        <w:rPr>
          <w:rFonts w:cs="Calibri"/>
        </w:rPr>
        <w:t xml:space="preserve"> milioni effettuati nella settimana </w:t>
      </w:r>
      <w:r w:rsidR="00FB396D">
        <w:rPr>
          <w:rFonts w:cs="Calibri"/>
        </w:rPr>
        <w:t>6</w:t>
      </w:r>
      <w:r w:rsidR="00E2010C" w:rsidRPr="00357A24">
        <w:rPr>
          <w:rFonts w:cs="Calibri"/>
        </w:rPr>
        <w:t>-1</w:t>
      </w:r>
      <w:r w:rsidR="00FB396D">
        <w:rPr>
          <w:rFonts w:cs="Calibri"/>
        </w:rPr>
        <w:t>2</w:t>
      </w:r>
      <w:r w:rsidR="00E2010C">
        <w:rPr>
          <w:rFonts w:cs="Calibri"/>
        </w:rPr>
        <w:t xml:space="preserve"> ottobre. Secondo Federfarma, circa </w:t>
      </w:r>
      <w:r w:rsidR="007E0A27">
        <w:rPr>
          <w:rFonts w:cs="Calibri"/>
        </w:rPr>
        <w:t>due terzi</w:t>
      </w:r>
      <w:r w:rsidR="00E2010C">
        <w:rPr>
          <w:rFonts w:cs="Calibri"/>
        </w:rPr>
        <w:t xml:space="preserve"> </w:t>
      </w:r>
      <w:r w:rsidR="00707895">
        <w:rPr>
          <w:rFonts w:cs="Calibri"/>
        </w:rPr>
        <w:t xml:space="preserve">dei tamponi antigenici rapidi </w:t>
      </w:r>
      <w:r w:rsidR="00E2010C">
        <w:rPr>
          <w:rFonts w:cs="Calibri"/>
        </w:rPr>
        <w:t>vengono eseguiti nelle farmacie private, ma di queste meno della metà (8.331</w:t>
      </w:r>
      <w:r w:rsidR="00AA58B0">
        <w:rPr>
          <w:rFonts w:cs="Calibri"/>
        </w:rPr>
        <w:t xml:space="preserve"> su circa </w:t>
      </w:r>
      <w:r w:rsidR="00E2010C">
        <w:rPr>
          <w:rFonts w:cs="Calibri"/>
        </w:rPr>
        <w:t>19</w:t>
      </w:r>
      <w:r w:rsidR="00AA58B0">
        <w:rPr>
          <w:rFonts w:cs="Calibri"/>
        </w:rPr>
        <w:t xml:space="preserve"> mila</w:t>
      </w:r>
      <w:r w:rsidR="00E2010C">
        <w:rPr>
          <w:rFonts w:cs="Calibri"/>
        </w:rPr>
        <w:t xml:space="preserve">), oltre a 327 </w:t>
      </w:r>
      <w:r w:rsidR="00FB396D">
        <w:rPr>
          <w:rFonts w:cs="Calibri"/>
        </w:rPr>
        <w:t>centri</w:t>
      </w:r>
      <w:r w:rsidR="00E2010C">
        <w:rPr>
          <w:rFonts w:cs="Calibri"/>
        </w:rPr>
        <w:t xml:space="preserve"> privati, hanno aderito al</w:t>
      </w:r>
      <w:r w:rsidR="00E2010C" w:rsidRPr="00A26878">
        <w:rPr>
          <w:rFonts w:cs="Calibri"/>
        </w:rPr>
        <w:t xml:space="preserve">l’accordo che garantisce i </w:t>
      </w:r>
      <w:r w:rsidR="00E2010C">
        <w:rPr>
          <w:rFonts w:cs="Calibri"/>
        </w:rPr>
        <w:t>test</w:t>
      </w:r>
      <w:r w:rsidR="00E2010C" w:rsidRPr="00A26878">
        <w:rPr>
          <w:rFonts w:cs="Calibri"/>
        </w:rPr>
        <w:t xml:space="preserve"> a prezzo calmierato</w:t>
      </w:r>
      <w:r w:rsidR="00E2010C">
        <w:rPr>
          <w:rFonts w:cs="Calibri"/>
        </w:rPr>
        <w:t xml:space="preserve">. </w:t>
      </w:r>
      <w:r w:rsidR="00E2010C" w:rsidRPr="002E0E26">
        <w:t>«</w:t>
      </w:r>
      <w:r w:rsidR="00E2010C">
        <w:t xml:space="preserve">Per </w:t>
      </w:r>
      <w:r w:rsidR="00FD4218">
        <w:t>far fronte all</w:t>
      </w:r>
      <w:r w:rsidR="00E2010C">
        <w:t xml:space="preserve">’aumento </w:t>
      </w:r>
      <w:r w:rsidR="002F60B6">
        <w:t xml:space="preserve">del </w:t>
      </w:r>
      <w:r w:rsidR="00E2010C">
        <w:t>fabbisogno di test</w:t>
      </w:r>
      <w:r>
        <w:t xml:space="preserve"> </w:t>
      </w:r>
      <w:r w:rsidR="00E2010C" w:rsidRPr="002E0E26">
        <w:t xml:space="preserve">– </w:t>
      </w:r>
      <w:r w:rsidR="00E2010C">
        <w:t xml:space="preserve">spiega il Presidente </w:t>
      </w:r>
      <w:r w:rsidR="00E2010C" w:rsidRPr="002E0E26">
        <w:t>–</w:t>
      </w:r>
      <w:r w:rsidR="00E2010C">
        <w:t xml:space="preserve"> è </w:t>
      </w:r>
      <w:r w:rsidR="00FD4218">
        <w:t xml:space="preserve">urgente </w:t>
      </w:r>
      <w:r w:rsidR="00E2010C">
        <w:t xml:space="preserve">sia </w:t>
      </w:r>
      <w:r w:rsidR="007E0A27">
        <w:t xml:space="preserve">ampliare </w:t>
      </w:r>
      <w:r w:rsidR="00FD4218">
        <w:t>il</w:t>
      </w:r>
      <w:r w:rsidR="00FD4218">
        <w:rPr>
          <w:rFonts w:cs="Calibri"/>
        </w:rPr>
        <w:t xml:space="preserve"> </w:t>
      </w:r>
      <w:r w:rsidR="00E2010C">
        <w:rPr>
          <w:rFonts w:cs="Calibri"/>
        </w:rPr>
        <w:t>numero di farmacie</w:t>
      </w:r>
      <w:r w:rsidR="00FD4218">
        <w:rPr>
          <w:rFonts w:cs="Calibri"/>
        </w:rPr>
        <w:t xml:space="preserve"> e </w:t>
      </w:r>
      <w:r w:rsidR="006A03AB">
        <w:rPr>
          <w:rFonts w:cs="Calibri"/>
        </w:rPr>
        <w:t>altre strutture</w:t>
      </w:r>
      <w:r w:rsidR="007E0A27">
        <w:rPr>
          <w:rFonts w:cs="Calibri"/>
        </w:rPr>
        <w:t xml:space="preserve"> </w:t>
      </w:r>
      <w:r w:rsidR="00636D6F">
        <w:rPr>
          <w:rFonts w:cs="Calibri"/>
        </w:rPr>
        <w:t xml:space="preserve">autorizzate </w:t>
      </w:r>
      <w:r w:rsidR="00C95BFF">
        <w:rPr>
          <w:rFonts w:cs="Calibri"/>
        </w:rPr>
        <w:t>che aderiscono all’accordo</w:t>
      </w:r>
      <w:r w:rsidR="00E2010C" w:rsidRPr="002F60B6">
        <w:rPr>
          <w:rFonts w:cs="Calibri"/>
        </w:rPr>
        <w:t>,</w:t>
      </w:r>
      <w:r w:rsidR="00E2010C" w:rsidRPr="00636D6F">
        <w:rPr>
          <w:rFonts w:cs="Calibri"/>
        </w:rPr>
        <w:t xml:space="preserve"> </w:t>
      </w:r>
      <w:r w:rsidR="005B1AF1">
        <w:rPr>
          <w:rFonts w:cs="Calibri"/>
        </w:rPr>
        <w:t>sia potenziare l’attività</w:t>
      </w:r>
      <w:r w:rsidR="00AA58B0">
        <w:rPr>
          <w:rFonts w:cs="Calibri"/>
        </w:rPr>
        <w:t xml:space="preserve"> per aumentare il numero di tamponi</w:t>
      </w:r>
      <w:r w:rsidR="00E2010C" w:rsidRPr="002E0E26">
        <w:t>»</w:t>
      </w:r>
      <w:r w:rsidR="00E2010C">
        <w:t>.</w:t>
      </w:r>
    </w:p>
    <w:p w:rsidR="001C3E66" w:rsidRPr="003B19AE" w:rsidRDefault="00E2010C" w:rsidP="00C95BFF">
      <w:pPr>
        <w:spacing w:line="276" w:lineRule="auto"/>
        <w:jc w:val="both"/>
        <w:rPr>
          <w:rFonts w:cs="Calibri"/>
          <w:highlight w:val="yellow"/>
        </w:rPr>
      </w:pPr>
      <w:r w:rsidRPr="00C77080">
        <w:t>«</w:t>
      </w:r>
      <w:r>
        <w:t xml:space="preserve">Alla vigilia del 15 ottobre </w:t>
      </w:r>
      <w:r w:rsidRPr="00C77080">
        <w:t>– conclude Cartabellotta –</w:t>
      </w:r>
      <w:r>
        <w:t xml:space="preserve"> </w:t>
      </w:r>
      <w:r w:rsidR="00AA58B0">
        <w:t xml:space="preserve">la politica e </w:t>
      </w:r>
      <w:r w:rsidR="00C95BFF">
        <w:t xml:space="preserve">il mondo del lavoro devono fare i conti con </w:t>
      </w:r>
      <w:r w:rsidR="00FD4218">
        <w:t xml:space="preserve">alcune </w:t>
      </w:r>
      <w:r>
        <w:t xml:space="preserve">ragionevoli certezze. Innanzitutto </w:t>
      </w:r>
      <w:r>
        <w:rPr>
          <w:rFonts w:cs="Calibri"/>
        </w:rPr>
        <w:t xml:space="preserve">l’attuale sistema che </w:t>
      </w:r>
      <w:r w:rsidR="001C3E66">
        <w:rPr>
          <w:rFonts w:cs="Calibri"/>
        </w:rPr>
        <w:t xml:space="preserve">punta </w:t>
      </w:r>
      <w:r>
        <w:rPr>
          <w:rFonts w:cs="Calibri"/>
        </w:rPr>
        <w:t xml:space="preserve">su farmacie e centri </w:t>
      </w:r>
      <w:r w:rsidR="002C7BFD">
        <w:rPr>
          <w:rFonts w:cs="Calibri"/>
        </w:rPr>
        <w:t xml:space="preserve">autorizzati </w:t>
      </w:r>
      <w:r w:rsidR="00D50EF0">
        <w:rPr>
          <w:rFonts w:cs="Calibri"/>
        </w:rPr>
        <w:t>non</w:t>
      </w:r>
      <w:r w:rsidR="00AA58B0">
        <w:rPr>
          <w:rFonts w:cs="Calibri"/>
        </w:rPr>
        <w:t xml:space="preserve"> potrà </w:t>
      </w:r>
      <w:r w:rsidRPr="00C77080">
        <w:rPr>
          <w:rFonts w:cs="Calibri"/>
        </w:rPr>
        <w:t>garantire, almeno nel breve termine, un’a</w:t>
      </w:r>
      <w:r>
        <w:rPr>
          <w:rFonts w:cs="Calibri"/>
        </w:rPr>
        <w:t>deguata offerta di tamponi</w:t>
      </w:r>
      <w:r w:rsidR="00C95BFF">
        <w:rPr>
          <w:rFonts w:cs="Calibri"/>
        </w:rPr>
        <w:t xml:space="preserve"> antigenici rapidi a prezzo calmierato</w:t>
      </w:r>
      <w:r>
        <w:rPr>
          <w:rFonts w:cs="Calibri"/>
        </w:rPr>
        <w:t xml:space="preserve">; </w:t>
      </w:r>
      <w:r w:rsidR="00FD4218">
        <w:rPr>
          <w:rFonts w:cs="Calibri"/>
        </w:rPr>
        <w:t>in secondo luogo</w:t>
      </w:r>
      <w:r>
        <w:rPr>
          <w:rFonts w:cs="Calibri"/>
        </w:rPr>
        <w:t xml:space="preserve"> </w:t>
      </w:r>
      <w:r w:rsidRPr="00C77080">
        <w:rPr>
          <w:rFonts w:cs="Calibri"/>
        </w:rPr>
        <w:t xml:space="preserve">le </w:t>
      </w:r>
      <w:r w:rsidR="00E13512">
        <w:rPr>
          <w:rFonts w:cs="Calibri"/>
        </w:rPr>
        <w:t>proposte</w:t>
      </w:r>
      <w:r w:rsidR="00E13512" w:rsidRPr="00C77080">
        <w:rPr>
          <w:rFonts w:cs="Calibri"/>
        </w:rPr>
        <w:t xml:space="preserve"> </w:t>
      </w:r>
      <w:r w:rsidR="00D50EF0">
        <w:rPr>
          <w:rFonts w:cs="Calibri"/>
        </w:rPr>
        <w:t xml:space="preserve">avanzate </w:t>
      </w:r>
      <w:r w:rsidR="00E13512">
        <w:rPr>
          <w:rFonts w:cs="Calibri"/>
        </w:rPr>
        <w:t>negli ultimi giorni</w:t>
      </w:r>
      <w:r w:rsidR="00E13512" w:rsidRPr="00C77080">
        <w:rPr>
          <w:rFonts w:cs="Calibri"/>
        </w:rPr>
        <w:t xml:space="preserve"> </w:t>
      </w:r>
      <w:r w:rsidRPr="00C77080">
        <w:rPr>
          <w:rFonts w:cs="Calibri"/>
        </w:rPr>
        <w:t>(esten</w:t>
      </w:r>
      <w:r w:rsidR="00D50EF0">
        <w:rPr>
          <w:rFonts w:cs="Calibri"/>
        </w:rPr>
        <w:t xml:space="preserve">dere </w:t>
      </w:r>
      <w:r w:rsidRPr="00C77080">
        <w:rPr>
          <w:rFonts w:cs="Calibri"/>
        </w:rPr>
        <w:t>valid</w:t>
      </w:r>
      <w:r>
        <w:rPr>
          <w:rFonts w:cs="Calibri"/>
        </w:rPr>
        <w:t>ità dei tamponi a 72 ore</w:t>
      </w:r>
      <w:r w:rsidR="001C3E66">
        <w:rPr>
          <w:rFonts w:cs="Calibri"/>
        </w:rPr>
        <w:t xml:space="preserve">, </w:t>
      </w:r>
      <w:r>
        <w:rPr>
          <w:rFonts w:cs="Calibri"/>
        </w:rPr>
        <w:t>tamponi “fai da te”)</w:t>
      </w:r>
      <w:r w:rsidR="00FD4218">
        <w:rPr>
          <w:rFonts w:cs="Calibri"/>
        </w:rPr>
        <w:t xml:space="preserve">, </w:t>
      </w:r>
      <w:r w:rsidRPr="00C77080">
        <w:rPr>
          <w:rFonts w:cs="Calibri"/>
        </w:rPr>
        <w:t xml:space="preserve">oltre a non avere basi scientifiche presentano rischi </w:t>
      </w:r>
      <w:r>
        <w:rPr>
          <w:rFonts w:cs="Calibri"/>
        </w:rPr>
        <w:t xml:space="preserve">di tipo </w:t>
      </w:r>
      <w:r w:rsidR="00A16EF0">
        <w:rPr>
          <w:rFonts w:cs="Calibri"/>
        </w:rPr>
        <w:t xml:space="preserve">sia </w:t>
      </w:r>
      <w:r w:rsidR="00C95BFF">
        <w:rPr>
          <w:rFonts w:cs="Calibri"/>
        </w:rPr>
        <w:t>sanitario</w:t>
      </w:r>
      <w:r w:rsidRPr="004410BB">
        <w:rPr>
          <w:rFonts w:cs="Calibri"/>
          <w:color w:val="auto"/>
        </w:rPr>
        <w:t>, sia medico-legale e assicurativo</w:t>
      </w:r>
      <w:r w:rsidR="00C95BFF" w:rsidRPr="004410BB">
        <w:rPr>
          <w:rFonts w:cs="Calibri"/>
          <w:color w:val="auto"/>
        </w:rPr>
        <w:t>; infine</w:t>
      </w:r>
      <w:r w:rsidR="00C95BFF">
        <w:rPr>
          <w:rFonts w:cs="Calibri"/>
        </w:rPr>
        <w:t xml:space="preserve">, </w:t>
      </w:r>
      <w:r w:rsidR="002F60B6">
        <w:rPr>
          <w:rFonts w:cs="Calibri"/>
        </w:rPr>
        <w:t>il numero dei nuovi vaccinati già da alcune settimane</w:t>
      </w:r>
      <w:r w:rsidR="00E13512">
        <w:rPr>
          <w:rFonts w:cs="Calibri"/>
        </w:rPr>
        <w:t xml:space="preserve"> </w:t>
      </w:r>
      <w:r w:rsidR="00FD4218">
        <w:rPr>
          <w:rFonts w:cs="Calibri"/>
        </w:rPr>
        <w:t xml:space="preserve">lasciava presagire </w:t>
      </w:r>
      <w:r w:rsidR="00FD4218">
        <w:t>un consistente</w:t>
      </w:r>
      <w:r w:rsidR="00FD4218" w:rsidRPr="00C77080">
        <w:rPr>
          <w:rFonts w:cs="Calibri"/>
        </w:rPr>
        <w:t xml:space="preserve"> “zoccolo duro” di lavoratori </w:t>
      </w:r>
      <w:r w:rsidR="00FD4218">
        <w:rPr>
          <w:rFonts w:cs="Calibri"/>
        </w:rPr>
        <w:t xml:space="preserve">che, nonostante </w:t>
      </w:r>
      <w:r w:rsidR="00A16EF0">
        <w:rPr>
          <w:rFonts w:cs="Calibri"/>
        </w:rPr>
        <w:t xml:space="preserve">l’approssimarsi </w:t>
      </w:r>
      <w:r w:rsidR="00C95BFF">
        <w:rPr>
          <w:rFonts w:cs="Calibri"/>
        </w:rPr>
        <w:t xml:space="preserve">del 15 ottobre, </w:t>
      </w:r>
      <w:r w:rsidR="00FD4218">
        <w:rPr>
          <w:rFonts w:cs="Calibri"/>
        </w:rPr>
        <w:t xml:space="preserve">non </w:t>
      </w:r>
      <w:r w:rsidR="00A16EF0">
        <w:rPr>
          <w:rFonts w:cs="Calibri"/>
        </w:rPr>
        <w:t>intende vaccinarsi volontariamente</w:t>
      </w:r>
      <w:r w:rsidR="00434350">
        <w:rPr>
          <w:rFonts w:cs="Calibri"/>
        </w:rPr>
        <w:t>.</w:t>
      </w:r>
      <w:r w:rsidR="00C95BFF">
        <w:rPr>
          <w:rFonts w:cs="Calibri"/>
        </w:rPr>
        <w:t xml:space="preserve"> </w:t>
      </w:r>
      <w:r w:rsidR="00A16EF0" w:rsidRPr="00E412E8">
        <w:rPr>
          <w:rFonts w:cs="Calibri"/>
        </w:rPr>
        <w:t xml:space="preserve">Considerato che la </w:t>
      </w:r>
      <w:r w:rsidR="00AA58B0" w:rsidRPr="00E412E8">
        <w:rPr>
          <w:rFonts w:cs="Calibri"/>
        </w:rPr>
        <w:t xml:space="preserve">“spinta gentile” del green pass non </w:t>
      </w:r>
      <w:r w:rsidR="00A16EF0" w:rsidRPr="00E412E8">
        <w:rPr>
          <w:rFonts w:cs="Calibri"/>
        </w:rPr>
        <w:t xml:space="preserve">ha prodotto i risultati auspicati e che </w:t>
      </w:r>
      <w:r w:rsidR="00E13512" w:rsidRPr="00E412E8">
        <w:rPr>
          <w:rFonts w:cs="Calibri"/>
        </w:rPr>
        <w:t xml:space="preserve">da domani si </w:t>
      </w:r>
      <w:r w:rsidR="00FD4218" w:rsidRPr="00E412E8">
        <w:rPr>
          <w:rFonts w:cs="Calibri"/>
        </w:rPr>
        <w:t xml:space="preserve">rischia </w:t>
      </w:r>
      <w:r w:rsidR="00880B5D" w:rsidRPr="00E412E8">
        <w:rPr>
          <w:rFonts w:cs="Calibri"/>
        </w:rPr>
        <w:t xml:space="preserve">il </w:t>
      </w:r>
      <w:r w:rsidR="00FD4218" w:rsidRPr="00E412E8">
        <w:rPr>
          <w:rFonts w:cs="Calibri"/>
        </w:rPr>
        <w:t xml:space="preserve">caos, </w:t>
      </w:r>
      <w:r w:rsidR="00A16EF0" w:rsidRPr="00E412E8">
        <w:rPr>
          <w:rFonts w:cs="Calibri"/>
        </w:rPr>
        <w:t>con</w:t>
      </w:r>
      <w:r w:rsidR="00505750" w:rsidRPr="00E412E8">
        <w:rPr>
          <w:rFonts w:cs="Calibri"/>
        </w:rPr>
        <w:t xml:space="preserve"> </w:t>
      </w:r>
      <w:r w:rsidR="00FD4218" w:rsidRPr="00E412E8">
        <w:rPr>
          <w:rFonts w:cs="Calibri"/>
        </w:rPr>
        <w:t>centinaia di migliaia di lavoratori sprovvisti della certificazione verde</w:t>
      </w:r>
      <w:r w:rsidR="00695005" w:rsidRPr="00E412E8">
        <w:rPr>
          <w:rFonts w:cs="Calibri"/>
        </w:rPr>
        <w:t xml:space="preserve"> </w:t>
      </w:r>
      <w:r w:rsidR="00434350" w:rsidRPr="00E412E8">
        <w:rPr>
          <w:rFonts w:cs="Calibri"/>
        </w:rPr>
        <w:t xml:space="preserve">di fatto </w:t>
      </w:r>
      <w:r w:rsidR="00FD4218" w:rsidRPr="00E412E8">
        <w:rPr>
          <w:rFonts w:cs="Calibri"/>
        </w:rPr>
        <w:t xml:space="preserve">impossibilitati </w:t>
      </w:r>
      <w:r w:rsidR="0049544D" w:rsidRPr="00E412E8">
        <w:rPr>
          <w:rFonts w:cs="Calibri"/>
        </w:rPr>
        <w:t>ad effettuare un tampone</w:t>
      </w:r>
      <w:r w:rsidR="00A16EF0" w:rsidRPr="00E412E8">
        <w:rPr>
          <w:rFonts w:cs="Calibri"/>
        </w:rPr>
        <w:t xml:space="preserve">, </w:t>
      </w:r>
      <w:r w:rsidR="000421A9" w:rsidRPr="00E412E8">
        <w:rPr>
          <w:rFonts w:cs="Calibri"/>
        </w:rPr>
        <w:t xml:space="preserve">il Governo </w:t>
      </w:r>
      <w:r w:rsidR="003B19AE" w:rsidRPr="00E412E8">
        <w:rPr>
          <w:rFonts w:cs="Calibri"/>
        </w:rPr>
        <w:t xml:space="preserve">deve </w:t>
      </w:r>
      <w:r w:rsidR="000421A9" w:rsidRPr="00E412E8">
        <w:rPr>
          <w:rFonts w:cs="Calibri"/>
        </w:rPr>
        <w:t xml:space="preserve">prendere in considerazione </w:t>
      </w:r>
      <w:r w:rsidR="0037430E" w:rsidRPr="00E412E8">
        <w:rPr>
          <w:rFonts w:cs="Calibri"/>
        </w:rPr>
        <w:t>l’</w:t>
      </w:r>
      <w:r w:rsidR="00A16EF0" w:rsidRPr="00E412E8">
        <w:rPr>
          <w:rFonts w:cs="Calibri"/>
        </w:rPr>
        <w:t>obbligo vaccinale</w:t>
      </w:r>
      <w:r w:rsidR="00E027E8" w:rsidRPr="00E412E8">
        <w:rPr>
          <w:rFonts w:cs="Calibri"/>
        </w:rPr>
        <w:t xml:space="preserve">, </w:t>
      </w:r>
      <w:r w:rsidR="003B19AE" w:rsidRPr="00E412E8">
        <w:rPr>
          <w:rFonts w:cs="Calibri"/>
        </w:rPr>
        <w:t>consentendo l’uso del tampone per ottenere il green pass solo dopo la prenotazione del vaccino e fino a due settimane dopo la somministrazione della prima dose</w:t>
      </w:r>
      <w:r w:rsidR="00E027E8" w:rsidRPr="00E412E8">
        <w:rPr>
          <w:rFonts w:cs="Calibri"/>
        </w:rPr>
        <w:t>»</w:t>
      </w:r>
      <w:r w:rsidRPr="00E412E8">
        <w:t>.</w:t>
      </w:r>
      <w:r w:rsidRPr="00C77080">
        <w:t xml:space="preserve"> </w:t>
      </w:r>
      <w:bookmarkEnd w:id="1"/>
    </w:p>
    <w:p w:rsidR="001C3E66" w:rsidRDefault="001C3E66" w:rsidP="00C95BFF">
      <w:pPr>
        <w:spacing w:line="276" w:lineRule="auto"/>
        <w:jc w:val="both"/>
      </w:pPr>
    </w:p>
    <w:p w:rsidR="007B682B" w:rsidRPr="00234B97" w:rsidRDefault="00CE577D" w:rsidP="00247BA3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 xml:space="preserve">Il monitoraggio GIMBE dell'epidemia di COVID-19 è disponibile a: </w:t>
      </w:r>
      <w:hyperlink r:id="rId15" w:history="1">
        <w:r w:rsidRPr="00234B97">
          <w:rPr>
            <w:rStyle w:val="Hyperlink0"/>
          </w:rPr>
          <w:t>https://coronavirus.gimbe.org</w:t>
        </w:r>
      </w:hyperlink>
    </w:p>
    <w:p w:rsidR="005A138A" w:rsidRPr="00613848" w:rsidRDefault="00CE577D" w:rsidP="00247BA3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 w:rsidRPr="00234B97">
        <w:rPr>
          <w:b/>
          <w:bCs/>
        </w:rPr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6" w:history="1">
        <w:r w:rsidRPr="00234B97">
          <w:rPr>
            <w:rStyle w:val="Hyperlink1"/>
          </w:rPr>
          <w:t>ufficio.stampa@gimbe.org</w:t>
        </w:r>
      </w:hyperlink>
    </w:p>
    <w:p w:rsidR="00F458BE" w:rsidRDefault="00F458B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1</w:t>
      </w:r>
    </w:p>
    <w:p w:rsidR="007B682B" w:rsidRPr="00234B97" w:rsidRDefault="005C4488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6D72A10" wp14:editId="4775827A">
            <wp:extent cx="5760000" cy="319339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5C4488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21B53EC" wp14:editId="6D6F30CA">
            <wp:extent cx="5760000" cy="3094654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CE577D">
      <w:pPr>
        <w:jc w:val="center"/>
        <w:sectPr w:rsidR="007B682B" w:rsidRPr="00234B9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:rsidR="007B682B" w:rsidRPr="00234B97" w:rsidRDefault="00CE577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3</w:t>
      </w:r>
    </w:p>
    <w:p w:rsidR="007B682B" w:rsidRPr="00234B97" w:rsidRDefault="005C4488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DAFAE18" wp14:editId="37B6B11A">
            <wp:extent cx="9360000" cy="4830880"/>
            <wp:effectExtent l="0" t="0" r="0" b="825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 w:line="360" w:lineRule="auto"/>
        <w:jc w:val="center"/>
        <w:sectPr w:rsidR="007B682B" w:rsidRPr="00234B97" w:rsidSect="00AF08E9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7B682B" w:rsidRPr="00234B97" w:rsidRDefault="00CE577D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542585">
        <w:rPr>
          <w:b/>
          <w:bCs/>
          <w:color w:val="00457D"/>
          <w:sz w:val="24"/>
          <w:szCs w:val="24"/>
          <w:u w:color="00457D"/>
        </w:rPr>
        <w:t>4</w:t>
      </w:r>
    </w:p>
    <w:p w:rsidR="00B66203" w:rsidRPr="00234B97" w:rsidRDefault="00626103" w:rsidP="008E0517">
      <w:pPr>
        <w:spacing w:after="24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6B4F8E0" wp14:editId="17BC9FB1">
            <wp:extent cx="5760000" cy="517036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17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542585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542585" w:rsidRPr="00542585">
        <w:rPr>
          <w:b/>
          <w:bCs/>
          <w:color w:val="00457D"/>
          <w:sz w:val="24"/>
          <w:szCs w:val="24"/>
          <w:u w:color="00457D"/>
        </w:rPr>
        <w:t>5</w:t>
      </w:r>
    </w:p>
    <w:p w:rsidR="00D707B3" w:rsidRPr="00234B97" w:rsidRDefault="0026717A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A46F596" wp14:editId="4F483C61">
            <wp:extent cx="5760000" cy="3087605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8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542585" w:rsidRDefault="006176B8" w:rsidP="003874BF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542585" w:rsidRPr="00542585">
        <w:rPr>
          <w:b/>
          <w:bCs/>
          <w:color w:val="00457D"/>
          <w:sz w:val="24"/>
          <w:szCs w:val="24"/>
          <w:u w:color="00457D"/>
        </w:rPr>
        <w:t>6</w:t>
      </w:r>
    </w:p>
    <w:p w:rsidR="007B682B" w:rsidRPr="00234B97" w:rsidRDefault="0026717A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1413A9E" wp14:editId="5E729005">
            <wp:extent cx="5760000" cy="4518923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2585" w:rsidRDefault="00542585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 w:rsidP="008E051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BB383A">
        <w:rPr>
          <w:b/>
          <w:bCs/>
          <w:color w:val="00457D"/>
          <w:sz w:val="24"/>
          <w:szCs w:val="24"/>
          <w:u w:color="00457D"/>
        </w:rPr>
        <w:t>7</w:t>
      </w:r>
    </w:p>
    <w:p w:rsidR="00D707B3" w:rsidRPr="00234B97" w:rsidRDefault="0026717A" w:rsidP="008E051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C0BFABD" wp14:editId="229F0638">
            <wp:extent cx="5760000" cy="3067655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542585" w:rsidRDefault="007B682B">
      <w:pPr>
        <w:jc w:val="center"/>
        <w:rPr>
          <w:b/>
          <w:bCs/>
          <w:color w:val="FF0000"/>
          <w:sz w:val="24"/>
          <w:szCs w:val="24"/>
          <w:u w:color="00457D"/>
        </w:rPr>
      </w:pPr>
    </w:p>
    <w:p w:rsidR="00BB383A" w:rsidRDefault="00BB383A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BB383A">
        <w:rPr>
          <w:b/>
          <w:bCs/>
          <w:color w:val="00457D"/>
          <w:sz w:val="24"/>
          <w:szCs w:val="24"/>
          <w:u w:color="00457D"/>
        </w:rPr>
        <w:t>8</w:t>
      </w:r>
    </w:p>
    <w:p w:rsidR="0036634C" w:rsidRPr="00234B97" w:rsidRDefault="0026717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9BE5900" wp14:editId="266939DB">
            <wp:extent cx="5760000" cy="3067655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2585" w:rsidRDefault="00542585" w:rsidP="0054258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5C1E56" w:rsidRDefault="005C1E56" w:rsidP="005C1E56">
      <w:pPr>
        <w:spacing w:after="0" w:line="240" w:lineRule="auto"/>
        <w:rPr>
          <w:b/>
          <w:bCs/>
          <w:color w:val="FF0000"/>
          <w:sz w:val="24"/>
          <w:szCs w:val="24"/>
          <w:u w:color="00457D"/>
        </w:rPr>
      </w:pPr>
    </w:p>
    <w:p w:rsidR="0036634C" w:rsidRDefault="00C510AB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9</w:t>
      </w:r>
    </w:p>
    <w:p w:rsidR="00775DC3" w:rsidRPr="003E512B" w:rsidRDefault="0026717A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DDD4CC5" wp14:editId="1DD6DC9D">
            <wp:extent cx="5760000" cy="3442302"/>
            <wp:effectExtent l="0" t="0" r="0" b="635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42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7CC" w:rsidRPr="00234B97" w:rsidRDefault="006D67C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05A25" w:rsidRPr="00234B97" w:rsidRDefault="00705A25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5C1E56" w:rsidRDefault="005C1E56" w:rsidP="003E512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C510AB" w:rsidRDefault="00C510AB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B66203" w:rsidP="003E512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</w:t>
      </w:r>
      <w:r w:rsidR="00CE577D" w:rsidRPr="00234B97">
        <w:rPr>
          <w:b/>
          <w:bCs/>
          <w:color w:val="00457D"/>
          <w:sz w:val="24"/>
          <w:szCs w:val="24"/>
          <w:u w:color="00457D"/>
        </w:rPr>
        <w:t>gura 1</w:t>
      </w:r>
      <w:r w:rsidR="00C510AB">
        <w:rPr>
          <w:b/>
          <w:bCs/>
          <w:color w:val="00457D"/>
          <w:sz w:val="24"/>
          <w:szCs w:val="24"/>
          <w:u w:color="00457D"/>
        </w:rPr>
        <w:t>0</w:t>
      </w:r>
    </w:p>
    <w:p w:rsidR="00775DC3" w:rsidRPr="00234B97" w:rsidRDefault="0026717A" w:rsidP="003E512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6DA2B9B" wp14:editId="0AC7B879">
            <wp:extent cx="5760000" cy="3518637"/>
            <wp:effectExtent l="0" t="0" r="0" b="571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18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197134" w:rsidRDefault="007B682B">
      <w:pPr>
        <w:spacing w:after="120"/>
        <w:jc w:val="center"/>
        <w:rPr>
          <w:sz w:val="16"/>
        </w:rPr>
      </w:pPr>
    </w:p>
    <w:p w:rsidR="0036634C" w:rsidRDefault="00705A25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rFonts w:cs="Calibri"/>
          <w:b/>
          <w:color w:val="00457D"/>
          <w:sz w:val="24"/>
          <w:szCs w:val="24"/>
          <w:u w:color="00457D"/>
        </w:rPr>
        <w:t>F</w:t>
      </w:r>
      <w:r w:rsidR="00CE577D" w:rsidRPr="00234B97">
        <w:rPr>
          <w:rFonts w:cs="Calibri"/>
          <w:b/>
          <w:bCs/>
          <w:color w:val="00457D"/>
          <w:sz w:val="24"/>
          <w:szCs w:val="24"/>
          <w:u w:color="00457D"/>
        </w:rPr>
        <w:t xml:space="preserve">igura </w:t>
      </w:r>
      <w:r w:rsidR="00AF08E9" w:rsidRPr="00234B97">
        <w:rPr>
          <w:rFonts w:cs="Calibri"/>
          <w:b/>
          <w:bCs/>
          <w:color w:val="00457D"/>
          <w:sz w:val="24"/>
          <w:szCs w:val="24"/>
          <w:u w:color="00457D"/>
        </w:rPr>
        <w:t>1</w:t>
      </w:r>
      <w:r w:rsidR="00C510AB">
        <w:rPr>
          <w:rFonts w:cs="Calibri"/>
          <w:b/>
          <w:bCs/>
          <w:color w:val="00457D"/>
          <w:sz w:val="24"/>
          <w:szCs w:val="24"/>
          <w:u w:color="00457D"/>
        </w:rPr>
        <w:t>1</w:t>
      </w:r>
    </w:p>
    <w:p w:rsidR="00275B6C" w:rsidRDefault="0026717A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AFCA14C" wp14:editId="38C4A1F3">
            <wp:extent cx="5760000" cy="4433382"/>
            <wp:effectExtent l="0" t="0" r="0" b="571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3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B6C" w:rsidRDefault="00275B6C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5C1E56" w:rsidRDefault="005C1E56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0B25F9" w:rsidRPr="00234B97" w:rsidRDefault="00C3740F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1</w:t>
      </w:r>
      <w:r w:rsidR="00C510AB">
        <w:rPr>
          <w:b/>
          <w:bCs/>
          <w:color w:val="00457D"/>
          <w:sz w:val="24"/>
          <w:szCs w:val="24"/>
          <w:u w:color="00457D"/>
        </w:rPr>
        <w:t>2</w:t>
      </w:r>
    </w:p>
    <w:p w:rsidR="004A309A" w:rsidRDefault="000D3B36" w:rsidP="004A309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A85A9BD" wp14:editId="24CD95EC">
            <wp:extent cx="5760000" cy="3462595"/>
            <wp:effectExtent l="0" t="0" r="0" b="508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6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538" w:rsidRPr="00234B97" w:rsidRDefault="00B6753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CD53ED" w:rsidRDefault="00C5216E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13</w:t>
      </w:r>
    </w:p>
    <w:p w:rsidR="00C5216E" w:rsidRDefault="000D3B36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DFD458A" wp14:editId="7861B1EB">
            <wp:extent cx="5760000" cy="3722184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22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0AB" w:rsidRPr="00234B97" w:rsidRDefault="00C510AB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C510AB" w:rsidRPr="00234B97">
          <w:pgSz w:w="11900" w:h="16840"/>
          <w:pgMar w:top="1134" w:right="1134" w:bottom="1418" w:left="1134" w:header="709" w:footer="709" w:gutter="0"/>
          <w:cols w:space="720"/>
        </w:sectPr>
      </w:pPr>
    </w:p>
    <w:p w:rsidR="00CD53ED" w:rsidRDefault="00B67538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2569A9">
        <w:rPr>
          <w:b/>
          <w:bCs/>
          <w:color w:val="00457D"/>
          <w:sz w:val="24"/>
          <w:szCs w:val="24"/>
          <w:u w:color="00457D"/>
        </w:rPr>
        <w:t>1</w:t>
      </w:r>
      <w:r w:rsidR="00C5216E">
        <w:rPr>
          <w:b/>
          <w:bCs/>
          <w:color w:val="00457D"/>
          <w:sz w:val="24"/>
          <w:szCs w:val="24"/>
          <w:u w:color="00457D"/>
        </w:rPr>
        <w:t>4</w:t>
      </w:r>
    </w:p>
    <w:p w:rsidR="005C1E56" w:rsidRDefault="000D3B36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6F38F10" wp14:editId="58C43B0B">
            <wp:extent cx="9360000" cy="5141121"/>
            <wp:effectExtent l="0" t="0" r="0" b="254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141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3ED" w:rsidRPr="00234B97" w:rsidRDefault="00CD53ED" w:rsidP="001F378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CD53ED" w:rsidRPr="00234B97" w:rsidSect="00CD53ED">
          <w:pgSz w:w="16840" w:h="11900" w:orient="landscape"/>
          <w:pgMar w:top="1134" w:right="1134" w:bottom="1134" w:left="1418" w:header="709" w:footer="709" w:gutter="0"/>
          <w:cols w:space="720"/>
          <w:docGrid w:linePitch="299"/>
        </w:sectPr>
      </w:pPr>
    </w:p>
    <w:p w:rsidR="00C510AB" w:rsidRPr="005B129C" w:rsidRDefault="00C510AB" w:rsidP="00C510A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E2010C">
        <w:rPr>
          <w:b/>
          <w:bCs/>
          <w:color w:val="00457D"/>
          <w:sz w:val="24"/>
          <w:szCs w:val="24"/>
          <w:u w:color="00457D"/>
        </w:rPr>
        <w:t>5</w:t>
      </w:r>
    </w:p>
    <w:p w:rsidR="00C510AB" w:rsidRDefault="0026717A" w:rsidP="00C510AB">
      <w:pPr>
        <w:spacing w:after="0" w:line="240" w:lineRule="auto"/>
        <w:jc w:val="center"/>
        <w:rPr>
          <w:b/>
          <w:bCs/>
          <w:color w:val="FF0000"/>
          <w:sz w:val="24"/>
          <w:szCs w:val="24"/>
          <w:u w:color="00457D"/>
        </w:rPr>
      </w:pPr>
      <w:r>
        <w:rPr>
          <w:b/>
          <w:bCs/>
          <w:noProof/>
          <w:color w:val="FF0000"/>
          <w:sz w:val="24"/>
          <w:szCs w:val="24"/>
          <w:u w:color="00457D"/>
        </w:rPr>
        <w:drawing>
          <wp:inline distT="0" distB="0" distL="0" distR="0" wp14:anchorId="7B19F3DA" wp14:editId="2DACF0C0">
            <wp:extent cx="5760000" cy="4429852"/>
            <wp:effectExtent l="0" t="0" r="0" b="889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29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0AB" w:rsidRPr="00C510AB" w:rsidRDefault="00C510AB">
      <w:pPr>
        <w:spacing w:after="0" w:line="240" w:lineRule="auto"/>
        <w:rPr>
          <w:b/>
          <w:bCs/>
          <w:color w:val="00457D"/>
          <w:sz w:val="2"/>
          <w:szCs w:val="2"/>
          <w:u w:color="00457D"/>
        </w:rPr>
      </w:pPr>
    </w:p>
    <w:p w:rsidR="00626103" w:rsidRPr="004D0247" w:rsidRDefault="00626103">
      <w:pPr>
        <w:spacing w:after="0" w:line="240" w:lineRule="auto"/>
        <w:rPr>
          <w:b/>
          <w:bCs/>
          <w:color w:val="00457D"/>
          <w:sz w:val="2"/>
          <w:szCs w:val="2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B90481" w:rsidRPr="00234B97" w:rsidRDefault="00CE577D" w:rsidP="00B90481">
      <w:pPr>
        <w:spacing w:line="276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Tabella 1. Indicatori regionali: settimana </w:t>
      </w:r>
      <w:r w:rsidR="00626103">
        <w:rPr>
          <w:b/>
          <w:bCs/>
          <w:color w:val="00457D"/>
          <w:sz w:val="24"/>
          <w:szCs w:val="24"/>
          <w:u w:color="00457D"/>
        </w:rPr>
        <w:t>6-12</w:t>
      </w:r>
      <w:r w:rsidR="009C0F77">
        <w:rPr>
          <w:b/>
          <w:bCs/>
          <w:color w:val="00457D"/>
          <w:sz w:val="24"/>
          <w:szCs w:val="24"/>
          <w:u w:color="00457D"/>
        </w:rPr>
        <w:t xml:space="preserve"> ottobre</w:t>
      </w:r>
      <w:r w:rsidRPr="00234B97">
        <w:rPr>
          <w:b/>
          <w:bCs/>
          <w:color w:val="00457D"/>
          <w:sz w:val="24"/>
          <w:szCs w:val="24"/>
          <w:u w:color="00457D"/>
        </w:rPr>
        <w:t xml:space="preserve"> 2021</w:t>
      </w:r>
    </w:p>
    <w:tbl>
      <w:tblPr>
        <w:tblW w:w="954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126"/>
        <w:gridCol w:w="1134"/>
        <w:gridCol w:w="2126"/>
        <w:gridCol w:w="2127"/>
        <w:gridCol w:w="46"/>
      </w:tblGrid>
      <w:tr w:rsidR="00626103" w:rsidRPr="00626103" w:rsidTr="00626103">
        <w:trPr>
          <w:gridAfter w:val="1"/>
          <w:wAfter w:w="46" w:type="dxa"/>
          <w:trHeight w:val="907"/>
        </w:trPr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626103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626103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134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626103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626103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626103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127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626103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626103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108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-16,7%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204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-46,9%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150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9C0006"/>
                <w:bdr w:val="none" w:sz="0" w:space="0" w:color="auto"/>
              </w:rPr>
              <w:t>0,4%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10%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106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-6,5%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9C0006"/>
                <w:bdr w:val="none" w:sz="0" w:space="0" w:color="auto"/>
              </w:rPr>
              <w:t>337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-14,5%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71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-11,0%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EB9C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65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9C6500"/>
                <w:bdr w:val="none" w:sz="0" w:space="0" w:color="auto"/>
              </w:rPr>
              <w:t>158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-14,3%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58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-13,1%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-13,5%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150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-10,3%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9C0006"/>
                <w:bdr w:val="none" w:sz="0" w:space="0" w:color="auto"/>
              </w:rPr>
              <w:t>16,7%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1%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75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9C0006"/>
                <w:bdr w:val="none" w:sz="0" w:space="0" w:color="auto"/>
              </w:rPr>
              <w:t>1,3%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151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-11,9%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-5,2%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58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-15,7%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105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-32,0%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206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-27,9%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153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-11,0%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74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-24,6%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9C0006"/>
                <w:bdr w:val="none" w:sz="0" w:space="0" w:color="auto"/>
              </w:rPr>
              <w:t>84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-17,6%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1%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26103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189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-7,0%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2%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626103" w:rsidRPr="00626103" w:rsidTr="00626103">
        <w:trPr>
          <w:gridAfter w:val="1"/>
          <w:wAfter w:w="46" w:type="dxa"/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626103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138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-13,5%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626103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4%</w:t>
            </w:r>
          </w:p>
        </w:tc>
      </w:tr>
      <w:tr w:rsidR="00626103" w:rsidRPr="00626103" w:rsidTr="00626103">
        <w:trPr>
          <w:trHeight w:val="1710"/>
        </w:trPr>
        <w:tc>
          <w:tcPr>
            <w:tcW w:w="9544" w:type="dxa"/>
            <w:gridSpan w:val="6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626103" w:rsidRPr="00626103" w:rsidRDefault="00626103" w:rsidP="006261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626103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Nota: nella prima colonna rosso, verde e giallo indicano rispettivamente una performance regionale in peggioramento, in miglioramento o stabile, rispetto alla settimana precedente.</w:t>
            </w:r>
            <w:r w:rsidRPr="00626103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626103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Nelle ultime 2 colonne rosso e verde indicano il superamento, o meno, della soglia di saturazione del 15% per l’area medica e del 10% per le terapie intensive (dati Agenas).</w:t>
            </w:r>
          </w:p>
        </w:tc>
      </w:tr>
    </w:tbl>
    <w:p w:rsidR="00626103" w:rsidRPr="00234B97" w:rsidRDefault="00626103"/>
    <w:sectPr w:rsidR="00626103" w:rsidRPr="00234B97"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CA3" w:rsidRDefault="00E97CA3">
      <w:pPr>
        <w:spacing w:after="0" w:line="240" w:lineRule="auto"/>
      </w:pPr>
      <w:r>
        <w:separator/>
      </w:r>
    </w:p>
  </w:endnote>
  <w:endnote w:type="continuationSeparator" w:id="0">
    <w:p w:rsidR="00E97CA3" w:rsidRDefault="00E97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8D3" w:rsidRDefault="006C08D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8D3" w:rsidRDefault="006C08D3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8D3" w:rsidRDefault="006C08D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CA3" w:rsidRDefault="00E97CA3">
      <w:pPr>
        <w:spacing w:after="0" w:line="240" w:lineRule="auto"/>
      </w:pPr>
      <w:r>
        <w:separator/>
      </w:r>
    </w:p>
  </w:footnote>
  <w:footnote w:type="continuationSeparator" w:id="0">
    <w:p w:rsidR="00E97CA3" w:rsidRDefault="00E97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8D3" w:rsidRDefault="006C08D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8D3" w:rsidRDefault="006C08D3" w:rsidP="006C08D3">
    <w:pPr>
      <w:pStyle w:val="Intestazione"/>
      <w:jc w:val="center"/>
      <w:rPr>
        <w:b/>
        <w:color w:val="FF0000"/>
        <w:sz w:val="36"/>
        <w:szCs w:val="36"/>
      </w:rPr>
    </w:pPr>
    <w:r w:rsidRPr="00247BA3">
      <w:rPr>
        <w:b/>
        <w:color w:val="FF0000"/>
        <w:sz w:val="36"/>
        <w:szCs w:val="36"/>
      </w:rPr>
      <w:t xml:space="preserve">EMBARGO: </w:t>
    </w:r>
    <w:r>
      <w:rPr>
        <w:b/>
        <w:color w:val="FF0000"/>
        <w:sz w:val="36"/>
        <w:szCs w:val="36"/>
      </w:rPr>
      <w:t>14</w:t>
    </w:r>
    <w:r w:rsidRPr="00247BA3">
      <w:rPr>
        <w:b/>
        <w:color w:val="FF0000"/>
        <w:sz w:val="36"/>
        <w:szCs w:val="36"/>
      </w:rPr>
      <w:t xml:space="preserve"> </w:t>
    </w:r>
    <w:r>
      <w:rPr>
        <w:b/>
        <w:color w:val="FF0000"/>
        <w:sz w:val="36"/>
        <w:szCs w:val="36"/>
      </w:rPr>
      <w:t>ottobre</w:t>
    </w:r>
    <w:r w:rsidRPr="00247BA3">
      <w:rPr>
        <w:b/>
        <w:color w:val="FF0000"/>
        <w:sz w:val="36"/>
        <w:szCs w:val="36"/>
      </w:rPr>
      <w:t xml:space="preserve"> 2021, ore 10.00</w:t>
    </w:r>
  </w:p>
  <w:p w:rsidR="00A77BBF" w:rsidRPr="00A77BBF" w:rsidRDefault="00A77BBF" w:rsidP="009C36F3">
    <w:pPr>
      <w:pStyle w:val="Intestazione"/>
      <w:jc w:val="center"/>
      <w:rPr>
        <w:b/>
        <w:color w:val="FF0000"/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8D3" w:rsidRDefault="006C08D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31B35"/>
    <w:multiLevelType w:val="hybridMultilevel"/>
    <w:tmpl w:val="104A42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839119D"/>
    <w:multiLevelType w:val="hybridMultilevel"/>
    <w:tmpl w:val="DD3E50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514920"/>
    <w:multiLevelType w:val="hybridMultilevel"/>
    <w:tmpl w:val="3F8C4CC8"/>
    <w:numStyleLink w:val="Stileimportato1"/>
  </w:abstractNum>
  <w:abstractNum w:abstractNumId="4">
    <w:nsid w:val="17124B2D"/>
    <w:multiLevelType w:val="hybridMultilevel"/>
    <w:tmpl w:val="D040A854"/>
    <w:numStyleLink w:val="Stileimportato2"/>
  </w:abstractNum>
  <w:abstractNum w:abstractNumId="5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2D776AB5"/>
    <w:multiLevelType w:val="hybridMultilevel"/>
    <w:tmpl w:val="F2B82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EBD4C86"/>
    <w:multiLevelType w:val="hybridMultilevel"/>
    <w:tmpl w:val="DB3626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0"/>
  </w:num>
  <w:num w:numId="9">
    <w:abstractNumId w:val="8"/>
  </w:num>
  <w:num w:numId="1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lena Cottafava">
    <w15:presenceInfo w15:providerId="AD" w15:userId="S-1-5-21-3704061395-2971569264-1745058328-100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2B"/>
    <w:rsid w:val="00004CA3"/>
    <w:rsid w:val="00005172"/>
    <w:rsid w:val="000056DE"/>
    <w:rsid w:val="00007BF9"/>
    <w:rsid w:val="0001122C"/>
    <w:rsid w:val="00012113"/>
    <w:rsid w:val="00014385"/>
    <w:rsid w:val="00015BAE"/>
    <w:rsid w:val="00017890"/>
    <w:rsid w:val="000206F4"/>
    <w:rsid w:val="00021C19"/>
    <w:rsid w:val="000222A5"/>
    <w:rsid w:val="00023784"/>
    <w:rsid w:val="00033800"/>
    <w:rsid w:val="000352B4"/>
    <w:rsid w:val="000373F1"/>
    <w:rsid w:val="00037A0A"/>
    <w:rsid w:val="00037F01"/>
    <w:rsid w:val="000415C2"/>
    <w:rsid w:val="000421A9"/>
    <w:rsid w:val="00042E7E"/>
    <w:rsid w:val="00046B65"/>
    <w:rsid w:val="00051038"/>
    <w:rsid w:val="00052578"/>
    <w:rsid w:val="000552E2"/>
    <w:rsid w:val="00057E5F"/>
    <w:rsid w:val="00061D4E"/>
    <w:rsid w:val="00063723"/>
    <w:rsid w:val="000653E7"/>
    <w:rsid w:val="00067039"/>
    <w:rsid w:val="000673B6"/>
    <w:rsid w:val="0007243C"/>
    <w:rsid w:val="00072C04"/>
    <w:rsid w:val="00073A8A"/>
    <w:rsid w:val="000743B7"/>
    <w:rsid w:val="000747A9"/>
    <w:rsid w:val="00077B7F"/>
    <w:rsid w:val="000803DA"/>
    <w:rsid w:val="00080F14"/>
    <w:rsid w:val="0008362E"/>
    <w:rsid w:val="00087236"/>
    <w:rsid w:val="00095DC5"/>
    <w:rsid w:val="000A08BA"/>
    <w:rsid w:val="000A0EDA"/>
    <w:rsid w:val="000A6581"/>
    <w:rsid w:val="000A72BA"/>
    <w:rsid w:val="000B0548"/>
    <w:rsid w:val="000B0AC0"/>
    <w:rsid w:val="000B119C"/>
    <w:rsid w:val="000B1B66"/>
    <w:rsid w:val="000B21CF"/>
    <w:rsid w:val="000B2449"/>
    <w:rsid w:val="000B25F9"/>
    <w:rsid w:val="000C6B69"/>
    <w:rsid w:val="000C789B"/>
    <w:rsid w:val="000D0625"/>
    <w:rsid w:val="000D2CAA"/>
    <w:rsid w:val="000D3B36"/>
    <w:rsid w:val="000D5B61"/>
    <w:rsid w:val="000D75CD"/>
    <w:rsid w:val="000D7E45"/>
    <w:rsid w:val="000E1A5A"/>
    <w:rsid w:val="000E476D"/>
    <w:rsid w:val="000E6F3B"/>
    <w:rsid w:val="000F0385"/>
    <w:rsid w:val="000F09AA"/>
    <w:rsid w:val="000F1EC4"/>
    <w:rsid w:val="000F2389"/>
    <w:rsid w:val="000F387B"/>
    <w:rsid w:val="000F3AC7"/>
    <w:rsid w:val="000F4209"/>
    <w:rsid w:val="000F5019"/>
    <w:rsid w:val="000F50A4"/>
    <w:rsid w:val="000F6EBD"/>
    <w:rsid w:val="00101803"/>
    <w:rsid w:val="001022BC"/>
    <w:rsid w:val="0010442F"/>
    <w:rsid w:val="00104974"/>
    <w:rsid w:val="00106801"/>
    <w:rsid w:val="001104E4"/>
    <w:rsid w:val="00114088"/>
    <w:rsid w:val="00114459"/>
    <w:rsid w:val="00115B80"/>
    <w:rsid w:val="00116006"/>
    <w:rsid w:val="00116C93"/>
    <w:rsid w:val="00121EB7"/>
    <w:rsid w:val="00122302"/>
    <w:rsid w:val="0012327E"/>
    <w:rsid w:val="0012399B"/>
    <w:rsid w:val="0012540D"/>
    <w:rsid w:val="00126938"/>
    <w:rsid w:val="00127307"/>
    <w:rsid w:val="00127892"/>
    <w:rsid w:val="001324D5"/>
    <w:rsid w:val="0014031D"/>
    <w:rsid w:val="0014184C"/>
    <w:rsid w:val="00141F0A"/>
    <w:rsid w:val="00141F2F"/>
    <w:rsid w:val="00144E5A"/>
    <w:rsid w:val="00147243"/>
    <w:rsid w:val="001513A9"/>
    <w:rsid w:val="001518FD"/>
    <w:rsid w:val="001527E3"/>
    <w:rsid w:val="001533C7"/>
    <w:rsid w:val="001533DC"/>
    <w:rsid w:val="00157CBE"/>
    <w:rsid w:val="00157F8B"/>
    <w:rsid w:val="00161AEE"/>
    <w:rsid w:val="0016301A"/>
    <w:rsid w:val="00163CCF"/>
    <w:rsid w:val="001667ED"/>
    <w:rsid w:val="0016753E"/>
    <w:rsid w:val="00171468"/>
    <w:rsid w:val="00175709"/>
    <w:rsid w:val="00176590"/>
    <w:rsid w:val="00176B1E"/>
    <w:rsid w:val="001803BE"/>
    <w:rsid w:val="00181F5C"/>
    <w:rsid w:val="00183B21"/>
    <w:rsid w:val="00184068"/>
    <w:rsid w:val="00187EBF"/>
    <w:rsid w:val="00191EB1"/>
    <w:rsid w:val="0019345D"/>
    <w:rsid w:val="00197134"/>
    <w:rsid w:val="00197435"/>
    <w:rsid w:val="001A1D07"/>
    <w:rsid w:val="001A25C7"/>
    <w:rsid w:val="001A2CC0"/>
    <w:rsid w:val="001A2F4F"/>
    <w:rsid w:val="001A3E0F"/>
    <w:rsid w:val="001A3E43"/>
    <w:rsid w:val="001A503E"/>
    <w:rsid w:val="001A50D6"/>
    <w:rsid w:val="001A633C"/>
    <w:rsid w:val="001A65C5"/>
    <w:rsid w:val="001A7237"/>
    <w:rsid w:val="001A7CDE"/>
    <w:rsid w:val="001B723C"/>
    <w:rsid w:val="001C0EBF"/>
    <w:rsid w:val="001C3E66"/>
    <w:rsid w:val="001C7E16"/>
    <w:rsid w:val="001D0234"/>
    <w:rsid w:val="001D0E98"/>
    <w:rsid w:val="001D224C"/>
    <w:rsid w:val="001D48DB"/>
    <w:rsid w:val="001D5B10"/>
    <w:rsid w:val="001D7E62"/>
    <w:rsid w:val="001E481E"/>
    <w:rsid w:val="001E5653"/>
    <w:rsid w:val="001F2C8F"/>
    <w:rsid w:val="001F3785"/>
    <w:rsid w:val="001F4334"/>
    <w:rsid w:val="001F4A7E"/>
    <w:rsid w:val="001F63AA"/>
    <w:rsid w:val="001F668D"/>
    <w:rsid w:val="001F6835"/>
    <w:rsid w:val="00200400"/>
    <w:rsid w:val="00201768"/>
    <w:rsid w:val="0020699D"/>
    <w:rsid w:val="00210040"/>
    <w:rsid w:val="002127D1"/>
    <w:rsid w:val="00212F66"/>
    <w:rsid w:val="00213464"/>
    <w:rsid w:val="00216973"/>
    <w:rsid w:val="002171F6"/>
    <w:rsid w:val="002222F6"/>
    <w:rsid w:val="00223DBB"/>
    <w:rsid w:val="00226C11"/>
    <w:rsid w:val="00234B97"/>
    <w:rsid w:val="002351A0"/>
    <w:rsid w:val="00236626"/>
    <w:rsid w:val="00236FB0"/>
    <w:rsid w:val="0024188A"/>
    <w:rsid w:val="002427A3"/>
    <w:rsid w:val="00243949"/>
    <w:rsid w:val="00245DC3"/>
    <w:rsid w:val="00247670"/>
    <w:rsid w:val="00247BA3"/>
    <w:rsid w:val="0025323D"/>
    <w:rsid w:val="00253DD5"/>
    <w:rsid w:val="002540D8"/>
    <w:rsid w:val="00254744"/>
    <w:rsid w:val="002569A9"/>
    <w:rsid w:val="00262272"/>
    <w:rsid w:val="002634F1"/>
    <w:rsid w:val="00263A36"/>
    <w:rsid w:val="00263DA4"/>
    <w:rsid w:val="0026464D"/>
    <w:rsid w:val="00265ECF"/>
    <w:rsid w:val="002667D7"/>
    <w:rsid w:val="002669FF"/>
    <w:rsid w:val="00266BEA"/>
    <w:rsid w:val="0026717A"/>
    <w:rsid w:val="00273C22"/>
    <w:rsid w:val="00275B6C"/>
    <w:rsid w:val="00275FFE"/>
    <w:rsid w:val="00282D8E"/>
    <w:rsid w:val="002846B6"/>
    <w:rsid w:val="0029023D"/>
    <w:rsid w:val="00290E33"/>
    <w:rsid w:val="00291ECD"/>
    <w:rsid w:val="0029423D"/>
    <w:rsid w:val="00296666"/>
    <w:rsid w:val="002A2883"/>
    <w:rsid w:val="002A407A"/>
    <w:rsid w:val="002A4098"/>
    <w:rsid w:val="002A53C2"/>
    <w:rsid w:val="002B0423"/>
    <w:rsid w:val="002B20E2"/>
    <w:rsid w:val="002B2371"/>
    <w:rsid w:val="002B3E49"/>
    <w:rsid w:val="002B7A43"/>
    <w:rsid w:val="002C16AA"/>
    <w:rsid w:val="002C19C1"/>
    <w:rsid w:val="002C672C"/>
    <w:rsid w:val="002C7BFD"/>
    <w:rsid w:val="002D270C"/>
    <w:rsid w:val="002D288E"/>
    <w:rsid w:val="002D30A6"/>
    <w:rsid w:val="002D4F74"/>
    <w:rsid w:val="002D66EF"/>
    <w:rsid w:val="002E0B40"/>
    <w:rsid w:val="002E0CF7"/>
    <w:rsid w:val="002E1532"/>
    <w:rsid w:val="002E1669"/>
    <w:rsid w:val="002E30C9"/>
    <w:rsid w:val="002E63F1"/>
    <w:rsid w:val="002E732B"/>
    <w:rsid w:val="002F4065"/>
    <w:rsid w:val="002F5606"/>
    <w:rsid w:val="002F60B6"/>
    <w:rsid w:val="002F6277"/>
    <w:rsid w:val="002F7E69"/>
    <w:rsid w:val="002F7EF9"/>
    <w:rsid w:val="00300770"/>
    <w:rsid w:val="00301555"/>
    <w:rsid w:val="00301F67"/>
    <w:rsid w:val="00302774"/>
    <w:rsid w:val="00304225"/>
    <w:rsid w:val="003068D2"/>
    <w:rsid w:val="00312170"/>
    <w:rsid w:val="0031239E"/>
    <w:rsid w:val="00312A53"/>
    <w:rsid w:val="00312D49"/>
    <w:rsid w:val="00312EB1"/>
    <w:rsid w:val="00315CB0"/>
    <w:rsid w:val="00322631"/>
    <w:rsid w:val="00322C39"/>
    <w:rsid w:val="00325D76"/>
    <w:rsid w:val="00326426"/>
    <w:rsid w:val="00330F23"/>
    <w:rsid w:val="00332BC9"/>
    <w:rsid w:val="00333D4F"/>
    <w:rsid w:val="0033511B"/>
    <w:rsid w:val="003375DC"/>
    <w:rsid w:val="00337B53"/>
    <w:rsid w:val="003408FB"/>
    <w:rsid w:val="0034119B"/>
    <w:rsid w:val="00342065"/>
    <w:rsid w:val="00342A3A"/>
    <w:rsid w:val="0034565E"/>
    <w:rsid w:val="003461BD"/>
    <w:rsid w:val="0035087A"/>
    <w:rsid w:val="003614B8"/>
    <w:rsid w:val="0036634C"/>
    <w:rsid w:val="0037026E"/>
    <w:rsid w:val="00370F56"/>
    <w:rsid w:val="003726E1"/>
    <w:rsid w:val="0037430E"/>
    <w:rsid w:val="003744DF"/>
    <w:rsid w:val="003747F1"/>
    <w:rsid w:val="0038374F"/>
    <w:rsid w:val="003874BF"/>
    <w:rsid w:val="00390F8F"/>
    <w:rsid w:val="00391BD8"/>
    <w:rsid w:val="00391D3F"/>
    <w:rsid w:val="003932D6"/>
    <w:rsid w:val="00393652"/>
    <w:rsid w:val="00394992"/>
    <w:rsid w:val="0039505A"/>
    <w:rsid w:val="003A051C"/>
    <w:rsid w:val="003A0661"/>
    <w:rsid w:val="003A27B9"/>
    <w:rsid w:val="003A5C42"/>
    <w:rsid w:val="003A62BF"/>
    <w:rsid w:val="003B0352"/>
    <w:rsid w:val="003B037E"/>
    <w:rsid w:val="003B19AE"/>
    <w:rsid w:val="003B632B"/>
    <w:rsid w:val="003B6B24"/>
    <w:rsid w:val="003B6F85"/>
    <w:rsid w:val="003B720F"/>
    <w:rsid w:val="003C17AF"/>
    <w:rsid w:val="003C1BE8"/>
    <w:rsid w:val="003C2801"/>
    <w:rsid w:val="003C5AEF"/>
    <w:rsid w:val="003C6C3F"/>
    <w:rsid w:val="003C724A"/>
    <w:rsid w:val="003D049D"/>
    <w:rsid w:val="003D353F"/>
    <w:rsid w:val="003D3EE4"/>
    <w:rsid w:val="003D4657"/>
    <w:rsid w:val="003D4BA4"/>
    <w:rsid w:val="003D514B"/>
    <w:rsid w:val="003D5649"/>
    <w:rsid w:val="003E083A"/>
    <w:rsid w:val="003E1DB5"/>
    <w:rsid w:val="003E33FF"/>
    <w:rsid w:val="003E35A0"/>
    <w:rsid w:val="003E3C44"/>
    <w:rsid w:val="003E3EB4"/>
    <w:rsid w:val="003E3FDD"/>
    <w:rsid w:val="003E512B"/>
    <w:rsid w:val="003E5D4D"/>
    <w:rsid w:val="003E5E24"/>
    <w:rsid w:val="003F07EE"/>
    <w:rsid w:val="003F0B7E"/>
    <w:rsid w:val="003F0EDE"/>
    <w:rsid w:val="003F1259"/>
    <w:rsid w:val="003F2987"/>
    <w:rsid w:val="003F5167"/>
    <w:rsid w:val="003F5612"/>
    <w:rsid w:val="003F6A5F"/>
    <w:rsid w:val="00402E63"/>
    <w:rsid w:val="00403D87"/>
    <w:rsid w:val="004041F5"/>
    <w:rsid w:val="00405588"/>
    <w:rsid w:val="00406554"/>
    <w:rsid w:val="00407F58"/>
    <w:rsid w:val="004127E6"/>
    <w:rsid w:val="004129D3"/>
    <w:rsid w:val="00413881"/>
    <w:rsid w:val="00414839"/>
    <w:rsid w:val="004167BB"/>
    <w:rsid w:val="00417326"/>
    <w:rsid w:val="00417D75"/>
    <w:rsid w:val="00420736"/>
    <w:rsid w:val="0043299D"/>
    <w:rsid w:val="00432C1D"/>
    <w:rsid w:val="00434350"/>
    <w:rsid w:val="0043788D"/>
    <w:rsid w:val="00440059"/>
    <w:rsid w:val="0044051F"/>
    <w:rsid w:val="004405AB"/>
    <w:rsid w:val="004410BB"/>
    <w:rsid w:val="0044264D"/>
    <w:rsid w:val="00442D9F"/>
    <w:rsid w:val="00443AF2"/>
    <w:rsid w:val="00444814"/>
    <w:rsid w:val="00445E8D"/>
    <w:rsid w:val="00450520"/>
    <w:rsid w:val="00450FC6"/>
    <w:rsid w:val="0045113F"/>
    <w:rsid w:val="00451EEA"/>
    <w:rsid w:val="00456315"/>
    <w:rsid w:val="00457225"/>
    <w:rsid w:val="00460941"/>
    <w:rsid w:val="00460D0D"/>
    <w:rsid w:val="0046121C"/>
    <w:rsid w:val="00461433"/>
    <w:rsid w:val="00463915"/>
    <w:rsid w:val="004642E7"/>
    <w:rsid w:val="00465213"/>
    <w:rsid w:val="00471002"/>
    <w:rsid w:val="0047216B"/>
    <w:rsid w:val="00472289"/>
    <w:rsid w:val="00473630"/>
    <w:rsid w:val="00474D7E"/>
    <w:rsid w:val="00476376"/>
    <w:rsid w:val="004770F1"/>
    <w:rsid w:val="00477725"/>
    <w:rsid w:val="0047778D"/>
    <w:rsid w:val="00477B91"/>
    <w:rsid w:val="0048071C"/>
    <w:rsid w:val="00480E53"/>
    <w:rsid w:val="004821B7"/>
    <w:rsid w:val="00483C7A"/>
    <w:rsid w:val="00484A42"/>
    <w:rsid w:val="00485372"/>
    <w:rsid w:val="00485811"/>
    <w:rsid w:val="004875F7"/>
    <w:rsid w:val="00490739"/>
    <w:rsid w:val="0049135C"/>
    <w:rsid w:val="00491484"/>
    <w:rsid w:val="004919DD"/>
    <w:rsid w:val="004920AE"/>
    <w:rsid w:val="0049213B"/>
    <w:rsid w:val="0049218A"/>
    <w:rsid w:val="004921A6"/>
    <w:rsid w:val="00492A5B"/>
    <w:rsid w:val="0049544D"/>
    <w:rsid w:val="0049549E"/>
    <w:rsid w:val="00495A9F"/>
    <w:rsid w:val="00496B48"/>
    <w:rsid w:val="00497D65"/>
    <w:rsid w:val="00497E19"/>
    <w:rsid w:val="004A19D1"/>
    <w:rsid w:val="004A309A"/>
    <w:rsid w:val="004A3B4B"/>
    <w:rsid w:val="004A7B51"/>
    <w:rsid w:val="004B102C"/>
    <w:rsid w:val="004B512D"/>
    <w:rsid w:val="004B5CB6"/>
    <w:rsid w:val="004B6438"/>
    <w:rsid w:val="004C0E6D"/>
    <w:rsid w:val="004C465D"/>
    <w:rsid w:val="004C70BD"/>
    <w:rsid w:val="004C75FC"/>
    <w:rsid w:val="004D0234"/>
    <w:rsid w:val="004D0247"/>
    <w:rsid w:val="004D0801"/>
    <w:rsid w:val="004D0D54"/>
    <w:rsid w:val="004D1C78"/>
    <w:rsid w:val="004D2E6B"/>
    <w:rsid w:val="004D3C41"/>
    <w:rsid w:val="004D3CD7"/>
    <w:rsid w:val="004D52D6"/>
    <w:rsid w:val="004D5525"/>
    <w:rsid w:val="004D562D"/>
    <w:rsid w:val="004D5CB3"/>
    <w:rsid w:val="004D5CBF"/>
    <w:rsid w:val="004D7ABD"/>
    <w:rsid w:val="004E117D"/>
    <w:rsid w:val="004E18F8"/>
    <w:rsid w:val="004E220C"/>
    <w:rsid w:val="004E3F56"/>
    <w:rsid w:val="004E3F72"/>
    <w:rsid w:val="004E6C61"/>
    <w:rsid w:val="004F0669"/>
    <w:rsid w:val="004F17AF"/>
    <w:rsid w:val="004F2DDA"/>
    <w:rsid w:val="00500C6B"/>
    <w:rsid w:val="00505750"/>
    <w:rsid w:val="00505C8D"/>
    <w:rsid w:val="00506BF3"/>
    <w:rsid w:val="00507572"/>
    <w:rsid w:val="005110E4"/>
    <w:rsid w:val="00516F1E"/>
    <w:rsid w:val="00517884"/>
    <w:rsid w:val="005200FB"/>
    <w:rsid w:val="005206D7"/>
    <w:rsid w:val="00521485"/>
    <w:rsid w:val="005216C3"/>
    <w:rsid w:val="005239E5"/>
    <w:rsid w:val="005265EC"/>
    <w:rsid w:val="00526D94"/>
    <w:rsid w:val="0053071C"/>
    <w:rsid w:val="00540EB3"/>
    <w:rsid w:val="00542585"/>
    <w:rsid w:val="0054316E"/>
    <w:rsid w:val="00545404"/>
    <w:rsid w:val="005455CA"/>
    <w:rsid w:val="00547B69"/>
    <w:rsid w:val="00553823"/>
    <w:rsid w:val="005549FE"/>
    <w:rsid w:val="005568AB"/>
    <w:rsid w:val="0056300B"/>
    <w:rsid w:val="00563184"/>
    <w:rsid w:val="00565708"/>
    <w:rsid w:val="00566BD9"/>
    <w:rsid w:val="00567F60"/>
    <w:rsid w:val="00571451"/>
    <w:rsid w:val="00572677"/>
    <w:rsid w:val="00573388"/>
    <w:rsid w:val="005776BB"/>
    <w:rsid w:val="00580D28"/>
    <w:rsid w:val="00582285"/>
    <w:rsid w:val="00583951"/>
    <w:rsid w:val="00584F59"/>
    <w:rsid w:val="0058585F"/>
    <w:rsid w:val="00587698"/>
    <w:rsid w:val="005943D6"/>
    <w:rsid w:val="00594D45"/>
    <w:rsid w:val="00595E1C"/>
    <w:rsid w:val="00595E53"/>
    <w:rsid w:val="00596736"/>
    <w:rsid w:val="005979B2"/>
    <w:rsid w:val="005A1383"/>
    <w:rsid w:val="005A138A"/>
    <w:rsid w:val="005A2F3C"/>
    <w:rsid w:val="005A6770"/>
    <w:rsid w:val="005A735E"/>
    <w:rsid w:val="005A755B"/>
    <w:rsid w:val="005A7880"/>
    <w:rsid w:val="005B103D"/>
    <w:rsid w:val="005B129C"/>
    <w:rsid w:val="005B1AF1"/>
    <w:rsid w:val="005B48EF"/>
    <w:rsid w:val="005B4F47"/>
    <w:rsid w:val="005B6229"/>
    <w:rsid w:val="005C1BAF"/>
    <w:rsid w:val="005C1E56"/>
    <w:rsid w:val="005C2C9D"/>
    <w:rsid w:val="005C335F"/>
    <w:rsid w:val="005C4488"/>
    <w:rsid w:val="005C6FBE"/>
    <w:rsid w:val="005D08F1"/>
    <w:rsid w:val="005D18C9"/>
    <w:rsid w:val="005D1A29"/>
    <w:rsid w:val="005D214D"/>
    <w:rsid w:val="005E19B1"/>
    <w:rsid w:val="005E1B40"/>
    <w:rsid w:val="005E26E5"/>
    <w:rsid w:val="005E3CC5"/>
    <w:rsid w:val="005F14E1"/>
    <w:rsid w:val="005F1BEA"/>
    <w:rsid w:val="005F2C47"/>
    <w:rsid w:val="005F43B2"/>
    <w:rsid w:val="005F493D"/>
    <w:rsid w:val="005F5079"/>
    <w:rsid w:val="006026F8"/>
    <w:rsid w:val="00603956"/>
    <w:rsid w:val="00605F09"/>
    <w:rsid w:val="00610E6C"/>
    <w:rsid w:val="0061216F"/>
    <w:rsid w:val="006121D4"/>
    <w:rsid w:val="00613848"/>
    <w:rsid w:val="00614210"/>
    <w:rsid w:val="00614835"/>
    <w:rsid w:val="0061581B"/>
    <w:rsid w:val="00615DC1"/>
    <w:rsid w:val="00617672"/>
    <w:rsid w:val="006176B8"/>
    <w:rsid w:val="00617D14"/>
    <w:rsid w:val="0062012B"/>
    <w:rsid w:val="006236A4"/>
    <w:rsid w:val="00624679"/>
    <w:rsid w:val="00624898"/>
    <w:rsid w:val="00624DFE"/>
    <w:rsid w:val="00626103"/>
    <w:rsid w:val="0062682F"/>
    <w:rsid w:val="00632644"/>
    <w:rsid w:val="00632798"/>
    <w:rsid w:val="00634936"/>
    <w:rsid w:val="006369E2"/>
    <w:rsid w:val="00636D6F"/>
    <w:rsid w:val="006370BE"/>
    <w:rsid w:val="00641764"/>
    <w:rsid w:val="00641859"/>
    <w:rsid w:val="00643C9B"/>
    <w:rsid w:val="0064474F"/>
    <w:rsid w:val="006479B3"/>
    <w:rsid w:val="00647D99"/>
    <w:rsid w:val="006501A2"/>
    <w:rsid w:val="00650970"/>
    <w:rsid w:val="00651334"/>
    <w:rsid w:val="00653A32"/>
    <w:rsid w:val="00655803"/>
    <w:rsid w:val="00655A1E"/>
    <w:rsid w:val="006603AC"/>
    <w:rsid w:val="00660954"/>
    <w:rsid w:val="00663DCF"/>
    <w:rsid w:val="006642BB"/>
    <w:rsid w:val="00666A47"/>
    <w:rsid w:val="00672C34"/>
    <w:rsid w:val="0067368F"/>
    <w:rsid w:val="00677ADA"/>
    <w:rsid w:val="00677B01"/>
    <w:rsid w:val="0068026F"/>
    <w:rsid w:val="00684004"/>
    <w:rsid w:val="0068405E"/>
    <w:rsid w:val="006850DD"/>
    <w:rsid w:val="006927A5"/>
    <w:rsid w:val="00692A2C"/>
    <w:rsid w:val="00694C54"/>
    <w:rsid w:val="00695005"/>
    <w:rsid w:val="006A03AB"/>
    <w:rsid w:val="006A22DD"/>
    <w:rsid w:val="006A37A7"/>
    <w:rsid w:val="006A3F3C"/>
    <w:rsid w:val="006A7099"/>
    <w:rsid w:val="006B344A"/>
    <w:rsid w:val="006B365C"/>
    <w:rsid w:val="006B6E29"/>
    <w:rsid w:val="006B75AC"/>
    <w:rsid w:val="006B77FA"/>
    <w:rsid w:val="006C08D3"/>
    <w:rsid w:val="006C142C"/>
    <w:rsid w:val="006C2FDF"/>
    <w:rsid w:val="006C322E"/>
    <w:rsid w:val="006C3678"/>
    <w:rsid w:val="006C7761"/>
    <w:rsid w:val="006D0DB7"/>
    <w:rsid w:val="006D1931"/>
    <w:rsid w:val="006D2E9D"/>
    <w:rsid w:val="006D60A3"/>
    <w:rsid w:val="006D67CC"/>
    <w:rsid w:val="006E201D"/>
    <w:rsid w:val="006E2AC2"/>
    <w:rsid w:val="006E4065"/>
    <w:rsid w:val="006E4555"/>
    <w:rsid w:val="006E4E9A"/>
    <w:rsid w:val="006E6EF5"/>
    <w:rsid w:val="006E6F88"/>
    <w:rsid w:val="006E759D"/>
    <w:rsid w:val="006F1B45"/>
    <w:rsid w:val="006F3DD6"/>
    <w:rsid w:val="006F46F1"/>
    <w:rsid w:val="006F5548"/>
    <w:rsid w:val="006F5A3D"/>
    <w:rsid w:val="006F6446"/>
    <w:rsid w:val="006F7494"/>
    <w:rsid w:val="00701FEB"/>
    <w:rsid w:val="00705A25"/>
    <w:rsid w:val="00705BEA"/>
    <w:rsid w:val="00707895"/>
    <w:rsid w:val="00710899"/>
    <w:rsid w:val="007111CC"/>
    <w:rsid w:val="007126C0"/>
    <w:rsid w:val="0071337F"/>
    <w:rsid w:val="007135C5"/>
    <w:rsid w:val="007145F8"/>
    <w:rsid w:val="00714C4E"/>
    <w:rsid w:val="00715CA2"/>
    <w:rsid w:val="00716FA6"/>
    <w:rsid w:val="007237EA"/>
    <w:rsid w:val="00731555"/>
    <w:rsid w:val="007334AB"/>
    <w:rsid w:val="00733EDF"/>
    <w:rsid w:val="007355A6"/>
    <w:rsid w:val="00735B0D"/>
    <w:rsid w:val="00736022"/>
    <w:rsid w:val="00736B4B"/>
    <w:rsid w:val="00741B18"/>
    <w:rsid w:val="007433AC"/>
    <w:rsid w:val="00743F51"/>
    <w:rsid w:val="00745607"/>
    <w:rsid w:val="00745D53"/>
    <w:rsid w:val="00746D21"/>
    <w:rsid w:val="00753317"/>
    <w:rsid w:val="00753DEA"/>
    <w:rsid w:val="00753E57"/>
    <w:rsid w:val="00757965"/>
    <w:rsid w:val="00763956"/>
    <w:rsid w:val="0076460C"/>
    <w:rsid w:val="00764772"/>
    <w:rsid w:val="00766C89"/>
    <w:rsid w:val="00770441"/>
    <w:rsid w:val="00770468"/>
    <w:rsid w:val="00775DC3"/>
    <w:rsid w:val="00776FE3"/>
    <w:rsid w:val="00777916"/>
    <w:rsid w:val="00781526"/>
    <w:rsid w:val="00782610"/>
    <w:rsid w:val="00782A95"/>
    <w:rsid w:val="00791E54"/>
    <w:rsid w:val="0079301A"/>
    <w:rsid w:val="00793A6D"/>
    <w:rsid w:val="00793BD4"/>
    <w:rsid w:val="00793FA3"/>
    <w:rsid w:val="007945DD"/>
    <w:rsid w:val="00796514"/>
    <w:rsid w:val="00796F41"/>
    <w:rsid w:val="00797AB7"/>
    <w:rsid w:val="007A01BF"/>
    <w:rsid w:val="007A602C"/>
    <w:rsid w:val="007A69F8"/>
    <w:rsid w:val="007A6E24"/>
    <w:rsid w:val="007B0A1A"/>
    <w:rsid w:val="007B1735"/>
    <w:rsid w:val="007B33B7"/>
    <w:rsid w:val="007B398D"/>
    <w:rsid w:val="007B43CC"/>
    <w:rsid w:val="007B682B"/>
    <w:rsid w:val="007B6DAF"/>
    <w:rsid w:val="007C11CB"/>
    <w:rsid w:val="007C4ED4"/>
    <w:rsid w:val="007C5961"/>
    <w:rsid w:val="007D1633"/>
    <w:rsid w:val="007D2352"/>
    <w:rsid w:val="007D2680"/>
    <w:rsid w:val="007D3363"/>
    <w:rsid w:val="007D5A05"/>
    <w:rsid w:val="007D5F8C"/>
    <w:rsid w:val="007D70D0"/>
    <w:rsid w:val="007E07AE"/>
    <w:rsid w:val="007E0A27"/>
    <w:rsid w:val="007E1912"/>
    <w:rsid w:val="007E1F3B"/>
    <w:rsid w:val="007E2586"/>
    <w:rsid w:val="007E629F"/>
    <w:rsid w:val="007E79D7"/>
    <w:rsid w:val="007F139F"/>
    <w:rsid w:val="007F1BAD"/>
    <w:rsid w:val="007F2079"/>
    <w:rsid w:val="007F4CB5"/>
    <w:rsid w:val="007F4E31"/>
    <w:rsid w:val="007F5B75"/>
    <w:rsid w:val="007F6C2C"/>
    <w:rsid w:val="007F6D39"/>
    <w:rsid w:val="007F79CD"/>
    <w:rsid w:val="007F79F1"/>
    <w:rsid w:val="008002F6"/>
    <w:rsid w:val="00801062"/>
    <w:rsid w:val="008020E7"/>
    <w:rsid w:val="00803E96"/>
    <w:rsid w:val="00811174"/>
    <w:rsid w:val="00811B49"/>
    <w:rsid w:val="00813F9F"/>
    <w:rsid w:val="00814786"/>
    <w:rsid w:val="00814DCC"/>
    <w:rsid w:val="00815E48"/>
    <w:rsid w:val="00816811"/>
    <w:rsid w:val="00822041"/>
    <w:rsid w:val="00822759"/>
    <w:rsid w:val="00824DF6"/>
    <w:rsid w:val="00825C99"/>
    <w:rsid w:val="008327BE"/>
    <w:rsid w:val="00836759"/>
    <w:rsid w:val="00837F1E"/>
    <w:rsid w:val="00840EBB"/>
    <w:rsid w:val="008436F7"/>
    <w:rsid w:val="008444B0"/>
    <w:rsid w:val="0084571A"/>
    <w:rsid w:val="00846200"/>
    <w:rsid w:val="0085003A"/>
    <w:rsid w:val="00854918"/>
    <w:rsid w:val="008552D6"/>
    <w:rsid w:val="008610FE"/>
    <w:rsid w:val="00861A3B"/>
    <w:rsid w:val="00863261"/>
    <w:rsid w:val="00864639"/>
    <w:rsid w:val="008663EB"/>
    <w:rsid w:val="00867620"/>
    <w:rsid w:val="008703FF"/>
    <w:rsid w:val="00870881"/>
    <w:rsid w:val="0087125A"/>
    <w:rsid w:val="00872355"/>
    <w:rsid w:val="00872CB5"/>
    <w:rsid w:val="008738A0"/>
    <w:rsid w:val="00875B0E"/>
    <w:rsid w:val="00880B5D"/>
    <w:rsid w:val="008947F5"/>
    <w:rsid w:val="00894C91"/>
    <w:rsid w:val="008A299E"/>
    <w:rsid w:val="008A3887"/>
    <w:rsid w:val="008A3B8C"/>
    <w:rsid w:val="008A44E1"/>
    <w:rsid w:val="008A6C7F"/>
    <w:rsid w:val="008A7B7E"/>
    <w:rsid w:val="008B15D8"/>
    <w:rsid w:val="008B2AAF"/>
    <w:rsid w:val="008B33A7"/>
    <w:rsid w:val="008B3B5E"/>
    <w:rsid w:val="008B58F8"/>
    <w:rsid w:val="008B625F"/>
    <w:rsid w:val="008C05C3"/>
    <w:rsid w:val="008C27CE"/>
    <w:rsid w:val="008C4763"/>
    <w:rsid w:val="008C5E4E"/>
    <w:rsid w:val="008C626F"/>
    <w:rsid w:val="008D00D2"/>
    <w:rsid w:val="008D21DE"/>
    <w:rsid w:val="008D351A"/>
    <w:rsid w:val="008D3CA5"/>
    <w:rsid w:val="008D5FB8"/>
    <w:rsid w:val="008D7A28"/>
    <w:rsid w:val="008E0517"/>
    <w:rsid w:val="008E33A1"/>
    <w:rsid w:val="008E4092"/>
    <w:rsid w:val="008F11C8"/>
    <w:rsid w:val="008F29A1"/>
    <w:rsid w:val="008F66E7"/>
    <w:rsid w:val="0090300F"/>
    <w:rsid w:val="00903DE5"/>
    <w:rsid w:val="00910EAA"/>
    <w:rsid w:val="009129F1"/>
    <w:rsid w:val="00913BEB"/>
    <w:rsid w:val="00920965"/>
    <w:rsid w:val="009216B6"/>
    <w:rsid w:val="00924945"/>
    <w:rsid w:val="00924D28"/>
    <w:rsid w:val="00924D62"/>
    <w:rsid w:val="00930098"/>
    <w:rsid w:val="009332D3"/>
    <w:rsid w:val="00935328"/>
    <w:rsid w:val="00935401"/>
    <w:rsid w:val="00936B4D"/>
    <w:rsid w:val="009403CB"/>
    <w:rsid w:val="00941445"/>
    <w:rsid w:val="00944092"/>
    <w:rsid w:val="0094638F"/>
    <w:rsid w:val="009466A4"/>
    <w:rsid w:val="00946F37"/>
    <w:rsid w:val="00955B70"/>
    <w:rsid w:val="00957769"/>
    <w:rsid w:val="00957E32"/>
    <w:rsid w:val="009615E6"/>
    <w:rsid w:val="00961D34"/>
    <w:rsid w:val="009630F6"/>
    <w:rsid w:val="009643C6"/>
    <w:rsid w:val="00971726"/>
    <w:rsid w:val="00971D6F"/>
    <w:rsid w:val="00972DD8"/>
    <w:rsid w:val="00975A2D"/>
    <w:rsid w:val="009762C3"/>
    <w:rsid w:val="009809FC"/>
    <w:rsid w:val="0098299E"/>
    <w:rsid w:val="00982AA4"/>
    <w:rsid w:val="00982FBA"/>
    <w:rsid w:val="00984C2B"/>
    <w:rsid w:val="00984FFB"/>
    <w:rsid w:val="00985E6B"/>
    <w:rsid w:val="00986267"/>
    <w:rsid w:val="00986C25"/>
    <w:rsid w:val="009905F1"/>
    <w:rsid w:val="00991024"/>
    <w:rsid w:val="00993DFA"/>
    <w:rsid w:val="009A1C72"/>
    <w:rsid w:val="009A1DFB"/>
    <w:rsid w:val="009A3154"/>
    <w:rsid w:val="009A341F"/>
    <w:rsid w:val="009A34E5"/>
    <w:rsid w:val="009A389D"/>
    <w:rsid w:val="009A3BFF"/>
    <w:rsid w:val="009A647E"/>
    <w:rsid w:val="009A6621"/>
    <w:rsid w:val="009B13A0"/>
    <w:rsid w:val="009B2C8D"/>
    <w:rsid w:val="009B371B"/>
    <w:rsid w:val="009B7CBC"/>
    <w:rsid w:val="009C0F77"/>
    <w:rsid w:val="009C36F3"/>
    <w:rsid w:val="009C41D8"/>
    <w:rsid w:val="009C44C5"/>
    <w:rsid w:val="009C48C9"/>
    <w:rsid w:val="009D4A03"/>
    <w:rsid w:val="009E0CAE"/>
    <w:rsid w:val="009E269C"/>
    <w:rsid w:val="009E2750"/>
    <w:rsid w:val="009E42F7"/>
    <w:rsid w:val="009E4CC9"/>
    <w:rsid w:val="009E53C6"/>
    <w:rsid w:val="009E6B01"/>
    <w:rsid w:val="009F5E5D"/>
    <w:rsid w:val="009F77A2"/>
    <w:rsid w:val="00A00F54"/>
    <w:rsid w:val="00A01528"/>
    <w:rsid w:val="00A047C6"/>
    <w:rsid w:val="00A058D9"/>
    <w:rsid w:val="00A06C04"/>
    <w:rsid w:val="00A06D49"/>
    <w:rsid w:val="00A108BA"/>
    <w:rsid w:val="00A1291F"/>
    <w:rsid w:val="00A12C1B"/>
    <w:rsid w:val="00A13153"/>
    <w:rsid w:val="00A1387C"/>
    <w:rsid w:val="00A14CE0"/>
    <w:rsid w:val="00A15244"/>
    <w:rsid w:val="00A16EF0"/>
    <w:rsid w:val="00A22D49"/>
    <w:rsid w:val="00A25891"/>
    <w:rsid w:val="00A303CB"/>
    <w:rsid w:val="00A314DD"/>
    <w:rsid w:val="00A32AD4"/>
    <w:rsid w:val="00A33F59"/>
    <w:rsid w:val="00A346DD"/>
    <w:rsid w:val="00A36909"/>
    <w:rsid w:val="00A37905"/>
    <w:rsid w:val="00A37F61"/>
    <w:rsid w:val="00A40F01"/>
    <w:rsid w:val="00A42754"/>
    <w:rsid w:val="00A46E1B"/>
    <w:rsid w:val="00A474BF"/>
    <w:rsid w:val="00A47542"/>
    <w:rsid w:val="00A525F7"/>
    <w:rsid w:val="00A553F8"/>
    <w:rsid w:val="00A5586E"/>
    <w:rsid w:val="00A56ABF"/>
    <w:rsid w:val="00A5775A"/>
    <w:rsid w:val="00A64725"/>
    <w:rsid w:val="00A65462"/>
    <w:rsid w:val="00A700EF"/>
    <w:rsid w:val="00A72492"/>
    <w:rsid w:val="00A74C39"/>
    <w:rsid w:val="00A75868"/>
    <w:rsid w:val="00A76391"/>
    <w:rsid w:val="00A76E11"/>
    <w:rsid w:val="00A7772E"/>
    <w:rsid w:val="00A77BBF"/>
    <w:rsid w:val="00A80B27"/>
    <w:rsid w:val="00A8444F"/>
    <w:rsid w:val="00A86CE3"/>
    <w:rsid w:val="00A94175"/>
    <w:rsid w:val="00AA014E"/>
    <w:rsid w:val="00AA1561"/>
    <w:rsid w:val="00AA1E07"/>
    <w:rsid w:val="00AA33DA"/>
    <w:rsid w:val="00AA3F44"/>
    <w:rsid w:val="00AA4374"/>
    <w:rsid w:val="00AA58B0"/>
    <w:rsid w:val="00AA6389"/>
    <w:rsid w:val="00AA64E5"/>
    <w:rsid w:val="00AA6C06"/>
    <w:rsid w:val="00AB1454"/>
    <w:rsid w:val="00AB1727"/>
    <w:rsid w:val="00AB3133"/>
    <w:rsid w:val="00AB4E9F"/>
    <w:rsid w:val="00AC2B7E"/>
    <w:rsid w:val="00AC2F43"/>
    <w:rsid w:val="00AC451C"/>
    <w:rsid w:val="00AD1E10"/>
    <w:rsid w:val="00AD2EF1"/>
    <w:rsid w:val="00AD4BCC"/>
    <w:rsid w:val="00AD5A92"/>
    <w:rsid w:val="00AE02A2"/>
    <w:rsid w:val="00AE0B11"/>
    <w:rsid w:val="00AE2767"/>
    <w:rsid w:val="00AE340B"/>
    <w:rsid w:val="00AE3EC3"/>
    <w:rsid w:val="00AE41A0"/>
    <w:rsid w:val="00AE4F91"/>
    <w:rsid w:val="00AE5B4A"/>
    <w:rsid w:val="00AE6A72"/>
    <w:rsid w:val="00AF08E9"/>
    <w:rsid w:val="00AF0F8E"/>
    <w:rsid w:val="00AF12C3"/>
    <w:rsid w:val="00AF16A2"/>
    <w:rsid w:val="00AF3E34"/>
    <w:rsid w:val="00B00C4C"/>
    <w:rsid w:val="00B03E87"/>
    <w:rsid w:val="00B063E2"/>
    <w:rsid w:val="00B07EF4"/>
    <w:rsid w:val="00B11517"/>
    <w:rsid w:val="00B12B0E"/>
    <w:rsid w:val="00B254AD"/>
    <w:rsid w:val="00B305F0"/>
    <w:rsid w:val="00B30901"/>
    <w:rsid w:val="00B30C5E"/>
    <w:rsid w:val="00B324DC"/>
    <w:rsid w:val="00B339C4"/>
    <w:rsid w:val="00B40E79"/>
    <w:rsid w:val="00B4215E"/>
    <w:rsid w:val="00B46108"/>
    <w:rsid w:val="00B4610A"/>
    <w:rsid w:val="00B46E4C"/>
    <w:rsid w:val="00B50183"/>
    <w:rsid w:val="00B51419"/>
    <w:rsid w:val="00B51B74"/>
    <w:rsid w:val="00B52247"/>
    <w:rsid w:val="00B54301"/>
    <w:rsid w:val="00B56876"/>
    <w:rsid w:val="00B61E79"/>
    <w:rsid w:val="00B6203D"/>
    <w:rsid w:val="00B635A4"/>
    <w:rsid w:val="00B649F9"/>
    <w:rsid w:val="00B66203"/>
    <w:rsid w:val="00B67538"/>
    <w:rsid w:val="00B70699"/>
    <w:rsid w:val="00B740D8"/>
    <w:rsid w:val="00B74FCA"/>
    <w:rsid w:val="00B77E16"/>
    <w:rsid w:val="00B80C2A"/>
    <w:rsid w:val="00B8174F"/>
    <w:rsid w:val="00B81B08"/>
    <w:rsid w:val="00B842A4"/>
    <w:rsid w:val="00B85EBA"/>
    <w:rsid w:val="00B86D74"/>
    <w:rsid w:val="00B86D95"/>
    <w:rsid w:val="00B86DE1"/>
    <w:rsid w:val="00B90481"/>
    <w:rsid w:val="00B90D08"/>
    <w:rsid w:val="00B91F2F"/>
    <w:rsid w:val="00B91F34"/>
    <w:rsid w:val="00B922F0"/>
    <w:rsid w:val="00B935C1"/>
    <w:rsid w:val="00B950D8"/>
    <w:rsid w:val="00B951CE"/>
    <w:rsid w:val="00B951EB"/>
    <w:rsid w:val="00BA0E9E"/>
    <w:rsid w:val="00BA43D6"/>
    <w:rsid w:val="00BB04A6"/>
    <w:rsid w:val="00BB07D7"/>
    <w:rsid w:val="00BB0B64"/>
    <w:rsid w:val="00BB1851"/>
    <w:rsid w:val="00BB383A"/>
    <w:rsid w:val="00BB5F01"/>
    <w:rsid w:val="00BB60A5"/>
    <w:rsid w:val="00BC0336"/>
    <w:rsid w:val="00BC0433"/>
    <w:rsid w:val="00BC432F"/>
    <w:rsid w:val="00BC4D3E"/>
    <w:rsid w:val="00BC660B"/>
    <w:rsid w:val="00BC759D"/>
    <w:rsid w:val="00BC7745"/>
    <w:rsid w:val="00BC7AB6"/>
    <w:rsid w:val="00BD0D3E"/>
    <w:rsid w:val="00BD1202"/>
    <w:rsid w:val="00BD2319"/>
    <w:rsid w:val="00BD27F8"/>
    <w:rsid w:val="00BD3F2E"/>
    <w:rsid w:val="00BD4CEC"/>
    <w:rsid w:val="00BD6AC0"/>
    <w:rsid w:val="00BD7ADC"/>
    <w:rsid w:val="00BD7DAB"/>
    <w:rsid w:val="00BE1761"/>
    <w:rsid w:val="00BE3414"/>
    <w:rsid w:val="00BE3893"/>
    <w:rsid w:val="00BE3F28"/>
    <w:rsid w:val="00BE3F2B"/>
    <w:rsid w:val="00BE5310"/>
    <w:rsid w:val="00BF05A8"/>
    <w:rsid w:val="00BF1551"/>
    <w:rsid w:val="00BF36B3"/>
    <w:rsid w:val="00C00CFE"/>
    <w:rsid w:val="00C02CEF"/>
    <w:rsid w:val="00C049FB"/>
    <w:rsid w:val="00C07B82"/>
    <w:rsid w:val="00C10469"/>
    <w:rsid w:val="00C1172E"/>
    <w:rsid w:val="00C12AB9"/>
    <w:rsid w:val="00C15A30"/>
    <w:rsid w:val="00C15EAF"/>
    <w:rsid w:val="00C174AA"/>
    <w:rsid w:val="00C21A63"/>
    <w:rsid w:val="00C23477"/>
    <w:rsid w:val="00C24A58"/>
    <w:rsid w:val="00C2588C"/>
    <w:rsid w:val="00C2652A"/>
    <w:rsid w:val="00C265DE"/>
    <w:rsid w:val="00C269F1"/>
    <w:rsid w:val="00C30159"/>
    <w:rsid w:val="00C30D3B"/>
    <w:rsid w:val="00C31A5D"/>
    <w:rsid w:val="00C33661"/>
    <w:rsid w:val="00C3740F"/>
    <w:rsid w:val="00C40581"/>
    <w:rsid w:val="00C43985"/>
    <w:rsid w:val="00C44288"/>
    <w:rsid w:val="00C4440A"/>
    <w:rsid w:val="00C464DA"/>
    <w:rsid w:val="00C50B1C"/>
    <w:rsid w:val="00C510AB"/>
    <w:rsid w:val="00C5216E"/>
    <w:rsid w:val="00C5279E"/>
    <w:rsid w:val="00C534E1"/>
    <w:rsid w:val="00C53812"/>
    <w:rsid w:val="00C54017"/>
    <w:rsid w:val="00C550FD"/>
    <w:rsid w:val="00C5672F"/>
    <w:rsid w:val="00C57BD2"/>
    <w:rsid w:val="00C60722"/>
    <w:rsid w:val="00C6367C"/>
    <w:rsid w:val="00C6598C"/>
    <w:rsid w:val="00C66C47"/>
    <w:rsid w:val="00C71231"/>
    <w:rsid w:val="00C718CD"/>
    <w:rsid w:val="00C73150"/>
    <w:rsid w:val="00C744C9"/>
    <w:rsid w:val="00C75102"/>
    <w:rsid w:val="00C817D6"/>
    <w:rsid w:val="00C82D0C"/>
    <w:rsid w:val="00C83D13"/>
    <w:rsid w:val="00C85275"/>
    <w:rsid w:val="00C90B7F"/>
    <w:rsid w:val="00C90F39"/>
    <w:rsid w:val="00C91DE7"/>
    <w:rsid w:val="00C92095"/>
    <w:rsid w:val="00C92515"/>
    <w:rsid w:val="00C94E2D"/>
    <w:rsid w:val="00C95BCB"/>
    <w:rsid w:val="00C95BFF"/>
    <w:rsid w:val="00C9732C"/>
    <w:rsid w:val="00C974D4"/>
    <w:rsid w:val="00CB0E1E"/>
    <w:rsid w:val="00CB2555"/>
    <w:rsid w:val="00CB5C32"/>
    <w:rsid w:val="00CB5CD3"/>
    <w:rsid w:val="00CB5E57"/>
    <w:rsid w:val="00CB7A6F"/>
    <w:rsid w:val="00CC5999"/>
    <w:rsid w:val="00CC620E"/>
    <w:rsid w:val="00CC723C"/>
    <w:rsid w:val="00CC75F9"/>
    <w:rsid w:val="00CC7750"/>
    <w:rsid w:val="00CD09A4"/>
    <w:rsid w:val="00CD0E65"/>
    <w:rsid w:val="00CD10F7"/>
    <w:rsid w:val="00CD409D"/>
    <w:rsid w:val="00CD4B38"/>
    <w:rsid w:val="00CD53ED"/>
    <w:rsid w:val="00CD582C"/>
    <w:rsid w:val="00CD74C7"/>
    <w:rsid w:val="00CE0F85"/>
    <w:rsid w:val="00CE119C"/>
    <w:rsid w:val="00CE3EAA"/>
    <w:rsid w:val="00CE577D"/>
    <w:rsid w:val="00CE670D"/>
    <w:rsid w:val="00CF2721"/>
    <w:rsid w:val="00CF456C"/>
    <w:rsid w:val="00CF5DEB"/>
    <w:rsid w:val="00CF72E9"/>
    <w:rsid w:val="00CF74E2"/>
    <w:rsid w:val="00D00D7E"/>
    <w:rsid w:val="00D02D5E"/>
    <w:rsid w:val="00D0330D"/>
    <w:rsid w:val="00D03C0F"/>
    <w:rsid w:val="00D04E11"/>
    <w:rsid w:val="00D1010A"/>
    <w:rsid w:val="00D1391B"/>
    <w:rsid w:val="00D1624F"/>
    <w:rsid w:val="00D20A66"/>
    <w:rsid w:val="00D21777"/>
    <w:rsid w:val="00D225B0"/>
    <w:rsid w:val="00D22854"/>
    <w:rsid w:val="00D23836"/>
    <w:rsid w:val="00D241E2"/>
    <w:rsid w:val="00D26A8F"/>
    <w:rsid w:val="00D325D0"/>
    <w:rsid w:val="00D33951"/>
    <w:rsid w:val="00D36B44"/>
    <w:rsid w:val="00D37DB1"/>
    <w:rsid w:val="00D405FC"/>
    <w:rsid w:val="00D42384"/>
    <w:rsid w:val="00D42875"/>
    <w:rsid w:val="00D43896"/>
    <w:rsid w:val="00D45C5F"/>
    <w:rsid w:val="00D50EF0"/>
    <w:rsid w:val="00D538B5"/>
    <w:rsid w:val="00D54B4A"/>
    <w:rsid w:val="00D55C02"/>
    <w:rsid w:val="00D56BB9"/>
    <w:rsid w:val="00D61C25"/>
    <w:rsid w:val="00D62CC9"/>
    <w:rsid w:val="00D64DEC"/>
    <w:rsid w:val="00D65B96"/>
    <w:rsid w:val="00D6645A"/>
    <w:rsid w:val="00D707B3"/>
    <w:rsid w:val="00D71F7F"/>
    <w:rsid w:val="00D744AC"/>
    <w:rsid w:val="00D75179"/>
    <w:rsid w:val="00D7724D"/>
    <w:rsid w:val="00D77EAE"/>
    <w:rsid w:val="00D83353"/>
    <w:rsid w:val="00D84790"/>
    <w:rsid w:val="00D936AC"/>
    <w:rsid w:val="00D93F71"/>
    <w:rsid w:val="00D943DC"/>
    <w:rsid w:val="00D94910"/>
    <w:rsid w:val="00D952E7"/>
    <w:rsid w:val="00DA0EE7"/>
    <w:rsid w:val="00DA1178"/>
    <w:rsid w:val="00DA1853"/>
    <w:rsid w:val="00DA2B4C"/>
    <w:rsid w:val="00DA33DB"/>
    <w:rsid w:val="00DA39C5"/>
    <w:rsid w:val="00DA672A"/>
    <w:rsid w:val="00DA708A"/>
    <w:rsid w:val="00DA7117"/>
    <w:rsid w:val="00DB1167"/>
    <w:rsid w:val="00DB26FB"/>
    <w:rsid w:val="00DB2CEA"/>
    <w:rsid w:val="00DB51B3"/>
    <w:rsid w:val="00DB5E0F"/>
    <w:rsid w:val="00DC0FBB"/>
    <w:rsid w:val="00DC12BC"/>
    <w:rsid w:val="00DC15ED"/>
    <w:rsid w:val="00DC2299"/>
    <w:rsid w:val="00DC23FC"/>
    <w:rsid w:val="00DC27B0"/>
    <w:rsid w:val="00DC3704"/>
    <w:rsid w:val="00DC4350"/>
    <w:rsid w:val="00DC513A"/>
    <w:rsid w:val="00DC6175"/>
    <w:rsid w:val="00DC637B"/>
    <w:rsid w:val="00DC6EA0"/>
    <w:rsid w:val="00DC770C"/>
    <w:rsid w:val="00DD0F99"/>
    <w:rsid w:val="00DD1090"/>
    <w:rsid w:val="00DD30B2"/>
    <w:rsid w:val="00DD3438"/>
    <w:rsid w:val="00DD5C2C"/>
    <w:rsid w:val="00DD78C8"/>
    <w:rsid w:val="00DE0043"/>
    <w:rsid w:val="00DE0A4B"/>
    <w:rsid w:val="00DE7474"/>
    <w:rsid w:val="00DF0EB0"/>
    <w:rsid w:val="00DF2577"/>
    <w:rsid w:val="00DF6FFD"/>
    <w:rsid w:val="00DF7F37"/>
    <w:rsid w:val="00E027E8"/>
    <w:rsid w:val="00E05220"/>
    <w:rsid w:val="00E06871"/>
    <w:rsid w:val="00E075CE"/>
    <w:rsid w:val="00E1041B"/>
    <w:rsid w:val="00E13512"/>
    <w:rsid w:val="00E2010C"/>
    <w:rsid w:val="00E2042C"/>
    <w:rsid w:val="00E21BD0"/>
    <w:rsid w:val="00E21E4A"/>
    <w:rsid w:val="00E26609"/>
    <w:rsid w:val="00E33744"/>
    <w:rsid w:val="00E33CA9"/>
    <w:rsid w:val="00E36ACB"/>
    <w:rsid w:val="00E3714A"/>
    <w:rsid w:val="00E37174"/>
    <w:rsid w:val="00E404D6"/>
    <w:rsid w:val="00E40793"/>
    <w:rsid w:val="00E412E8"/>
    <w:rsid w:val="00E41677"/>
    <w:rsid w:val="00E42527"/>
    <w:rsid w:val="00E430A3"/>
    <w:rsid w:val="00E466E5"/>
    <w:rsid w:val="00E47A88"/>
    <w:rsid w:val="00E54306"/>
    <w:rsid w:val="00E60808"/>
    <w:rsid w:val="00E6094F"/>
    <w:rsid w:val="00E618D5"/>
    <w:rsid w:val="00E62D7E"/>
    <w:rsid w:val="00E640D2"/>
    <w:rsid w:val="00E64C44"/>
    <w:rsid w:val="00E67F80"/>
    <w:rsid w:val="00E71FFF"/>
    <w:rsid w:val="00E73ECC"/>
    <w:rsid w:val="00E749D4"/>
    <w:rsid w:val="00E758A1"/>
    <w:rsid w:val="00E765CD"/>
    <w:rsid w:val="00E7721C"/>
    <w:rsid w:val="00E77426"/>
    <w:rsid w:val="00E77B0B"/>
    <w:rsid w:val="00E82446"/>
    <w:rsid w:val="00E82977"/>
    <w:rsid w:val="00E838BE"/>
    <w:rsid w:val="00E84324"/>
    <w:rsid w:val="00E858E0"/>
    <w:rsid w:val="00E97680"/>
    <w:rsid w:val="00E97CA3"/>
    <w:rsid w:val="00EA05C9"/>
    <w:rsid w:val="00EA24C3"/>
    <w:rsid w:val="00EA429E"/>
    <w:rsid w:val="00EA6AE2"/>
    <w:rsid w:val="00EB034D"/>
    <w:rsid w:val="00EB16CF"/>
    <w:rsid w:val="00EB21C9"/>
    <w:rsid w:val="00EB2EE9"/>
    <w:rsid w:val="00EB3216"/>
    <w:rsid w:val="00EB3A2B"/>
    <w:rsid w:val="00EB6539"/>
    <w:rsid w:val="00EB6697"/>
    <w:rsid w:val="00EC0703"/>
    <w:rsid w:val="00EC401B"/>
    <w:rsid w:val="00EC5B15"/>
    <w:rsid w:val="00ED316F"/>
    <w:rsid w:val="00ED47EC"/>
    <w:rsid w:val="00ED709C"/>
    <w:rsid w:val="00ED7456"/>
    <w:rsid w:val="00ED7F42"/>
    <w:rsid w:val="00EE1262"/>
    <w:rsid w:val="00EE265E"/>
    <w:rsid w:val="00EE280D"/>
    <w:rsid w:val="00EE385A"/>
    <w:rsid w:val="00EE6872"/>
    <w:rsid w:val="00EE6E7C"/>
    <w:rsid w:val="00EF4A8B"/>
    <w:rsid w:val="00EF64BE"/>
    <w:rsid w:val="00EF6CF6"/>
    <w:rsid w:val="00F00978"/>
    <w:rsid w:val="00F05E94"/>
    <w:rsid w:val="00F07317"/>
    <w:rsid w:val="00F106B7"/>
    <w:rsid w:val="00F10F26"/>
    <w:rsid w:val="00F112A8"/>
    <w:rsid w:val="00F122C0"/>
    <w:rsid w:val="00F134C8"/>
    <w:rsid w:val="00F13AD1"/>
    <w:rsid w:val="00F14A72"/>
    <w:rsid w:val="00F15458"/>
    <w:rsid w:val="00F1592D"/>
    <w:rsid w:val="00F17918"/>
    <w:rsid w:val="00F21976"/>
    <w:rsid w:val="00F23E06"/>
    <w:rsid w:val="00F27836"/>
    <w:rsid w:val="00F27FC0"/>
    <w:rsid w:val="00F304F2"/>
    <w:rsid w:val="00F31B40"/>
    <w:rsid w:val="00F34894"/>
    <w:rsid w:val="00F416BF"/>
    <w:rsid w:val="00F441F1"/>
    <w:rsid w:val="00F44AE4"/>
    <w:rsid w:val="00F454DA"/>
    <w:rsid w:val="00F45600"/>
    <w:rsid w:val="00F458BE"/>
    <w:rsid w:val="00F45A03"/>
    <w:rsid w:val="00F470D4"/>
    <w:rsid w:val="00F47218"/>
    <w:rsid w:val="00F51F39"/>
    <w:rsid w:val="00F52DDA"/>
    <w:rsid w:val="00F551FA"/>
    <w:rsid w:val="00F55396"/>
    <w:rsid w:val="00F575A4"/>
    <w:rsid w:val="00F604BA"/>
    <w:rsid w:val="00F614A1"/>
    <w:rsid w:val="00F63151"/>
    <w:rsid w:val="00F65203"/>
    <w:rsid w:val="00F72194"/>
    <w:rsid w:val="00F72B0C"/>
    <w:rsid w:val="00F72FD4"/>
    <w:rsid w:val="00F7357D"/>
    <w:rsid w:val="00F75BEE"/>
    <w:rsid w:val="00F82848"/>
    <w:rsid w:val="00F83B09"/>
    <w:rsid w:val="00F86251"/>
    <w:rsid w:val="00F92CFC"/>
    <w:rsid w:val="00F93DAF"/>
    <w:rsid w:val="00F96518"/>
    <w:rsid w:val="00F970BE"/>
    <w:rsid w:val="00FA0A87"/>
    <w:rsid w:val="00FA2822"/>
    <w:rsid w:val="00FA59F5"/>
    <w:rsid w:val="00FA791F"/>
    <w:rsid w:val="00FB396D"/>
    <w:rsid w:val="00FB53E2"/>
    <w:rsid w:val="00FC29A4"/>
    <w:rsid w:val="00FC5A8C"/>
    <w:rsid w:val="00FD03FA"/>
    <w:rsid w:val="00FD15C5"/>
    <w:rsid w:val="00FD2D0B"/>
    <w:rsid w:val="00FD4218"/>
    <w:rsid w:val="00FD5775"/>
    <w:rsid w:val="00FD5BEE"/>
    <w:rsid w:val="00FD6AEE"/>
    <w:rsid w:val="00FD7913"/>
    <w:rsid w:val="00FE2956"/>
    <w:rsid w:val="00FE2CC8"/>
    <w:rsid w:val="00FE2F96"/>
    <w:rsid w:val="00FE452F"/>
    <w:rsid w:val="00FE50E9"/>
    <w:rsid w:val="00FE61B8"/>
    <w:rsid w:val="00FE71F0"/>
    <w:rsid w:val="00FF0A58"/>
    <w:rsid w:val="00FF2742"/>
    <w:rsid w:val="00FF42E8"/>
    <w:rsid w:val="00FF4B84"/>
    <w:rsid w:val="00FF504D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595E53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595E53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ithub.com/italia/covid19-opendata-vaccini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21" Type="http://schemas.openxmlformats.org/officeDocument/2006/relationships/footer" Target="footer1.xml"/><Relationship Id="rId34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ufficio.stampa@gimbe.org" TargetMode="External"/><Relationship Id="rId20" Type="http://schemas.openxmlformats.org/officeDocument/2006/relationships/header" Target="header2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ithub.com/italia/covid19-opendata-vaccini" TargetMode="External"/><Relationship Id="rId24" Type="http://schemas.openxmlformats.org/officeDocument/2006/relationships/footer" Target="footer3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https://coronavirus.gimbe.org" TargetMode="External"/><Relationship Id="rId23" Type="http://schemas.openxmlformats.org/officeDocument/2006/relationships/header" Target="header3.xm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hyperlink" Target="https://www.trovanorme.salute.gov.it/norme/renderNormsanPdf?anno=2021&amp;codLeg=83176&amp;parte=1%20&amp;serie=null" TargetMode="External"/><Relationship Id="rId19" Type="http://schemas.openxmlformats.org/officeDocument/2006/relationships/header" Target="header1.xml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www.normativasanitaria.it/jsp/dettaglio.jsp?id=82953" TargetMode="External"/><Relationship Id="rId14" Type="http://schemas.openxmlformats.org/officeDocument/2006/relationships/image" Target="media/image2.png"/><Relationship Id="rId22" Type="http://schemas.openxmlformats.org/officeDocument/2006/relationships/footer" Target="footer2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254A5-07BD-4D98-993F-292FBF557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2045</Words>
  <Characters>11662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Nino Cartabellotta</cp:lastModifiedBy>
  <cp:revision>3</cp:revision>
  <cp:lastPrinted>2021-10-13T10:29:00Z</cp:lastPrinted>
  <dcterms:created xsi:type="dcterms:W3CDTF">2021-10-14T06:25:00Z</dcterms:created>
  <dcterms:modified xsi:type="dcterms:W3CDTF">2021-10-14T06:26:00Z</dcterms:modified>
</cp:coreProperties>
</file>