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682B" w:rsidRPr="00234B97" w:rsidRDefault="00CE577D">
      <w:pPr>
        <w:spacing w:after="0"/>
        <w:jc w:val="center"/>
        <w:rPr>
          <w:b/>
          <w:bCs/>
          <w:color w:val="auto"/>
          <w:sz w:val="32"/>
          <w:szCs w:val="32"/>
        </w:rPr>
      </w:pPr>
      <w:r w:rsidRPr="00234B97">
        <w:rPr>
          <w:b/>
          <w:bCs/>
          <w:color w:val="auto"/>
          <w:sz w:val="32"/>
          <w:szCs w:val="32"/>
        </w:rPr>
        <w:t>COMUNICATO STAMPA</w:t>
      </w:r>
    </w:p>
    <w:p w:rsidR="00F1592D" w:rsidRDefault="00CE577D">
      <w:pPr>
        <w:spacing w:after="0"/>
        <w:jc w:val="center"/>
        <w:rPr>
          <w:b/>
          <w:bCs/>
          <w:color w:val="auto"/>
          <w:sz w:val="32"/>
          <w:szCs w:val="32"/>
        </w:rPr>
      </w:pPr>
      <w:r w:rsidRPr="00234B97">
        <w:rPr>
          <w:b/>
          <w:bCs/>
          <w:color w:val="auto"/>
          <w:sz w:val="32"/>
          <w:szCs w:val="32"/>
        </w:rPr>
        <w:t>CORONAVIRUS</w:t>
      </w:r>
      <w:r w:rsidR="00485811" w:rsidRPr="00234B97">
        <w:rPr>
          <w:b/>
          <w:bCs/>
          <w:color w:val="auto"/>
          <w:sz w:val="32"/>
          <w:szCs w:val="32"/>
        </w:rPr>
        <w:t>:</w:t>
      </w:r>
      <w:r w:rsidR="00420736" w:rsidRPr="00234B97">
        <w:rPr>
          <w:b/>
          <w:bCs/>
          <w:color w:val="auto"/>
          <w:sz w:val="32"/>
          <w:szCs w:val="32"/>
        </w:rPr>
        <w:t xml:space="preserve"> </w:t>
      </w:r>
      <w:r w:rsidR="00F1592D" w:rsidRPr="00F1592D">
        <w:rPr>
          <w:b/>
          <w:bCs/>
          <w:color w:val="auto"/>
          <w:sz w:val="32"/>
          <w:szCs w:val="32"/>
        </w:rPr>
        <w:t xml:space="preserve">SCENDONO </w:t>
      </w:r>
      <w:r w:rsidR="00AE41A0">
        <w:rPr>
          <w:b/>
          <w:bCs/>
          <w:color w:val="auto"/>
          <w:sz w:val="32"/>
          <w:szCs w:val="32"/>
        </w:rPr>
        <w:t xml:space="preserve">NUOVI CASI (-14,7%), </w:t>
      </w:r>
      <w:r w:rsidR="00F1592D" w:rsidRPr="00F1592D">
        <w:rPr>
          <w:b/>
          <w:bCs/>
          <w:color w:val="auto"/>
          <w:sz w:val="32"/>
          <w:szCs w:val="32"/>
        </w:rPr>
        <w:t>RICOVERI ORDINARI (-3,3%) E TERAPIE INTENSIVE (-1,6%)</w:t>
      </w:r>
      <w:r w:rsidR="000D5B61">
        <w:rPr>
          <w:b/>
          <w:bCs/>
          <w:color w:val="auto"/>
          <w:sz w:val="32"/>
          <w:szCs w:val="32"/>
        </w:rPr>
        <w:t>;</w:t>
      </w:r>
      <w:r w:rsidR="00B6203D">
        <w:rPr>
          <w:b/>
          <w:bCs/>
          <w:color w:val="auto"/>
          <w:sz w:val="32"/>
          <w:szCs w:val="32"/>
        </w:rPr>
        <w:t xml:space="preserve"> IN OSPEDALE QUASI ESCLUSIVAMENTE PERSONE NON VACCINATE</w:t>
      </w:r>
      <w:r w:rsidR="008B2AAF">
        <w:rPr>
          <w:b/>
          <w:bCs/>
          <w:color w:val="auto"/>
          <w:sz w:val="32"/>
          <w:szCs w:val="32"/>
        </w:rPr>
        <w:t xml:space="preserve"> </w:t>
      </w:r>
    </w:p>
    <w:p w:rsidR="00777916" w:rsidRPr="00234B97" w:rsidRDefault="00777916" w:rsidP="00ED709C">
      <w:pPr>
        <w:spacing w:after="0" w:line="276" w:lineRule="auto"/>
        <w:jc w:val="center"/>
        <w:rPr>
          <w:b/>
          <w:bCs/>
          <w:color w:val="auto"/>
          <w:sz w:val="32"/>
          <w:szCs w:val="32"/>
        </w:rPr>
      </w:pPr>
      <w:r w:rsidRPr="00234B97">
        <w:rPr>
          <w:b/>
          <w:bCs/>
          <w:color w:val="auto"/>
          <w:sz w:val="32"/>
          <w:szCs w:val="32"/>
        </w:rPr>
        <w:t>VACCIN</w:t>
      </w:r>
      <w:r w:rsidR="009403CB" w:rsidRPr="00234B97">
        <w:rPr>
          <w:b/>
          <w:bCs/>
          <w:color w:val="auto"/>
          <w:sz w:val="32"/>
          <w:szCs w:val="32"/>
        </w:rPr>
        <w:t>I</w:t>
      </w:r>
      <w:r w:rsidRPr="00234B97">
        <w:rPr>
          <w:b/>
          <w:bCs/>
          <w:color w:val="auto"/>
          <w:sz w:val="32"/>
          <w:szCs w:val="32"/>
        </w:rPr>
        <w:t xml:space="preserve">: </w:t>
      </w:r>
      <w:r w:rsidR="009332D3" w:rsidRPr="00234B97">
        <w:rPr>
          <w:b/>
          <w:bCs/>
          <w:color w:val="auto"/>
          <w:sz w:val="32"/>
          <w:szCs w:val="32"/>
        </w:rPr>
        <w:t xml:space="preserve">10 </w:t>
      </w:r>
      <w:r w:rsidR="0058585F" w:rsidRPr="00234B97">
        <w:rPr>
          <w:b/>
          <w:bCs/>
          <w:color w:val="auto"/>
          <w:sz w:val="32"/>
          <w:szCs w:val="32"/>
        </w:rPr>
        <w:t>M</w:t>
      </w:r>
      <w:r w:rsidR="0058585F">
        <w:rPr>
          <w:b/>
          <w:bCs/>
          <w:color w:val="auto"/>
          <w:sz w:val="32"/>
          <w:szCs w:val="32"/>
        </w:rPr>
        <w:t xml:space="preserve">ILIONI </w:t>
      </w:r>
      <w:r w:rsidR="009332D3" w:rsidRPr="00234B97">
        <w:rPr>
          <w:b/>
          <w:bCs/>
          <w:color w:val="auto"/>
          <w:sz w:val="32"/>
          <w:szCs w:val="32"/>
        </w:rPr>
        <w:t>DI DOSI</w:t>
      </w:r>
      <w:r w:rsidR="00C91DE7">
        <w:rPr>
          <w:b/>
          <w:bCs/>
          <w:color w:val="auto"/>
          <w:sz w:val="32"/>
          <w:szCs w:val="32"/>
        </w:rPr>
        <w:t xml:space="preserve"> IN FRIGO </w:t>
      </w:r>
      <w:r w:rsidR="00AE41A0">
        <w:rPr>
          <w:b/>
          <w:bCs/>
          <w:color w:val="auto"/>
          <w:sz w:val="32"/>
          <w:szCs w:val="32"/>
        </w:rPr>
        <w:t xml:space="preserve">E </w:t>
      </w:r>
      <w:r w:rsidR="00302774">
        <w:rPr>
          <w:b/>
          <w:bCs/>
          <w:color w:val="auto"/>
          <w:sz w:val="32"/>
          <w:szCs w:val="32"/>
        </w:rPr>
        <w:t xml:space="preserve">ANCORA </w:t>
      </w:r>
      <w:r w:rsidR="00C91DE7">
        <w:rPr>
          <w:b/>
          <w:bCs/>
          <w:color w:val="auto"/>
          <w:sz w:val="32"/>
          <w:szCs w:val="32"/>
        </w:rPr>
        <w:t xml:space="preserve">OLTRE 3 </w:t>
      </w:r>
      <w:r w:rsidR="0058585F">
        <w:rPr>
          <w:b/>
          <w:bCs/>
          <w:color w:val="auto"/>
          <w:sz w:val="32"/>
          <w:szCs w:val="32"/>
        </w:rPr>
        <w:t xml:space="preserve">MILIONI </w:t>
      </w:r>
      <w:r w:rsidR="00C91DE7">
        <w:rPr>
          <w:b/>
          <w:bCs/>
          <w:color w:val="auto"/>
          <w:sz w:val="32"/>
          <w:szCs w:val="32"/>
        </w:rPr>
        <w:t xml:space="preserve">DI OVER 50 SENZA </w:t>
      </w:r>
      <w:r w:rsidR="0058585F">
        <w:rPr>
          <w:b/>
          <w:bCs/>
          <w:color w:val="auto"/>
          <w:sz w:val="32"/>
          <w:szCs w:val="32"/>
        </w:rPr>
        <w:t>ALCUNA COPERTURA</w:t>
      </w:r>
    </w:p>
    <w:p w:rsidR="00777916" w:rsidRPr="00234B97" w:rsidRDefault="00B6203D" w:rsidP="00741B18">
      <w:pPr>
        <w:spacing w:after="0" w:line="276" w:lineRule="auto"/>
        <w:jc w:val="center"/>
        <w:rPr>
          <w:b/>
          <w:bCs/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>“</w:t>
      </w:r>
      <w:r w:rsidR="00BB5F01">
        <w:rPr>
          <w:b/>
          <w:bCs/>
          <w:color w:val="auto"/>
          <w:sz w:val="32"/>
          <w:szCs w:val="32"/>
        </w:rPr>
        <w:t>CURE DOMICILIARI</w:t>
      </w:r>
      <w:r>
        <w:rPr>
          <w:b/>
          <w:bCs/>
          <w:color w:val="auto"/>
          <w:sz w:val="32"/>
          <w:szCs w:val="32"/>
        </w:rPr>
        <w:t>”</w:t>
      </w:r>
      <w:r w:rsidR="00BB5F01">
        <w:rPr>
          <w:b/>
          <w:bCs/>
          <w:color w:val="auto"/>
          <w:sz w:val="32"/>
          <w:szCs w:val="32"/>
        </w:rPr>
        <w:t>:</w:t>
      </w:r>
      <w:r w:rsidR="006E4555">
        <w:rPr>
          <w:b/>
          <w:bCs/>
          <w:color w:val="auto"/>
          <w:sz w:val="32"/>
          <w:szCs w:val="32"/>
        </w:rPr>
        <w:t xml:space="preserve"> </w:t>
      </w:r>
      <w:r w:rsidR="00935328">
        <w:rPr>
          <w:b/>
          <w:bCs/>
          <w:color w:val="auto"/>
          <w:sz w:val="32"/>
          <w:szCs w:val="32"/>
        </w:rPr>
        <w:t xml:space="preserve">LA </w:t>
      </w:r>
      <w:r w:rsidR="00935328" w:rsidRPr="00935328">
        <w:rPr>
          <w:b/>
          <w:bCs/>
          <w:color w:val="auto"/>
          <w:sz w:val="32"/>
          <w:szCs w:val="32"/>
        </w:rPr>
        <w:t xml:space="preserve">DISINFORMAZIONE PUBBLICA </w:t>
      </w:r>
      <w:r w:rsidR="00302774">
        <w:rPr>
          <w:b/>
          <w:bCs/>
          <w:color w:val="auto"/>
          <w:sz w:val="32"/>
          <w:szCs w:val="32"/>
        </w:rPr>
        <w:t>CONFONDE</w:t>
      </w:r>
      <w:r w:rsidR="00935328">
        <w:rPr>
          <w:b/>
          <w:bCs/>
          <w:color w:val="auto"/>
          <w:sz w:val="32"/>
          <w:szCs w:val="32"/>
        </w:rPr>
        <w:br/>
      </w:r>
      <w:r w:rsidR="00935328" w:rsidRPr="00935328">
        <w:rPr>
          <w:b/>
          <w:bCs/>
          <w:color w:val="auto"/>
          <w:sz w:val="32"/>
          <w:szCs w:val="32"/>
        </w:rPr>
        <w:t>LE PERSONE E DANNEGGIA LA SALUTE</w:t>
      </w:r>
    </w:p>
    <w:p w:rsidR="00935328" w:rsidRDefault="00CE577D" w:rsidP="00777916">
      <w:pPr>
        <w:spacing w:after="0" w:line="276" w:lineRule="auto"/>
        <w:jc w:val="both"/>
        <w:rPr>
          <w:b/>
          <w:bCs/>
          <w:color w:val="auto"/>
          <w:sz w:val="24"/>
          <w:szCs w:val="24"/>
        </w:rPr>
      </w:pPr>
      <w:r w:rsidRPr="00234B97">
        <w:rPr>
          <w:b/>
          <w:bCs/>
          <w:color w:val="auto"/>
          <w:sz w:val="24"/>
          <w:szCs w:val="24"/>
        </w:rPr>
        <w:t xml:space="preserve">IL MONITORAGGIO DELLA FONDAZIONE GIMBE, NELLA SETTIMANA </w:t>
      </w:r>
      <w:r w:rsidR="00653A32" w:rsidRPr="00234B97">
        <w:rPr>
          <w:b/>
          <w:bCs/>
          <w:color w:val="auto"/>
          <w:sz w:val="24"/>
          <w:szCs w:val="24"/>
        </w:rPr>
        <w:t>8</w:t>
      </w:r>
      <w:r w:rsidR="00115B80" w:rsidRPr="00234B97">
        <w:rPr>
          <w:b/>
          <w:bCs/>
          <w:color w:val="auto"/>
          <w:sz w:val="24"/>
          <w:szCs w:val="24"/>
        </w:rPr>
        <w:t>-</w:t>
      </w:r>
      <w:r w:rsidR="00984C2B" w:rsidRPr="00234B97">
        <w:rPr>
          <w:b/>
          <w:bCs/>
          <w:color w:val="auto"/>
          <w:sz w:val="24"/>
          <w:szCs w:val="24"/>
        </w:rPr>
        <w:t>1</w:t>
      </w:r>
      <w:r w:rsidR="00984C2B">
        <w:rPr>
          <w:b/>
          <w:bCs/>
          <w:color w:val="auto"/>
          <w:sz w:val="24"/>
          <w:szCs w:val="24"/>
        </w:rPr>
        <w:t>4</w:t>
      </w:r>
      <w:r w:rsidR="00984C2B" w:rsidRPr="00234B97">
        <w:rPr>
          <w:b/>
          <w:bCs/>
          <w:color w:val="auto"/>
          <w:sz w:val="24"/>
          <w:szCs w:val="24"/>
        </w:rPr>
        <w:t xml:space="preserve"> </w:t>
      </w:r>
      <w:r w:rsidR="00115B80" w:rsidRPr="00234B97">
        <w:rPr>
          <w:b/>
          <w:bCs/>
          <w:color w:val="auto"/>
          <w:sz w:val="24"/>
          <w:szCs w:val="24"/>
        </w:rPr>
        <w:t>SETTEMBRE</w:t>
      </w:r>
      <w:r w:rsidRPr="00234B97">
        <w:rPr>
          <w:b/>
          <w:bCs/>
          <w:color w:val="auto"/>
          <w:sz w:val="24"/>
          <w:szCs w:val="24"/>
        </w:rPr>
        <w:t xml:space="preserve">, RILEVA </w:t>
      </w:r>
      <w:r w:rsidR="00302774">
        <w:rPr>
          <w:b/>
          <w:bCs/>
          <w:color w:val="auto"/>
          <w:sz w:val="24"/>
          <w:szCs w:val="24"/>
        </w:rPr>
        <w:t>TUTTI I NUMERI IN CALO, COMPRESI QUELLI DI</w:t>
      </w:r>
      <w:r w:rsidR="00D33951">
        <w:rPr>
          <w:b/>
          <w:bCs/>
          <w:color w:val="auto"/>
          <w:sz w:val="24"/>
          <w:szCs w:val="24"/>
        </w:rPr>
        <w:t xml:space="preserve"> RI</w:t>
      </w:r>
      <w:r w:rsidR="000D5B61">
        <w:rPr>
          <w:b/>
          <w:bCs/>
          <w:color w:val="auto"/>
          <w:sz w:val="24"/>
          <w:szCs w:val="24"/>
        </w:rPr>
        <w:t>C</w:t>
      </w:r>
      <w:r w:rsidR="00D33951">
        <w:rPr>
          <w:b/>
          <w:bCs/>
          <w:color w:val="auto"/>
          <w:sz w:val="24"/>
          <w:szCs w:val="24"/>
        </w:rPr>
        <w:t>OVERI E TERAPIE INTENSIVE</w:t>
      </w:r>
      <w:r w:rsidR="00E404D6" w:rsidRPr="00234B97">
        <w:rPr>
          <w:b/>
          <w:bCs/>
          <w:color w:val="auto"/>
          <w:sz w:val="24"/>
          <w:szCs w:val="24"/>
        </w:rPr>
        <w:t xml:space="preserve">. </w:t>
      </w:r>
      <w:r w:rsidR="00183B21" w:rsidRPr="00234B97">
        <w:rPr>
          <w:b/>
          <w:bCs/>
          <w:color w:val="auto"/>
          <w:sz w:val="24"/>
          <w:szCs w:val="24"/>
        </w:rPr>
        <w:t xml:space="preserve">CAMPAGNA VACCINALE: </w:t>
      </w:r>
      <w:r w:rsidR="00E404D6" w:rsidRPr="00234B97">
        <w:rPr>
          <w:b/>
          <w:bCs/>
          <w:color w:val="auto"/>
          <w:sz w:val="24"/>
          <w:szCs w:val="24"/>
        </w:rPr>
        <w:t>FRENATA DELLE PRIME SOMMINISTRAZIONI (</w:t>
      </w:r>
      <w:r w:rsidR="00F05E94">
        <w:rPr>
          <w:b/>
          <w:bCs/>
          <w:color w:val="auto"/>
          <w:sz w:val="24"/>
          <w:szCs w:val="24"/>
        </w:rPr>
        <w:t>-200 MILA RISPETTO ALLA SETTIMANA PRECEDENTE</w:t>
      </w:r>
      <w:r w:rsidR="00E404D6" w:rsidRPr="00234B97">
        <w:rPr>
          <w:b/>
          <w:bCs/>
          <w:color w:val="auto"/>
          <w:sz w:val="24"/>
          <w:szCs w:val="24"/>
        </w:rPr>
        <w:t>), L’ESITAZIONE VACCINALE PER</w:t>
      </w:r>
      <w:r w:rsidR="00F05E94">
        <w:rPr>
          <w:b/>
          <w:bCs/>
          <w:color w:val="auto"/>
          <w:sz w:val="24"/>
          <w:szCs w:val="24"/>
        </w:rPr>
        <w:t>SISTE SOPRATTUTTO NEGLI OVER 50.</w:t>
      </w:r>
      <w:r w:rsidR="006E4555">
        <w:rPr>
          <w:b/>
          <w:bCs/>
          <w:color w:val="auto"/>
          <w:sz w:val="24"/>
          <w:szCs w:val="24"/>
        </w:rPr>
        <w:t xml:space="preserve"> </w:t>
      </w:r>
      <w:r w:rsidR="009E6B01">
        <w:rPr>
          <w:b/>
          <w:bCs/>
          <w:color w:val="auto"/>
          <w:sz w:val="24"/>
          <w:szCs w:val="24"/>
        </w:rPr>
        <w:t>I NUMERI CONFERMANO L’EFFICACIA DEI VACCINI</w:t>
      </w:r>
      <w:r w:rsidR="009E6B01" w:rsidRPr="009E6B01">
        <w:rPr>
          <w:b/>
          <w:bCs/>
          <w:color w:val="auto"/>
          <w:sz w:val="24"/>
          <w:szCs w:val="24"/>
        </w:rPr>
        <w:t xml:space="preserve"> NEL RIDURRE DECESSI (96,3%)</w:t>
      </w:r>
      <w:r w:rsidR="009E6B01">
        <w:rPr>
          <w:b/>
          <w:bCs/>
          <w:color w:val="auto"/>
          <w:sz w:val="24"/>
          <w:szCs w:val="24"/>
        </w:rPr>
        <w:t>, RICOVERI ORDINARI</w:t>
      </w:r>
      <w:r w:rsidR="009E6B01" w:rsidRPr="009E6B01">
        <w:rPr>
          <w:b/>
          <w:bCs/>
          <w:color w:val="auto"/>
          <w:sz w:val="24"/>
          <w:szCs w:val="24"/>
        </w:rPr>
        <w:t xml:space="preserve"> (93,4%) E IN TERAPIA INTENSIVA (95,7%)</w:t>
      </w:r>
      <w:r w:rsidR="00935328">
        <w:rPr>
          <w:b/>
          <w:bCs/>
          <w:color w:val="auto"/>
          <w:sz w:val="24"/>
          <w:szCs w:val="24"/>
        </w:rPr>
        <w:t>.</w:t>
      </w:r>
      <w:r w:rsidR="009E6B01">
        <w:rPr>
          <w:b/>
          <w:bCs/>
          <w:color w:val="auto"/>
          <w:sz w:val="24"/>
          <w:szCs w:val="24"/>
        </w:rPr>
        <w:t xml:space="preserve"> MA CON L’ARRIVO DELL’AUTUNNO</w:t>
      </w:r>
      <w:r w:rsidR="00935328">
        <w:rPr>
          <w:b/>
          <w:bCs/>
          <w:color w:val="auto"/>
          <w:sz w:val="24"/>
          <w:szCs w:val="24"/>
        </w:rPr>
        <w:t xml:space="preserve"> E </w:t>
      </w:r>
      <w:r w:rsidR="00CD409D">
        <w:rPr>
          <w:b/>
          <w:bCs/>
          <w:color w:val="auto"/>
          <w:sz w:val="24"/>
          <w:szCs w:val="24"/>
        </w:rPr>
        <w:t>LA RIAPERTURA DELLE SCUOLE</w:t>
      </w:r>
      <w:r w:rsidR="00B6203D">
        <w:rPr>
          <w:b/>
          <w:bCs/>
          <w:color w:val="auto"/>
          <w:sz w:val="24"/>
          <w:szCs w:val="24"/>
        </w:rPr>
        <w:t xml:space="preserve"> </w:t>
      </w:r>
      <w:r w:rsidR="00935328">
        <w:rPr>
          <w:b/>
          <w:bCs/>
          <w:color w:val="auto"/>
          <w:sz w:val="24"/>
          <w:szCs w:val="24"/>
        </w:rPr>
        <w:t xml:space="preserve">GLI </w:t>
      </w:r>
      <w:r w:rsidR="007B43CC">
        <w:rPr>
          <w:b/>
          <w:bCs/>
          <w:color w:val="auto"/>
          <w:sz w:val="24"/>
          <w:szCs w:val="24"/>
        </w:rPr>
        <w:t xml:space="preserve">OLTRE </w:t>
      </w:r>
      <w:r w:rsidR="009E6B01">
        <w:rPr>
          <w:b/>
          <w:bCs/>
          <w:color w:val="auto"/>
          <w:sz w:val="24"/>
          <w:szCs w:val="24"/>
        </w:rPr>
        <w:t xml:space="preserve">9 MILIONI DI </w:t>
      </w:r>
      <w:r w:rsidR="000A6581">
        <w:rPr>
          <w:b/>
          <w:bCs/>
          <w:color w:val="auto"/>
          <w:sz w:val="24"/>
          <w:szCs w:val="24"/>
        </w:rPr>
        <w:t xml:space="preserve">NON VACCINATI </w:t>
      </w:r>
      <w:r w:rsidR="007B1735">
        <w:rPr>
          <w:b/>
          <w:bCs/>
          <w:color w:val="auto"/>
          <w:sz w:val="24"/>
          <w:szCs w:val="24"/>
        </w:rPr>
        <w:t xml:space="preserve">ALIMENTERANNO LA </w:t>
      </w:r>
      <w:r w:rsidR="00B6203D">
        <w:rPr>
          <w:b/>
          <w:bCs/>
          <w:color w:val="auto"/>
          <w:sz w:val="24"/>
          <w:szCs w:val="24"/>
        </w:rPr>
        <w:t>CIRCOLAZIONE DEL VIRUS</w:t>
      </w:r>
      <w:r w:rsidR="00E26609">
        <w:rPr>
          <w:b/>
          <w:bCs/>
          <w:color w:val="auto"/>
          <w:sz w:val="24"/>
          <w:szCs w:val="24"/>
        </w:rPr>
        <w:t xml:space="preserve"> </w:t>
      </w:r>
      <w:r w:rsidR="00B6203D">
        <w:rPr>
          <w:b/>
          <w:bCs/>
          <w:color w:val="auto"/>
          <w:sz w:val="24"/>
          <w:szCs w:val="24"/>
        </w:rPr>
        <w:t xml:space="preserve">E </w:t>
      </w:r>
      <w:r w:rsidR="00935328">
        <w:rPr>
          <w:b/>
          <w:bCs/>
          <w:color w:val="auto"/>
          <w:sz w:val="24"/>
          <w:szCs w:val="24"/>
        </w:rPr>
        <w:t>L’</w:t>
      </w:r>
      <w:r w:rsidR="00B6203D">
        <w:rPr>
          <w:b/>
          <w:bCs/>
          <w:color w:val="auto"/>
          <w:sz w:val="24"/>
          <w:szCs w:val="24"/>
        </w:rPr>
        <w:t>AUMENTO DELLE OSPEDALIZZAZIONI</w:t>
      </w:r>
      <w:r w:rsidR="00E26609">
        <w:rPr>
          <w:b/>
          <w:bCs/>
          <w:color w:val="auto"/>
          <w:sz w:val="24"/>
          <w:szCs w:val="24"/>
        </w:rPr>
        <w:t xml:space="preserve">. </w:t>
      </w:r>
      <w:r w:rsidR="00B6203D">
        <w:rPr>
          <w:b/>
          <w:bCs/>
          <w:color w:val="auto"/>
          <w:sz w:val="24"/>
          <w:szCs w:val="24"/>
        </w:rPr>
        <w:t>I</w:t>
      </w:r>
      <w:r w:rsidR="00D33951">
        <w:rPr>
          <w:b/>
          <w:bCs/>
          <w:color w:val="auto"/>
          <w:sz w:val="24"/>
          <w:szCs w:val="24"/>
        </w:rPr>
        <w:t xml:space="preserve">NACCETTABILE </w:t>
      </w:r>
      <w:r w:rsidR="00B6203D" w:rsidRPr="00B6203D">
        <w:rPr>
          <w:b/>
          <w:bCs/>
          <w:color w:val="auto"/>
          <w:sz w:val="24"/>
          <w:szCs w:val="24"/>
        </w:rPr>
        <w:t xml:space="preserve">PRESA DI POSIZIONE </w:t>
      </w:r>
      <w:r w:rsidR="00B6203D">
        <w:rPr>
          <w:b/>
          <w:bCs/>
          <w:color w:val="auto"/>
          <w:sz w:val="24"/>
          <w:szCs w:val="24"/>
        </w:rPr>
        <w:t xml:space="preserve">SULLE “CURE DOMICILIARI” </w:t>
      </w:r>
      <w:r w:rsidR="00B6203D" w:rsidRPr="00B6203D">
        <w:rPr>
          <w:b/>
          <w:bCs/>
          <w:color w:val="auto"/>
          <w:sz w:val="24"/>
          <w:szCs w:val="24"/>
        </w:rPr>
        <w:t xml:space="preserve">DI </w:t>
      </w:r>
      <w:r w:rsidR="003D049D">
        <w:rPr>
          <w:b/>
          <w:bCs/>
          <w:color w:val="auto"/>
          <w:sz w:val="24"/>
          <w:szCs w:val="24"/>
        </w:rPr>
        <w:t>PERSONAGGI PUBBLICI TRA CUI</w:t>
      </w:r>
      <w:r w:rsidR="003D049D" w:rsidRPr="00B6203D">
        <w:rPr>
          <w:b/>
          <w:bCs/>
          <w:color w:val="auto"/>
          <w:sz w:val="24"/>
          <w:szCs w:val="24"/>
        </w:rPr>
        <w:t xml:space="preserve"> </w:t>
      </w:r>
      <w:r w:rsidR="00B6203D" w:rsidRPr="00B6203D">
        <w:rPr>
          <w:b/>
          <w:bCs/>
          <w:color w:val="auto"/>
          <w:sz w:val="24"/>
          <w:szCs w:val="24"/>
        </w:rPr>
        <w:t>MEDICI E POLITICI CHE, SOVVERTENDO IL METODO SCIENTIFICO,</w:t>
      </w:r>
      <w:r w:rsidR="00935328">
        <w:rPr>
          <w:b/>
          <w:bCs/>
          <w:color w:val="auto"/>
          <w:sz w:val="24"/>
          <w:szCs w:val="24"/>
        </w:rPr>
        <w:t xml:space="preserve"> </w:t>
      </w:r>
      <w:r w:rsidR="00302774">
        <w:rPr>
          <w:b/>
          <w:bCs/>
          <w:color w:val="auto"/>
          <w:sz w:val="24"/>
          <w:szCs w:val="24"/>
        </w:rPr>
        <w:t xml:space="preserve">INDUCONO </w:t>
      </w:r>
      <w:r w:rsidR="00935328">
        <w:rPr>
          <w:b/>
          <w:bCs/>
          <w:color w:val="auto"/>
          <w:sz w:val="24"/>
          <w:szCs w:val="24"/>
        </w:rPr>
        <w:t>LE PERSONE A RIFIUTARE</w:t>
      </w:r>
      <w:r w:rsidR="00935328" w:rsidRPr="00935328">
        <w:rPr>
          <w:b/>
          <w:bCs/>
          <w:color w:val="auto"/>
          <w:sz w:val="24"/>
          <w:szCs w:val="24"/>
        </w:rPr>
        <w:t xml:space="preserve"> VACCINI EFFICACI E SICURI </w:t>
      </w:r>
      <w:r w:rsidR="00935328">
        <w:rPr>
          <w:b/>
          <w:bCs/>
          <w:color w:val="auto"/>
          <w:sz w:val="24"/>
          <w:szCs w:val="24"/>
        </w:rPr>
        <w:t xml:space="preserve">E A FIDARSI DI </w:t>
      </w:r>
      <w:r w:rsidR="00935328" w:rsidRPr="00935328">
        <w:rPr>
          <w:b/>
          <w:bCs/>
          <w:color w:val="auto"/>
          <w:sz w:val="24"/>
          <w:szCs w:val="24"/>
        </w:rPr>
        <w:t xml:space="preserve">PROTOCOLLI </w:t>
      </w:r>
      <w:r w:rsidR="00302774">
        <w:rPr>
          <w:b/>
          <w:bCs/>
          <w:color w:val="auto"/>
          <w:sz w:val="24"/>
          <w:szCs w:val="24"/>
        </w:rPr>
        <w:t>TERAPEUTICI</w:t>
      </w:r>
      <w:r w:rsidR="00935328" w:rsidRPr="00935328">
        <w:rPr>
          <w:b/>
          <w:bCs/>
          <w:color w:val="auto"/>
          <w:sz w:val="24"/>
          <w:szCs w:val="24"/>
        </w:rPr>
        <w:t xml:space="preserve"> NON AUTORIZZATI O </w:t>
      </w:r>
      <w:r w:rsidR="00935328">
        <w:rPr>
          <w:b/>
          <w:bCs/>
          <w:color w:val="auto"/>
          <w:sz w:val="24"/>
          <w:szCs w:val="24"/>
        </w:rPr>
        <w:t>DI</w:t>
      </w:r>
      <w:r w:rsidR="00935328" w:rsidRPr="00935328">
        <w:rPr>
          <w:b/>
          <w:bCs/>
          <w:color w:val="auto"/>
          <w:sz w:val="24"/>
          <w:szCs w:val="24"/>
        </w:rPr>
        <w:t xml:space="preserve"> FA</w:t>
      </w:r>
      <w:r w:rsidR="00935328">
        <w:rPr>
          <w:b/>
          <w:bCs/>
          <w:color w:val="auto"/>
          <w:sz w:val="24"/>
          <w:szCs w:val="24"/>
        </w:rPr>
        <w:t>RMACI DANNOSI E CONTROINDICATI.</w:t>
      </w:r>
    </w:p>
    <w:p w:rsidR="007B682B" w:rsidRPr="00234B97" w:rsidRDefault="005239E5">
      <w:pPr>
        <w:spacing w:before="120" w:after="120"/>
        <w:jc w:val="center"/>
        <w:rPr>
          <w:b/>
          <w:bCs/>
          <w:sz w:val="24"/>
          <w:szCs w:val="24"/>
        </w:rPr>
      </w:pPr>
      <w:r w:rsidRPr="00234B97">
        <w:rPr>
          <w:b/>
          <w:bCs/>
          <w:sz w:val="24"/>
          <w:szCs w:val="24"/>
        </w:rPr>
        <w:t>16</w:t>
      </w:r>
      <w:r w:rsidR="00C2652A" w:rsidRPr="00234B97">
        <w:rPr>
          <w:b/>
          <w:bCs/>
          <w:sz w:val="24"/>
          <w:szCs w:val="24"/>
        </w:rPr>
        <w:t xml:space="preserve"> settembre</w:t>
      </w:r>
      <w:r w:rsidR="00CE577D" w:rsidRPr="00234B97">
        <w:rPr>
          <w:b/>
          <w:bCs/>
          <w:sz w:val="24"/>
          <w:szCs w:val="24"/>
        </w:rPr>
        <w:t xml:space="preserve"> 2021 - Fondazione GIMBE, Bologna</w:t>
      </w:r>
    </w:p>
    <w:p w:rsidR="00653A32" w:rsidRPr="00234B97" w:rsidRDefault="00653A32" w:rsidP="007A602C">
      <w:pPr>
        <w:spacing w:after="120" w:line="276" w:lineRule="auto"/>
        <w:jc w:val="both"/>
        <w:rPr>
          <w:color w:val="auto"/>
        </w:rPr>
      </w:pPr>
      <w:r w:rsidRPr="00234B97">
        <w:rPr>
          <w:color w:val="auto"/>
        </w:rPr>
        <w:t xml:space="preserve">Il monitoraggio indipendente della Fondazione GIMBE rileva nella settimana 8-14 settembre 2021, rispetto alla precedente, </w:t>
      </w:r>
      <w:r w:rsidR="00ED316F" w:rsidRPr="00234B97">
        <w:rPr>
          <w:color w:val="auto"/>
        </w:rPr>
        <w:t xml:space="preserve">tutti i numeri in calo. Scendono </w:t>
      </w:r>
      <w:r w:rsidRPr="00234B97">
        <w:rPr>
          <w:color w:val="auto"/>
        </w:rPr>
        <w:t>i nuovi casi (33.712 vs 39.511) (</w:t>
      </w:r>
      <w:r w:rsidRPr="00234B97">
        <w:rPr>
          <w:color w:val="auto"/>
          <w:highlight w:val="yellow"/>
        </w:rPr>
        <w:t>figura 1</w:t>
      </w:r>
      <w:r w:rsidR="00ED316F" w:rsidRPr="00234B97">
        <w:rPr>
          <w:color w:val="auto"/>
        </w:rPr>
        <w:t xml:space="preserve">), </w:t>
      </w:r>
      <w:r w:rsidRPr="00234B97">
        <w:rPr>
          <w:color w:val="auto"/>
        </w:rPr>
        <w:t>i decessi (389 vs 417) (</w:t>
      </w:r>
      <w:r w:rsidRPr="00234B97">
        <w:rPr>
          <w:color w:val="auto"/>
          <w:highlight w:val="yellow"/>
        </w:rPr>
        <w:t>figura 2</w:t>
      </w:r>
      <w:r w:rsidRPr="00234B97">
        <w:rPr>
          <w:color w:val="auto"/>
        </w:rPr>
        <w:t>)</w:t>
      </w:r>
      <w:r w:rsidR="00ED316F" w:rsidRPr="00234B97">
        <w:rPr>
          <w:color w:val="auto"/>
        </w:rPr>
        <w:t xml:space="preserve">, </w:t>
      </w:r>
      <w:r w:rsidRPr="00234B97">
        <w:rPr>
          <w:color w:val="auto"/>
        </w:rPr>
        <w:t>i casi attualmente positivi (122.340 vs 133.787), le persone in isolamento domiciliare (117.621 vs 128.917), i ricoveri con sintomi (4.165 vs 4.307) e le terapie intensive (554 vs 563) (</w:t>
      </w:r>
      <w:r w:rsidRPr="00234B97">
        <w:rPr>
          <w:color w:val="auto"/>
          <w:highlight w:val="yellow"/>
        </w:rPr>
        <w:t>figura 3</w:t>
      </w:r>
      <w:r w:rsidRPr="00234B97">
        <w:rPr>
          <w:color w:val="auto"/>
        </w:rPr>
        <w:t>). In dettaglio, rispetto alla settimana precedente, si registrano le seguenti variazioni:</w:t>
      </w:r>
    </w:p>
    <w:p w:rsidR="00653A32" w:rsidRPr="00234B97" w:rsidRDefault="00653A32" w:rsidP="00653A32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234B97">
        <w:rPr>
          <w:color w:val="auto"/>
        </w:rPr>
        <w:t>Decessi: 389 (-6,7%), di cui 52 riferiti a periodi precedenti</w:t>
      </w:r>
    </w:p>
    <w:p w:rsidR="00653A32" w:rsidRPr="00234B97" w:rsidRDefault="00653A32" w:rsidP="00653A32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234B97">
        <w:rPr>
          <w:color w:val="auto"/>
        </w:rPr>
        <w:t>Terapia intensiva: -9 (-1,6%)</w:t>
      </w:r>
    </w:p>
    <w:p w:rsidR="00653A32" w:rsidRPr="00234B97" w:rsidRDefault="00653A32" w:rsidP="00653A32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234B97">
        <w:rPr>
          <w:color w:val="auto"/>
        </w:rPr>
        <w:t>Ricoverati con sintomi: -142 (-3,3%)</w:t>
      </w:r>
    </w:p>
    <w:p w:rsidR="00653A32" w:rsidRPr="00234B97" w:rsidRDefault="00653A32" w:rsidP="00653A32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234B97">
        <w:rPr>
          <w:color w:val="auto"/>
        </w:rPr>
        <w:t>Isolamento domiciliare: -11.296 (-8,8%)</w:t>
      </w:r>
    </w:p>
    <w:p w:rsidR="00653A32" w:rsidRPr="00234B97" w:rsidRDefault="00653A32" w:rsidP="00653A32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234B97">
        <w:rPr>
          <w:color w:val="auto"/>
        </w:rPr>
        <w:t>Nuovi casi: 33.712 (-14,7%)</w:t>
      </w:r>
    </w:p>
    <w:p w:rsidR="00653A32" w:rsidRPr="00234B97" w:rsidRDefault="00653A32" w:rsidP="00653A32">
      <w:pPr>
        <w:pStyle w:val="Paragrafoelenco"/>
        <w:numPr>
          <w:ilvl w:val="0"/>
          <w:numId w:val="2"/>
        </w:numPr>
        <w:spacing w:line="276" w:lineRule="auto"/>
        <w:jc w:val="both"/>
        <w:rPr>
          <w:color w:val="auto"/>
        </w:rPr>
      </w:pPr>
      <w:r w:rsidRPr="00234B97">
        <w:rPr>
          <w:color w:val="auto"/>
        </w:rPr>
        <w:t>Casi attualmente positivi: -11.447 (-8,6%)</w:t>
      </w:r>
    </w:p>
    <w:p w:rsidR="009332D3" w:rsidRPr="00234B97" w:rsidRDefault="00797AB7" w:rsidP="009332D3">
      <w:pPr>
        <w:spacing w:after="0" w:line="276" w:lineRule="auto"/>
        <w:jc w:val="both"/>
        <w:rPr>
          <w:rFonts w:eastAsia="Times New Roman" w:cs="Calibri"/>
          <w:bdr w:val="none" w:sz="0" w:space="0" w:color="auto"/>
        </w:rPr>
      </w:pPr>
      <w:r w:rsidRPr="00234B97">
        <w:rPr>
          <w:color w:val="auto"/>
        </w:rPr>
        <w:t>«</w:t>
      </w:r>
      <w:r w:rsidR="00653A32" w:rsidRPr="00234B97">
        <w:rPr>
          <w:color w:val="auto"/>
        </w:rPr>
        <w:t xml:space="preserve">Continuano a diminuire </w:t>
      </w:r>
      <w:r w:rsidR="004D3C41" w:rsidRPr="00234B97">
        <w:rPr>
          <w:color w:val="auto"/>
        </w:rPr>
        <w:t>i nuovi casi settimanali</w:t>
      </w:r>
      <w:r w:rsidR="007334AB" w:rsidRPr="00234B97">
        <w:rPr>
          <w:color w:val="auto"/>
        </w:rPr>
        <w:t xml:space="preserve"> </w:t>
      </w:r>
      <w:r w:rsidRPr="00234B97">
        <w:rPr>
          <w:color w:val="auto"/>
        </w:rPr>
        <w:t>– dichiara Nino Cartabellotta, Presidente della Fondazione GIMBE –</w:t>
      </w:r>
      <w:r w:rsidR="007334AB" w:rsidRPr="00234B97">
        <w:rPr>
          <w:color w:val="auto"/>
        </w:rPr>
        <w:t xml:space="preserve"> </w:t>
      </w:r>
      <w:r w:rsidR="006850DD" w:rsidRPr="00234B97">
        <w:rPr>
          <w:color w:val="auto"/>
        </w:rPr>
        <w:t xml:space="preserve">sia </w:t>
      </w:r>
      <w:r w:rsidR="00254744" w:rsidRPr="00234B97">
        <w:rPr>
          <w:color w:val="auto"/>
        </w:rPr>
        <w:t>come numeri</w:t>
      </w:r>
      <w:r w:rsidR="00263DA4" w:rsidRPr="00234B97">
        <w:rPr>
          <w:color w:val="auto"/>
        </w:rPr>
        <w:t xml:space="preserve"> </w:t>
      </w:r>
      <w:r w:rsidR="00254744" w:rsidRPr="00234B97">
        <w:rPr>
          <w:color w:val="auto"/>
        </w:rPr>
        <w:t>assoluti</w:t>
      </w:r>
      <w:r w:rsidR="006850DD" w:rsidRPr="00234B97">
        <w:rPr>
          <w:color w:val="auto"/>
        </w:rPr>
        <w:t xml:space="preserve"> che come </w:t>
      </w:r>
      <w:r w:rsidRPr="00234B97">
        <w:rPr>
          <w:color w:val="auto"/>
        </w:rPr>
        <w:t xml:space="preserve">media mobile dei casi giornalieri </w:t>
      </w:r>
      <w:r w:rsidR="00E97680" w:rsidRPr="00234B97">
        <w:rPr>
          <w:color w:val="auto"/>
        </w:rPr>
        <w:t xml:space="preserve">che si attesta a </w:t>
      </w:r>
      <w:r w:rsidR="00653A32" w:rsidRPr="00234B97">
        <w:rPr>
          <w:color w:val="auto"/>
        </w:rPr>
        <w:t>4.816</w:t>
      </w:r>
      <w:r w:rsidRPr="00234B97">
        <w:rPr>
          <w:color w:val="auto"/>
        </w:rPr>
        <w:t>»</w:t>
      </w:r>
      <w:r w:rsidR="007334AB" w:rsidRPr="00234B97">
        <w:rPr>
          <w:color w:val="auto"/>
        </w:rPr>
        <w:t xml:space="preserve"> (</w:t>
      </w:r>
      <w:r w:rsidR="007334AB" w:rsidRPr="00234B97">
        <w:rPr>
          <w:color w:val="auto"/>
          <w:highlight w:val="yellow"/>
        </w:rPr>
        <w:t>figura 4</w:t>
      </w:r>
      <w:r w:rsidR="007334AB" w:rsidRPr="00234B97">
        <w:rPr>
          <w:color w:val="auto"/>
        </w:rPr>
        <w:t>)</w:t>
      </w:r>
      <w:r w:rsidRPr="00234B97">
        <w:rPr>
          <w:color w:val="auto"/>
        </w:rPr>
        <w:t xml:space="preserve">. </w:t>
      </w:r>
      <w:r w:rsidR="00653A32" w:rsidRPr="00234B97">
        <w:rPr>
          <w:rFonts w:eastAsia="Times New Roman" w:cs="Calibri"/>
          <w:color w:val="auto"/>
          <w:bdr w:val="none" w:sz="0" w:space="0" w:color="auto"/>
        </w:rPr>
        <w:t>Nella settimana 8-14 settembre 2021, rispetto alla precedente, 4 Regioni registrano un incremento percentuale dei nuovi casi</w:t>
      </w:r>
      <w:r w:rsidR="00ED316F" w:rsidRPr="00234B97">
        <w:rPr>
          <w:rFonts w:eastAsia="Times New Roman" w:cs="Calibri"/>
          <w:color w:val="auto"/>
          <w:bdr w:val="none" w:sz="0" w:space="0" w:color="auto"/>
        </w:rPr>
        <w:t xml:space="preserve"> e in </w:t>
      </w:r>
      <w:r w:rsidR="00B51419" w:rsidRPr="00234B97">
        <w:rPr>
          <w:rFonts w:eastAsia="Times New Roman" w:cs="Calibri"/>
          <w:color w:val="auto"/>
          <w:bdr w:val="none" w:sz="0" w:space="0" w:color="auto"/>
        </w:rPr>
        <w:t>sol</w:t>
      </w:r>
      <w:r w:rsidR="00B51419">
        <w:rPr>
          <w:rFonts w:eastAsia="Times New Roman" w:cs="Calibri"/>
          <w:color w:val="auto"/>
          <w:bdr w:val="none" w:sz="0" w:space="0" w:color="auto"/>
        </w:rPr>
        <w:t>e</w:t>
      </w:r>
      <w:r w:rsidR="00B51419" w:rsidRPr="00234B97">
        <w:rPr>
          <w:rFonts w:eastAsia="Times New Roman" w:cs="Calibri"/>
          <w:color w:val="auto"/>
          <w:bdr w:val="none" w:sz="0" w:space="0" w:color="auto"/>
        </w:rPr>
        <w:t xml:space="preserve"> </w:t>
      </w:r>
      <w:r w:rsidR="00653A32" w:rsidRPr="00234B97">
        <w:rPr>
          <w:rFonts w:eastAsia="Times New Roman" w:cs="Calibri"/>
          <w:color w:val="auto"/>
          <w:bdr w:val="none" w:sz="0" w:space="0" w:color="auto"/>
        </w:rPr>
        <w:t>2 Regioni crescono i casi attualmente positivi</w:t>
      </w:r>
      <w:r w:rsidR="007F79F1" w:rsidRPr="00234B97">
        <w:rPr>
          <w:color w:val="auto"/>
        </w:rPr>
        <w:t xml:space="preserve"> </w:t>
      </w:r>
      <w:r w:rsidRPr="00234B97">
        <w:rPr>
          <w:color w:val="auto"/>
        </w:rPr>
        <w:t>(</w:t>
      </w:r>
      <w:r w:rsidRPr="00234B97">
        <w:rPr>
          <w:color w:val="auto"/>
          <w:shd w:val="clear" w:color="auto" w:fill="FFFF00"/>
        </w:rPr>
        <w:t>tabella 1</w:t>
      </w:r>
      <w:r w:rsidRPr="00234B97">
        <w:rPr>
          <w:color w:val="auto"/>
        </w:rPr>
        <w:t>).</w:t>
      </w:r>
      <w:bookmarkStart w:id="0" w:name="_Hlk74138709"/>
      <w:r w:rsidR="007F79F1" w:rsidRPr="00234B97">
        <w:rPr>
          <w:color w:val="auto"/>
        </w:rPr>
        <w:t xml:space="preserve"> </w:t>
      </w:r>
      <w:bookmarkEnd w:id="0"/>
      <w:r w:rsidR="00ED316F" w:rsidRPr="00234B97">
        <w:rPr>
          <w:color w:val="auto"/>
        </w:rPr>
        <w:t xml:space="preserve">Scendono a </w:t>
      </w:r>
      <w:r w:rsidR="00653A32" w:rsidRPr="00234B97">
        <w:rPr>
          <w:rFonts w:eastAsia="Times New Roman" w:cs="Calibri"/>
          <w:bdr w:val="none" w:sz="0" w:space="0" w:color="auto"/>
        </w:rPr>
        <w:t xml:space="preserve">56 </w:t>
      </w:r>
      <w:r w:rsidR="00ED316F" w:rsidRPr="00234B97">
        <w:rPr>
          <w:rFonts w:eastAsia="Times New Roman" w:cs="Calibri"/>
          <w:bdr w:val="none" w:sz="0" w:space="0" w:color="auto"/>
        </w:rPr>
        <w:t xml:space="preserve">le </w:t>
      </w:r>
      <w:r w:rsidR="00653A32" w:rsidRPr="00234B97">
        <w:rPr>
          <w:rFonts w:eastAsia="Times New Roman" w:cs="Calibri"/>
          <w:bdr w:val="none" w:sz="0" w:space="0" w:color="auto"/>
        </w:rPr>
        <w:t xml:space="preserve">Province </w:t>
      </w:r>
      <w:r w:rsidR="00ED316F" w:rsidRPr="00234B97">
        <w:rPr>
          <w:rFonts w:eastAsia="Times New Roman" w:cs="Calibri"/>
          <w:bdr w:val="none" w:sz="0" w:space="0" w:color="auto"/>
        </w:rPr>
        <w:t xml:space="preserve">con </w:t>
      </w:r>
      <w:r w:rsidR="00653A32" w:rsidRPr="00234B97">
        <w:rPr>
          <w:rFonts w:eastAsia="Times New Roman" w:cs="Calibri"/>
          <w:bdr w:val="none" w:sz="0" w:space="0" w:color="auto"/>
        </w:rPr>
        <w:t xml:space="preserve">incidenza pari o superiore a 50 casi per 100.000 abitanti: in Sicilia e Umbria tutte le Province raggiungono o superano tale soglia. </w:t>
      </w:r>
      <w:r w:rsidR="00ED316F" w:rsidRPr="00234B97">
        <w:rPr>
          <w:rFonts w:eastAsia="Times New Roman" w:cs="Calibri"/>
          <w:bdr w:val="none" w:sz="0" w:space="0" w:color="auto"/>
        </w:rPr>
        <w:t>Solo i</w:t>
      </w:r>
      <w:r w:rsidR="00653A32" w:rsidRPr="00234B97">
        <w:rPr>
          <w:rFonts w:eastAsia="Times New Roman" w:cs="Calibri"/>
          <w:bdr w:val="none" w:sz="0" w:space="0" w:color="auto"/>
        </w:rPr>
        <w:t>n 2 Province si contano oltre 150 casi per 100.000 abitanti: Siracusa (178) e Messina (168) (</w:t>
      </w:r>
      <w:r w:rsidR="00653A32" w:rsidRPr="00234B97">
        <w:rPr>
          <w:rFonts w:eastAsia="Times New Roman" w:cs="Calibri"/>
          <w:highlight w:val="yellow"/>
          <w:bdr w:val="none" w:sz="0" w:space="0" w:color="auto"/>
        </w:rPr>
        <w:t>tabella 2</w:t>
      </w:r>
      <w:r w:rsidR="00653A32" w:rsidRPr="00234B97">
        <w:rPr>
          <w:rFonts w:eastAsia="Times New Roman" w:cs="Calibri"/>
          <w:bdr w:val="none" w:sz="0" w:space="0" w:color="auto"/>
        </w:rPr>
        <w:t xml:space="preserve">). </w:t>
      </w:r>
      <w:r w:rsidR="001A2CC0" w:rsidRPr="00234B97">
        <w:rPr>
          <w:rFonts w:eastAsia="Times New Roman" w:cs="Calibri"/>
          <w:bdr w:val="none" w:sz="0" w:space="0" w:color="auto"/>
        </w:rPr>
        <w:t xml:space="preserve">In calo anche </w:t>
      </w:r>
      <w:r w:rsidR="00653A32" w:rsidRPr="00234B97">
        <w:rPr>
          <w:rFonts w:eastAsia="Times New Roman" w:cs="Calibri"/>
          <w:bdr w:val="none" w:sz="0" w:space="0" w:color="auto"/>
        </w:rPr>
        <w:t xml:space="preserve">i decessi: 389 negli ultimi 7 giorni (di cui 52 riferiti a periodi precedenti), con una media </w:t>
      </w:r>
      <w:r w:rsidR="001A2CC0" w:rsidRPr="00234B97">
        <w:rPr>
          <w:rFonts w:eastAsia="Times New Roman" w:cs="Calibri"/>
          <w:bdr w:val="none" w:sz="0" w:space="0" w:color="auto"/>
        </w:rPr>
        <w:t xml:space="preserve">giornaliera </w:t>
      </w:r>
      <w:r w:rsidR="00653A32" w:rsidRPr="00234B97">
        <w:rPr>
          <w:rFonts w:eastAsia="Times New Roman" w:cs="Calibri"/>
          <w:bdr w:val="none" w:sz="0" w:space="0" w:color="auto"/>
        </w:rPr>
        <w:t>di 56 rispetto ai 60 della settimana precedente.</w:t>
      </w:r>
    </w:p>
    <w:p w:rsidR="009332D3" w:rsidRPr="00234B97" w:rsidRDefault="009332D3" w:rsidP="009332D3">
      <w:pPr>
        <w:spacing w:after="0" w:line="276" w:lineRule="auto"/>
        <w:jc w:val="both"/>
        <w:rPr>
          <w:rFonts w:eastAsia="Times New Roman" w:cs="Calibri"/>
          <w:bdr w:val="none" w:sz="0" w:space="0" w:color="auto"/>
        </w:rPr>
      </w:pPr>
    </w:p>
    <w:p w:rsidR="00B90481" w:rsidRPr="00234B97" w:rsidRDefault="00653A32" w:rsidP="009332D3">
      <w:pPr>
        <w:spacing w:after="0" w:line="276" w:lineRule="auto"/>
        <w:jc w:val="both"/>
        <w:rPr>
          <w:rFonts w:eastAsia="Times New Roman" w:cs="Calibri"/>
          <w:bdr w:val="none" w:sz="0" w:space="0" w:color="auto"/>
        </w:rPr>
      </w:pPr>
      <w:r w:rsidRPr="00234B97">
        <w:rPr>
          <w:rFonts w:eastAsia="Times New Roman" w:cs="Calibri"/>
          <w:bdr w:val="none" w:sz="0" w:space="0" w:color="auto"/>
        </w:rPr>
        <w:lastRenderedPageBreak/>
        <w:t xml:space="preserve">«Sul fronte ospedaliero – afferma Renata Gili, responsabile Ricerca sui Servizi Sanitari della Fondazione GIMBE – </w:t>
      </w:r>
      <w:r w:rsidR="00F17918" w:rsidRPr="00234B97">
        <w:rPr>
          <w:rFonts w:eastAsia="Times New Roman" w:cs="Calibri"/>
          <w:color w:val="auto"/>
          <w:bdr w:val="none" w:sz="0" w:space="0" w:color="auto"/>
        </w:rPr>
        <w:t>dopo 8</w:t>
      </w:r>
      <w:r w:rsidR="00F17918" w:rsidRPr="00234B97">
        <w:rPr>
          <w:rFonts w:eastAsia="Times New Roman" w:cs="Calibri"/>
          <w:color w:val="FF0000"/>
          <w:bdr w:val="none" w:sz="0" w:space="0" w:color="auto"/>
        </w:rPr>
        <w:t xml:space="preserve"> </w:t>
      </w:r>
      <w:r w:rsidR="00F17918" w:rsidRPr="00234B97">
        <w:rPr>
          <w:rFonts w:eastAsia="Times New Roman" w:cs="Calibri"/>
          <w:color w:val="auto"/>
          <w:bdr w:val="none" w:sz="0" w:space="0" w:color="auto"/>
        </w:rPr>
        <w:t xml:space="preserve">settimane di aumento </w:t>
      </w:r>
      <w:r w:rsidRPr="00234B97">
        <w:rPr>
          <w:rFonts w:eastAsia="Times New Roman" w:cs="Calibri"/>
          <w:bdr w:val="none" w:sz="0" w:space="0" w:color="auto"/>
        </w:rPr>
        <w:t xml:space="preserve">si registra </w:t>
      </w:r>
      <w:r w:rsidR="00ED316F" w:rsidRPr="00234B97">
        <w:rPr>
          <w:rFonts w:eastAsia="Times New Roman" w:cs="Calibri"/>
          <w:bdr w:val="none" w:sz="0" w:space="0" w:color="auto"/>
        </w:rPr>
        <w:t>una</w:t>
      </w:r>
      <w:r w:rsidR="00F17918" w:rsidRPr="00234B97">
        <w:rPr>
          <w:rFonts w:eastAsia="Times New Roman" w:cs="Calibri"/>
          <w:bdr w:val="none" w:sz="0" w:space="0" w:color="auto"/>
        </w:rPr>
        <w:t xml:space="preserve"> lieve </w:t>
      </w:r>
      <w:r w:rsidR="00ED316F" w:rsidRPr="00234B97">
        <w:rPr>
          <w:rFonts w:eastAsia="Times New Roman" w:cs="Calibri"/>
          <w:bdr w:val="none" w:sz="0" w:space="0" w:color="auto"/>
        </w:rPr>
        <w:t xml:space="preserve">riduzione </w:t>
      </w:r>
      <w:r w:rsidRPr="00234B97">
        <w:rPr>
          <w:rFonts w:eastAsia="Times New Roman" w:cs="Calibri"/>
          <w:bdr w:val="none" w:sz="0" w:space="0" w:color="auto"/>
        </w:rPr>
        <w:t>dei posti letto occupati da pazienti COVID-19</w:t>
      </w:r>
      <w:r w:rsidR="007B398D" w:rsidRPr="00234B97">
        <w:rPr>
          <w:rFonts w:eastAsia="Times New Roman" w:cs="Calibri"/>
          <w:bdr w:val="none" w:sz="0" w:space="0" w:color="auto"/>
        </w:rPr>
        <w:t>, che scendono del</w:t>
      </w:r>
      <w:r w:rsidRPr="00234B97">
        <w:rPr>
          <w:rFonts w:eastAsia="Times New Roman" w:cs="Calibri"/>
          <w:bdr w:val="none" w:sz="0" w:space="0" w:color="auto"/>
        </w:rPr>
        <w:t xml:space="preserve"> 3,3% in area medica e del</w:t>
      </w:r>
      <w:r w:rsidR="007B398D" w:rsidRPr="00234B97">
        <w:rPr>
          <w:rFonts w:eastAsia="Times New Roman" w:cs="Calibri"/>
          <w:bdr w:val="none" w:sz="0" w:space="0" w:color="auto"/>
        </w:rPr>
        <w:t>l’</w:t>
      </w:r>
      <w:r w:rsidRPr="00234B97">
        <w:rPr>
          <w:rFonts w:eastAsia="Times New Roman" w:cs="Calibri"/>
          <w:bdr w:val="none" w:sz="0" w:space="0" w:color="auto"/>
        </w:rPr>
        <w:t>1,6% in terapia intensiva».</w:t>
      </w:r>
    </w:p>
    <w:p w:rsidR="009332D3" w:rsidRPr="00234B97" w:rsidRDefault="009332D3" w:rsidP="009332D3">
      <w:pPr>
        <w:spacing w:after="0" w:line="276" w:lineRule="auto"/>
        <w:jc w:val="both"/>
        <w:rPr>
          <w:rFonts w:eastAsia="Times New Roman" w:cs="Calibri"/>
          <w:bdr w:val="none" w:sz="0" w:space="0" w:color="auto"/>
        </w:rPr>
      </w:pPr>
    </w:p>
    <w:p w:rsidR="00653A32" w:rsidRPr="00234B97" w:rsidRDefault="00B90481" w:rsidP="00653A32">
      <w:pPr>
        <w:spacing w:line="276" w:lineRule="auto"/>
        <w:jc w:val="both"/>
        <w:rPr>
          <w:rFonts w:eastAsia="Times New Roman" w:cs="Calibri"/>
          <w:bdr w:val="none" w:sz="0" w:space="0" w:color="auto"/>
        </w:rPr>
      </w:pPr>
      <w:r w:rsidRPr="00234B97">
        <w:rPr>
          <w:rFonts w:eastAsia="Times New Roman" w:cs="Calibri"/>
          <w:bdr w:val="none" w:sz="0" w:space="0" w:color="auto"/>
        </w:rPr>
        <w:t xml:space="preserve">A livello nazionale il tasso di occupazione rimane basso (7% in area medica e 6% in area critica), </w:t>
      </w:r>
      <w:r w:rsidR="00F17918" w:rsidRPr="00234B97">
        <w:rPr>
          <w:rFonts w:eastAsia="Times New Roman" w:cs="Calibri"/>
          <w:bdr w:val="none" w:sz="0" w:space="0" w:color="auto"/>
        </w:rPr>
        <w:t>anche se persistono</w:t>
      </w:r>
      <w:r w:rsidRPr="00234B97">
        <w:rPr>
          <w:rFonts w:eastAsia="Times New Roman" w:cs="Calibri"/>
          <w:bdr w:val="none" w:sz="0" w:space="0" w:color="auto"/>
        </w:rPr>
        <w:t xml:space="preserve"> notevoli differenze regionali (</w:t>
      </w:r>
      <w:r w:rsidRPr="00234B97">
        <w:rPr>
          <w:rFonts w:eastAsia="Times New Roman" w:cs="Calibri"/>
          <w:highlight w:val="yellow"/>
          <w:bdr w:val="none" w:sz="0" w:space="0" w:color="auto"/>
        </w:rPr>
        <w:t>figura 5</w:t>
      </w:r>
      <w:r w:rsidRPr="00234B97">
        <w:rPr>
          <w:rFonts w:eastAsia="Times New Roman" w:cs="Calibri"/>
          <w:bdr w:val="none" w:sz="0" w:space="0" w:color="auto"/>
        </w:rPr>
        <w:t>): per l’area medica si collocano sopra la soglia del 15% Sicilia (21%) e Calabria (17%); per l’area critica sopra la soglia del 10% Marche (13%), Sicilia (11%)</w:t>
      </w:r>
      <w:r w:rsidR="002B3E49">
        <w:rPr>
          <w:rFonts w:eastAsia="Times New Roman" w:cs="Calibri"/>
          <w:bdr w:val="none" w:sz="0" w:space="0" w:color="auto"/>
        </w:rPr>
        <w:t xml:space="preserve"> e </w:t>
      </w:r>
      <w:r w:rsidR="00ED316F" w:rsidRPr="00234B97">
        <w:rPr>
          <w:rFonts w:eastAsia="Times New Roman" w:cs="Calibri"/>
          <w:bdr w:val="none" w:sz="0" w:space="0" w:color="auto"/>
        </w:rPr>
        <w:t>Sardegna (11%)</w:t>
      </w:r>
      <w:r w:rsidRPr="00234B97">
        <w:rPr>
          <w:rFonts w:eastAsia="Times New Roman" w:cs="Calibri"/>
          <w:bdr w:val="none" w:sz="0" w:space="0" w:color="auto"/>
        </w:rPr>
        <w:t xml:space="preserve">. </w:t>
      </w:r>
      <w:r w:rsidR="00653A32" w:rsidRPr="00234B97">
        <w:rPr>
          <w:rFonts w:eastAsia="Times New Roman" w:cs="Calibri"/>
          <w:bdr w:val="none" w:sz="0" w:space="0" w:color="auto"/>
        </w:rPr>
        <w:t>«</w:t>
      </w:r>
      <w:r w:rsidR="00ED316F" w:rsidRPr="00234B97">
        <w:rPr>
          <w:rFonts w:eastAsia="Times New Roman" w:cs="Calibri"/>
          <w:bdr w:val="none" w:sz="0" w:space="0" w:color="auto"/>
        </w:rPr>
        <w:t xml:space="preserve">Iniziano a scendere anche </w:t>
      </w:r>
      <w:r w:rsidR="00653A32" w:rsidRPr="00234B97">
        <w:rPr>
          <w:rFonts w:eastAsia="Times New Roman" w:cs="Calibri"/>
          <w:bdr w:val="none" w:sz="0" w:space="0" w:color="auto"/>
        </w:rPr>
        <w:t>gli ingressi giornalieri in terapia intensiva – spiega Marco Mosti, Direttore Operativo della Fondazione GIMBE – con una media mobile a 7 giorni di 36 ingressi/die rispetto ai 42 della settimana precedente» (</w:t>
      </w:r>
      <w:r w:rsidR="00653A32" w:rsidRPr="00234B97">
        <w:rPr>
          <w:rFonts w:eastAsia="Times New Roman" w:cs="Calibri"/>
          <w:highlight w:val="yellow"/>
          <w:bdr w:val="none" w:sz="0" w:space="0" w:color="auto"/>
        </w:rPr>
        <w:t>figura 6</w:t>
      </w:r>
      <w:r w:rsidR="00653A32" w:rsidRPr="00234B97">
        <w:rPr>
          <w:rFonts w:eastAsia="Times New Roman" w:cs="Calibri"/>
          <w:bdr w:val="none" w:sz="0" w:space="0" w:color="auto"/>
        </w:rPr>
        <w:t>).</w:t>
      </w:r>
    </w:p>
    <w:p w:rsidR="00D325D0" w:rsidRPr="00234B97" w:rsidRDefault="00D325D0" w:rsidP="007A602C">
      <w:pPr>
        <w:spacing w:line="276" w:lineRule="auto"/>
        <w:jc w:val="both"/>
        <w:rPr>
          <w:color w:val="auto"/>
        </w:rPr>
      </w:pPr>
      <w:r w:rsidRPr="00234B97">
        <w:rPr>
          <w:b/>
          <w:bCs/>
          <w:color w:val="auto"/>
        </w:rPr>
        <w:t>Vaccini: forniture</w:t>
      </w:r>
      <w:r w:rsidRPr="00234B97">
        <w:rPr>
          <w:color w:val="auto"/>
        </w:rPr>
        <w:t xml:space="preserve">. </w:t>
      </w:r>
      <w:r w:rsidR="00605F09" w:rsidRPr="00234B97">
        <w:rPr>
          <w:color w:val="auto"/>
        </w:rPr>
        <w:t>Al</w:t>
      </w:r>
      <w:r w:rsidR="0062012B" w:rsidRPr="00234B97">
        <w:rPr>
          <w:color w:val="auto"/>
        </w:rPr>
        <w:t xml:space="preserve"> 15</w:t>
      </w:r>
      <w:r w:rsidR="00FE71F0" w:rsidRPr="00234B97">
        <w:rPr>
          <w:color w:val="auto"/>
        </w:rPr>
        <w:t xml:space="preserve"> settembre (aggiornamento ore 6</w:t>
      </w:r>
      <w:r w:rsidR="00315CB0" w:rsidRPr="00234B97">
        <w:rPr>
          <w:color w:val="auto"/>
        </w:rPr>
        <w:t>.</w:t>
      </w:r>
      <w:r w:rsidR="0062012B" w:rsidRPr="00234B97">
        <w:rPr>
          <w:color w:val="auto"/>
        </w:rPr>
        <w:t>09</w:t>
      </w:r>
      <w:r w:rsidR="00FE71F0" w:rsidRPr="00234B97">
        <w:rPr>
          <w:color w:val="auto"/>
        </w:rPr>
        <w:t xml:space="preserve">) risultano consegnate </w:t>
      </w:r>
      <w:r w:rsidR="0062012B" w:rsidRPr="00234B97">
        <w:rPr>
          <w:color w:val="auto"/>
        </w:rPr>
        <w:t xml:space="preserve">91.849.241 </w:t>
      </w:r>
      <w:r w:rsidR="00FE71F0" w:rsidRPr="00234B97">
        <w:rPr>
          <w:color w:val="auto"/>
        </w:rPr>
        <w:t>dosi</w:t>
      </w:r>
      <w:r w:rsidR="009332D3" w:rsidRPr="00234B97">
        <w:rPr>
          <w:color w:val="auto"/>
        </w:rPr>
        <w:t xml:space="preserve">: </w:t>
      </w:r>
      <w:r w:rsidR="00B91F2F" w:rsidRPr="00234B97">
        <w:rPr>
          <w:color w:val="auto"/>
        </w:rPr>
        <w:t xml:space="preserve">con </w:t>
      </w:r>
      <w:r w:rsidR="009216B6" w:rsidRPr="00234B97">
        <w:rPr>
          <w:color w:val="auto"/>
        </w:rPr>
        <w:t xml:space="preserve">3,7 milioni di dosi </w:t>
      </w:r>
      <w:r w:rsidR="009C48C9">
        <w:rPr>
          <w:color w:val="auto"/>
        </w:rPr>
        <w:t>d</w:t>
      </w:r>
      <w:r w:rsidR="009216B6" w:rsidRPr="00234B97">
        <w:rPr>
          <w:color w:val="auto"/>
        </w:rPr>
        <w:t>ell’ultima settimana (</w:t>
      </w:r>
      <w:r w:rsidR="009216B6" w:rsidRPr="00234B97">
        <w:rPr>
          <w:color w:val="auto"/>
          <w:highlight w:val="yellow"/>
        </w:rPr>
        <w:t>figura 7</w:t>
      </w:r>
      <w:r w:rsidR="009216B6" w:rsidRPr="00234B97">
        <w:rPr>
          <w:color w:val="auto"/>
        </w:rPr>
        <w:t>)</w:t>
      </w:r>
      <w:r w:rsidR="00741B18" w:rsidRPr="00234B97">
        <w:rPr>
          <w:color w:val="auto"/>
        </w:rPr>
        <w:t xml:space="preserve"> </w:t>
      </w:r>
      <w:r w:rsidR="00315CB0" w:rsidRPr="00234B97">
        <w:t>le</w:t>
      </w:r>
      <w:r w:rsidR="00315CB0" w:rsidRPr="00234B97">
        <w:rPr>
          <w:color w:val="auto"/>
        </w:rPr>
        <w:t xml:space="preserve"> scorte di vaccini a mRNA</w:t>
      </w:r>
      <w:r w:rsidR="00741B18" w:rsidRPr="00234B97">
        <w:rPr>
          <w:color w:val="auto"/>
        </w:rPr>
        <w:t xml:space="preserve"> </w:t>
      </w:r>
      <w:r w:rsidR="00FE2F96" w:rsidRPr="00234B97">
        <w:rPr>
          <w:color w:val="auto"/>
        </w:rPr>
        <w:t xml:space="preserve">superano quota </w:t>
      </w:r>
      <w:r w:rsidR="00184068" w:rsidRPr="00234B97">
        <w:rPr>
          <w:color w:val="auto"/>
        </w:rPr>
        <w:t>10</w:t>
      </w:r>
      <w:r w:rsidR="009332D3" w:rsidRPr="00234B97">
        <w:rPr>
          <w:color w:val="auto"/>
        </w:rPr>
        <w:t xml:space="preserve"> milioni</w:t>
      </w:r>
      <w:r w:rsidRPr="00234B97">
        <w:rPr>
          <w:color w:val="auto"/>
        </w:rPr>
        <w:t>.</w:t>
      </w:r>
    </w:p>
    <w:p w:rsidR="00B90481" w:rsidRPr="001D48DB" w:rsidRDefault="00184068" w:rsidP="00B90481">
      <w:pPr>
        <w:spacing w:line="276" w:lineRule="auto"/>
        <w:jc w:val="both"/>
        <w:rPr>
          <w:color w:val="auto"/>
        </w:rPr>
      </w:pPr>
      <w:r w:rsidRPr="00234B97">
        <w:rPr>
          <w:b/>
          <w:color w:val="auto"/>
        </w:rPr>
        <w:t xml:space="preserve">Vaccini: somministrazioni. </w:t>
      </w:r>
      <w:r w:rsidRPr="00234B97">
        <w:rPr>
          <w:color w:val="auto"/>
        </w:rPr>
        <w:t>Al 15 settembre (aggiornamento ore 06:09) il 74,1% della popolazione (n. 43.924.031) ha ricevuto almeno una dose di vaccino (+552.102 rispetto all</w:t>
      </w:r>
      <w:r w:rsidR="00B90481" w:rsidRPr="00234B97">
        <w:rPr>
          <w:color w:val="auto"/>
        </w:rPr>
        <w:t>a settimana precedente) e il 68</w:t>
      </w:r>
      <w:r w:rsidRPr="00234B97">
        <w:rPr>
          <w:color w:val="auto"/>
        </w:rPr>
        <w:t>% (n. 40.295.980) ha completato il ciclo vaccinale (+1.223.873) (</w:t>
      </w:r>
      <w:r w:rsidRPr="00234B97">
        <w:rPr>
          <w:color w:val="auto"/>
          <w:highlight w:val="yellow"/>
        </w:rPr>
        <w:t>figura 8</w:t>
      </w:r>
      <w:r w:rsidRPr="00234B97">
        <w:rPr>
          <w:color w:val="auto"/>
        </w:rPr>
        <w:t>). In calo nell’ultima settimana il numero di somministrazioni (n. 1.720.055) (</w:t>
      </w:r>
      <w:r w:rsidRPr="00234B97">
        <w:rPr>
          <w:color w:val="auto"/>
          <w:highlight w:val="yellow"/>
        </w:rPr>
        <w:t>figura 9</w:t>
      </w:r>
      <w:r w:rsidRPr="00234B97">
        <w:rPr>
          <w:color w:val="auto"/>
        </w:rPr>
        <w:t>), con una media mobile a 7 giorni di 234.183 somministrazioni/die (</w:t>
      </w:r>
      <w:r w:rsidRPr="00234B97">
        <w:rPr>
          <w:color w:val="auto"/>
          <w:highlight w:val="yellow"/>
        </w:rPr>
        <w:t>figura 10</w:t>
      </w:r>
      <w:r w:rsidRPr="00234B97">
        <w:rPr>
          <w:color w:val="auto"/>
        </w:rPr>
        <w:t>).</w:t>
      </w:r>
      <w:r w:rsidR="00B90481" w:rsidRPr="00234B97">
        <w:rPr>
          <w:color w:val="auto"/>
        </w:rPr>
        <w:t xml:space="preserve"> «Nonost</w:t>
      </w:r>
      <w:r w:rsidR="008E4092" w:rsidRPr="00234B97">
        <w:rPr>
          <w:color w:val="auto"/>
        </w:rPr>
        <w:t xml:space="preserve">ante la </w:t>
      </w:r>
      <w:r w:rsidR="005D18C9">
        <w:rPr>
          <w:color w:val="auto"/>
        </w:rPr>
        <w:t>considerevole</w:t>
      </w:r>
      <w:r w:rsidR="005D18C9" w:rsidRPr="00234B97">
        <w:rPr>
          <w:color w:val="auto"/>
        </w:rPr>
        <w:t xml:space="preserve"> </w:t>
      </w:r>
      <w:r w:rsidR="00741B18" w:rsidRPr="00234B97">
        <w:rPr>
          <w:color w:val="auto"/>
        </w:rPr>
        <w:t xml:space="preserve">disponibilità </w:t>
      </w:r>
      <w:r w:rsidR="002846B6" w:rsidRPr="00234B97">
        <w:rPr>
          <w:color w:val="auto"/>
        </w:rPr>
        <w:t xml:space="preserve">di </w:t>
      </w:r>
      <w:r w:rsidR="00741B18" w:rsidRPr="00234B97">
        <w:rPr>
          <w:color w:val="auto"/>
        </w:rPr>
        <w:t>dosi</w:t>
      </w:r>
      <w:r w:rsidR="008E4092" w:rsidRPr="00234B97">
        <w:rPr>
          <w:color w:val="auto"/>
        </w:rPr>
        <w:t xml:space="preserve"> </w:t>
      </w:r>
      <w:r w:rsidR="00B90481" w:rsidRPr="00234B97">
        <w:rPr>
          <w:color w:val="auto"/>
        </w:rPr>
        <w:t xml:space="preserve">– commenta Cartabellotta – </w:t>
      </w:r>
      <w:r w:rsidR="00BC432F" w:rsidRPr="00234B97">
        <w:rPr>
          <w:color w:val="auto"/>
        </w:rPr>
        <w:t>il numero di prime somministrazioni</w:t>
      </w:r>
      <w:r w:rsidR="00BC432F">
        <w:rPr>
          <w:color w:val="auto"/>
        </w:rPr>
        <w:t>,</w:t>
      </w:r>
      <w:r w:rsidR="00BC432F" w:rsidRPr="00234B97">
        <w:rPr>
          <w:color w:val="auto"/>
        </w:rPr>
        <w:t xml:space="preserve"> </w:t>
      </w:r>
      <w:r w:rsidR="00B90481" w:rsidRPr="00234B97">
        <w:rPr>
          <w:color w:val="auto"/>
        </w:rPr>
        <w:t xml:space="preserve">dopo tre settimane </w:t>
      </w:r>
      <w:r w:rsidR="007D2352">
        <w:rPr>
          <w:color w:val="auto"/>
        </w:rPr>
        <w:t>di stabilità</w:t>
      </w:r>
      <w:r w:rsidR="00B90481" w:rsidRPr="00234B97">
        <w:rPr>
          <w:color w:val="auto"/>
        </w:rPr>
        <w:t xml:space="preserve"> intorno a</w:t>
      </w:r>
      <w:r w:rsidR="007D2352">
        <w:rPr>
          <w:color w:val="auto"/>
        </w:rPr>
        <w:t xml:space="preserve"> quota</w:t>
      </w:r>
      <w:r w:rsidR="00B90481" w:rsidRPr="00234B97">
        <w:rPr>
          <w:color w:val="auto"/>
        </w:rPr>
        <w:t xml:space="preserve"> 720-750mila, nell’ultima settimana è sceso a 525</w:t>
      </w:r>
      <w:r w:rsidR="008E4092" w:rsidRPr="00234B97">
        <w:rPr>
          <w:color w:val="auto"/>
        </w:rPr>
        <w:t>mila</w:t>
      </w:r>
      <w:r w:rsidR="005B48EF">
        <w:rPr>
          <w:color w:val="auto"/>
        </w:rPr>
        <w:t xml:space="preserve">. </w:t>
      </w:r>
      <w:r w:rsidR="007B1735" w:rsidRPr="001D48DB">
        <w:rPr>
          <w:color w:val="auto"/>
        </w:rPr>
        <w:t xml:space="preserve">In attesa di conoscere gli effetti dell’estensione dell’obbligo del green pass, è evidente </w:t>
      </w:r>
      <w:r w:rsidR="008E4092" w:rsidRPr="001D48DB">
        <w:rPr>
          <w:color w:val="auto"/>
        </w:rPr>
        <w:t xml:space="preserve">che le </w:t>
      </w:r>
      <w:r w:rsidR="00745607" w:rsidRPr="001D48DB">
        <w:rPr>
          <w:color w:val="auto"/>
        </w:rPr>
        <w:t xml:space="preserve">attuali </w:t>
      </w:r>
      <w:r w:rsidR="008E4092" w:rsidRPr="001D48DB">
        <w:rPr>
          <w:color w:val="auto"/>
        </w:rPr>
        <w:t xml:space="preserve">strategie </w:t>
      </w:r>
      <w:r w:rsidR="005D18C9" w:rsidRPr="001D48DB">
        <w:rPr>
          <w:color w:val="auto"/>
        </w:rPr>
        <w:t xml:space="preserve">della campagna </w:t>
      </w:r>
      <w:r w:rsidR="00BC432F" w:rsidRPr="001D48DB">
        <w:rPr>
          <w:color w:val="auto"/>
        </w:rPr>
        <w:t>non riescono a</w:t>
      </w:r>
      <w:r w:rsidR="008E4092" w:rsidRPr="001D48DB">
        <w:rPr>
          <w:color w:val="auto"/>
        </w:rPr>
        <w:t xml:space="preserve"> </w:t>
      </w:r>
      <w:r w:rsidR="009C48C9" w:rsidRPr="001D48DB">
        <w:rPr>
          <w:color w:val="auto"/>
        </w:rPr>
        <w:t xml:space="preserve">contrastare </w:t>
      </w:r>
      <w:r w:rsidR="008E4092" w:rsidRPr="001D48DB">
        <w:rPr>
          <w:color w:val="auto"/>
        </w:rPr>
        <w:t>l</w:t>
      </w:r>
      <w:r w:rsidR="000B1B66" w:rsidRPr="001D48DB">
        <w:rPr>
          <w:color w:val="auto"/>
        </w:rPr>
        <w:t>’</w:t>
      </w:r>
      <w:r w:rsidR="008E4092" w:rsidRPr="001D48DB">
        <w:rPr>
          <w:color w:val="auto"/>
        </w:rPr>
        <w:t xml:space="preserve">esitazione </w:t>
      </w:r>
      <w:r w:rsidR="00745607" w:rsidRPr="001D48DB">
        <w:rPr>
          <w:color w:val="auto"/>
        </w:rPr>
        <w:t xml:space="preserve">della popolazione ancora non </w:t>
      </w:r>
      <w:r w:rsidR="00741B18" w:rsidRPr="001D48DB">
        <w:rPr>
          <w:color w:val="auto"/>
        </w:rPr>
        <w:t>vaccinata</w:t>
      </w:r>
      <w:r w:rsidR="00B90481" w:rsidRPr="001D48DB">
        <w:rPr>
          <w:color w:val="auto"/>
        </w:rPr>
        <w:t xml:space="preserve">». </w:t>
      </w:r>
    </w:p>
    <w:p w:rsidR="00B90481" w:rsidRPr="00234B97" w:rsidRDefault="00B90481" w:rsidP="00B90481">
      <w:pPr>
        <w:spacing w:line="276" w:lineRule="auto"/>
        <w:jc w:val="both"/>
        <w:rPr>
          <w:color w:val="auto"/>
          <w:u w:color="FF0000"/>
        </w:rPr>
      </w:pPr>
      <w:r w:rsidRPr="00234B97">
        <w:rPr>
          <w:b/>
          <w:color w:val="auto"/>
          <w:u w:color="FF0000"/>
        </w:rPr>
        <w:t>Vaccini: copertura degli over 50.</w:t>
      </w:r>
      <w:r w:rsidRPr="00234B97">
        <w:rPr>
          <w:color w:val="auto"/>
          <w:u w:color="FF0000"/>
        </w:rPr>
        <w:t xml:space="preserve"> L’88,9% della popolazione over 50 ha ricevuto almeno la prima dose di vaccino, (+0,5%</w:t>
      </w:r>
      <w:r w:rsidR="00E37174" w:rsidRPr="00234B97">
        <w:rPr>
          <w:color w:val="auto"/>
          <w:u w:color="FF0000"/>
        </w:rPr>
        <w:t xml:space="preserve"> rispetto alla settimana precedente</w:t>
      </w:r>
      <w:r w:rsidRPr="00234B97">
        <w:rPr>
          <w:color w:val="auto"/>
          <w:u w:color="FF0000"/>
        </w:rPr>
        <w:t>)</w:t>
      </w:r>
      <w:r w:rsidR="00E37174" w:rsidRPr="00234B97">
        <w:rPr>
          <w:color w:val="auto"/>
          <w:u w:color="FF0000"/>
        </w:rPr>
        <w:t xml:space="preserve"> </w:t>
      </w:r>
      <w:r w:rsidR="008E4092" w:rsidRPr="00234B97">
        <w:rPr>
          <w:color w:val="auto"/>
          <w:u w:color="FF0000"/>
        </w:rPr>
        <w:t xml:space="preserve">con </w:t>
      </w:r>
      <w:r w:rsidRPr="00234B97">
        <w:rPr>
          <w:color w:val="auto"/>
          <w:u w:color="FF0000"/>
        </w:rPr>
        <w:t>nette differenze regionali: dal 93,3% della Puglia al</w:t>
      </w:r>
      <w:r w:rsidR="009E269C">
        <w:rPr>
          <w:color w:val="auto"/>
          <w:u w:color="FF0000"/>
        </w:rPr>
        <w:t>l’</w:t>
      </w:r>
      <w:r w:rsidRPr="00234B97">
        <w:rPr>
          <w:color w:val="auto"/>
          <w:u w:color="FF0000"/>
        </w:rPr>
        <w:t>83% della Calabria. In dettaglio:</w:t>
      </w:r>
    </w:p>
    <w:p w:rsidR="00B90481" w:rsidRPr="00234B97" w:rsidRDefault="00B90481" w:rsidP="00B90481">
      <w:pPr>
        <w:pStyle w:val="Paragrafoelenco"/>
        <w:numPr>
          <w:ilvl w:val="0"/>
          <w:numId w:val="4"/>
        </w:numPr>
        <w:spacing w:after="0" w:line="276" w:lineRule="auto"/>
        <w:jc w:val="both"/>
        <w:rPr>
          <w:color w:val="auto"/>
        </w:rPr>
      </w:pPr>
      <w:r w:rsidRPr="00234B97">
        <w:rPr>
          <w:b/>
          <w:color w:val="auto"/>
        </w:rPr>
        <w:t>Over 80:</w:t>
      </w:r>
      <w:r w:rsidRPr="00234B97">
        <w:rPr>
          <w:color w:val="auto"/>
        </w:rPr>
        <w:t xml:space="preserve"> degli oltre 4,4 milioni, 4.205.980 (93,9%) hanno completato il ciclo vaccinale e 102.620 (2,3%) hanno ricevuto solo la prima dose.</w:t>
      </w:r>
    </w:p>
    <w:p w:rsidR="00B90481" w:rsidRPr="00234B97" w:rsidRDefault="00B90481" w:rsidP="00B90481">
      <w:pPr>
        <w:pStyle w:val="Paragrafoelenco"/>
        <w:numPr>
          <w:ilvl w:val="0"/>
          <w:numId w:val="4"/>
        </w:numPr>
        <w:spacing w:after="0" w:line="276" w:lineRule="auto"/>
        <w:jc w:val="both"/>
        <w:rPr>
          <w:color w:val="auto"/>
        </w:rPr>
      </w:pPr>
      <w:r w:rsidRPr="00234B97">
        <w:rPr>
          <w:b/>
          <w:color w:val="auto"/>
        </w:rPr>
        <w:t>Fascia 70-79 anni:</w:t>
      </w:r>
      <w:r w:rsidRPr="00234B97">
        <w:rPr>
          <w:color w:val="auto"/>
        </w:rPr>
        <w:t xml:space="preserve"> degli oltre 5,9 milioni, 5.353.137 (89,7%) hanno completato il ciclo vaccinale e 133.144 (2,2%) hanno ricevuto solo la prima dose.</w:t>
      </w:r>
    </w:p>
    <w:p w:rsidR="00B90481" w:rsidRPr="00234B97" w:rsidRDefault="00B90481" w:rsidP="00B90481">
      <w:pPr>
        <w:pStyle w:val="Paragrafoelenco"/>
        <w:numPr>
          <w:ilvl w:val="0"/>
          <w:numId w:val="4"/>
        </w:numPr>
        <w:spacing w:after="0" w:line="276" w:lineRule="auto"/>
        <w:jc w:val="both"/>
        <w:rPr>
          <w:color w:val="auto"/>
        </w:rPr>
      </w:pPr>
      <w:r w:rsidRPr="00234B97">
        <w:rPr>
          <w:b/>
          <w:color w:val="auto"/>
        </w:rPr>
        <w:t>Fascia 60-69 anni:</w:t>
      </w:r>
      <w:r w:rsidRPr="00234B97">
        <w:rPr>
          <w:color w:val="auto"/>
        </w:rPr>
        <w:t xml:space="preserve"> degli oltre 7,3 milioni, 6.376.274 (85,7%) hanno completato il ciclo vaccinale e 219.502 (2,9%) hanno ricevuto solo la prima dose.</w:t>
      </w:r>
    </w:p>
    <w:p w:rsidR="00B90481" w:rsidRPr="00234B97" w:rsidRDefault="00B90481" w:rsidP="00B90481">
      <w:pPr>
        <w:pStyle w:val="Paragrafoelenco"/>
        <w:numPr>
          <w:ilvl w:val="0"/>
          <w:numId w:val="4"/>
        </w:numPr>
        <w:spacing w:line="276" w:lineRule="auto"/>
        <w:ind w:left="357" w:hanging="357"/>
        <w:jc w:val="both"/>
        <w:rPr>
          <w:color w:val="auto"/>
        </w:rPr>
      </w:pPr>
      <w:r w:rsidRPr="00234B97">
        <w:rPr>
          <w:b/>
          <w:color w:val="auto"/>
        </w:rPr>
        <w:t>Fascia 50-59 anni:</w:t>
      </w:r>
      <w:r w:rsidRPr="00234B97">
        <w:rPr>
          <w:color w:val="auto"/>
        </w:rPr>
        <w:t xml:space="preserve"> degli oltre 9,4 milioni, 7.491.811 (79,1%) hanno completato il ciclo vaccinale e 440.596 (4,7%) hanno ricevuto solo la prima dose.</w:t>
      </w:r>
    </w:p>
    <w:p w:rsidR="00F122C0" w:rsidRPr="00234B97" w:rsidRDefault="00B90481" w:rsidP="00B90481">
      <w:pPr>
        <w:spacing w:after="0" w:line="276" w:lineRule="auto"/>
        <w:jc w:val="both"/>
        <w:rPr>
          <w:color w:val="auto"/>
        </w:rPr>
      </w:pPr>
      <w:r w:rsidRPr="00234B97">
        <w:rPr>
          <w:color w:val="auto"/>
        </w:rPr>
        <w:t>Complessivamente 3,9 milioni di over 50 (14,4%) non hanno ancora completato il ciclo vaccinale (</w:t>
      </w:r>
      <w:r w:rsidRPr="00234B97">
        <w:rPr>
          <w:color w:val="auto"/>
          <w:highlight w:val="yellow"/>
        </w:rPr>
        <w:t>figura 11</w:t>
      </w:r>
      <w:r w:rsidRPr="00234B97">
        <w:rPr>
          <w:color w:val="auto"/>
        </w:rPr>
        <w:t>)</w:t>
      </w:r>
      <w:r w:rsidR="00B063E2">
        <w:rPr>
          <w:color w:val="auto"/>
        </w:rPr>
        <w:t>,</w:t>
      </w:r>
      <w:r w:rsidRPr="00234B97">
        <w:rPr>
          <w:color w:val="auto"/>
        </w:rPr>
        <w:t xml:space="preserve"> con rilevanti differenze regionali (dal 17% della Calabria al 6,7% della Puglia) (</w:t>
      </w:r>
      <w:r w:rsidRPr="00234B97">
        <w:rPr>
          <w:color w:val="auto"/>
          <w:highlight w:val="yellow"/>
        </w:rPr>
        <w:t>figura 12</w:t>
      </w:r>
      <w:r w:rsidRPr="00234B97">
        <w:rPr>
          <w:color w:val="auto"/>
        </w:rPr>
        <w:t xml:space="preserve">): di questi, 3,03 milioni non hanno ancora ricevuto nemmeno una dose. </w:t>
      </w:r>
      <w:r w:rsidR="003461BD" w:rsidRPr="00234B97">
        <w:rPr>
          <w:color w:val="auto"/>
        </w:rPr>
        <w:t xml:space="preserve">A fronte di un </w:t>
      </w:r>
      <w:r w:rsidR="00F122C0" w:rsidRPr="00234B97">
        <w:rPr>
          <w:color w:val="auto"/>
        </w:rPr>
        <w:t xml:space="preserve">sostanziale appiattimento dei trend di vaccinazione </w:t>
      </w:r>
      <w:r w:rsidR="007C5961" w:rsidRPr="00234B97">
        <w:rPr>
          <w:color w:val="auto"/>
        </w:rPr>
        <w:t>in questa fascia di età</w:t>
      </w:r>
      <w:r w:rsidR="00F122C0" w:rsidRPr="00234B97">
        <w:rPr>
          <w:color w:val="auto"/>
        </w:rPr>
        <w:t xml:space="preserve">, </w:t>
      </w:r>
      <w:r w:rsidR="0038374F" w:rsidRPr="00234B97">
        <w:rPr>
          <w:color w:val="auto"/>
        </w:rPr>
        <w:t>continuano a salire</w:t>
      </w:r>
      <w:r w:rsidR="00F122C0" w:rsidRPr="00234B97">
        <w:rPr>
          <w:color w:val="auto"/>
        </w:rPr>
        <w:t xml:space="preserve"> le curve degli under </w:t>
      </w:r>
      <w:r w:rsidR="00EE1262" w:rsidRPr="00234B97">
        <w:rPr>
          <w:color w:val="auto"/>
        </w:rPr>
        <w:t>50</w:t>
      </w:r>
      <w:r w:rsidR="0038374F" w:rsidRPr="00234B97">
        <w:rPr>
          <w:color w:val="auto"/>
        </w:rPr>
        <w:t xml:space="preserve">, </w:t>
      </w:r>
      <w:r w:rsidR="00E37174" w:rsidRPr="00234B97">
        <w:rPr>
          <w:color w:val="auto"/>
        </w:rPr>
        <w:t>in particolare delle fasce 12-19 e 20-29 anni</w:t>
      </w:r>
      <w:r w:rsidR="00C3740F" w:rsidRPr="00234B97">
        <w:rPr>
          <w:color w:val="auto"/>
        </w:rPr>
        <w:t xml:space="preserve"> che ha</w:t>
      </w:r>
      <w:r w:rsidR="009C48C9">
        <w:rPr>
          <w:color w:val="auto"/>
        </w:rPr>
        <w:t>nno</w:t>
      </w:r>
      <w:r w:rsidR="00C3740F" w:rsidRPr="00234B97">
        <w:rPr>
          <w:color w:val="auto"/>
        </w:rPr>
        <w:t xml:space="preserve"> superato</w:t>
      </w:r>
      <w:r w:rsidR="00E37174" w:rsidRPr="00234B97">
        <w:rPr>
          <w:color w:val="auto"/>
        </w:rPr>
        <w:t xml:space="preserve"> le fasce 30-39 e 40-49 anni</w:t>
      </w:r>
      <w:r w:rsidR="00E82977" w:rsidRPr="00234B97">
        <w:rPr>
          <w:color w:val="auto"/>
        </w:rPr>
        <w:t xml:space="preserve"> (</w:t>
      </w:r>
      <w:r w:rsidR="00E82977" w:rsidRPr="00234B97">
        <w:rPr>
          <w:color w:val="auto"/>
          <w:shd w:val="clear" w:color="auto" w:fill="FFFF00"/>
        </w:rPr>
        <w:t>figura 13</w:t>
      </w:r>
      <w:r w:rsidR="00E82977" w:rsidRPr="00234B97">
        <w:rPr>
          <w:color w:val="auto"/>
        </w:rPr>
        <w:t>)</w:t>
      </w:r>
      <w:r w:rsidR="0038374F" w:rsidRPr="00234B97">
        <w:rPr>
          <w:color w:val="auto"/>
        </w:rPr>
        <w:t xml:space="preserve">. </w:t>
      </w:r>
      <w:r w:rsidR="00127892" w:rsidRPr="00234B97">
        <w:rPr>
          <w:color w:val="auto"/>
        </w:rPr>
        <w:t xml:space="preserve">La </w:t>
      </w:r>
      <w:r w:rsidR="00127892" w:rsidRPr="00234B97">
        <w:rPr>
          <w:color w:val="auto"/>
          <w:highlight w:val="yellow"/>
        </w:rPr>
        <w:t>figura 1</w:t>
      </w:r>
      <w:r w:rsidR="003B6F85" w:rsidRPr="00234B97">
        <w:rPr>
          <w:color w:val="auto"/>
          <w:highlight w:val="yellow"/>
        </w:rPr>
        <w:t>4</w:t>
      </w:r>
      <w:r w:rsidR="00127892" w:rsidRPr="00234B97">
        <w:rPr>
          <w:color w:val="auto"/>
        </w:rPr>
        <w:t xml:space="preserve"> illustra le coperture vaccinali per fascia di età</w:t>
      </w:r>
      <w:r w:rsidR="00B46E4C" w:rsidRPr="00234B97">
        <w:rPr>
          <w:color w:val="auto"/>
        </w:rPr>
        <w:t xml:space="preserve"> mentre</w:t>
      </w:r>
      <w:r w:rsidR="005C2C9D" w:rsidRPr="00234B97">
        <w:rPr>
          <w:color w:val="auto"/>
        </w:rPr>
        <w:t xml:space="preserve"> la </w:t>
      </w:r>
      <w:r w:rsidR="005C2C9D" w:rsidRPr="00234B97">
        <w:rPr>
          <w:color w:val="auto"/>
          <w:highlight w:val="yellow"/>
        </w:rPr>
        <w:t xml:space="preserve">figura </w:t>
      </w:r>
      <w:r w:rsidR="00C3740F" w:rsidRPr="00234B97">
        <w:rPr>
          <w:color w:val="auto"/>
          <w:highlight w:val="yellow"/>
        </w:rPr>
        <w:t>15</w:t>
      </w:r>
      <w:r w:rsidR="005C2C9D" w:rsidRPr="00234B97">
        <w:rPr>
          <w:color w:val="auto"/>
        </w:rPr>
        <w:t xml:space="preserve"> </w:t>
      </w:r>
      <w:r w:rsidR="00023784" w:rsidRPr="00234B97">
        <w:rPr>
          <w:color w:val="auto"/>
        </w:rPr>
        <w:t xml:space="preserve">riporta, </w:t>
      </w:r>
      <w:r w:rsidR="009C48C9">
        <w:rPr>
          <w:color w:val="auto"/>
        </w:rPr>
        <w:t xml:space="preserve">sempre </w:t>
      </w:r>
      <w:r w:rsidR="00023784" w:rsidRPr="00234B97">
        <w:rPr>
          <w:color w:val="auto"/>
        </w:rPr>
        <w:t xml:space="preserve">per fascia d’età, </w:t>
      </w:r>
      <w:r w:rsidR="005C2C9D" w:rsidRPr="00234B97">
        <w:rPr>
          <w:color w:val="auto"/>
        </w:rPr>
        <w:t>il numero delle persone che non hanno ricevuto nemmeno una dose</w:t>
      </w:r>
      <w:r w:rsidR="00C3740F" w:rsidRPr="00234B97">
        <w:rPr>
          <w:color w:val="auto"/>
        </w:rPr>
        <w:t>. I</w:t>
      </w:r>
      <w:r w:rsidR="00582285" w:rsidRPr="00234B97">
        <w:rPr>
          <w:color w:val="auto"/>
        </w:rPr>
        <w:t xml:space="preserve">n particolare, </w:t>
      </w:r>
      <w:r w:rsidR="00EC0703" w:rsidRPr="00234B97">
        <w:rPr>
          <w:color w:val="auto"/>
        </w:rPr>
        <w:t xml:space="preserve">con le scuole già ripartite, preoccupa che </w:t>
      </w:r>
      <w:r w:rsidR="005C2C9D" w:rsidRPr="00234B97">
        <w:rPr>
          <w:color w:val="auto"/>
        </w:rPr>
        <w:t xml:space="preserve">nella fascia 12-19 anni, </w:t>
      </w:r>
      <w:r w:rsidR="00E37174" w:rsidRPr="00234B97">
        <w:rPr>
          <w:color w:val="auto"/>
        </w:rPr>
        <w:t xml:space="preserve">nonostante </w:t>
      </w:r>
      <w:r w:rsidR="00EC0703" w:rsidRPr="00234B97">
        <w:rPr>
          <w:color w:val="auto"/>
        </w:rPr>
        <w:t>il</w:t>
      </w:r>
      <w:r w:rsidR="00E37174" w:rsidRPr="00234B97">
        <w:rPr>
          <w:color w:val="auto"/>
        </w:rPr>
        <w:t xml:space="preserve"> costante </w:t>
      </w:r>
      <w:r w:rsidR="00EC0703" w:rsidRPr="00234B97">
        <w:rPr>
          <w:color w:val="auto"/>
        </w:rPr>
        <w:t xml:space="preserve">incremento </w:t>
      </w:r>
      <w:r w:rsidR="00E37174" w:rsidRPr="00234B97">
        <w:rPr>
          <w:color w:val="auto"/>
        </w:rPr>
        <w:t>delle coperture</w:t>
      </w:r>
      <w:r w:rsidR="00582285" w:rsidRPr="00234B97">
        <w:rPr>
          <w:color w:val="auto"/>
        </w:rPr>
        <w:t xml:space="preserve">, </w:t>
      </w:r>
      <w:r w:rsidR="00E37174" w:rsidRPr="00234B97">
        <w:rPr>
          <w:color w:val="auto"/>
        </w:rPr>
        <w:t>ancora</w:t>
      </w:r>
      <w:r w:rsidR="008F66E7" w:rsidRPr="00234B97">
        <w:rPr>
          <w:color w:val="auto"/>
        </w:rPr>
        <w:t xml:space="preserve"> </w:t>
      </w:r>
      <w:r w:rsidR="00C3740F" w:rsidRPr="00234B97">
        <w:rPr>
          <w:color w:val="auto"/>
        </w:rPr>
        <w:t xml:space="preserve">1,53 milioni </w:t>
      </w:r>
      <w:r w:rsidR="00EC0703" w:rsidRPr="00234B97">
        <w:rPr>
          <w:color w:val="auto"/>
        </w:rPr>
        <w:t xml:space="preserve">di ragazzi </w:t>
      </w:r>
      <w:r w:rsidR="00C3740F" w:rsidRPr="00234B97">
        <w:rPr>
          <w:color w:val="auto"/>
        </w:rPr>
        <w:t>(</w:t>
      </w:r>
      <w:r w:rsidR="00582285" w:rsidRPr="00234B97">
        <w:rPr>
          <w:color w:val="auto"/>
        </w:rPr>
        <w:t>3</w:t>
      </w:r>
      <w:r w:rsidRPr="00234B97">
        <w:rPr>
          <w:color w:val="auto"/>
        </w:rPr>
        <w:t>3,7</w:t>
      </w:r>
      <w:r w:rsidR="00582285" w:rsidRPr="00234B97">
        <w:rPr>
          <w:color w:val="auto"/>
        </w:rPr>
        <w:t>%</w:t>
      </w:r>
      <w:r w:rsidR="00C3740F" w:rsidRPr="00234B97">
        <w:rPr>
          <w:color w:val="auto"/>
        </w:rPr>
        <w:t>)</w:t>
      </w:r>
      <w:r w:rsidR="00E37174" w:rsidRPr="00234B97">
        <w:rPr>
          <w:color w:val="auto"/>
        </w:rPr>
        <w:t xml:space="preserve"> </w:t>
      </w:r>
      <w:r w:rsidR="00C3740F" w:rsidRPr="00234B97">
        <w:rPr>
          <w:color w:val="auto"/>
        </w:rPr>
        <w:t xml:space="preserve">non </w:t>
      </w:r>
      <w:r w:rsidR="00B063E2">
        <w:rPr>
          <w:color w:val="auto"/>
        </w:rPr>
        <w:t>abbiano</w:t>
      </w:r>
      <w:r w:rsidR="00B063E2" w:rsidRPr="00234B97">
        <w:rPr>
          <w:color w:val="auto"/>
        </w:rPr>
        <w:t xml:space="preserve"> </w:t>
      </w:r>
      <w:r w:rsidR="00C3740F" w:rsidRPr="00234B97">
        <w:rPr>
          <w:color w:val="auto"/>
        </w:rPr>
        <w:t>ricevuto</w:t>
      </w:r>
      <w:r w:rsidR="00582285" w:rsidRPr="00234B97">
        <w:rPr>
          <w:color w:val="auto"/>
        </w:rPr>
        <w:t xml:space="preserve"> nemmeno una dose di vaccino</w:t>
      </w:r>
      <w:r w:rsidR="008436F7" w:rsidRPr="00234B97">
        <w:rPr>
          <w:color w:val="auto"/>
        </w:rPr>
        <w:t>, con rilevanti differenze regionali</w:t>
      </w:r>
      <w:r w:rsidR="000B25F9" w:rsidRPr="00234B97">
        <w:rPr>
          <w:color w:val="auto"/>
        </w:rPr>
        <w:t xml:space="preserve"> (</w:t>
      </w:r>
      <w:r w:rsidR="008E4092" w:rsidRPr="00234B97">
        <w:rPr>
          <w:color w:val="auto"/>
          <w:highlight w:val="yellow"/>
        </w:rPr>
        <w:t>figura 16</w:t>
      </w:r>
      <w:r w:rsidR="000B25F9" w:rsidRPr="00234B97">
        <w:rPr>
          <w:color w:val="auto"/>
        </w:rPr>
        <w:t>)</w:t>
      </w:r>
      <w:r w:rsidR="00AE5B4A" w:rsidRPr="00234B97">
        <w:rPr>
          <w:color w:val="auto"/>
        </w:rPr>
        <w:t>.</w:t>
      </w:r>
    </w:p>
    <w:p w:rsidR="005206D7" w:rsidRPr="00234B97" w:rsidRDefault="005206D7" w:rsidP="00B90481">
      <w:pPr>
        <w:spacing w:after="0" w:line="276" w:lineRule="auto"/>
        <w:jc w:val="both"/>
        <w:rPr>
          <w:color w:val="auto"/>
        </w:rPr>
      </w:pPr>
    </w:p>
    <w:p w:rsidR="00460D0D" w:rsidRPr="00234B97" w:rsidRDefault="00460D0D" w:rsidP="007A602C">
      <w:pPr>
        <w:spacing w:line="276" w:lineRule="auto"/>
        <w:jc w:val="both"/>
        <w:rPr>
          <w:color w:val="auto"/>
        </w:rPr>
      </w:pPr>
      <w:r w:rsidRPr="00234B97">
        <w:rPr>
          <w:b/>
          <w:color w:val="auto"/>
        </w:rPr>
        <w:t>Efficacia vaccini</w:t>
      </w:r>
      <w:r w:rsidR="00505C8D" w:rsidRPr="00234B97">
        <w:rPr>
          <w:color w:val="auto"/>
        </w:rPr>
        <w:t>.</w:t>
      </w:r>
      <w:r w:rsidR="007C5961" w:rsidRPr="00234B97">
        <w:rPr>
          <w:color w:val="auto"/>
        </w:rPr>
        <w:t xml:space="preserve"> </w:t>
      </w:r>
      <w:r w:rsidRPr="00234B97">
        <w:rPr>
          <w:color w:val="auto"/>
        </w:rPr>
        <w:t xml:space="preserve">L’efficacia del vaccino </w:t>
      </w:r>
      <w:r w:rsidR="00A94175" w:rsidRPr="00234B97">
        <w:rPr>
          <w:color w:val="auto"/>
        </w:rPr>
        <w:t>da aprile ad oggi</w:t>
      </w:r>
      <w:r w:rsidRPr="00234B97">
        <w:rPr>
          <w:color w:val="auto"/>
        </w:rPr>
        <w:t xml:space="preserve"> </w:t>
      </w:r>
      <w:r w:rsidR="005206D7" w:rsidRPr="00234B97">
        <w:rPr>
          <w:color w:val="auto"/>
        </w:rPr>
        <w:t xml:space="preserve">si conferma </w:t>
      </w:r>
      <w:r w:rsidRPr="00234B97">
        <w:rPr>
          <w:color w:val="auto"/>
        </w:rPr>
        <w:t xml:space="preserve">stabile e </w:t>
      </w:r>
      <w:r w:rsidR="00D37DB1" w:rsidRPr="00234B97">
        <w:rPr>
          <w:color w:val="auto"/>
        </w:rPr>
        <w:t xml:space="preserve">molto elevata </w:t>
      </w:r>
      <w:r w:rsidRPr="00234B97">
        <w:rPr>
          <w:color w:val="auto"/>
        </w:rPr>
        <w:t xml:space="preserve">nel ridurre </w:t>
      </w:r>
      <w:r w:rsidR="005206D7" w:rsidRPr="00234B97">
        <w:rPr>
          <w:color w:val="auto"/>
        </w:rPr>
        <w:t xml:space="preserve">i </w:t>
      </w:r>
      <w:r w:rsidR="00A00F54" w:rsidRPr="00234B97">
        <w:rPr>
          <w:color w:val="auto"/>
        </w:rPr>
        <w:t xml:space="preserve">decessi </w:t>
      </w:r>
      <w:r w:rsidR="006A7099" w:rsidRPr="00234B97">
        <w:rPr>
          <w:color w:val="auto"/>
        </w:rPr>
        <w:t>(</w:t>
      </w:r>
      <w:r w:rsidR="00D37DB1" w:rsidRPr="00234B97">
        <w:rPr>
          <w:color w:val="auto"/>
        </w:rPr>
        <w:t>96,</w:t>
      </w:r>
      <w:r w:rsidR="00653A32" w:rsidRPr="00234B97">
        <w:rPr>
          <w:color w:val="auto"/>
        </w:rPr>
        <w:t>3</w:t>
      </w:r>
      <w:r w:rsidR="006A7099" w:rsidRPr="00234B97">
        <w:rPr>
          <w:color w:val="auto"/>
        </w:rPr>
        <w:t xml:space="preserve">%) </w:t>
      </w:r>
      <w:r w:rsidR="00A00F54" w:rsidRPr="00234B97">
        <w:rPr>
          <w:color w:val="auto"/>
        </w:rPr>
        <w:t xml:space="preserve">e </w:t>
      </w:r>
      <w:r w:rsidR="005206D7" w:rsidRPr="00234B97">
        <w:rPr>
          <w:color w:val="auto"/>
        </w:rPr>
        <w:t xml:space="preserve">le </w:t>
      </w:r>
      <w:r w:rsidRPr="00234B97">
        <w:rPr>
          <w:color w:val="auto"/>
        </w:rPr>
        <w:t xml:space="preserve">forme severe di malattia che </w:t>
      </w:r>
      <w:r w:rsidR="005206D7" w:rsidRPr="00234B97">
        <w:rPr>
          <w:color w:val="auto"/>
        </w:rPr>
        <w:t xml:space="preserve">necessitano di ricovero in area medica </w:t>
      </w:r>
      <w:r w:rsidR="006A7099" w:rsidRPr="00234B97">
        <w:rPr>
          <w:color w:val="auto"/>
        </w:rPr>
        <w:t>(</w:t>
      </w:r>
      <w:r w:rsidR="00D37DB1" w:rsidRPr="00234B97">
        <w:rPr>
          <w:color w:val="auto"/>
        </w:rPr>
        <w:t>93,</w:t>
      </w:r>
      <w:r w:rsidR="00653A32" w:rsidRPr="00234B97">
        <w:rPr>
          <w:color w:val="auto"/>
        </w:rPr>
        <w:t>4</w:t>
      </w:r>
      <w:r w:rsidR="006A7099" w:rsidRPr="00234B97">
        <w:rPr>
          <w:color w:val="auto"/>
        </w:rPr>
        <w:t xml:space="preserve">%) </w:t>
      </w:r>
      <w:r w:rsidRPr="00234B97">
        <w:rPr>
          <w:color w:val="auto"/>
        </w:rPr>
        <w:t>e in terapia intensiva</w:t>
      </w:r>
      <w:r w:rsidR="006A7099" w:rsidRPr="00234B97">
        <w:rPr>
          <w:color w:val="auto"/>
        </w:rPr>
        <w:t xml:space="preserve"> (</w:t>
      </w:r>
      <w:r w:rsidR="00D37DB1" w:rsidRPr="00234B97">
        <w:rPr>
          <w:color w:val="auto"/>
        </w:rPr>
        <w:t>9</w:t>
      </w:r>
      <w:r w:rsidR="00653A32" w:rsidRPr="00234B97">
        <w:rPr>
          <w:color w:val="auto"/>
        </w:rPr>
        <w:t>5,7</w:t>
      </w:r>
      <w:r w:rsidR="006A7099" w:rsidRPr="00234B97">
        <w:rPr>
          <w:color w:val="auto"/>
        </w:rPr>
        <w:t>%)</w:t>
      </w:r>
      <w:r w:rsidRPr="00234B97">
        <w:rPr>
          <w:color w:val="auto"/>
        </w:rPr>
        <w:t xml:space="preserve">. </w:t>
      </w:r>
      <w:r w:rsidR="00E82977" w:rsidRPr="00234B97">
        <w:rPr>
          <w:color w:val="auto"/>
        </w:rPr>
        <w:t>Relativamente al</w:t>
      </w:r>
      <w:r w:rsidRPr="00234B97">
        <w:rPr>
          <w:color w:val="auto"/>
        </w:rPr>
        <w:t>le diagnosi di SARS-CoV-2</w:t>
      </w:r>
      <w:r w:rsidR="005549FE" w:rsidRPr="00234B97">
        <w:rPr>
          <w:color w:val="auto"/>
        </w:rPr>
        <w:t>, invece,</w:t>
      </w:r>
      <w:r w:rsidR="00F112A8" w:rsidRPr="00234B97">
        <w:rPr>
          <w:color w:val="auto"/>
        </w:rPr>
        <w:t xml:space="preserve"> </w:t>
      </w:r>
      <w:r w:rsidRPr="00234B97">
        <w:rPr>
          <w:color w:val="auto"/>
        </w:rPr>
        <w:t xml:space="preserve">l’efficacia si </w:t>
      </w:r>
      <w:r w:rsidR="005206D7" w:rsidRPr="00234B97">
        <w:rPr>
          <w:color w:val="auto"/>
        </w:rPr>
        <w:t xml:space="preserve">è ridotta </w:t>
      </w:r>
      <w:r w:rsidRPr="00234B97">
        <w:rPr>
          <w:color w:val="auto"/>
        </w:rPr>
        <w:t>dall’88</w:t>
      </w:r>
      <w:r w:rsidR="00CC75F9" w:rsidRPr="00234B97">
        <w:rPr>
          <w:color w:val="auto"/>
        </w:rPr>
        <w:t>,5</w:t>
      </w:r>
      <w:r w:rsidRPr="00234B97">
        <w:rPr>
          <w:color w:val="auto"/>
        </w:rPr>
        <w:t xml:space="preserve">% </w:t>
      </w:r>
      <w:r w:rsidR="00986C25" w:rsidRPr="00234B97">
        <w:rPr>
          <w:color w:val="auto"/>
        </w:rPr>
        <w:t>(</w:t>
      </w:r>
      <w:r w:rsidR="00EE1262" w:rsidRPr="00234B97">
        <w:rPr>
          <w:color w:val="auto"/>
        </w:rPr>
        <w:t>periodo 4 aprile-</w:t>
      </w:r>
      <w:r w:rsidRPr="00234B97">
        <w:rPr>
          <w:color w:val="auto"/>
        </w:rPr>
        <w:t>11 luglio</w:t>
      </w:r>
      <w:r w:rsidR="00986C25" w:rsidRPr="00234B97">
        <w:rPr>
          <w:color w:val="auto"/>
        </w:rPr>
        <w:t>)</w:t>
      </w:r>
      <w:r w:rsidRPr="00234B97">
        <w:rPr>
          <w:color w:val="auto"/>
        </w:rPr>
        <w:t xml:space="preserve"> </w:t>
      </w:r>
      <w:r w:rsidR="00A94175" w:rsidRPr="00234B97">
        <w:rPr>
          <w:color w:val="auto"/>
        </w:rPr>
        <w:t>al</w:t>
      </w:r>
      <w:r w:rsidRPr="00234B97">
        <w:rPr>
          <w:color w:val="auto"/>
        </w:rPr>
        <w:t xml:space="preserve"> 7</w:t>
      </w:r>
      <w:r w:rsidR="00653A32" w:rsidRPr="00234B97">
        <w:rPr>
          <w:color w:val="auto"/>
        </w:rPr>
        <w:t>7</w:t>
      </w:r>
      <w:r w:rsidR="00CC75F9" w:rsidRPr="00234B97">
        <w:rPr>
          <w:color w:val="auto"/>
        </w:rPr>
        <w:t>,</w:t>
      </w:r>
      <w:r w:rsidR="00653A32" w:rsidRPr="00234B97">
        <w:rPr>
          <w:color w:val="auto"/>
        </w:rPr>
        <w:t>3</w:t>
      </w:r>
      <w:r w:rsidRPr="00234B97">
        <w:rPr>
          <w:color w:val="auto"/>
        </w:rPr>
        <w:t xml:space="preserve">% </w:t>
      </w:r>
      <w:r w:rsidR="00986C25" w:rsidRPr="00234B97">
        <w:rPr>
          <w:color w:val="auto"/>
        </w:rPr>
        <w:t>(</w:t>
      </w:r>
      <w:r w:rsidR="00EE1262" w:rsidRPr="00234B97">
        <w:rPr>
          <w:color w:val="auto"/>
        </w:rPr>
        <w:t>periodo 4 aprile-</w:t>
      </w:r>
      <w:r w:rsidR="00653A32" w:rsidRPr="00234B97">
        <w:rPr>
          <w:color w:val="auto"/>
        </w:rPr>
        <w:t>5 settembre</w:t>
      </w:r>
      <w:r w:rsidR="00986C25" w:rsidRPr="00234B97">
        <w:rPr>
          <w:color w:val="auto"/>
        </w:rPr>
        <w:t>)</w:t>
      </w:r>
      <w:r w:rsidR="00EE280D" w:rsidRPr="00234B97">
        <w:rPr>
          <w:color w:val="auto"/>
        </w:rPr>
        <w:t xml:space="preserve">, in </w:t>
      </w:r>
      <w:r w:rsidR="005206D7" w:rsidRPr="00234B97">
        <w:rPr>
          <w:color w:val="auto"/>
        </w:rPr>
        <w:t xml:space="preserve">misura inversamente proporzionale </w:t>
      </w:r>
      <w:r w:rsidR="005206D7" w:rsidRPr="00234B97">
        <w:rPr>
          <w:color w:val="auto"/>
        </w:rPr>
        <w:lastRenderedPageBreak/>
        <w:t>all’età</w:t>
      </w:r>
      <w:r w:rsidR="00C3740F" w:rsidRPr="00234B97">
        <w:rPr>
          <w:color w:val="auto"/>
        </w:rPr>
        <w:t xml:space="preserve">: infatti, </w:t>
      </w:r>
      <w:r w:rsidR="00492A5B" w:rsidRPr="00234B97">
        <w:rPr>
          <w:color w:val="auto"/>
        </w:rPr>
        <w:t>nella fascia 12-39 anni</w:t>
      </w:r>
      <w:r w:rsidR="00C3740F" w:rsidRPr="00234B97">
        <w:rPr>
          <w:color w:val="auto"/>
        </w:rPr>
        <w:t xml:space="preserve"> l’efficacia è scesa </w:t>
      </w:r>
      <w:r w:rsidR="00F1592D">
        <w:rPr>
          <w:color w:val="auto"/>
        </w:rPr>
        <w:t xml:space="preserve">sino al </w:t>
      </w:r>
      <w:r w:rsidR="0034565E">
        <w:rPr>
          <w:color w:val="auto"/>
        </w:rPr>
        <w:t>67,2</w:t>
      </w:r>
      <w:r w:rsidR="00C3740F" w:rsidRPr="00234B97">
        <w:rPr>
          <w:color w:val="auto"/>
        </w:rPr>
        <w:t>% nelle scorse settimane</w:t>
      </w:r>
      <w:r w:rsidR="00663DCF" w:rsidRPr="00234B97">
        <w:rPr>
          <w:color w:val="auto"/>
        </w:rPr>
        <w:t xml:space="preserve">, </w:t>
      </w:r>
      <w:r w:rsidR="00F1592D">
        <w:rPr>
          <w:color w:val="auto"/>
        </w:rPr>
        <w:t xml:space="preserve">ed </w:t>
      </w:r>
      <w:r w:rsidR="00663DCF" w:rsidRPr="00234B97">
        <w:rPr>
          <w:color w:val="auto"/>
        </w:rPr>
        <w:t xml:space="preserve">ora </w:t>
      </w:r>
      <w:r w:rsidR="00F1592D">
        <w:rPr>
          <w:color w:val="auto"/>
        </w:rPr>
        <w:t xml:space="preserve">dopo una stabilizzazione </w:t>
      </w:r>
      <w:r w:rsidR="00C3740F" w:rsidRPr="00234B97">
        <w:rPr>
          <w:color w:val="auto"/>
        </w:rPr>
        <w:t xml:space="preserve">sembra </w:t>
      </w:r>
      <w:r w:rsidR="00F1592D">
        <w:rPr>
          <w:color w:val="auto"/>
        </w:rPr>
        <w:t xml:space="preserve">risalire </w:t>
      </w:r>
      <w:r w:rsidR="00B67538" w:rsidRPr="00234B97">
        <w:rPr>
          <w:color w:val="auto"/>
        </w:rPr>
        <w:t>(</w:t>
      </w:r>
      <w:r w:rsidR="00B67538" w:rsidRPr="00234B97">
        <w:rPr>
          <w:color w:val="auto"/>
          <w:highlight w:val="yellow"/>
        </w:rPr>
        <w:t>figur</w:t>
      </w:r>
      <w:r w:rsidR="00EE280D" w:rsidRPr="00234B97">
        <w:rPr>
          <w:color w:val="auto"/>
          <w:highlight w:val="yellow"/>
        </w:rPr>
        <w:t>e</w:t>
      </w:r>
      <w:r w:rsidR="00B67538" w:rsidRPr="00234B97">
        <w:rPr>
          <w:color w:val="auto"/>
          <w:highlight w:val="yellow"/>
        </w:rPr>
        <w:t xml:space="preserve"> </w:t>
      </w:r>
      <w:r w:rsidR="007C5961" w:rsidRPr="00234B97">
        <w:rPr>
          <w:color w:val="auto"/>
          <w:highlight w:val="yellow"/>
        </w:rPr>
        <w:t>1</w:t>
      </w:r>
      <w:r w:rsidR="008E4092" w:rsidRPr="00234B97">
        <w:rPr>
          <w:color w:val="auto"/>
          <w:highlight w:val="yellow"/>
        </w:rPr>
        <w:t>7</w:t>
      </w:r>
      <w:r w:rsidR="007C5961" w:rsidRPr="00234B97">
        <w:rPr>
          <w:color w:val="auto"/>
          <w:highlight w:val="yellow"/>
        </w:rPr>
        <w:t xml:space="preserve"> </w:t>
      </w:r>
      <w:r w:rsidR="00EE280D" w:rsidRPr="00234B97">
        <w:rPr>
          <w:color w:val="auto"/>
          <w:highlight w:val="yellow"/>
        </w:rPr>
        <w:t xml:space="preserve">e </w:t>
      </w:r>
      <w:r w:rsidR="008E4092" w:rsidRPr="00234B97">
        <w:rPr>
          <w:color w:val="auto"/>
          <w:highlight w:val="yellow"/>
        </w:rPr>
        <w:t>18</w:t>
      </w:r>
      <w:r w:rsidR="009C48C9" w:rsidRPr="00234B97">
        <w:rPr>
          <w:color w:val="auto"/>
        </w:rPr>
        <w:t>)</w:t>
      </w:r>
      <w:r w:rsidR="009C48C9">
        <w:rPr>
          <w:color w:val="auto"/>
        </w:rPr>
        <w:t>.</w:t>
      </w:r>
      <w:r w:rsidR="009C48C9" w:rsidRPr="00234B97">
        <w:rPr>
          <w:color w:val="auto"/>
        </w:rPr>
        <w:t xml:space="preserve"> </w:t>
      </w:r>
      <w:r w:rsidR="00663DCF" w:rsidRPr="00234B97">
        <w:rPr>
          <w:color w:val="auto"/>
        </w:rPr>
        <w:t>«</w:t>
      </w:r>
      <w:r w:rsidR="00F1592D">
        <w:rPr>
          <w:color w:val="auto"/>
        </w:rPr>
        <w:t xml:space="preserve">Questo </w:t>
      </w:r>
      <w:r w:rsidR="00663DCF" w:rsidRPr="00234B97">
        <w:rPr>
          <w:color w:val="auto"/>
        </w:rPr>
        <w:t>conferma</w:t>
      </w:r>
      <w:r w:rsidR="006E4555">
        <w:rPr>
          <w:color w:val="auto"/>
        </w:rPr>
        <w:t xml:space="preserve"> </w:t>
      </w:r>
      <w:r w:rsidR="00DE7474" w:rsidRPr="00234B97">
        <w:rPr>
          <w:color w:val="auto"/>
        </w:rPr>
        <w:t>– spiega Cartabellotta –</w:t>
      </w:r>
      <w:r w:rsidR="00F1592D">
        <w:rPr>
          <w:color w:val="auto"/>
        </w:rPr>
        <w:t xml:space="preserve"> </w:t>
      </w:r>
      <w:r w:rsidR="00126938" w:rsidRPr="00234B97">
        <w:rPr>
          <w:color w:val="auto"/>
        </w:rPr>
        <w:t>che</w:t>
      </w:r>
      <w:r w:rsidR="008436F7" w:rsidRPr="00234B97">
        <w:rPr>
          <w:color w:val="auto"/>
        </w:rPr>
        <w:t xml:space="preserve"> durante </w:t>
      </w:r>
      <w:r w:rsidR="00F1592D">
        <w:rPr>
          <w:color w:val="auto"/>
        </w:rPr>
        <w:t xml:space="preserve">il periodo estivo </w:t>
      </w:r>
      <w:r w:rsidR="00716FA6">
        <w:rPr>
          <w:color w:val="auto"/>
        </w:rPr>
        <w:t>tra i più</w:t>
      </w:r>
      <w:r w:rsidR="00126938" w:rsidRPr="00234B97">
        <w:rPr>
          <w:color w:val="auto"/>
        </w:rPr>
        <w:t xml:space="preserve"> giovani</w:t>
      </w:r>
      <w:r w:rsidR="00986C25" w:rsidRPr="00234B97">
        <w:rPr>
          <w:color w:val="auto"/>
        </w:rPr>
        <w:t xml:space="preserve"> </w:t>
      </w:r>
      <w:r w:rsidR="00716FA6">
        <w:rPr>
          <w:color w:val="auto"/>
        </w:rPr>
        <w:t>deve aver</w:t>
      </w:r>
      <w:r w:rsidR="00716FA6" w:rsidRPr="00234B97">
        <w:rPr>
          <w:color w:val="auto"/>
        </w:rPr>
        <w:t xml:space="preserve"> </w:t>
      </w:r>
      <w:r w:rsidR="001D0234" w:rsidRPr="00234B97">
        <w:rPr>
          <w:color w:val="auto"/>
        </w:rPr>
        <w:t xml:space="preserve">influito </w:t>
      </w:r>
      <w:r w:rsidR="00DE7474" w:rsidRPr="00234B97">
        <w:rPr>
          <w:color w:val="auto"/>
        </w:rPr>
        <w:t xml:space="preserve">l’incremento dei </w:t>
      </w:r>
      <w:r w:rsidR="001D0234" w:rsidRPr="00234B97">
        <w:rPr>
          <w:color w:val="auto"/>
        </w:rPr>
        <w:t xml:space="preserve">contatti sociali e </w:t>
      </w:r>
      <w:r w:rsidR="00BA0E9E" w:rsidRPr="00234B97">
        <w:rPr>
          <w:color w:val="auto"/>
        </w:rPr>
        <w:t>l</w:t>
      </w:r>
      <w:r w:rsidR="0094638F" w:rsidRPr="00234B97">
        <w:rPr>
          <w:color w:val="auto"/>
        </w:rPr>
        <w:t xml:space="preserve">a </w:t>
      </w:r>
      <w:r w:rsidR="001F63AA" w:rsidRPr="00234B97">
        <w:rPr>
          <w:color w:val="auto"/>
        </w:rPr>
        <w:t>minore attenzione ai comportamenti individuali</w:t>
      </w:r>
      <w:r w:rsidR="00F106B7" w:rsidRPr="00234B97">
        <w:rPr>
          <w:color w:val="auto"/>
        </w:rPr>
        <w:t>, fondamentali per prevenire il contagio anche nelle persone vaccinate</w:t>
      </w:r>
      <w:r w:rsidR="00BA0E9E" w:rsidRPr="00234B97">
        <w:rPr>
          <w:color w:val="auto"/>
        </w:rPr>
        <w:t>»</w:t>
      </w:r>
      <w:r w:rsidR="00F106B7" w:rsidRPr="00234B97">
        <w:rPr>
          <w:color w:val="auto"/>
        </w:rPr>
        <w:t xml:space="preserve">. </w:t>
      </w:r>
      <w:r w:rsidR="006E759D" w:rsidRPr="00234B97">
        <w:rPr>
          <w:color w:val="auto"/>
        </w:rPr>
        <w:t>N</w:t>
      </w:r>
      <w:r w:rsidR="00E36ACB" w:rsidRPr="00234B97">
        <w:rPr>
          <w:color w:val="auto"/>
        </w:rPr>
        <w:t xml:space="preserve">ei soggetti vaccinati </w:t>
      </w:r>
      <w:r w:rsidR="006E759D" w:rsidRPr="00234B97">
        <w:rPr>
          <w:color w:val="auto"/>
        </w:rPr>
        <w:t xml:space="preserve">con ciclo completo, rispetto ai </w:t>
      </w:r>
      <w:r w:rsidR="00E36ACB" w:rsidRPr="00234B97">
        <w:rPr>
          <w:color w:val="auto"/>
        </w:rPr>
        <w:t xml:space="preserve">non vaccinati, </w:t>
      </w:r>
      <w:r w:rsidR="005265EC" w:rsidRPr="00234B97">
        <w:rPr>
          <w:color w:val="auto"/>
        </w:rPr>
        <w:t>si registra</w:t>
      </w:r>
      <w:r w:rsidR="006E759D" w:rsidRPr="00234B97">
        <w:rPr>
          <w:color w:val="auto"/>
        </w:rPr>
        <w:t xml:space="preserve"> un netto calo dell’incidenza di diagnosi e soprattutto di malattia severa che </w:t>
      </w:r>
      <w:r w:rsidR="00716FA6">
        <w:rPr>
          <w:color w:val="auto"/>
        </w:rPr>
        <w:t>porta ad</w:t>
      </w:r>
      <w:r w:rsidR="00716FA6" w:rsidRPr="00234B97">
        <w:rPr>
          <w:color w:val="auto"/>
        </w:rPr>
        <w:t xml:space="preserve"> </w:t>
      </w:r>
      <w:r w:rsidR="006E759D" w:rsidRPr="00234B97">
        <w:rPr>
          <w:color w:val="auto"/>
        </w:rPr>
        <w:t>ospedalizzazione, ricovero in terapia intensiva o decesso</w:t>
      </w:r>
      <w:r w:rsidR="00677B01">
        <w:rPr>
          <w:color w:val="auto"/>
        </w:rPr>
        <w:t>:</w:t>
      </w:r>
      <w:r w:rsidR="00677B01" w:rsidRPr="00234B97">
        <w:rPr>
          <w:color w:val="auto"/>
        </w:rPr>
        <w:t xml:space="preserve"> </w:t>
      </w:r>
      <w:r w:rsidR="006E759D" w:rsidRPr="00234B97">
        <w:rPr>
          <w:color w:val="auto"/>
        </w:rPr>
        <w:t>nelle varie fasce di età</w:t>
      </w:r>
      <w:r w:rsidR="00E36ACB" w:rsidRPr="00234B97">
        <w:rPr>
          <w:color w:val="auto"/>
        </w:rPr>
        <w:t xml:space="preserve">, le diagnosi di SARS-CoV-2 </w:t>
      </w:r>
      <w:r w:rsidR="00E33CA9" w:rsidRPr="00234B97">
        <w:rPr>
          <w:color w:val="auto"/>
        </w:rPr>
        <w:t>si riducono</w:t>
      </w:r>
      <w:r w:rsidR="00E36ACB" w:rsidRPr="00234B97">
        <w:rPr>
          <w:color w:val="auto"/>
        </w:rPr>
        <w:t xml:space="preserve"> </w:t>
      </w:r>
      <w:r w:rsidR="00677B01">
        <w:rPr>
          <w:color w:val="auto"/>
        </w:rPr>
        <w:t xml:space="preserve">infatti </w:t>
      </w:r>
      <w:r w:rsidR="00E36ACB" w:rsidRPr="00234B97">
        <w:rPr>
          <w:color w:val="auto"/>
        </w:rPr>
        <w:t>del 7</w:t>
      </w:r>
      <w:r w:rsidR="00653A32" w:rsidRPr="00234B97">
        <w:rPr>
          <w:color w:val="auto"/>
        </w:rPr>
        <w:t>7</w:t>
      </w:r>
      <w:r w:rsidR="00E36ACB" w:rsidRPr="00234B97">
        <w:rPr>
          <w:color w:val="auto"/>
        </w:rPr>
        <w:t>,</w:t>
      </w:r>
      <w:r w:rsidR="00653A32" w:rsidRPr="00234B97">
        <w:rPr>
          <w:color w:val="auto"/>
        </w:rPr>
        <w:t>8-80</w:t>
      </w:r>
      <w:r w:rsidR="00E36ACB" w:rsidRPr="00234B97">
        <w:rPr>
          <w:color w:val="auto"/>
        </w:rPr>
        <w:t>,</w:t>
      </w:r>
      <w:r w:rsidR="00653A32" w:rsidRPr="00234B97">
        <w:rPr>
          <w:color w:val="auto"/>
        </w:rPr>
        <w:t>7</w:t>
      </w:r>
      <w:r w:rsidR="00E36ACB" w:rsidRPr="00234B97">
        <w:rPr>
          <w:color w:val="auto"/>
        </w:rPr>
        <w:t xml:space="preserve">%, </w:t>
      </w:r>
      <w:r w:rsidR="0010442F">
        <w:rPr>
          <w:color w:val="auto"/>
        </w:rPr>
        <w:t>i ricoveri ordinari</w:t>
      </w:r>
      <w:r w:rsidR="00E36ACB" w:rsidRPr="00234B97">
        <w:rPr>
          <w:color w:val="auto"/>
        </w:rPr>
        <w:t xml:space="preserve"> dell’88,8-</w:t>
      </w:r>
      <w:r w:rsidR="00EC401B" w:rsidRPr="00234B97">
        <w:rPr>
          <w:color w:val="auto"/>
        </w:rPr>
        <w:t>95,6</w:t>
      </w:r>
      <w:r w:rsidR="00E36ACB" w:rsidRPr="00234B97">
        <w:rPr>
          <w:color w:val="auto"/>
        </w:rPr>
        <w:t xml:space="preserve">%, </w:t>
      </w:r>
      <w:r w:rsidR="0010442F">
        <w:rPr>
          <w:color w:val="auto"/>
        </w:rPr>
        <w:t>quelli</w:t>
      </w:r>
      <w:r w:rsidR="00E36ACB" w:rsidRPr="00234B97">
        <w:rPr>
          <w:color w:val="auto"/>
        </w:rPr>
        <w:t xml:space="preserve"> in terapia intensiva del 9</w:t>
      </w:r>
      <w:r w:rsidR="00653A32" w:rsidRPr="00234B97">
        <w:rPr>
          <w:color w:val="auto"/>
        </w:rPr>
        <w:t>2</w:t>
      </w:r>
      <w:r w:rsidR="00E36ACB" w:rsidRPr="00234B97">
        <w:rPr>
          <w:color w:val="auto"/>
        </w:rPr>
        <w:t>,</w:t>
      </w:r>
      <w:r w:rsidR="00653A32" w:rsidRPr="00234B97">
        <w:rPr>
          <w:color w:val="auto"/>
        </w:rPr>
        <w:t>5</w:t>
      </w:r>
      <w:r w:rsidR="00E36ACB" w:rsidRPr="00234B97">
        <w:rPr>
          <w:color w:val="auto"/>
        </w:rPr>
        <w:t>-9</w:t>
      </w:r>
      <w:r w:rsidR="00653A32" w:rsidRPr="00234B97">
        <w:rPr>
          <w:color w:val="auto"/>
        </w:rPr>
        <w:t>7</w:t>
      </w:r>
      <w:r w:rsidR="00E36ACB" w:rsidRPr="00234B97">
        <w:rPr>
          <w:color w:val="auto"/>
        </w:rPr>
        <w:t>,</w:t>
      </w:r>
      <w:r w:rsidR="00653A32" w:rsidRPr="00234B97">
        <w:rPr>
          <w:color w:val="auto"/>
        </w:rPr>
        <w:t>4</w:t>
      </w:r>
      <w:r w:rsidR="00E36ACB" w:rsidRPr="00234B97">
        <w:rPr>
          <w:color w:val="auto"/>
        </w:rPr>
        <w:t>% e i decessi del 93,4-100% (</w:t>
      </w:r>
      <w:r w:rsidR="00E36ACB" w:rsidRPr="00234B97">
        <w:rPr>
          <w:color w:val="auto"/>
          <w:highlight w:val="yellow"/>
        </w:rPr>
        <w:t xml:space="preserve">figura </w:t>
      </w:r>
      <w:r w:rsidR="008E4092" w:rsidRPr="00234B97">
        <w:rPr>
          <w:color w:val="auto"/>
          <w:highlight w:val="yellow"/>
        </w:rPr>
        <w:t>19</w:t>
      </w:r>
      <w:r w:rsidR="00E36ACB" w:rsidRPr="00234B97">
        <w:rPr>
          <w:color w:val="auto"/>
        </w:rPr>
        <w:t>).</w:t>
      </w:r>
    </w:p>
    <w:p w:rsidR="002846B6" w:rsidRPr="00234B97" w:rsidRDefault="004770F1" w:rsidP="007A602C">
      <w:pPr>
        <w:spacing w:line="276" w:lineRule="auto"/>
        <w:jc w:val="both"/>
        <w:rPr>
          <w:color w:val="auto"/>
        </w:rPr>
      </w:pPr>
      <w:r w:rsidRPr="00234B97">
        <w:rPr>
          <w:color w:val="auto"/>
        </w:rPr>
        <w:t>«</w:t>
      </w:r>
      <w:r w:rsidR="00F1592D">
        <w:rPr>
          <w:color w:val="auto"/>
        </w:rPr>
        <w:t>Il</w:t>
      </w:r>
      <w:r w:rsidR="002846B6" w:rsidRPr="00234B97">
        <w:rPr>
          <w:color w:val="auto"/>
        </w:rPr>
        <w:t xml:space="preserve"> progressivo aumento delle coperture vaccinali e </w:t>
      </w:r>
      <w:r w:rsidR="00F1592D">
        <w:rPr>
          <w:color w:val="auto"/>
        </w:rPr>
        <w:t xml:space="preserve">l’adesione </w:t>
      </w:r>
      <w:r w:rsidR="002846B6" w:rsidRPr="00234B97">
        <w:rPr>
          <w:color w:val="auto"/>
        </w:rPr>
        <w:t xml:space="preserve">ai comportamenti individuali – conclude Cartabellotta – </w:t>
      </w:r>
      <w:r w:rsidR="00F1592D">
        <w:rPr>
          <w:color w:val="auto"/>
        </w:rPr>
        <w:t xml:space="preserve">hanno permesso di contenere la quarta ondata e </w:t>
      </w:r>
      <w:r w:rsidR="002846B6" w:rsidRPr="00234B97">
        <w:rPr>
          <w:color w:val="auto"/>
        </w:rPr>
        <w:t xml:space="preserve">i nuovi casi e i ricoveri hanno </w:t>
      </w:r>
      <w:r w:rsidR="009C48C9">
        <w:rPr>
          <w:color w:val="auto"/>
        </w:rPr>
        <w:t xml:space="preserve">finalmente </w:t>
      </w:r>
      <w:r w:rsidR="002846B6" w:rsidRPr="00234B97">
        <w:rPr>
          <w:color w:val="auto"/>
        </w:rPr>
        <w:t xml:space="preserve">iniziato a </w:t>
      </w:r>
      <w:r w:rsidR="006E4555">
        <w:rPr>
          <w:color w:val="auto"/>
        </w:rPr>
        <w:t>scendere</w:t>
      </w:r>
      <w:r w:rsidR="00F1592D">
        <w:rPr>
          <w:color w:val="auto"/>
        </w:rPr>
        <w:t xml:space="preserve">. </w:t>
      </w:r>
      <w:r w:rsidR="006E4555">
        <w:rPr>
          <w:color w:val="auto"/>
        </w:rPr>
        <w:t xml:space="preserve">Tuttavia con </w:t>
      </w:r>
      <w:r w:rsidR="000B1B66">
        <w:rPr>
          <w:color w:val="auto"/>
        </w:rPr>
        <w:t xml:space="preserve">l’autunno </w:t>
      </w:r>
      <w:r w:rsidR="006E4555">
        <w:rPr>
          <w:color w:val="auto"/>
        </w:rPr>
        <w:t>alle porte</w:t>
      </w:r>
      <w:r w:rsidR="00CD409D">
        <w:rPr>
          <w:color w:val="auto"/>
        </w:rPr>
        <w:t xml:space="preserve">, la riapertura delle scuole </w:t>
      </w:r>
      <w:r w:rsidR="000D5B61">
        <w:rPr>
          <w:color w:val="auto"/>
        </w:rPr>
        <w:t xml:space="preserve">e </w:t>
      </w:r>
      <w:r w:rsidR="00187EBF">
        <w:rPr>
          <w:color w:val="auto"/>
        </w:rPr>
        <w:t xml:space="preserve">i </w:t>
      </w:r>
      <w:r w:rsidR="002846B6" w:rsidRPr="00234B97">
        <w:rPr>
          <w:color w:val="auto"/>
        </w:rPr>
        <w:t>9</w:t>
      </w:r>
      <w:r w:rsidR="00E40793">
        <w:rPr>
          <w:color w:val="auto"/>
        </w:rPr>
        <w:t>,4</w:t>
      </w:r>
      <w:r w:rsidR="002846B6" w:rsidRPr="00234B97">
        <w:rPr>
          <w:color w:val="auto"/>
        </w:rPr>
        <w:t xml:space="preserve"> milioni di persone</w:t>
      </w:r>
      <w:r w:rsidR="000B1B66">
        <w:rPr>
          <w:color w:val="auto"/>
        </w:rPr>
        <w:t>, oltre a</w:t>
      </w:r>
      <w:r w:rsidR="00F1592D">
        <w:rPr>
          <w:color w:val="auto"/>
        </w:rPr>
        <w:t xml:space="preserve">gli </w:t>
      </w:r>
      <w:r w:rsidR="000B1B66">
        <w:rPr>
          <w:color w:val="auto"/>
        </w:rPr>
        <w:t xml:space="preserve">under 12, </w:t>
      </w:r>
      <w:r w:rsidR="00187EBF">
        <w:rPr>
          <w:color w:val="auto"/>
        </w:rPr>
        <w:t xml:space="preserve">che </w:t>
      </w:r>
      <w:r w:rsidR="002846B6" w:rsidRPr="00234B97">
        <w:rPr>
          <w:color w:val="auto"/>
        </w:rPr>
        <w:t xml:space="preserve">non hanno ancora ricevuto nemmeno una dose di vaccino, </w:t>
      </w:r>
      <w:r w:rsidR="00187EBF" w:rsidRPr="00187EBF">
        <w:rPr>
          <w:color w:val="auto"/>
        </w:rPr>
        <w:t>si rischia una ripresa della circolazione del virus e un aumento delle ospedalizzazioni</w:t>
      </w:r>
      <w:r w:rsidR="00187EBF">
        <w:rPr>
          <w:color w:val="auto"/>
        </w:rPr>
        <w:t xml:space="preserve"> </w:t>
      </w:r>
      <w:r w:rsidR="003D049D">
        <w:rPr>
          <w:color w:val="auto"/>
        </w:rPr>
        <w:t>con conseguenti limitazioni nell’assistenza a</w:t>
      </w:r>
      <w:r w:rsidR="00705BEA">
        <w:rPr>
          <w:color w:val="auto"/>
        </w:rPr>
        <w:t>i</w:t>
      </w:r>
      <w:r w:rsidR="002846B6" w:rsidRPr="00234B97">
        <w:rPr>
          <w:color w:val="auto"/>
        </w:rPr>
        <w:t xml:space="preserve"> pazienti</w:t>
      </w:r>
      <w:r w:rsidR="000B1B66">
        <w:rPr>
          <w:color w:val="auto"/>
        </w:rPr>
        <w:t xml:space="preserve"> non COVID-19</w:t>
      </w:r>
      <w:r w:rsidR="002846B6" w:rsidRPr="00234B97">
        <w:rPr>
          <w:color w:val="auto"/>
        </w:rPr>
        <w:t xml:space="preserve">. In </w:t>
      </w:r>
      <w:r w:rsidR="000B1B66">
        <w:rPr>
          <w:color w:val="auto"/>
        </w:rPr>
        <w:t>questo</w:t>
      </w:r>
      <w:r w:rsidR="002846B6" w:rsidRPr="00234B97">
        <w:rPr>
          <w:color w:val="auto"/>
        </w:rPr>
        <w:t xml:space="preserve"> contesto, </w:t>
      </w:r>
      <w:r w:rsidR="00F1592D">
        <w:rPr>
          <w:color w:val="auto"/>
        </w:rPr>
        <w:t>è</w:t>
      </w:r>
      <w:r w:rsidR="00B6203D">
        <w:rPr>
          <w:color w:val="auto"/>
        </w:rPr>
        <w:t xml:space="preserve"> inaccettabile</w:t>
      </w:r>
      <w:r w:rsidR="000B1B66">
        <w:rPr>
          <w:color w:val="auto"/>
        </w:rPr>
        <w:t xml:space="preserve"> </w:t>
      </w:r>
      <w:r w:rsidR="002846B6" w:rsidRPr="00234B97">
        <w:rPr>
          <w:color w:val="auto"/>
        </w:rPr>
        <w:t xml:space="preserve">la presa di posizione di </w:t>
      </w:r>
      <w:r w:rsidR="003D049D">
        <w:rPr>
          <w:color w:val="auto"/>
        </w:rPr>
        <w:t>personaggi pubblici</w:t>
      </w:r>
      <w:r w:rsidR="007B1735">
        <w:rPr>
          <w:color w:val="auto"/>
        </w:rPr>
        <w:t>,</w:t>
      </w:r>
      <w:r w:rsidR="003D049D">
        <w:rPr>
          <w:color w:val="auto"/>
        </w:rPr>
        <w:t xml:space="preserve"> tra cui</w:t>
      </w:r>
      <w:r w:rsidR="002846B6" w:rsidRPr="00234B97">
        <w:rPr>
          <w:color w:val="auto"/>
        </w:rPr>
        <w:t xml:space="preserve"> medici e politici</w:t>
      </w:r>
      <w:r w:rsidR="003D049D">
        <w:rPr>
          <w:color w:val="auto"/>
        </w:rPr>
        <w:t>,</w:t>
      </w:r>
      <w:r w:rsidR="002846B6" w:rsidRPr="00234B97">
        <w:rPr>
          <w:color w:val="auto"/>
        </w:rPr>
        <w:t xml:space="preserve"> che, </w:t>
      </w:r>
      <w:r w:rsidR="00F1592D">
        <w:rPr>
          <w:color w:val="auto"/>
        </w:rPr>
        <w:t xml:space="preserve">sovvertendo </w:t>
      </w:r>
      <w:r w:rsidR="00187EBF">
        <w:rPr>
          <w:color w:val="auto"/>
        </w:rPr>
        <w:t>la metodologia della ricerca scientifica</w:t>
      </w:r>
      <w:r w:rsidR="00F1592D">
        <w:rPr>
          <w:color w:val="auto"/>
        </w:rPr>
        <w:t xml:space="preserve">, </w:t>
      </w:r>
      <w:r w:rsidR="00B6203D">
        <w:rPr>
          <w:color w:val="auto"/>
        </w:rPr>
        <w:t xml:space="preserve">alimentano la disinformazione </w:t>
      </w:r>
      <w:r w:rsidR="000D5B61">
        <w:rPr>
          <w:color w:val="auto"/>
        </w:rPr>
        <w:t>mettendo</w:t>
      </w:r>
      <w:r w:rsidR="009C48C9">
        <w:rPr>
          <w:color w:val="auto"/>
        </w:rPr>
        <w:t xml:space="preserve"> </w:t>
      </w:r>
      <w:r w:rsidR="00B6203D">
        <w:rPr>
          <w:color w:val="auto"/>
        </w:rPr>
        <w:t xml:space="preserve">a rischio </w:t>
      </w:r>
      <w:r w:rsidR="00984C2B">
        <w:rPr>
          <w:color w:val="auto"/>
        </w:rPr>
        <w:t>la salute de</w:t>
      </w:r>
      <w:r w:rsidR="008B2AAF">
        <w:rPr>
          <w:color w:val="auto"/>
        </w:rPr>
        <w:t>lle persone.</w:t>
      </w:r>
      <w:r w:rsidR="000B1B66">
        <w:rPr>
          <w:color w:val="auto"/>
        </w:rPr>
        <w:t xml:space="preserve"> </w:t>
      </w:r>
      <w:r w:rsidR="008B2AAF">
        <w:rPr>
          <w:color w:val="auto"/>
        </w:rPr>
        <w:t>S</w:t>
      </w:r>
      <w:r w:rsidR="000B1B66">
        <w:rPr>
          <w:color w:val="auto"/>
        </w:rPr>
        <w:t xml:space="preserve">oprattutto </w:t>
      </w:r>
      <w:r w:rsidR="00F1592D">
        <w:rPr>
          <w:color w:val="auto"/>
        </w:rPr>
        <w:t xml:space="preserve">di </w:t>
      </w:r>
      <w:r w:rsidR="000B1B66">
        <w:rPr>
          <w:color w:val="auto"/>
        </w:rPr>
        <w:t>quelle indecise</w:t>
      </w:r>
      <w:r w:rsidR="000D5B61">
        <w:rPr>
          <w:color w:val="auto"/>
        </w:rPr>
        <w:t>,</w:t>
      </w:r>
      <w:r w:rsidR="000B1B66">
        <w:rPr>
          <w:color w:val="auto"/>
        </w:rPr>
        <w:t xml:space="preserve"> </w:t>
      </w:r>
      <w:r w:rsidR="00CD0E65">
        <w:rPr>
          <w:color w:val="auto"/>
        </w:rPr>
        <w:t xml:space="preserve">che </w:t>
      </w:r>
      <w:r w:rsidRPr="00234B97">
        <w:rPr>
          <w:color w:val="auto"/>
        </w:rPr>
        <w:t>rifiuta</w:t>
      </w:r>
      <w:r w:rsidR="00B6203D">
        <w:rPr>
          <w:color w:val="auto"/>
        </w:rPr>
        <w:t xml:space="preserve">no </w:t>
      </w:r>
      <w:r w:rsidR="000B1B66">
        <w:rPr>
          <w:color w:val="auto"/>
        </w:rPr>
        <w:t>vaccini efficaci e sicuri</w:t>
      </w:r>
      <w:r w:rsidR="009C48C9">
        <w:rPr>
          <w:color w:val="auto"/>
        </w:rPr>
        <w:t xml:space="preserve"> </w:t>
      </w:r>
      <w:r w:rsidR="000B1B66">
        <w:rPr>
          <w:color w:val="auto"/>
        </w:rPr>
        <w:t xml:space="preserve">confidando in protocolli </w:t>
      </w:r>
      <w:r w:rsidR="008B2AAF">
        <w:rPr>
          <w:color w:val="auto"/>
        </w:rPr>
        <w:t xml:space="preserve">di terapia domiciliare </w:t>
      </w:r>
      <w:r w:rsidRPr="00234B97">
        <w:rPr>
          <w:color w:val="auto"/>
        </w:rPr>
        <w:t>non autorizzati</w:t>
      </w:r>
      <w:r w:rsidR="00F1592D">
        <w:rPr>
          <w:color w:val="auto"/>
        </w:rPr>
        <w:t xml:space="preserve"> o addirittura in farmaci </w:t>
      </w:r>
      <w:r w:rsidR="00187EBF">
        <w:rPr>
          <w:color w:val="auto"/>
        </w:rPr>
        <w:t xml:space="preserve">dannosi e </w:t>
      </w:r>
      <w:r w:rsidR="00F1592D">
        <w:rPr>
          <w:color w:val="auto"/>
        </w:rPr>
        <w:t>controindicati</w:t>
      </w:r>
      <w:r w:rsidRPr="00234B97">
        <w:rPr>
          <w:color w:val="auto"/>
        </w:rPr>
        <w:t>»</w:t>
      </w:r>
      <w:r w:rsidR="002846B6" w:rsidRPr="00234B97">
        <w:rPr>
          <w:color w:val="auto"/>
        </w:rPr>
        <w:t>.</w:t>
      </w:r>
    </w:p>
    <w:p w:rsidR="007B682B" w:rsidRPr="00234B97" w:rsidRDefault="00CE577D" w:rsidP="00DA708A">
      <w:pPr>
        <w:spacing w:after="120" w:line="276" w:lineRule="auto"/>
        <w:rPr>
          <w:rStyle w:val="Hyperlink0"/>
        </w:rPr>
      </w:pPr>
      <w:r w:rsidRPr="00234B97">
        <w:rPr>
          <w:i/>
          <w:iCs/>
        </w:rPr>
        <w:t xml:space="preserve">Il monitoraggio GIMBE dell'epidemia di COVID-19 è disponibile a: </w:t>
      </w:r>
      <w:hyperlink r:id="rId8" w:history="1">
        <w:r w:rsidRPr="00234B97">
          <w:rPr>
            <w:rStyle w:val="Hyperlink0"/>
          </w:rPr>
          <w:t>https://coronavirus.gimbe.org</w:t>
        </w:r>
      </w:hyperlink>
    </w:p>
    <w:p w:rsidR="00061D4E" w:rsidRPr="00234B97" w:rsidRDefault="00CE577D" w:rsidP="00DC0FBB">
      <w:pPr>
        <w:spacing w:after="120"/>
        <w:rPr>
          <w:rStyle w:val="Hyperlink1"/>
        </w:rPr>
      </w:pPr>
      <w:r w:rsidRPr="00234B97">
        <w:rPr>
          <w:b/>
          <w:bCs/>
        </w:rPr>
        <w:t>CONTATTI</w:t>
      </w:r>
      <w:r w:rsidRPr="00234B97">
        <w:rPr>
          <w:i/>
          <w:iCs/>
        </w:rPr>
        <w:br/>
      </w:r>
      <w:r w:rsidRPr="00234B97">
        <w:rPr>
          <w:b/>
          <w:bCs/>
        </w:rPr>
        <w:t>Fondazione GIMBE</w:t>
      </w:r>
      <w:r w:rsidRPr="00234B97">
        <w:rPr>
          <w:i/>
          <w:iCs/>
          <w:color w:val="0563C1"/>
          <w:u w:val="single" w:color="0563C1"/>
        </w:rPr>
        <w:br/>
      </w:r>
      <w:r w:rsidRPr="00234B97">
        <w:rPr>
          <w:sz w:val="20"/>
          <w:szCs w:val="20"/>
        </w:rPr>
        <w:t>Via Amendola 2 - 40121 Bologna</w:t>
      </w:r>
      <w:r w:rsidRPr="00234B97">
        <w:rPr>
          <w:sz w:val="20"/>
          <w:szCs w:val="20"/>
        </w:rPr>
        <w:br/>
        <w:t>Tel. 051 5883920 - Fax 051 4075774</w:t>
      </w:r>
      <w:r w:rsidRPr="00234B97">
        <w:rPr>
          <w:sz w:val="20"/>
          <w:szCs w:val="20"/>
        </w:rPr>
        <w:br/>
        <w:t xml:space="preserve">E-mail: </w:t>
      </w:r>
      <w:hyperlink r:id="rId9" w:history="1">
        <w:r w:rsidRPr="00234B97">
          <w:rPr>
            <w:rStyle w:val="Hyperlink1"/>
          </w:rPr>
          <w:t>ufficio.stampa@gimbe.org</w:t>
        </w:r>
      </w:hyperlink>
    </w:p>
    <w:p w:rsidR="00061D4E" w:rsidRPr="00234B97" w:rsidRDefault="00061D4E" w:rsidP="00DC0FBB">
      <w:pPr>
        <w:spacing w:after="120"/>
        <w:rPr>
          <w:rStyle w:val="Hyperlink1"/>
        </w:rPr>
      </w:pPr>
    </w:p>
    <w:p w:rsidR="00061D4E" w:rsidRPr="00234B97" w:rsidRDefault="00061D4E" w:rsidP="00DC0FBB">
      <w:pPr>
        <w:spacing w:after="120"/>
        <w:rPr>
          <w:rStyle w:val="Hyperlink1"/>
        </w:rPr>
      </w:pPr>
    </w:p>
    <w:p w:rsidR="00C3740F" w:rsidRPr="00234B97" w:rsidRDefault="00C3740F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br w:type="page"/>
      </w:r>
      <w:bookmarkStart w:id="1" w:name="_GoBack"/>
      <w:bookmarkEnd w:id="1"/>
    </w:p>
    <w:p w:rsidR="007B682B" w:rsidRPr="00234B97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</w:p>
    <w:p w:rsidR="007B682B" w:rsidRPr="00234B97" w:rsidRDefault="00653A32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989C257" wp14:editId="54F15580">
            <wp:extent cx="5760000" cy="3193390"/>
            <wp:effectExtent l="0" t="0" r="0" b="762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7B682B">
      <w:pPr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Pr="00234B97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>Figura 2</w:t>
      </w:r>
      <w:r w:rsidRPr="00234B97">
        <w:rPr>
          <w:b/>
          <w:bCs/>
          <w:color w:val="00457D"/>
          <w:sz w:val="24"/>
          <w:szCs w:val="24"/>
          <w:u w:color="00457D"/>
        </w:rPr>
        <w:br/>
      </w:r>
      <w:r w:rsidR="00653A32" w:rsidRPr="00234B97"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4969FDCB" wp14:editId="023A3CFA">
            <wp:extent cx="5760000" cy="3096164"/>
            <wp:effectExtent l="0" t="0" r="0" b="952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96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CE577D">
      <w:pPr>
        <w:jc w:val="center"/>
        <w:sectPr w:rsidR="007B682B" w:rsidRPr="00234B97">
          <w:pgSz w:w="11900" w:h="16840"/>
          <w:pgMar w:top="993" w:right="1134" w:bottom="709" w:left="1134" w:header="709" w:footer="709" w:gutter="0"/>
          <w:cols w:space="720"/>
        </w:sectPr>
      </w:pPr>
      <w:r w:rsidRPr="00234B97">
        <w:rPr>
          <w:b/>
          <w:bCs/>
          <w:color w:val="00457D"/>
          <w:sz w:val="24"/>
          <w:szCs w:val="24"/>
          <w:u w:color="00457D"/>
        </w:rPr>
        <w:br/>
      </w:r>
    </w:p>
    <w:p w:rsidR="007B682B" w:rsidRPr="00234B97" w:rsidRDefault="00CE577D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>Figura 3</w:t>
      </w:r>
    </w:p>
    <w:p w:rsidR="007B682B" w:rsidRPr="00234B97" w:rsidRDefault="00653A32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0F41E956" wp14:editId="6EA149A8">
            <wp:extent cx="9360000" cy="4830880"/>
            <wp:effectExtent l="0" t="0" r="0" b="8255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48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7B682B">
      <w:pPr>
        <w:spacing w:after="0" w:line="360" w:lineRule="auto"/>
        <w:jc w:val="center"/>
        <w:sectPr w:rsidR="007B682B" w:rsidRPr="00234B97" w:rsidSect="00AF08E9">
          <w:pgSz w:w="16840" w:h="11900" w:orient="landscape"/>
          <w:pgMar w:top="992" w:right="1134" w:bottom="709" w:left="1134" w:header="709" w:footer="709" w:gutter="0"/>
          <w:cols w:space="720"/>
          <w:docGrid w:linePitch="299"/>
        </w:sectPr>
      </w:pPr>
    </w:p>
    <w:p w:rsidR="00B66203" w:rsidRPr="00234B97" w:rsidRDefault="00B66203" w:rsidP="00B66203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>Figura 4</w:t>
      </w:r>
    </w:p>
    <w:p w:rsidR="00B66203" w:rsidRPr="00234B97" w:rsidRDefault="00653A32" w:rsidP="00B66203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3C939277" wp14:editId="0466B062">
            <wp:extent cx="5760000" cy="2824094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24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6203" w:rsidRPr="00234B97" w:rsidRDefault="00B66203">
      <w:pPr>
        <w:jc w:val="center"/>
        <w:rPr>
          <w:b/>
          <w:bCs/>
          <w:color w:val="00457D"/>
          <w:sz w:val="12"/>
          <w:szCs w:val="24"/>
          <w:u w:color="00457D"/>
        </w:rPr>
      </w:pPr>
    </w:p>
    <w:p w:rsidR="007B682B" w:rsidRPr="00234B97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B66203" w:rsidRPr="00234B97">
        <w:rPr>
          <w:b/>
          <w:bCs/>
          <w:color w:val="00457D"/>
          <w:sz w:val="24"/>
          <w:szCs w:val="24"/>
          <w:u w:color="00457D"/>
        </w:rPr>
        <w:t>5</w:t>
      </w:r>
    </w:p>
    <w:p w:rsidR="00B66203" w:rsidRPr="00234B97" w:rsidRDefault="00EB2EE9" w:rsidP="008E0517">
      <w:pPr>
        <w:spacing w:after="240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72894836" wp14:editId="17A42AB1">
            <wp:extent cx="5760000" cy="5170369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170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 w:rsidR="008E0517" w:rsidRPr="00234B97">
        <w:rPr>
          <w:b/>
          <w:bCs/>
          <w:color w:val="00457D"/>
          <w:sz w:val="24"/>
          <w:szCs w:val="24"/>
          <w:u w:color="00457D"/>
        </w:rPr>
        <w:t>6</w:t>
      </w:r>
    </w:p>
    <w:p w:rsidR="007B682B" w:rsidRPr="00234B97" w:rsidRDefault="00653A32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0069182" wp14:editId="6708ED75">
            <wp:extent cx="5760000" cy="2826141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26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8E9" w:rsidRPr="00234B97" w:rsidRDefault="00AF08E9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7B682B" w:rsidRPr="00234B97" w:rsidRDefault="00CE577D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8E0517" w:rsidRPr="00234B97">
        <w:rPr>
          <w:b/>
          <w:bCs/>
          <w:color w:val="00457D"/>
          <w:sz w:val="24"/>
          <w:szCs w:val="24"/>
          <w:u w:color="00457D"/>
        </w:rPr>
        <w:t>7</w:t>
      </w:r>
    </w:p>
    <w:p w:rsidR="00D707B3" w:rsidRPr="00234B97" w:rsidRDefault="000B0548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5C8A9B69" wp14:editId="4C78F94A">
            <wp:extent cx="5760000" cy="308760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8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7B682B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Pr="00234B97" w:rsidRDefault="007B682B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8E0517" w:rsidRPr="00234B97" w:rsidRDefault="008E051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br w:type="page"/>
      </w:r>
    </w:p>
    <w:p w:rsidR="007B682B" w:rsidRPr="00234B97" w:rsidRDefault="006176B8" w:rsidP="00AF08E9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 w:rsidR="008E0517" w:rsidRPr="00234B97">
        <w:rPr>
          <w:b/>
          <w:bCs/>
          <w:color w:val="00457D"/>
          <w:sz w:val="24"/>
          <w:szCs w:val="24"/>
          <w:u w:color="00457D"/>
        </w:rPr>
        <w:t>8</w:t>
      </w:r>
    </w:p>
    <w:p w:rsidR="007B682B" w:rsidRPr="00234B97" w:rsidRDefault="000B0548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5800662C" wp14:editId="225C7B1B">
            <wp:extent cx="5760000" cy="4518923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18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CE577D" w:rsidP="008E0517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8E0517" w:rsidRPr="00234B97">
        <w:rPr>
          <w:b/>
          <w:bCs/>
          <w:color w:val="00457D"/>
          <w:sz w:val="24"/>
          <w:szCs w:val="24"/>
          <w:u w:color="00457D"/>
        </w:rPr>
        <w:t>9</w:t>
      </w:r>
    </w:p>
    <w:p w:rsidR="00D707B3" w:rsidRPr="00234B97" w:rsidRDefault="00D707B3" w:rsidP="008E0517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Pr="00234B97" w:rsidRDefault="000B0548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50EB7B79" wp14:editId="74ECA16D">
            <wp:extent cx="5760000" cy="306927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6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7B682B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8E0517" w:rsidRPr="00234B97" w:rsidRDefault="008E051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br w:type="page"/>
      </w:r>
    </w:p>
    <w:p w:rsidR="007B682B" w:rsidRPr="00234B97" w:rsidRDefault="00CE577D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8E0517" w:rsidRPr="00234B97">
        <w:rPr>
          <w:b/>
          <w:bCs/>
          <w:color w:val="00457D"/>
          <w:sz w:val="24"/>
          <w:szCs w:val="24"/>
          <w:u w:color="00457D"/>
        </w:rPr>
        <w:t>0</w:t>
      </w:r>
    </w:p>
    <w:p w:rsidR="006D67CC" w:rsidRPr="00234B97" w:rsidRDefault="000B0548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34F9D5F3" wp14:editId="6F918EC9">
            <wp:extent cx="5760000" cy="3364932"/>
            <wp:effectExtent l="0" t="0" r="0" b="698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4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7B682B">
      <w:pPr>
        <w:jc w:val="center"/>
        <w:rPr>
          <w:b/>
          <w:bCs/>
          <w:color w:val="00457D"/>
          <w:sz w:val="24"/>
          <w:szCs w:val="24"/>
          <w:u w:color="00457D"/>
        </w:rPr>
      </w:pPr>
    </w:p>
    <w:p w:rsidR="00AF08E9" w:rsidRPr="00234B97" w:rsidRDefault="00AF08E9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7B682B" w:rsidRPr="00234B97" w:rsidRDefault="00CE577D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>Figura 1</w:t>
      </w:r>
      <w:r w:rsidR="008E0517" w:rsidRPr="00234B97">
        <w:rPr>
          <w:b/>
          <w:bCs/>
          <w:color w:val="00457D"/>
          <w:sz w:val="24"/>
          <w:szCs w:val="24"/>
          <w:u w:color="00457D"/>
        </w:rPr>
        <w:t>1</w:t>
      </w:r>
    </w:p>
    <w:p w:rsidR="006D67CC" w:rsidRPr="00234B97" w:rsidRDefault="000B0548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3E1FA81C" wp14:editId="5F811402">
            <wp:extent cx="5760000" cy="3518637"/>
            <wp:effectExtent l="0" t="0" r="0" b="571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18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5A25" w:rsidRPr="00234B97" w:rsidRDefault="00705A25" w:rsidP="00705A25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705A25" w:rsidRPr="00234B97" w:rsidRDefault="00705A25" w:rsidP="00705A25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8E0517" w:rsidRPr="00234B97" w:rsidRDefault="008E051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br w:type="page"/>
      </w:r>
    </w:p>
    <w:p w:rsidR="007B682B" w:rsidRPr="00234B97" w:rsidRDefault="00B66203" w:rsidP="00705A25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>Fi</w:t>
      </w:r>
      <w:r w:rsidR="00CE577D" w:rsidRPr="00234B97">
        <w:rPr>
          <w:b/>
          <w:bCs/>
          <w:color w:val="00457D"/>
          <w:sz w:val="24"/>
          <w:szCs w:val="24"/>
          <w:u w:color="00457D"/>
        </w:rPr>
        <w:t>gura 1</w:t>
      </w:r>
      <w:r w:rsidR="008E0517" w:rsidRPr="00234B97">
        <w:rPr>
          <w:b/>
          <w:bCs/>
          <w:color w:val="00457D"/>
          <w:sz w:val="24"/>
          <w:szCs w:val="24"/>
          <w:u w:color="00457D"/>
        </w:rPr>
        <w:t>2</w:t>
      </w:r>
    </w:p>
    <w:p w:rsidR="006D67CC" w:rsidRPr="00234B97" w:rsidRDefault="000B0548" w:rsidP="00705A25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75E988C2" wp14:editId="1B307A3B">
            <wp:extent cx="5760000" cy="4433382"/>
            <wp:effectExtent l="0" t="0" r="0" b="571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33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7B682B">
      <w:pPr>
        <w:spacing w:after="120"/>
        <w:jc w:val="center"/>
      </w:pPr>
    </w:p>
    <w:p w:rsidR="00705A25" w:rsidRPr="00234B97" w:rsidRDefault="00705A25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Pr="00234B97" w:rsidRDefault="00CE577D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>Figura 1</w:t>
      </w:r>
      <w:r w:rsidR="008E0517" w:rsidRPr="00234B97">
        <w:rPr>
          <w:b/>
          <w:bCs/>
          <w:color w:val="00457D"/>
          <w:sz w:val="24"/>
          <w:szCs w:val="24"/>
          <w:u w:color="00457D"/>
        </w:rPr>
        <w:t>3</w:t>
      </w:r>
    </w:p>
    <w:p w:rsidR="00F65203" w:rsidRPr="00234B97" w:rsidRDefault="000B0548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2DCDF7BC" wp14:editId="51A5BA04">
            <wp:extent cx="5760000" cy="3409961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09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7B682B">
      <w:pPr>
        <w:spacing w:after="120"/>
        <w:jc w:val="center"/>
      </w:pPr>
    </w:p>
    <w:p w:rsidR="007B682B" w:rsidRPr="00234B97" w:rsidRDefault="00705A25" w:rsidP="00705A25">
      <w:pPr>
        <w:jc w:val="center"/>
        <w:rPr>
          <w:rFonts w:cs="Calibri"/>
          <w:b/>
          <w:bCs/>
          <w:color w:val="00457D"/>
          <w:sz w:val="24"/>
          <w:szCs w:val="24"/>
          <w:u w:color="00457D"/>
        </w:rPr>
      </w:pPr>
      <w:r w:rsidRPr="00234B97">
        <w:rPr>
          <w:rFonts w:cs="Calibri"/>
          <w:b/>
          <w:color w:val="00457D"/>
          <w:sz w:val="24"/>
          <w:szCs w:val="24"/>
          <w:u w:color="00457D"/>
        </w:rPr>
        <w:lastRenderedPageBreak/>
        <w:t>F</w:t>
      </w:r>
      <w:r w:rsidR="00CE577D" w:rsidRPr="00234B97">
        <w:rPr>
          <w:rFonts w:cs="Calibri"/>
          <w:b/>
          <w:bCs/>
          <w:color w:val="00457D"/>
          <w:sz w:val="24"/>
          <w:szCs w:val="24"/>
          <w:u w:color="00457D"/>
        </w:rPr>
        <w:t xml:space="preserve">igura </w:t>
      </w:r>
      <w:r w:rsidR="00AF08E9" w:rsidRPr="00234B97">
        <w:rPr>
          <w:rFonts w:cs="Calibri"/>
          <w:b/>
          <w:bCs/>
          <w:color w:val="00457D"/>
          <w:sz w:val="24"/>
          <w:szCs w:val="24"/>
          <w:u w:color="00457D"/>
        </w:rPr>
        <w:t>1</w:t>
      </w:r>
      <w:r w:rsidR="008E0517" w:rsidRPr="00234B97">
        <w:rPr>
          <w:rFonts w:cs="Calibri"/>
          <w:b/>
          <w:bCs/>
          <w:color w:val="00457D"/>
          <w:sz w:val="24"/>
          <w:szCs w:val="24"/>
          <w:u w:color="00457D"/>
        </w:rPr>
        <w:t>4</w:t>
      </w:r>
    </w:p>
    <w:p w:rsidR="006D67CC" w:rsidRPr="00234B97" w:rsidRDefault="00184068" w:rsidP="00705A25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5DDE19AC" wp14:editId="2C8BBCBE">
            <wp:extent cx="5760000" cy="3360705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538" w:rsidRPr="00234B97" w:rsidRDefault="00B67538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B67538" w:rsidRPr="00234B97" w:rsidRDefault="00B67538" w:rsidP="00B67538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>Figura 1</w:t>
      </w:r>
      <w:r w:rsidR="008E0517" w:rsidRPr="00234B97">
        <w:rPr>
          <w:b/>
          <w:bCs/>
          <w:color w:val="00457D"/>
          <w:sz w:val="24"/>
          <w:szCs w:val="24"/>
          <w:u w:color="00457D"/>
        </w:rPr>
        <w:t>5</w:t>
      </w:r>
    </w:p>
    <w:p w:rsidR="00C3740F" w:rsidRPr="00234B97" w:rsidRDefault="00C3740F" w:rsidP="00C3740F">
      <w:pPr>
        <w:spacing w:after="120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 xml:space="preserve">   </w:t>
      </w:r>
      <w:r w:rsidR="00E40793">
        <w:rPr>
          <w:noProof/>
        </w:rPr>
        <w:drawing>
          <wp:inline distT="0" distB="0" distL="0" distR="0" wp14:anchorId="07D49606" wp14:editId="018C2539">
            <wp:extent cx="5760000" cy="3760473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760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34B97">
        <w:rPr>
          <w:b/>
          <w:bCs/>
          <w:color w:val="00457D"/>
          <w:sz w:val="24"/>
          <w:szCs w:val="24"/>
          <w:u w:color="00457D"/>
        </w:rPr>
        <w:br w:type="page"/>
      </w:r>
    </w:p>
    <w:p w:rsidR="00C3740F" w:rsidRPr="00234B97" w:rsidRDefault="00C3740F" w:rsidP="00C3740F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>Figura 16</w:t>
      </w:r>
    </w:p>
    <w:p w:rsidR="000B25F9" w:rsidRPr="00234B97" w:rsidRDefault="00184068" w:rsidP="00B67538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787CA24B" wp14:editId="606B05FD">
            <wp:extent cx="5760000" cy="4429251"/>
            <wp:effectExtent l="0" t="0" r="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29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25F9" w:rsidRPr="00234B97" w:rsidRDefault="000B25F9" w:rsidP="00B67538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0B25F9" w:rsidRPr="00234B97" w:rsidRDefault="00C3740F" w:rsidP="000B25F9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>Figura 17</w:t>
      </w:r>
    </w:p>
    <w:p w:rsidR="00B67538" w:rsidRPr="00234B97" w:rsidRDefault="00D1010A" w:rsidP="00B67538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04D1B220" wp14:editId="7BAB28B9">
            <wp:extent cx="5760000" cy="3678911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78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25F9" w:rsidRPr="00234B97" w:rsidRDefault="000B25F9" w:rsidP="00B67538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B67538" w:rsidRPr="00234B97" w:rsidRDefault="00B67538" w:rsidP="00B67538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>Figura 1</w:t>
      </w:r>
      <w:r w:rsidR="00C3740F" w:rsidRPr="00234B97">
        <w:rPr>
          <w:b/>
          <w:bCs/>
          <w:color w:val="00457D"/>
          <w:sz w:val="24"/>
          <w:szCs w:val="24"/>
          <w:u w:color="00457D"/>
        </w:rPr>
        <w:t>8</w:t>
      </w:r>
    </w:p>
    <w:p w:rsidR="00B67538" w:rsidRPr="00234B97" w:rsidRDefault="00D1010A" w:rsidP="00B67538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noProof/>
          <w:color w:val="00457D"/>
          <w:sz w:val="24"/>
          <w:szCs w:val="24"/>
          <w:u w:color="00457D"/>
        </w:rPr>
        <w:lastRenderedPageBreak/>
        <w:drawing>
          <wp:inline distT="0" distB="0" distL="0" distR="0" wp14:anchorId="70463CC3" wp14:editId="5195F2E9">
            <wp:extent cx="5760000" cy="3674761"/>
            <wp:effectExtent l="0" t="0" r="0" b="190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74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538" w:rsidRPr="00234B97" w:rsidRDefault="00B67538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CD53ED" w:rsidRPr="00234B97" w:rsidRDefault="00CD53ED" w:rsidP="00B67538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  <w:sectPr w:rsidR="00CD53ED" w:rsidRPr="00234B97">
          <w:pgSz w:w="11900" w:h="16840"/>
          <w:pgMar w:top="1134" w:right="1134" w:bottom="1418" w:left="1134" w:header="709" w:footer="709" w:gutter="0"/>
          <w:cols w:space="720"/>
        </w:sectPr>
      </w:pPr>
    </w:p>
    <w:p w:rsidR="00CD53ED" w:rsidRPr="00234B97" w:rsidRDefault="00B67538" w:rsidP="000B25F9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C3740F" w:rsidRPr="00234B97">
        <w:rPr>
          <w:b/>
          <w:bCs/>
          <w:color w:val="00457D"/>
          <w:sz w:val="24"/>
          <w:szCs w:val="24"/>
          <w:u w:color="00457D"/>
        </w:rPr>
        <w:t>9</w:t>
      </w:r>
    </w:p>
    <w:p w:rsidR="00CD53ED" w:rsidRPr="00234B97" w:rsidRDefault="00653A32" w:rsidP="00D71F7F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0094A80B" wp14:editId="61FF67D7">
            <wp:extent cx="9360000" cy="5141121"/>
            <wp:effectExtent l="0" t="0" r="0" b="254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141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53ED" w:rsidRPr="00234B97" w:rsidRDefault="00CD53ED" w:rsidP="00D71F7F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  <w:sectPr w:rsidR="00CD53ED" w:rsidRPr="00234B97" w:rsidSect="00CD53ED">
          <w:pgSz w:w="16840" w:h="11900" w:orient="landscape"/>
          <w:pgMar w:top="1134" w:right="1134" w:bottom="1134" w:left="1418" w:header="709" w:footer="709" w:gutter="0"/>
          <w:cols w:space="720"/>
          <w:docGrid w:linePitch="299"/>
        </w:sectPr>
      </w:pPr>
    </w:p>
    <w:p w:rsidR="00B90481" w:rsidRPr="00234B97" w:rsidRDefault="00CE577D" w:rsidP="00B90481">
      <w:pPr>
        <w:spacing w:line="276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 xml:space="preserve">Tabella 1. Indicatori regionali: settimana </w:t>
      </w:r>
      <w:r w:rsidR="000B0548" w:rsidRPr="00234B97">
        <w:rPr>
          <w:b/>
          <w:bCs/>
          <w:color w:val="00457D"/>
          <w:sz w:val="24"/>
          <w:szCs w:val="24"/>
          <w:u w:color="00457D"/>
        </w:rPr>
        <w:t>8-14</w:t>
      </w:r>
      <w:r w:rsidR="00C73150" w:rsidRPr="00234B97">
        <w:rPr>
          <w:b/>
          <w:bCs/>
          <w:color w:val="00457D"/>
          <w:sz w:val="24"/>
          <w:szCs w:val="24"/>
          <w:u w:color="00457D"/>
        </w:rPr>
        <w:t xml:space="preserve"> settembre</w:t>
      </w:r>
      <w:r w:rsidRPr="00234B97">
        <w:rPr>
          <w:b/>
          <w:bCs/>
          <w:color w:val="00457D"/>
          <w:sz w:val="24"/>
          <w:szCs w:val="24"/>
          <w:u w:color="00457D"/>
        </w:rPr>
        <w:t xml:space="preserve"> 2021</w:t>
      </w:r>
      <w:r w:rsidR="002B7A43" w:rsidRPr="00234B97">
        <w:rPr>
          <w:rFonts w:ascii="Arial Unicode MS" w:hAnsi="Arial Unicode MS"/>
          <w:color w:val="00457D"/>
          <w:sz w:val="24"/>
          <w:szCs w:val="24"/>
          <w:u w:color="00457D"/>
        </w:rPr>
        <w:t xml:space="preserve"> </w:t>
      </w:r>
    </w:p>
    <w:tbl>
      <w:tblPr>
        <w:tblW w:w="96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2120"/>
        <w:gridCol w:w="1140"/>
        <w:gridCol w:w="2180"/>
        <w:gridCol w:w="2214"/>
      </w:tblGrid>
      <w:tr w:rsidR="00B90481" w:rsidRPr="00234B97" w:rsidTr="00B90481">
        <w:trPr>
          <w:trHeight w:val="907"/>
        </w:trPr>
        <w:tc>
          <w:tcPr>
            <w:tcW w:w="198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234B97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Regione</w:t>
            </w:r>
          </w:p>
        </w:tc>
        <w:tc>
          <w:tcPr>
            <w:tcW w:w="2120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1"/>
                <w:szCs w:val="21"/>
                <w:bdr w:val="none" w:sz="0" w:space="0" w:color="auto"/>
              </w:rPr>
            </w:pPr>
            <w:r w:rsidRPr="00234B97">
              <w:rPr>
                <w:rFonts w:eastAsia="Times New Roman" w:cs="Calibri"/>
                <w:b/>
                <w:bCs/>
                <w:color w:val="FFFFFF"/>
                <w:sz w:val="21"/>
                <w:szCs w:val="21"/>
                <w:bdr w:val="none" w:sz="0" w:space="0" w:color="auto"/>
              </w:rPr>
              <w:t>Casi attualmente positivi per 100.000 abitanti</w:t>
            </w:r>
          </w:p>
        </w:tc>
        <w:tc>
          <w:tcPr>
            <w:tcW w:w="1140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234B97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 xml:space="preserve">Variazione </w:t>
            </w:r>
            <w:r w:rsidRPr="00234B97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br/>
              <w:t>% nuovi casi</w:t>
            </w:r>
          </w:p>
        </w:tc>
        <w:tc>
          <w:tcPr>
            <w:tcW w:w="2180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234B97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Posti letto in area medica occupati da pazienti COVID−19</w:t>
            </w:r>
          </w:p>
        </w:tc>
        <w:tc>
          <w:tcPr>
            <w:tcW w:w="2214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00457D"/>
            </w:tcBorders>
            <w:shd w:val="clear" w:color="000000" w:fill="00457D"/>
            <w:vAlign w:val="center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234B97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 xml:space="preserve">Posti letto in terapia intensiva occupati da </w:t>
            </w:r>
            <w:r w:rsidRPr="00234B97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br/>
              <w:t>pazienti COVID−19</w:t>
            </w:r>
          </w:p>
        </w:tc>
      </w:tr>
      <w:tr w:rsidR="00B90481" w:rsidRPr="00234B97" w:rsidTr="00B90481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234B97">
              <w:rPr>
                <w:rFonts w:eastAsia="Times New Roman" w:cs="Calibri"/>
                <w:bdr w:val="none" w:sz="0" w:space="0" w:color="auto"/>
              </w:rPr>
              <w:t>Abruzzo</w:t>
            </w:r>
          </w:p>
        </w:tc>
        <w:tc>
          <w:tcPr>
            <w:tcW w:w="212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162</w:t>
            </w:r>
          </w:p>
        </w:tc>
        <w:tc>
          <w:tcPr>
            <w:tcW w:w="1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9C0006"/>
                <w:bdr w:val="none" w:sz="0" w:space="0" w:color="auto"/>
              </w:rPr>
              <w:t>2,8%</w:t>
            </w:r>
          </w:p>
        </w:tc>
        <w:tc>
          <w:tcPr>
            <w:tcW w:w="218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  <w:tc>
          <w:tcPr>
            <w:tcW w:w="221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B90481" w:rsidRPr="00234B97" w:rsidTr="00B90481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234B97">
              <w:rPr>
                <w:rFonts w:eastAsia="Times New Roman" w:cs="Calibri"/>
                <w:bdr w:val="none" w:sz="0" w:space="0" w:color="auto"/>
              </w:rPr>
              <w:t>Basilicata</w:t>
            </w:r>
          </w:p>
        </w:tc>
        <w:tc>
          <w:tcPr>
            <w:tcW w:w="212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239</w:t>
            </w:r>
          </w:p>
        </w:tc>
        <w:tc>
          <w:tcPr>
            <w:tcW w:w="1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-29,2%</w:t>
            </w:r>
          </w:p>
        </w:tc>
        <w:tc>
          <w:tcPr>
            <w:tcW w:w="218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13%</w:t>
            </w:r>
          </w:p>
        </w:tc>
        <w:tc>
          <w:tcPr>
            <w:tcW w:w="221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</w:tr>
      <w:tr w:rsidR="00B90481" w:rsidRPr="00234B97" w:rsidTr="002B3E49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234B97">
              <w:rPr>
                <w:rFonts w:eastAsia="Times New Roman" w:cs="Calibri"/>
                <w:bdr w:val="none" w:sz="0" w:space="0" w:color="auto"/>
              </w:rPr>
              <w:t>Calabria</w:t>
            </w:r>
          </w:p>
        </w:tc>
        <w:tc>
          <w:tcPr>
            <w:tcW w:w="212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257</w:t>
            </w:r>
          </w:p>
        </w:tc>
        <w:tc>
          <w:tcPr>
            <w:tcW w:w="1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-14,8%</w:t>
            </w:r>
          </w:p>
        </w:tc>
        <w:tc>
          <w:tcPr>
            <w:tcW w:w="218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9C0006"/>
                <w:bdr w:val="none" w:sz="0" w:space="0" w:color="auto"/>
              </w:rPr>
              <w:t>17%</w:t>
            </w:r>
          </w:p>
        </w:tc>
        <w:tc>
          <w:tcPr>
            <w:tcW w:w="221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2B3E49">
              <w:rPr>
                <w:rFonts w:eastAsia="Times New Roman" w:cs="Calibri"/>
                <w:color w:val="006100"/>
                <w:bdr w:val="none" w:sz="0" w:space="0" w:color="auto"/>
              </w:rPr>
              <w:t>10%</w:t>
            </w:r>
          </w:p>
        </w:tc>
      </w:tr>
      <w:tr w:rsidR="00B90481" w:rsidRPr="00234B97" w:rsidTr="00B90481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234B97">
              <w:rPr>
                <w:rFonts w:eastAsia="Times New Roman" w:cs="Calibri"/>
                <w:bdr w:val="none" w:sz="0" w:space="0" w:color="auto"/>
              </w:rPr>
              <w:t>Campania</w:t>
            </w:r>
          </w:p>
        </w:tc>
        <w:tc>
          <w:tcPr>
            <w:tcW w:w="212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136</w:t>
            </w:r>
          </w:p>
        </w:tc>
        <w:tc>
          <w:tcPr>
            <w:tcW w:w="1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9C0006"/>
                <w:bdr w:val="none" w:sz="0" w:space="0" w:color="auto"/>
              </w:rPr>
              <w:t>0,1%</w:t>
            </w:r>
          </w:p>
        </w:tc>
        <w:tc>
          <w:tcPr>
            <w:tcW w:w="218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10%</w:t>
            </w:r>
          </w:p>
        </w:tc>
        <w:tc>
          <w:tcPr>
            <w:tcW w:w="221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B90481" w:rsidRPr="00234B97" w:rsidTr="00B90481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234B97">
              <w:rPr>
                <w:rFonts w:eastAsia="Times New Roman" w:cs="Calibri"/>
                <w:bdr w:val="none" w:sz="0" w:space="0" w:color="auto"/>
              </w:rPr>
              <w:t>Emilia Romagna</w:t>
            </w:r>
          </w:p>
        </w:tc>
        <w:tc>
          <w:tcPr>
            <w:tcW w:w="212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318</w:t>
            </w:r>
          </w:p>
        </w:tc>
        <w:tc>
          <w:tcPr>
            <w:tcW w:w="1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-12,4%</w:t>
            </w:r>
          </w:p>
        </w:tc>
        <w:tc>
          <w:tcPr>
            <w:tcW w:w="218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21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</w:tr>
      <w:tr w:rsidR="00B90481" w:rsidRPr="00234B97" w:rsidTr="00B90481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234B97">
              <w:rPr>
                <w:rFonts w:eastAsia="Times New Roman" w:cs="Calibri"/>
                <w:bdr w:val="none" w:sz="0" w:space="0" w:color="auto"/>
              </w:rPr>
              <w:t>Friuli Venezia Giulia</w:t>
            </w:r>
          </w:p>
        </w:tc>
        <w:tc>
          <w:tcPr>
            <w:tcW w:w="212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9C0006"/>
                <w:bdr w:val="none" w:sz="0" w:space="0" w:color="auto"/>
              </w:rPr>
              <w:t>118</w:t>
            </w:r>
          </w:p>
        </w:tc>
        <w:tc>
          <w:tcPr>
            <w:tcW w:w="1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9C0006"/>
                <w:bdr w:val="none" w:sz="0" w:space="0" w:color="auto"/>
              </w:rPr>
              <w:t>1,2%</w:t>
            </w:r>
          </w:p>
        </w:tc>
        <w:tc>
          <w:tcPr>
            <w:tcW w:w="218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  <w:tc>
          <w:tcPr>
            <w:tcW w:w="221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</w:tr>
      <w:tr w:rsidR="00B90481" w:rsidRPr="00234B97" w:rsidTr="00B90481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234B97">
              <w:rPr>
                <w:rFonts w:eastAsia="Times New Roman" w:cs="Calibri"/>
                <w:bdr w:val="none" w:sz="0" w:space="0" w:color="auto"/>
              </w:rPr>
              <w:t>Lazio</w:t>
            </w:r>
          </w:p>
        </w:tc>
        <w:tc>
          <w:tcPr>
            <w:tcW w:w="212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213</w:t>
            </w:r>
          </w:p>
        </w:tc>
        <w:tc>
          <w:tcPr>
            <w:tcW w:w="1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-13,0%</w:t>
            </w:r>
          </w:p>
        </w:tc>
        <w:tc>
          <w:tcPr>
            <w:tcW w:w="218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  <w:tc>
          <w:tcPr>
            <w:tcW w:w="221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</w:tr>
      <w:tr w:rsidR="00B90481" w:rsidRPr="00234B97" w:rsidTr="00B90481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234B97">
              <w:rPr>
                <w:rFonts w:eastAsia="Times New Roman" w:cs="Calibri"/>
                <w:bdr w:val="none" w:sz="0" w:space="0" w:color="auto"/>
              </w:rPr>
              <w:t>Liguria</w:t>
            </w:r>
          </w:p>
        </w:tc>
        <w:tc>
          <w:tcPr>
            <w:tcW w:w="212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111</w:t>
            </w:r>
          </w:p>
        </w:tc>
        <w:tc>
          <w:tcPr>
            <w:tcW w:w="1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-9,9%</w:t>
            </w:r>
          </w:p>
        </w:tc>
        <w:tc>
          <w:tcPr>
            <w:tcW w:w="218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21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B90481" w:rsidRPr="00234B97" w:rsidTr="002F6277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234B97">
              <w:rPr>
                <w:rFonts w:eastAsia="Times New Roman" w:cs="Calibri"/>
                <w:bdr w:val="none" w:sz="0" w:space="0" w:color="auto"/>
              </w:rPr>
              <w:t>Lombardia</w:t>
            </w:r>
          </w:p>
        </w:tc>
        <w:tc>
          <w:tcPr>
            <w:tcW w:w="212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EB9C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F6277">
              <w:rPr>
                <w:rFonts w:eastAsia="Times New Roman" w:cs="Calibri"/>
                <w:color w:val="9C6500"/>
                <w:bdr w:val="none" w:sz="0" w:space="0" w:color="auto"/>
              </w:rPr>
              <w:t>114</w:t>
            </w:r>
          </w:p>
        </w:tc>
        <w:tc>
          <w:tcPr>
            <w:tcW w:w="1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-1,3%</w:t>
            </w:r>
          </w:p>
        </w:tc>
        <w:tc>
          <w:tcPr>
            <w:tcW w:w="218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  <w:tc>
          <w:tcPr>
            <w:tcW w:w="221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B90481" w:rsidRPr="00234B97" w:rsidTr="00B90481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234B97">
              <w:rPr>
                <w:rFonts w:eastAsia="Times New Roman" w:cs="Calibri"/>
                <w:bdr w:val="none" w:sz="0" w:space="0" w:color="auto"/>
              </w:rPr>
              <w:t>Marche</w:t>
            </w:r>
          </w:p>
        </w:tc>
        <w:tc>
          <w:tcPr>
            <w:tcW w:w="212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205</w:t>
            </w:r>
          </w:p>
        </w:tc>
        <w:tc>
          <w:tcPr>
            <w:tcW w:w="1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-11,1%</w:t>
            </w:r>
          </w:p>
        </w:tc>
        <w:tc>
          <w:tcPr>
            <w:tcW w:w="218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  <w:tc>
          <w:tcPr>
            <w:tcW w:w="221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9C0006"/>
                <w:bdr w:val="none" w:sz="0" w:space="0" w:color="auto"/>
              </w:rPr>
              <w:t>13%</w:t>
            </w:r>
          </w:p>
        </w:tc>
      </w:tr>
      <w:tr w:rsidR="00B90481" w:rsidRPr="00234B97" w:rsidTr="00B90481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234B97">
              <w:rPr>
                <w:rFonts w:eastAsia="Times New Roman" w:cs="Calibri"/>
                <w:bdr w:val="none" w:sz="0" w:space="0" w:color="auto"/>
              </w:rPr>
              <w:t>Molise</w:t>
            </w:r>
          </w:p>
        </w:tc>
        <w:tc>
          <w:tcPr>
            <w:tcW w:w="212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72</w:t>
            </w:r>
          </w:p>
        </w:tc>
        <w:tc>
          <w:tcPr>
            <w:tcW w:w="1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-45,3%</w:t>
            </w:r>
          </w:p>
        </w:tc>
        <w:tc>
          <w:tcPr>
            <w:tcW w:w="218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21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</w:tr>
      <w:tr w:rsidR="00B90481" w:rsidRPr="00234B97" w:rsidTr="00B90481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234B97">
              <w:rPr>
                <w:rFonts w:eastAsia="Times New Roman" w:cs="Calibri"/>
                <w:bdr w:val="none" w:sz="0" w:space="0" w:color="auto"/>
              </w:rPr>
              <w:t>Piemonte</w:t>
            </w:r>
          </w:p>
        </w:tc>
        <w:tc>
          <w:tcPr>
            <w:tcW w:w="212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84</w:t>
            </w:r>
          </w:p>
        </w:tc>
        <w:tc>
          <w:tcPr>
            <w:tcW w:w="1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-8,0%</w:t>
            </w:r>
          </w:p>
        </w:tc>
        <w:tc>
          <w:tcPr>
            <w:tcW w:w="218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  <w:tc>
          <w:tcPr>
            <w:tcW w:w="221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B90481" w:rsidRPr="00234B97" w:rsidTr="00B90481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234B97">
              <w:rPr>
                <w:rFonts w:eastAsia="Times New Roman" w:cs="Calibri"/>
                <w:bdr w:val="none" w:sz="0" w:space="0" w:color="auto"/>
              </w:rPr>
              <w:t>Prov. Aut. Bolzano</w:t>
            </w:r>
          </w:p>
        </w:tc>
        <w:tc>
          <w:tcPr>
            <w:tcW w:w="212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9C0006"/>
                <w:bdr w:val="none" w:sz="0" w:space="0" w:color="auto"/>
              </w:rPr>
              <w:t>185</w:t>
            </w:r>
          </w:p>
        </w:tc>
        <w:tc>
          <w:tcPr>
            <w:tcW w:w="1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9C0006"/>
                <w:bdr w:val="none" w:sz="0" w:space="0" w:color="auto"/>
              </w:rPr>
              <w:t>9,0%</w:t>
            </w:r>
          </w:p>
        </w:tc>
        <w:tc>
          <w:tcPr>
            <w:tcW w:w="218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  <w:tc>
          <w:tcPr>
            <w:tcW w:w="221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</w:tr>
      <w:tr w:rsidR="00B90481" w:rsidRPr="00234B97" w:rsidTr="00B90481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234B97">
              <w:rPr>
                <w:rFonts w:eastAsia="Times New Roman" w:cs="Calibri"/>
                <w:bdr w:val="none" w:sz="0" w:space="0" w:color="auto"/>
              </w:rPr>
              <w:t>Prov. Aut. Trento</w:t>
            </w:r>
          </w:p>
        </w:tc>
        <w:tc>
          <w:tcPr>
            <w:tcW w:w="212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79</w:t>
            </w:r>
          </w:p>
        </w:tc>
        <w:tc>
          <w:tcPr>
            <w:tcW w:w="1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-2,3%</w:t>
            </w:r>
          </w:p>
        </w:tc>
        <w:tc>
          <w:tcPr>
            <w:tcW w:w="218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  <w:tc>
          <w:tcPr>
            <w:tcW w:w="221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1%</w:t>
            </w:r>
          </w:p>
        </w:tc>
      </w:tr>
      <w:tr w:rsidR="00B90481" w:rsidRPr="00234B97" w:rsidTr="00B90481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234B97">
              <w:rPr>
                <w:rFonts w:eastAsia="Times New Roman" w:cs="Calibri"/>
                <w:bdr w:val="none" w:sz="0" w:space="0" w:color="auto"/>
              </w:rPr>
              <w:t>Puglia</w:t>
            </w:r>
          </w:p>
        </w:tc>
        <w:tc>
          <w:tcPr>
            <w:tcW w:w="212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91</w:t>
            </w:r>
          </w:p>
        </w:tc>
        <w:tc>
          <w:tcPr>
            <w:tcW w:w="1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-15,3%</w:t>
            </w:r>
          </w:p>
        </w:tc>
        <w:tc>
          <w:tcPr>
            <w:tcW w:w="218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  <w:tc>
          <w:tcPr>
            <w:tcW w:w="221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B90481" w:rsidRPr="00234B97" w:rsidTr="00B90481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234B97">
              <w:rPr>
                <w:rFonts w:eastAsia="Times New Roman" w:cs="Calibri"/>
                <w:bdr w:val="none" w:sz="0" w:space="0" w:color="auto"/>
              </w:rPr>
              <w:t>Sardegna</w:t>
            </w:r>
          </w:p>
        </w:tc>
        <w:tc>
          <w:tcPr>
            <w:tcW w:w="212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290</w:t>
            </w:r>
          </w:p>
        </w:tc>
        <w:tc>
          <w:tcPr>
            <w:tcW w:w="1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-40,3%</w:t>
            </w:r>
          </w:p>
        </w:tc>
        <w:tc>
          <w:tcPr>
            <w:tcW w:w="218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13%</w:t>
            </w:r>
          </w:p>
        </w:tc>
        <w:tc>
          <w:tcPr>
            <w:tcW w:w="221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9C0006"/>
                <w:bdr w:val="none" w:sz="0" w:space="0" w:color="auto"/>
              </w:rPr>
              <w:t>11%</w:t>
            </w:r>
          </w:p>
        </w:tc>
      </w:tr>
      <w:tr w:rsidR="00B90481" w:rsidRPr="00234B97" w:rsidTr="00B90481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234B97">
              <w:rPr>
                <w:rFonts w:eastAsia="Times New Roman" w:cs="Calibri"/>
                <w:bdr w:val="none" w:sz="0" w:space="0" w:color="auto"/>
              </w:rPr>
              <w:t>Sicilia</w:t>
            </w:r>
          </w:p>
        </w:tc>
        <w:tc>
          <w:tcPr>
            <w:tcW w:w="212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523</w:t>
            </w:r>
          </w:p>
        </w:tc>
        <w:tc>
          <w:tcPr>
            <w:tcW w:w="1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-25,8%</w:t>
            </w:r>
          </w:p>
        </w:tc>
        <w:tc>
          <w:tcPr>
            <w:tcW w:w="218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9C0006"/>
                <w:bdr w:val="none" w:sz="0" w:space="0" w:color="auto"/>
              </w:rPr>
              <w:t>21%</w:t>
            </w:r>
          </w:p>
        </w:tc>
        <w:tc>
          <w:tcPr>
            <w:tcW w:w="221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9C0006"/>
                <w:bdr w:val="none" w:sz="0" w:space="0" w:color="auto"/>
              </w:rPr>
              <w:t>11%</w:t>
            </w:r>
          </w:p>
        </w:tc>
      </w:tr>
      <w:tr w:rsidR="00B90481" w:rsidRPr="00234B97" w:rsidTr="00B90481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234B97">
              <w:rPr>
                <w:rFonts w:eastAsia="Times New Roman" w:cs="Calibri"/>
                <w:bdr w:val="none" w:sz="0" w:space="0" w:color="auto"/>
              </w:rPr>
              <w:t>Toscana</w:t>
            </w:r>
          </w:p>
        </w:tc>
        <w:tc>
          <w:tcPr>
            <w:tcW w:w="212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246</w:t>
            </w:r>
          </w:p>
        </w:tc>
        <w:tc>
          <w:tcPr>
            <w:tcW w:w="1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-20,0%</w:t>
            </w:r>
          </w:p>
        </w:tc>
        <w:tc>
          <w:tcPr>
            <w:tcW w:w="218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  <w:tc>
          <w:tcPr>
            <w:tcW w:w="221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10%</w:t>
            </w:r>
          </w:p>
        </w:tc>
      </w:tr>
      <w:tr w:rsidR="00B90481" w:rsidRPr="00234B97" w:rsidTr="00B90481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234B97">
              <w:rPr>
                <w:rFonts w:eastAsia="Times New Roman" w:cs="Calibri"/>
                <w:bdr w:val="none" w:sz="0" w:space="0" w:color="auto"/>
              </w:rPr>
              <w:t>Umbria</w:t>
            </w:r>
          </w:p>
        </w:tc>
        <w:tc>
          <w:tcPr>
            <w:tcW w:w="212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155</w:t>
            </w:r>
          </w:p>
        </w:tc>
        <w:tc>
          <w:tcPr>
            <w:tcW w:w="1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-24,7%</w:t>
            </w:r>
          </w:p>
        </w:tc>
        <w:tc>
          <w:tcPr>
            <w:tcW w:w="218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  <w:tc>
          <w:tcPr>
            <w:tcW w:w="221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8%</w:t>
            </w:r>
          </w:p>
        </w:tc>
      </w:tr>
      <w:tr w:rsidR="00B90481" w:rsidRPr="00234B97" w:rsidTr="00B90481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234B97">
              <w:rPr>
                <w:rFonts w:eastAsia="Times New Roman" w:cs="Calibri"/>
                <w:bdr w:val="none" w:sz="0" w:space="0" w:color="auto"/>
              </w:rPr>
              <w:t>Valle D'Aosta</w:t>
            </w:r>
          </w:p>
        </w:tc>
        <w:tc>
          <w:tcPr>
            <w:tcW w:w="212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64</w:t>
            </w:r>
          </w:p>
        </w:tc>
        <w:tc>
          <w:tcPr>
            <w:tcW w:w="1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-20,0%</w:t>
            </w:r>
          </w:p>
        </w:tc>
        <w:tc>
          <w:tcPr>
            <w:tcW w:w="218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2%</w:t>
            </w:r>
          </w:p>
        </w:tc>
        <w:tc>
          <w:tcPr>
            <w:tcW w:w="221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0%</w:t>
            </w:r>
          </w:p>
        </w:tc>
      </w:tr>
      <w:tr w:rsidR="00B90481" w:rsidRPr="00234B97" w:rsidTr="00B90481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234B97">
              <w:rPr>
                <w:rFonts w:eastAsia="Times New Roman" w:cs="Calibri"/>
                <w:bdr w:val="none" w:sz="0" w:space="0" w:color="auto"/>
              </w:rPr>
              <w:t>Veneto</w:t>
            </w:r>
          </w:p>
        </w:tc>
        <w:tc>
          <w:tcPr>
            <w:tcW w:w="212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258</w:t>
            </w:r>
          </w:p>
        </w:tc>
        <w:tc>
          <w:tcPr>
            <w:tcW w:w="1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-14,5%</w:t>
            </w:r>
          </w:p>
        </w:tc>
        <w:tc>
          <w:tcPr>
            <w:tcW w:w="218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  <w:tc>
          <w:tcPr>
            <w:tcW w:w="221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</w:tr>
      <w:tr w:rsidR="00B90481" w:rsidRPr="00234B97" w:rsidTr="00B90481">
        <w:trPr>
          <w:trHeight w:val="340"/>
        </w:trPr>
        <w:tc>
          <w:tcPr>
            <w:tcW w:w="1980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00457D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234B97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ITALIA</w:t>
            </w:r>
          </w:p>
        </w:tc>
        <w:tc>
          <w:tcPr>
            <w:tcW w:w="212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205</w:t>
            </w:r>
          </w:p>
        </w:tc>
        <w:tc>
          <w:tcPr>
            <w:tcW w:w="1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-14,7%</w:t>
            </w:r>
          </w:p>
        </w:tc>
        <w:tc>
          <w:tcPr>
            <w:tcW w:w="218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7%</w:t>
            </w:r>
          </w:p>
        </w:tc>
        <w:tc>
          <w:tcPr>
            <w:tcW w:w="221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234B97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6%</w:t>
            </w:r>
          </w:p>
        </w:tc>
      </w:tr>
      <w:tr w:rsidR="00B90481" w:rsidRPr="00234B97" w:rsidTr="00B90481">
        <w:trPr>
          <w:trHeight w:val="1710"/>
        </w:trPr>
        <w:tc>
          <w:tcPr>
            <w:tcW w:w="9634" w:type="dxa"/>
            <w:gridSpan w:val="5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vAlign w:val="center"/>
            <w:hideMark/>
          </w:tcPr>
          <w:p w:rsidR="00B90481" w:rsidRPr="00234B97" w:rsidRDefault="00B90481" w:rsidP="00B90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</w:pPr>
            <w:r w:rsidRPr="00234B97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 xml:space="preserve">Nota: </w:t>
            </w:r>
            <w:r w:rsidR="002F6277" w:rsidRPr="00DD42F6">
              <w:rPr>
                <w:rFonts w:eastAsia="Times New Roman" w:cs="Calibri"/>
                <w:sz w:val="20"/>
                <w:szCs w:val="20"/>
              </w:rPr>
              <w:t>nella prima colonna rosso, verde e giallo indicano rispettivamente una performance regionale in peggioramento, in miglioramento o stabile, rispetto alla settimana precedente</w:t>
            </w:r>
            <w:r w:rsidRPr="00234B97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.</w:t>
            </w:r>
            <w:r w:rsidRPr="00234B97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br/>
              <w:t>Nella seconda colonna rosso e verde indicano rispettivamente un aumento o una diminuzione di nuovi casi rispetto alla settimana precedente.</w:t>
            </w:r>
            <w:r w:rsidRPr="00234B97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br/>
              <w:t>Nelle ultime 2 colonne rosso e verde indicano il superamento, o meno, della soglia di saturazione del 15% per l’area medica e del 10% per le terapie intensive (dati Agenas).</w:t>
            </w:r>
          </w:p>
        </w:tc>
      </w:tr>
    </w:tbl>
    <w:p w:rsidR="007B682B" w:rsidRPr="00234B97" w:rsidRDefault="00CE577D">
      <w:r w:rsidRPr="00234B97">
        <w:rPr>
          <w:rFonts w:ascii="Arial Unicode MS" w:hAnsi="Arial Unicode MS"/>
          <w:color w:val="00457D"/>
          <w:sz w:val="24"/>
          <w:szCs w:val="24"/>
          <w:u w:color="00457D"/>
        </w:rPr>
        <w:br w:type="page"/>
      </w:r>
    </w:p>
    <w:p w:rsidR="007B682B" w:rsidRPr="00234B97" w:rsidRDefault="00CE577D">
      <w:pPr>
        <w:spacing w:after="8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 xml:space="preserve">Tabella 2. </w:t>
      </w:r>
      <w:r w:rsidR="00A37F61" w:rsidRPr="00234B97">
        <w:rPr>
          <w:b/>
          <w:bCs/>
          <w:color w:val="00457D"/>
          <w:sz w:val="24"/>
          <w:szCs w:val="24"/>
          <w:u w:color="00457D"/>
        </w:rPr>
        <w:t>Nuovi</w:t>
      </w:r>
      <w:r w:rsidRPr="00234B97">
        <w:rPr>
          <w:b/>
          <w:bCs/>
          <w:color w:val="00457D"/>
          <w:sz w:val="24"/>
          <w:szCs w:val="24"/>
          <w:u w:color="00457D"/>
        </w:rPr>
        <w:t xml:space="preserve"> casi nell’ultima settimana</w:t>
      </w:r>
      <w:r w:rsidR="00A37F61" w:rsidRPr="00234B97">
        <w:rPr>
          <w:b/>
          <w:bCs/>
          <w:color w:val="00457D"/>
          <w:sz w:val="24"/>
          <w:szCs w:val="24"/>
          <w:u w:color="00457D"/>
        </w:rPr>
        <w:t xml:space="preserve"> suddivisi per provincia</w:t>
      </w:r>
    </w:p>
    <w:p w:rsidR="007B682B" w:rsidRPr="00234B97" w:rsidRDefault="007B682B">
      <w:pPr>
        <w:spacing w:after="80" w:line="240" w:lineRule="auto"/>
        <w:jc w:val="center"/>
        <w:rPr>
          <w:b/>
          <w:bCs/>
          <w:color w:val="00457D"/>
          <w:sz w:val="10"/>
          <w:szCs w:val="10"/>
          <w:u w:color="00457D"/>
        </w:rPr>
      </w:pPr>
    </w:p>
    <w:tbl>
      <w:tblPr>
        <w:tblStyle w:val="TableNormal"/>
        <w:tblW w:w="6799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472C4"/>
        <w:tblLayout w:type="fixed"/>
        <w:tblLook w:val="04A0" w:firstRow="1" w:lastRow="0" w:firstColumn="1" w:lastColumn="0" w:noHBand="0" w:noVBand="1"/>
      </w:tblPr>
      <w:tblGrid>
        <w:gridCol w:w="2000"/>
        <w:gridCol w:w="2248"/>
        <w:gridCol w:w="2551"/>
      </w:tblGrid>
      <w:tr w:rsidR="007B682B" w:rsidRPr="00234B97" w:rsidTr="007135C5">
        <w:trPr>
          <w:trHeight w:val="481"/>
          <w:tblHeader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Pr="00234B97" w:rsidRDefault="00CE577D" w:rsidP="00B90481">
            <w:pPr>
              <w:spacing w:after="0" w:line="240" w:lineRule="auto"/>
            </w:pPr>
            <w:r w:rsidRPr="00234B97">
              <w:rPr>
                <w:b/>
                <w:bCs/>
                <w:color w:val="FFFFFF"/>
                <w:u w:color="FFFFFF"/>
              </w:rPr>
              <w:t>Regione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FFFFFF"/>
              <w:bottom w:val="single" w:sz="4" w:space="0" w:color="00457D"/>
              <w:right w:val="single" w:sz="4" w:space="0" w:color="FFFFFF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Pr="00234B97" w:rsidRDefault="00CE577D" w:rsidP="00B90481">
            <w:pPr>
              <w:spacing w:after="0" w:line="240" w:lineRule="auto"/>
            </w:pPr>
            <w:r w:rsidRPr="00234B97">
              <w:rPr>
                <w:b/>
                <w:bCs/>
                <w:color w:val="FFFFFF"/>
                <w:u w:color="FFFFFF"/>
              </w:rPr>
              <w:t>Provincia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FFFFFF"/>
              <w:bottom w:val="single" w:sz="4" w:space="0" w:color="00457D"/>
              <w:right w:val="single" w:sz="4" w:space="0" w:color="00457D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Pr="00234B97" w:rsidRDefault="00CE577D" w:rsidP="00B90481">
            <w:pPr>
              <w:spacing w:after="0" w:line="240" w:lineRule="auto"/>
              <w:jc w:val="center"/>
            </w:pPr>
            <w:r w:rsidRPr="00234B97">
              <w:rPr>
                <w:b/>
                <w:bCs/>
                <w:color w:val="FFFFFF"/>
                <w:u w:color="FFFFFF"/>
              </w:rPr>
              <w:t xml:space="preserve">Nuovi casi per 100.000 abitanti </w:t>
            </w:r>
            <w:r w:rsidR="000B0548" w:rsidRPr="00234B97">
              <w:rPr>
                <w:b/>
                <w:bCs/>
                <w:color w:val="FFFFFF"/>
                <w:u w:color="FFFFFF"/>
              </w:rPr>
              <w:t>8-14</w:t>
            </w:r>
            <w:r w:rsidR="00BB04A6" w:rsidRPr="00234B97">
              <w:rPr>
                <w:b/>
                <w:bCs/>
                <w:color w:val="FFFFFF"/>
                <w:u w:color="FFFFFF"/>
              </w:rPr>
              <w:t xml:space="preserve"> settembre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L'Aquila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65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Teramo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55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Pescara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41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Chieti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33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Basilicata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Matera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50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Basilicata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Potenza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39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Reggio di Calabria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121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Crotone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110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Cosenza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82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Vibo Valentia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28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Catanzaro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26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Caserta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62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Napoli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51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Salerno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34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Benevento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32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Avellino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19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Rimini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104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Modena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86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Forlì-Cesena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69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Parma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68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Bologna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67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Piacenza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60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Ravenna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58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Reggio nell'Emilia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56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Ferrara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49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Trieste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143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Gorizia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75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Pordenone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46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Udine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45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Roma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43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Viterbo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39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Latina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36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Rieti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33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Frosinone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26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Imperia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60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La Spezia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55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Savona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47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Genova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41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lastRenderedPageBreak/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Varese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46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Brescia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43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Pavia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38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Milano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35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Mantova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34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Lodi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34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Monza e della Brianza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33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Sondrio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29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Cremona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27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Lecco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27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Bergamo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21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Como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20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Macerata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76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Fermo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66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Pesaro e Urbino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58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Ascoli Piceno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55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Ancona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34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Molise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Isernia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22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Molise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Campobasso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18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P.A. Bolzano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Bolzano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96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P.A. Trento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Trento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40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Asti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59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Vercelli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43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Alessandria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37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Cuneo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35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Torino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33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Biella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32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Novara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24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Verbano-Cusio-Ossola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22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Barletta-Andria-Trani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54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Lecce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42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Brindisi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31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Foggia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28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Bari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25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Taranto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16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Cagliari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70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Sud Sardegna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61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Nuoro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58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Oristano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45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Sassari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37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lastRenderedPageBreak/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Siracusa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178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Messina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168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Catania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129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Ragusa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124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Trapani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110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Enna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106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Palermo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97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Caltanissetta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66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Agrigento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59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Prato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143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Pistoia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101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Siena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93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Firenze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77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Grosseto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62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Pisa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56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Lucca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54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Massa Carrara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53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Livorno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50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Arezzo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46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Umbria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Terni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60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Umbria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Perugia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57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Valle d'Aosta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Aosta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16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Padova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92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Venezia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73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Vicenza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71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Treviso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70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Belluno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70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Verona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  <w:jc w:val="center"/>
            </w:pPr>
            <w:r w:rsidRPr="00234B97">
              <w:t>63</w:t>
            </w:r>
          </w:p>
        </w:tc>
      </w:tr>
      <w:tr w:rsidR="00B90481" w:rsidRPr="00234B97" w:rsidTr="00D707B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B90481" w:rsidP="00B90481">
            <w:pPr>
              <w:spacing w:after="0" w:line="240" w:lineRule="auto"/>
            </w:pPr>
            <w:r w:rsidRPr="00234B97">
              <w:t>Rovigo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B90481" w:rsidRPr="00234B97" w:rsidRDefault="006F1B45" w:rsidP="00B90481">
            <w:pPr>
              <w:spacing w:after="0" w:line="240" w:lineRule="auto"/>
              <w:jc w:val="center"/>
            </w:pPr>
            <w:r>
              <w:t>45</w:t>
            </w:r>
          </w:p>
        </w:tc>
      </w:tr>
    </w:tbl>
    <w:p w:rsidR="007B682B" w:rsidRPr="00234B97" w:rsidRDefault="007B682B" w:rsidP="007135C5">
      <w:pPr>
        <w:widowControl w:val="0"/>
        <w:spacing w:after="80" w:line="240" w:lineRule="auto"/>
        <w:jc w:val="center"/>
      </w:pPr>
    </w:p>
    <w:sectPr w:rsidR="007B682B" w:rsidRPr="00234B97">
      <w:pgSz w:w="11900" w:h="16840"/>
      <w:pgMar w:top="1134" w:right="1134" w:bottom="1418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5F3D" w:rsidRDefault="00A25F3D">
      <w:pPr>
        <w:spacing w:after="0" w:line="240" w:lineRule="auto"/>
      </w:pPr>
      <w:r>
        <w:separator/>
      </w:r>
    </w:p>
  </w:endnote>
  <w:endnote w:type="continuationSeparator" w:id="0">
    <w:p w:rsidR="00A25F3D" w:rsidRDefault="00A25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5F3D" w:rsidRDefault="00A25F3D">
      <w:pPr>
        <w:spacing w:after="0" w:line="240" w:lineRule="auto"/>
      </w:pPr>
      <w:r>
        <w:separator/>
      </w:r>
    </w:p>
  </w:footnote>
  <w:footnote w:type="continuationSeparator" w:id="0">
    <w:p w:rsidR="00A25F3D" w:rsidRDefault="00A25F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004E8"/>
    <w:multiLevelType w:val="hybridMultilevel"/>
    <w:tmpl w:val="D040A854"/>
    <w:styleLink w:val="Stileimportato2"/>
    <w:lvl w:ilvl="0" w:tplc="1DBC225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974C630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3AADE7A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B94C8AC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3C812E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A5A4DA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504A17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3C8E36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4FE0B30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B514920"/>
    <w:multiLevelType w:val="hybridMultilevel"/>
    <w:tmpl w:val="3F8C4CC8"/>
    <w:numStyleLink w:val="Stileimportato1"/>
  </w:abstractNum>
  <w:abstractNum w:abstractNumId="2" w15:restartNumberingAfterBreak="0">
    <w:nsid w:val="17124B2D"/>
    <w:multiLevelType w:val="hybridMultilevel"/>
    <w:tmpl w:val="D040A854"/>
    <w:numStyleLink w:val="Stileimportato2"/>
  </w:abstractNum>
  <w:abstractNum w:abstractNumId="3" w15:restartNumberingAfterBreak="0">
    <w:nsid w:val="191273B9"/>
    <w:multiLevelType w:val="hybridMultilevel"/>
    <w:tmpl w:val="9384A2D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A843EA"/>
    <w:multiLevelType w:val="hybridMultilevel"/>
    <w:tmpl w:val="3F8C4CC8"/>
    <w:styleLink w:val="Stileimportato1"/>
    <w:lvl w:ilvl="0" w:tplc="1130B08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55641DE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BA41F6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2165A90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66D59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8B8BE44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9CC8006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B2CEC64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B5C6E1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2D776AB5"/>
    <w:multiLevelType w:val="hybridMultilevel"/>
    <w:tmpl w:val="F2B8299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53B2B54"/>
    <w:multiLevelType w:val="hybridMultilevel"/>
    <w:tmpl w:val="2BA026B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82B"/>
    <w:rsid w:val="00004CA3"/>
    <w:rsid w:val="00005172"/>
    <w:rsid w:val="000056DE"/>
    <w:rsid w:val="00017890"/>
    <w:rsid w:val="00021C19"/>
    <w:rsid w:val="000222A5"/>
    <w:rsid w:val="00023784"/>
    <w:rsid w:val="00033800"/>
    <w:rsid w:val="000352B4"/>
    <w:rsid w:val="00037A0A"/>
    <w:rsid w:val="00037F01"/>
    <w:rsid w:val="00051038"/>
    <w:rsid w:val="00052578"/>
    <w:rsid w:val="000552E2"/>
    <w:rsid w:val="00057E5F"/>
    <w:rsid w:val="00061D4E"/>
    <w:rsid w:val="00067039"/>
    <w:rsid w:val="00072C04"/>
    <w:rsid w:val="00073A8A"/>
    <w:rsid w:val="0008362E"/>
    <w:rsid w:val="00087236"/>
    <w:rsid w:val="00095DC5"/>
    <w:rsid w:val="000A08BA"/>
    <w:rsid w:val="000A6581"/>
    <w:rsid w:val="000A72BA"/>
    <w:rsid w:val="000B0548"/>
    <w:rsid w:val="000B0AC0"/>
    <w:rsid w:val="000B119C"/>
    <w:rsid w:val="000B1B66"/>
    <w:rsid w:val="000B21CF"/>
    <w:rsid w:val="000B2449"/>
    <w:rsid w:val="000B25F9"/>
    <w:rsid w:val="000C6B69"/>
    <w:rsid w:val="000D5B61"/>
    <w:rsid w:val="000D75CD"/>
    <w:rsid w:val="000D7E45"/>
    <w:rsid w:val="000E1A5A"/>
    <w:rsid w:val="000F09AA"/>
    <w:rsid w:val="000F387B"/>
    <w:rsid w:val="000F3AC7"/>
    <w:rsid w:val="000F50A4"/>
    <w:rsid w:val="0010442F"/>
    <w:rsid w:val="00106801"/>
    <w:rsid w:val="001104E4"/>
    <w:rsid w:val="00114088"/>
    <w:rsid w:val="00114459"/>
    <w:rsid w:val="00115B80"/>
    <w:rsid w:val="00116006"/>
    <w:rsid w:val="00116C93"/>
    <w:rsid w:val="0012399B"/>
    <w:rsid w:val="0012540D"/>
    <w:rsid w:val="00126938"/>
    <w:rsid w:val="00127892"/>
    <w:rsid w:val="001324D5"/>
    <w:rsid w:val="00141F0A"/>
    <w:rsid w:val="00144E5A"/>
    <w:rsid w:val="00147243"/>
    <w:rsid w:val="001513A9"/>
    <w:rsid w:val="001533C7"/>
    <w:rsid w:val="001533DC"/>
    <w:rsid w:val="00157F8B"/>
    <w:rsid w:val="00161AEE"/>
    <w:rsid w:val="0016301A"/>
    <w:rsid w:val="0016753E"/>
    <w:rsid w:val="00175709"/>
    <w:rsid w:val="00176590"/>
    <w:rsid w:val="00176B1E"/>
    <w:rsid w:val="00183B21"/>
    <w:rsid w:val="00184068"/>
    <w:rsid w:val="00187EBF"/>
    <w:rsid w:val="00191EB1"/>
    <w:rsid w:val="00197435"/>
    <w:rsid w:val="001A1D07"/>
    <w:rsid w:val="001A2CC0"/>
    <w:rsid w:val="001A3E0F"/>
    <w:rsid w:val="001A503E"/>
    <w:rsid w:val="001A50D6"/>
    <w:rsid w:val="001A7237"/>
    <w:rsid w:val="001C7E16"/>
    <w:rsid w:val="001D0234"/>
    <w:rsid w:val="001D0E98"/>
    <w:rsid w:val="001D48DB"/>
    <w:rsid w:val="001F63AA"/>
    <w:rsid w:val="001F668D"/>
    <w:rsid w:val="00200400"/>
    <w:rsid w:val="0020699D"/>
    <w:rsid w:val="00212F66"/>
    <w:rsid w:val="00213464"/>
    <w:rsid w:val="00216973"/>
    <w:rsid w:val="002171F6"/>
    <w:rsid w:val="002222F6"/>
    <w:rsid w:val="00234B97"/>
    <w:rsid w:val="00236626"/>
    <w:rsid w:val="0024188A"/>
    <w:rsid w:val="002427A3"/>
    <w:rsid w:val="00245DC3"/>
    <w:rsid w:val="00247670"/>
    <w:rsid w:val="0025323D"/>
    <w:rsid w:val="00253DD5"/>
    <w:rsid w:val="00254744"/>
    <w:rsid w:val="002634F1"/>
    <w:rsid w:val="00263DA4"/>
    <w:rsid w:val="00265ECF"/>
    <w:rsid w:val="00275FFE"/>
    <w:rsid w:val="00282D8E"/>
    <w:rsid w:val="002846B6"/>
    <w:rsid w:val="00291ECD"/>
    <w:rsid w:val="002B0423"/>
    <w:rsid w:val="002B20E2"/>
    <w:rsid w:val="002B3E49"/>
    <w:rsid w:val="002B7A43"/>
    <w:rsid w:val="002C672C"/>
    <w:rsid w:val="002D30A6"/>
    <w:rsid w:val="002D66EF"/>
    <w:rsid w:val="002E0B40"/>
    <w:rsid w:val="002E0CF7"/>
    <w:rsid w:val="002E1532"/>
    <w:rsid w:val="002E1669"/>
    <w:rsid w:val="002E63F1"/>
    <w:rsid w:val="002F5606"/>
    <w:rsid w:val="002F6277"/>
    <w:rsid w:val="002F7E69"/>
    <w:rsid w:val="00300770"/>
    <w:rsid w:val="00301F67"/>
    <w:rsid w:val="00302774"/>
    <w:rsid w:val="00304225"/>
    <w:rsid w:val="003068D2"/>
    <w:rsid w:val="00312170"/>
    <w:rsid w:val="0031239E"/>
    <w:rsid w:val="00312A53"/>
    <w:rsid w:val="00312D49"/>
    <w:rsid w:val="00312EB1"/>
    <w:rsid w:val="00315CB0"/>
    <w:rsid w:val="00322631"/>
    <w:rsid w:val="00322C39"/>
    <w:rsid w:val="00325D76"/>
    <w:rsid w:val="00332BC9"/>
    <w:rsid w:val="00337B53"/>
    <w:rsid w:val="003408FB"/>
    <w:rsid w:val="0034119B"/>
    <w:rsid w:val="0034565E"/>
    <w:rsid w:val="003461BD"/>
    <w:rsid w:val="0035087A"/>
    <w:rsid w:val="003614B8"/>
    <w:rsid w:val="003744DF"/>
    <w:rsid w:val="003747F1"/>
    <w:rsid w:val="0038374F"/>
    <w:rsid w:val="00391BD8"/>
    <w:rsid w:val="00391D3F"/>
    <w:rsid w:val="0039505A"/>
    <w:rsid w:val="003A0661"/>
    <w:rsid w:val="003A62BF"/>
    <w:rsid w:val="003B0352"/>
    <w:rsid w:val="003B632B"/>
    <w:rsid w:val="003B6B24"/>
    <w:rsid w:val="003B6F85"/>
    <w:rsid w:val="003B720F"/>
    <w:rsid w:val="003C724A"/>
    <w:rsid w:val="003D049D"/>
    <w:rsid w:val="003D353F"/>
    <w:rsid w:val="003D3EE4"/>
    <w:rsid w:val="003D4BA4"/>
    <w:rsid w:val="003D514B"/>
    <w:rsid w:val="003E33FF"/>
    <w:rsid w:val="003E35A0"/>
    <w:rsid w:val="003E3EB4"/>
    <w:rsid w:val="003E3FDD"/>
    <w:rsid w:val="003E5E24"/>
    <w:rsid w:val="003F07EE"/>
    <w:rsid w:val="003F2987"/>
    <w:rsid w:val="003F6A5F"/>
    <w:rsid w:val="00402E63"/>
    <w:rsid w:val="004041F5"/>
    <w:rsid w:val="00405588"/>
    <w:rsid w:val="00407F58"/>
    <w:rsid w:val="004129D3"/>
    <w:rsid w:val="004167BB"/>
    <w:rsid w:val="00417326"/>
    <w:rsid w:val="00417D75"/>
    <w:rsid w:val="00420736"/>
    <w:rsid w:val="0043299D"/>
    <w:rsid w:val="0043788D"/>
    <w:rsid w:val="00440059"/>
    <w:rsid w:val="0044051F"/>
    <w:rsid w:val="004405AB"/>
    <w:rsid w:val="0044264D"/>
    <w:rsid w:val="00442D9F"/>
    <w:rsid w:val="00443AF2"/>
    <w:rsid w:val="00444814"/>
    <w:rsid w:val="00445E8D"/>
    <w:rsid w:val="00450FC6"/>
    <w:rsid w:val="0045113F"/>
    <w:rsid w:val="00451EEA"/>
    <w:rsid w:val="00456315"/>
    <w:rsid w:val="00457225"/>
    <w:rsid w:val="00460941"/>
    <w:rsid w:val="00460D0D"/>
    <w:rsid w:val="00461433"/>
    <w:rsid w:val="004642E7"/>
    <w:rsid w:val="00471002"/>
    <w:rsid w:val="00472289"/>
    <w:rsid w:val="00473630"/>
    <w:rsid w:val="00474D7E"/>
    <w:rsid w:val="004770F1"/>
    <w:rsid w:val="0047778D"/>
    <w:rsid w:val="00477B91"/>
    <w:rsid w:val="0048071C"/>
    <w:rsid w:val="004821B7"/>
    <w:rsid w:val="00483C7A"/>
    <w:rsid w:val="00484A42"/>
    <w:rsid w:val="00485811"/>
    <w:rsid w:val="004875F7"/>
    <w:rsid w:val="00490739"/>
    <w:rsid w:val="0049135C"/>
    <w:rsid w:val="00491484"/>
    <w:rsid w:val="004919DD"/>
    <w:rsid w:val="0049213B"/>
    <w:rsid w:val="0049218A"/>
    <w:rsid w:val="00492A5B"/>
    <w:rsid w:val="0049549E"/>
    <w:rsid w:val="00495A9F"/>
    <w:rsid w:val="00497D65"/>
    <w:rsid w:val="004A19D1"/>
    <w:rsid w:val="004B5CB6"/>
    <w:rsid w:val="004B6438"/>
    <w:rsid w:val="004C70BD"/>
    <w:rsid w:val="004D0234"/>
    <w:rsid w:val="004D0801"/>
    <w:rsid w:val="004D0D54"/>
    <w:rsid w:val="004D2E6B"/>
    <w:rsid w:val="004D3C41"/>
    <w:rsid w:val="004D52D6"/>
    <w:rsid w:val="004D5525"/>
    <w:rsid w:val="004D562D"/>
    <w:rsid w:val="004D5CB3"/>
    <w:rsid w:val="004D5CBF"/>
    <w:rsid w:val="004D7ABD"/>
    <w:rsid w:val="004E18F8"/>
    <w:rsid w:val="004E3F56"/>
    <w:rsid w:val="004E3F72"/>
    <w:rsid w:val="004E6C61"/>
    <w:rsid w:val="004F0669"/>
    <w:rsid w:val="004F17AF"/>
    <w:rsid w:val="00505C8D"/>
    <w:rsid w:val="00506BF3"/>
    <w:rsid w:val="00507572"/>
    <w:rsid w:val="005110E4"/>
    <w:rsid w:val="00517884"/>
    <w:rsid w:val="005206D7"/>
    <w:rsid w:val="005239E5"/>
    <w:rsid w:val="005265EC"/>
    <w:rsid w:val="00526D94"/>
    <w:rsid w:val="0053071C"/>
    <w:rsid w:val="00540EB3"/>
    <w:rsid w:val="00545404"/>
    <w:rsid w:val="005455CA"/>
    <w:rsid w:val="00547B69"/>
    <w:rsid w:val="00553823"/>
    <w:rsid w:val="005549FE"/>
    <w:rsid w:val="005568AB"/>
    <w:rsid w:val="00563184"/>
    <w:rsid w:val="00567F60"/>
    <w:rsid w:val="00572677"/>
    <w:rsid w:val="00582285"/>
    <w:rsid w:val="00583951"/>
    <w:rsid w:val="00584F59"/>
    <w:rsid w:val="0058585F"/>
    <w:rsid w:val="00587698"/>
    <w:rsid w:val="00594D45"/>
    <w:rsid w:val="00596736"/>
    <w:rsid w:val="005A6770"/>
    <w:rsid w:val="005A735E"/>
    <w:rsid w:val="005A755B"/>
    <w:rsid w:val="005A7880"/>
    <w:rsid w:val="005B103D"/>
    <w:rsid w:val="005B48EF"/>
    <w:rsid w:val="005C2C9D"/>
    <w:rsid w:val="005C335F"/>
    <w:rsid w:val="005C6FBE"/>
    <w:rsid w:val="005D18C9"/>
    <w:rsid w:val="005E19B1"/>
    <w:rsid w:val="005E1B40"/>
    <w:rsid w:val="005E26E5"/>
    <w:rsid w:val="005F14E1"/>
    <w:rsid w:val="005F1BEA"/>
    <w:rsid w:val="005F43B2"/>
    <w:rsid w:val="005F493D"/>
    <w:rsid w:val="005F5079"/>
    <w:rsid w:val="00603956"/>
    <w:rsid w:val="00605F09"/>
    <w:rsid w:val="00610E6C"/>
    <w:rsid w:val="0061216F"/>
    <w:rsid w:val="006121D4"/>
    <w:rsid w:val="00615DC1"/>
    <w:rsid w:val="00617672"/>
    <w:rsid w:val="006176B8"/>
    <w:rsid w:val="0062012B"/>
    <w:rsid w:val="00624DFE"/>
    <w:rsid w:val="0062682F"/>
    <w:rsid w:val="00632644"/>
    <w:rsid w:val="00634936"/>
    <w:rsid w:val="006370BE"/>
    <w:rsid w:val="00641859"/>
    <w:rsid w:val="0064474F"/>
    <w:rsid w:val="00647D99"/>
    <w:rsid w:val="00653A32"/>
    <w:rsid w:val="00655803"/>
    <w:rsid w:val="00655A1E"/>
    <w:rsid w:val="006603AC"/>
    <w:rsid w:val="00663DCF"/>
    <w:rsid w:val="00672C34"/>
    <w:rsid w:val="00677B01"/>
    <w:rsid w:val="0068026F"/>
    <w:rsid w:val="00684004"/>
    <w:rsid w:val="006850DD"/>
    <w:rsid w:val="00692A2C"/>
    <w:rsid w:val="00694C54"/>
    <w:rsid w:val="006A22DD"/>
    <w:rsid w:val="006A3F3C"/>
    <w:rsid w:val="006A7099"/>
    <w:rsid w:val="006B344A"/>
    <w:rsid w:val="006B365C"/>
    <w:rsid w:val="006B6E29"/>
    <w:rsid w:val="006B75AC"/>
    <w:rsid w:val="006B77FA"/>
    <w:rsid w:val="006C142C"/>
    <w:rsid w:val="006C2FDF"/>
    <w:rsid w:val="006C3678"/>
    <w:rsid w:val="006C7761"/>
    <w:rsid w:val="006D60A3"/>
    <w:rsid w:val="006D67CC"/>
    <w:rsid w:val="006E201D"/>
    <w:rsid w:val="006E2AC2"/>
    <w:rsid w:val="006E4065"/>
    <w:rsid w:val="006E4555"/>
    <w:rsid w:val="006E6EF5"/>
    <w:rsid w:val="006E6F88"/>
    <w:rsid w:val="006E759D"/>
    <w:rsid w:val="006F1B45"/>
    <w:rsid w:val="006F3DD6"/>
    <w:rsid w:val="006F5A3D"/>
    <w:rsid w:val="006F7494"/>
    <w:rsid w:val="00705A25"/>
    <w:rsid w:val="00705BEA"/>
    <w:rsid w:val="00710899"/>
    <w:rsid w:val="007111CC"/>
    <w:rsid w:val="0071337F"/>
    <w:rsid w:val="007135C5"/>
    <w:rsid w:val="007145F8"/>
    <w:rsid w:val="00714C4E"/>
    <w:rsid w:val="00715CA2"/>
    <w:rsid w:val="00716FA6"/>
    <w:rsid w:val="007237EA"/>
    <w:rsid w:val="007334AB"/>
    <w:rsid w:val="00733EDF"/>
    <w:rsid w:val="00735B0D"/>
    <w:rsid w:val="00736022"/>
    <w:rsid w:val="00741B18"/>
    <w:rsid w:val="007433AC"/>
    <w:rsid w:val="00743F51"/>
    <w:rsid w:val="00745607"/>
    <w:rsid w:val="00753E57"/>
    <w:rsid w:val="00757965"/>
    <w:rsid w:val="00763956"/>
    <w:rsid w:val="00766C89"/>
    <w:rsid w:val="00770441"/>
    <w:rsid w:val="00770468"/>
    <w:rsid w:val="00776FE3"/>
    <w:rsid w:val="00777916"/>
    <w:rsid w:val="00781526"/>
    <w:rsid w:val="00782A95"/>
    <w:rsid w:val="0079301A"/>
    <w:rsid w:val="00793FA3"/>
    <w:rsid w:val="007945DD"/>
    <w:rsid w:val="00796514"/>
    <w:rsid w:val="00796F41"/>
    <w:rsid w:val="00797AB7"/>
    <w:rsid w:val="007A602C"/>
    <w:rsid w:val="007A69F8"/>
    <w:rsid w:val="007B1735"/>
    <w:rsid w:val="007B398D"/>
    <w:rsid w:val="007B43CC"/>
    <w:rsid w:val="007B682B"/>
    <w:rsid w:val="007B6DAF"/>
    <w:rsid w:val="007C11CB"/>
    <w:rsid w:val="007C4ED4"/>
    <w:rsid w:val="007C5961"/>
    <w:rsid w:val="007D2352"/>
    <w:rsid w:val="007D2680"/>
    <w:rsid w:val="007D3363"/>
    <w:rsid w:val="007D5A05"/>
    <w:rsid w:val="007D5F8C"/>
    <w:rsid w:val="007D70D0"/>
    <w:rsid w:val="007E1912"/>
    <w:rsid w:val="007E1F3B"/>
    <w:rsid w:val="007E2586"/>
    <w:rsid w:val="007E629F"/>
    <w:rsid w:val="007E79D7"/>
    <w:rsid w:val="007F4E31"/>
    <w:rsid w:val="007F6C2C"/>
    <w:rsid w:val="007F79CD"/>
    <w:rsid w:val="007F79F1"/>
    <w:rsid w:val="008002F6"/>
    <w:rsid w:val="00801062"/>
    <w:rsid w:val="008020E7"/>
    <w:rsid w:val="00803E96"/>
    <w:rsid w:val="00814786"/>
    <w:rsid w:val="00822041"/>
    <w:rsid w:val="00822759"/>
    <w:rsid w:val="00825C99"/>
    <w:rsid w:val="008327BE"/>
    <w:rsid w:val="008436F7"/>
    <w:rsid w:val="008552D6"/>
    <w:rsid w:val="008610FE"/>
    <w:rsid w:val="008663EB"/>
    <w:rsid w:val="008703FF"/>
    <w:rsid w:val="0087125A"/>
    <w:rsid w:val="00872CB5"/>
    <w:rsid w:val="008947F5"/>
    <w:rsid w:val="00894C91"/>
    <w:rsid w:val="008A6C7F"/>
    <w:rsid w:val="008A7B7E"/>
    <w:rsid w:val="008B2AAF"/>
    <w:rsid w:val="008B3B5E"/>
    <w:rsid w:val="008B58F8"/>
    <w:rsid w:val="008C05C3"/>
    <w:rsid w:val="008C27CE"/>
    <w:rsid w:val="008C4763"/>
    <w:rsid w:val="008D00D2"/>
    <w:rsid w:val="008D21DE"/>
    <w:rsid w:val="008D3CA5"/>
    <w:rsid w:val="008D5FB8"/>
    <w:rsid w:val="008D7A28"/>
    <w:rsid w:val="008E0517"/>
    <w:rsid w:val="008E4092"/>
    <w:rsid w:val="008F11C8"/>
    <w:rsid w:val="008F66E7"/>
    <w:rsid w:val="009216B6"/>
    <w:rsid w:val="00924D28"/>
    <w:rsid w:val="00924D62"/>
    <w:rsid w:val="00930098"/>
    <w:rsid w:val="009332D3"/>
    <w:rsid w:val="00935328"/>
    <w:rsid w:val="00935401"/>
    <w:rsid w:val="00936B4D"/>
    <w:rsid w:val="009403CB"/>
    <w:rsid w:val="00941445"/>
    <w:rsid w:val="00944092"/>
    <w:rsid w:val="0094638F"/>
    <w:rsid w:val="009466A4"/>
    <w:rsid w:val="00946F37"/>
    <w:rsid w:val="00955B70"/>
    <w:rsid w:val="00957769"/>
    <w:rsid w:val="00957E32"/>
    <w:rsid w:val="009615E6"/>
    <w:rsid w:val="009643C6"/>
    <w:rsid w:val="00971D6F"/>
    <w:rsid w:val="00972DD8"/>
    <w:rsid w:val="00975A2D"/>
    <w:rsid w:val="009809FC"/>
    <w:rsid w:val="00982AA4"/>
    <w:rsid w:val="00982FBA"/>
    <w:rsid w:val="00984C2B"/>
    <w:rsid w:val="00984FFB"/>
    <w:rsid w:val="00985E6B"/>
    <w:rsid w:val="00986267"/>
    <w:rsid w:val="00986C25"/>
    <w:rsid w:val="00991024"/>
    <w:rsid w:val="009A1C72"/>
    <w:rsid w:val="009A1DFB"/>
    <w:rsid w:val="009A389D"/>
    <w:rsid w:val="009A3BFF"/>
    <w:rsid w:val="009A647E"/>
    <w:rsid w:val="009A6621"/>
    <w:rsid w:val="009B2C8D"/>
    <w:rsid w:val="009B371B"/>
    <w:rsid w:val="009B7CBC"/>
    <w:rsid w:val="009C41D8"/>
    <w:rsid w:val="009C44C5"/>
    <w:rsid w:val="009C48C9"/>
    <w:rsid w:val="009E0CAE"/>
    <w:rsid w:val="009E269C"/>
    <w:rsid w:val="009E42F7"/>
    <w:rsid w:val="009E4CC9"/>
    <w:rsid w:val="009E6B01"/>
    <w:rsid w:val="00A00F54"/>
    <w:rsid w:val="00A047C6"/>
    <w:rsid w:val="00A058D9"/>
    <w:rsid w:val="00A06C04"/>
    <w:rsid w:val="00A06D49"/>
    <w:rsid w:val="00A108BA"/>
    <w:rsid w:val="00A12C1B"/>
    <w:rsid w:val="00A13153"/>
    <w:rsid w:val="00A14CE0"/>
    <w:rsid w:val="00A22D49"/>
    <w:rsid w:val="00A25891"/>
    <w:rsid w:val="00A25F3D"/>
    <w:rsid w:val="00A303CB"/>
    <w:rsid w:val="00A32AD4"/>
    <w:rsid w:val="00A37F61"/>
    <w:rsid w:val="00A40F01"/>
    <w:rsid w:val="00A42754"/>
    <w:rsid w:val="00A474BF"/>
    <w:rsid w:val="00A47542"/>
    <w:rsid w:val="00A553F8"/>
    <w:rsid w:val="00A5586E"/>
    <w:rsid w:val="00A56ABF"/>
    <w:rsid w:val="00A65462"/>
    <w:rsid w:val="00A700EF"/>
    <w:rsid w:val="00A72492"/>
    <w:rsid w:val="00A74C39"/>
    <w:rsid w:val="00A76391"/>
    <w:rsid w:val="00A7772E"/>
    <w:rsid w:val="00A94175"/>
    <w:rsid w:val="00AA014E"/>
    <w:rsid w:val="00AA1E07"/>
    <w:rsid w:val="00AA33DA"/>
    <w:rsid w:val="00AA3F44"/>
    <w:rsid w:val="00AA4374"/>
    <w:rsid w:val="00AA64E5"/>
    <w:rsid w:val="00AB1454"/>
    <w:rsid w:val="00AB4E9F"/>
    <w:rsid w:val="00AC2B7E"/>
    <w:rsid w:val="00AD2EF1"/>
    <w:rsid w:val="00AD5A92"/>
    <w:rsid w:val="00AE0B11"/>
    <w:rsid w:val="00AE2767"/>
    <w:rsid w:val="00AE3EC3"/>
    <w:rsid w:val="00AE41A0"/>
    <w:rsid w:val="00AE4F91"/>
    <w:rsid w:val="00AE5B4A"/>
    <w:rsid w:val="00AE6A72"/>
    <w:rsid w:val="00AF08E9"/>
    <w:rsid w:val="00AF0F8E"/>
    <w:rsid w:val="00B063E2"/>
    <w:rsid w:val="00B07EF4"/>
    <w:rsid w:val="00B12B0E"/>
    <w:rsid w:val="00B305F0"/>
    <w:rsid w:val="00B30901"/>
    <w:rsid w:val="00B324DC"/>
    <w:rsid w:val="00B40E79"/>
    <w:rsid w:val="00B46108"/>
    <w:rsid w:val="00B4610A"/>
    <w:rsid w:val="00B46E4C"/>
    <w:rsid w:val="00B51419"/>
    <w:rsid w:val="00B51B74"/>
    <w:rsid w:val="00B6203D"/>
    <w:rsid w:val="00B635A4"/>
    <w:rsid w:val="00B649F9"/>
    <w:rsid w:val="00B66203"/>
    <w:rsid w:val="00B67538"/>
    <w:rsid w:val="00B8174F"/>
    <w:rsid w:val="00B81B08"/>
    <w:rsid w:val="00B842A4"/>
    <w:rsid w:val="00B85EBA"/>
    <w:rsid w:val="00B86D74"/>
    <w:rsid w:val="00B90481"/>
    <w:rsid w:val="00B91F2F"/>
    <w:rsid w:val="00B922F0"/>
    <w:rsid w:val="00B935C1"/>
    <w:rsid w:val="00B950D8"/>
    <w:rsid w:val="00BA0E9E"/>
    <w:rsid w:val="00BA43D6"/>
    <w:rsid w:val="00BB04A6"/>
    <w:rsid w:val="00BB07D7"/>
    <w:rsid w:val="00BB0B64"/>
    <w:rsid w:val="00BB1851"/>
    <w:rsid w:val="00BB5F01"/>
    <w:rsid w:val="00BB60A5"/>
    <w:rsid w:val="00BC0336"/>
    <w:rsid w:val="00BC0433"/>
    <w:rsid w:val="00BC432F"/>
    <w:rsid w:val="00BC4D3E"/>
    <w:rsid w:val="00BC660B"/>
    <w:rsid w:val="00BC759D"/>
    <w:rsid w:val="00BC7AB6"/>
    <w:rsid w:val="00BD2319"/>
    <w:rsid w:val="00BD27F8"/>
    <w:rsid w:val="00BD6AC0"/>
    <w:rsid w:val="00BD7ADC"/>
    <w:rsid w:val="00BE1761"/>
    <w:rsid w:val="00BE3893"/>
    <w:rsid w:val="00BE3F28"/>
    <w:rsid w:val="00BE3F2B"/>
    <w:rsid w:val="00BF05A8"/>
    <w:rsid w:val="00BF36B3"/>
    <w:rsid w:val="00C00CFE"/>
    <w:rsid w:val="00C02CEF"/>
    <w:rsid w:val="00C049FB"/>
    <w:rsid w:val="00C10469"/>
    <w:rsid w:val="00C12AB9"/>
    <w:rsid w:val="00C15A30"/>
    <w:rsid w:val="00C21A63"/>
    <w:rsid w:val="00C24A58"/>
    <w:rsid w:val="00C2652A"/>
    <w:rsid w:val="00C265DE"/>
    <w:rsid w:val="00C30159"/>
    <w:rsid w:val="00C31A5D"/>
    <w:rsid w:val="00C33661"/>
    <w:rsid w:val="00C3740F"/>
    <w:rsid w:val="00C43985"/>
    <w:rsid w:val="00C4440A"/>
    <w:rsid w:val="00C464DA"/>
    <w:rsid w:val="00C50B1C"/>
    <w:rsid w:val="00C5279E"/>
    <w:rsid w:val="00C534E1"/>
    <w:rsid w:val="00C53812"/>
    <w:rsid w:val="00C57BD2"/>
    <w:rsid w:val="00C6367C"/>
    <w:rsid w:val="00C6598C"/>
    <w:rsid w:val="00C71231"/>
    <w:rsid w:val="00C718CD"/>
    <w:rsid w:val="00C73150"/>
    <w:rsid w:val="00C744C9"/>
    <w:rsid w:val="00C75102"/>
    <w:rsid w:val="00C83D13"/>
    <w:rsid w:val="00C85275"/>
    <w:rsid w:val="00C90F39"/>
    <w:rsid w:val="00C91DE7"/>
    <w:rsid w:val="00C94E2D"/>
    <w:rsid w:val="00C95BCB"/>
    <w:rsid w:val="00C974D4"/>
    <w:rsid w:val="00CB2555"/>
    <w:rsid w:val="00CB5C32"/>
    <w:rsid w:val="00CB5E57"/>
    <w:rsid w:val="00CC75F9"/>
    <w:rsid w:val="00CC7750"/>
    <w:rsid w:val="00CD0E65"/>
    <w:rsid w:val="00CD409D"/>
    <w:rsid w:val="00CD4B38"/>
    <w:rsid w:val="00CD53ED"/>
    <w:rsid w:val="00CE0F85"/>
    <w:rsid w:val="00CE577D"/>
    <w:rsid w:val="00CF2721"/>
    <w:rsid w:val="00CF5DEB"/>
    <w:rsid w:val="00CF74E2"/>
    <w:rsid w:val="00D1010A"/>
    <w:rsid w:val="00D1624F"/>
    <w:rsid w:val="00D23836"/>
    <w:rsid w:val="00D26A8F"/>
    <w:rsid w:val="00D325D0"/>
    <w:rsid w:val="00D33951"/>
    <w:rsid w:val="00D37DB1"/>
    <w:rsid w:val="00D405FC"/>
    <w:rsid w:val="00D42384"/>
    <w:rsid w:val="00D43896"/>
    <w:rsid w:val="00D45C5F"/>
    <w:rsid w:val="00D54B4A"/>
    <w:rsid w:val="00D55C02"/>
    <w:rsid w:val="00D56BB9"/>
    <w:rsid w:val="00D61C25"/>
    <w:rsid w:val="00D62CC9"/>
    <w:rsid w:val="00D64DEC"/>
    <w:rsid w:val="00D65B96"/>
    <w:rsid w:val="00D707B3"/>
    <w:rsid w:val="00D71F7F"/>
    <w:rsid w:val="00D7724D"/>
    <w:rsid w:val="00D77EAE"/>
    <w:rsid w:val="00D936AC"/>
    <w:rsid w:val="00D93F71"/>
    <w:rsid w:val="00D943DC"/>
    <w:rsid w:val="00D952E7"/>
    <w:rsid w:val="00DA39C5"/>
    <w:rsid w:val="00DA672A"/>
    <w:rsid w:val="00DA708A"/>
    <w:rsid w:val="00DB1167"/>
    <w:rsid w:val="00DB5E0F"/>
    <w:rsid w:val="00DC0FBB"/>
    <w:rsid w:val="00DC15ED"/>
    <w:rsid w:val="00DC23FC"/>
    <w:rsid w:val="00DC27B0"/>
    <w:rsid w:val="00DC513A"/>
    <w:rsid w:val="00DC637B"/>
    <w:rsid w:val="00DC6EA0"/>
    <w:rsid w:val="00DD30B2"/>
    <w:rsid w:val="00DD5C2C"/>
    <w:rsid w:val="00DE7474"/>
    <w:rsid w:val="00DF0EB0"/>
    <w:rsid w:val="00DF2577"/>
    <w:rsid w:val="00DF7F37"/>
    <w:rsid w:val="00E075CE"/>
    <w:rsid w:val="00E21BD0"/>
    <w:rsid w:val="00E21E4A"/>
    <w:rsid w:val="00E26609"/>
    <w:rsid w:val="00E33CA9"/>
    <w:rsid w:val="00E36ACB"/>
    <w:rsid w:val="00E37174"/>
    <w:rsid w:val="00E404D6"/>
    <w:rsid w:val="00E40793"/>
    <w:rsid w:val="00E42527"/>
    <w:rsid w:val="00E430A3"/>
    <w:rsid w:val="00E466E5"/>
    <w:rsid w:val="00E54306"/>
    <w:rsid w:val="00E60808"/>
    <w:rsid w:val="00E67F80"/>
    <w:rsid w:val="00E758A1"/>
    <w:rsid w:val="00E765CD"/>
    <w:rsid w:val="00E7721C"/>
    <w:rsid w:val="00E77426"/>
    <w:rsid w:val="00E82977"/>
    <w:rsid w:val="00E838BE"/>
    <w:rsid w:val="00E858E0"/>
    <w:rsid w:val="00E97680"/>
    <w:rsid w:val="00EA24C3"/>
    <w:rsid w:val="00EA6AE2"/>
    <w:rsid w:val="00EB2EE9"/>
    <w:rsid w:val="00EB3216"/>
    <w:rsid w:val="00EB3A2B"/>
    <w:rsid w:val="00EB6539"/>
    <w:rsid w:val="00EB6697"/>
    <w:rsid w:val="00EC0703"/>
    <w:rsid w:val="00EC401B"/>
    <w:rsid w:val="00ED316F"/>
    <w:rsid w:val="00ED709C"/>
    <w:rsid w:val="00EE1262"/>
    <w:rsid w:val="00EE265E"/>
    <w:rsid w:val="00EE280D"/>
    <w:rsid w:val="00EE385A"/>
    <w:rsid w:val="00EE4747"/>
    <w:rsid w:val="00EE6E7C"/>
    <w:rsid w:val="00EF4A8B"/>
    <w:rsid w:val="00EF6CF6"/>
    <w:rsid w:val="00F05E94"/>
    <w:rsid w:val="00F07317"/>
    <w:rsid w:val="00F106B7"/>
    <w:rsid w:val="00F112A8"/>
    <w:rsid w:val="00F122C0"/>
    <w:rsid w:val="00F134C8"/>
    <w:rsid w:val="00F15458"/>
    <w:rsid w:val="00F1592D"/>
    <w:rsid w:val="00F17918"/>
    <w:rsid w:val="00F21976"/>
    <w:rsid w:val="00F23E06"/>
    <w:rsid w:val="00F27836"/>
    <w:rsid w:val="00F27FC0"/>
    <w:rsid w:val="00F304F2"/>
    <w:rsid w:val="00F34894"/>
    <w:rsid w:val="00F441F1"/>
    <w:rsid w:val="00F454DA"/>
    <w:rsid w:val="00F45600"/>
    <w:rsid w:val="00F45A03"/>
    <w:rsid w:val="00F47218"/>
    <w:rsid w:val="00F52DDA"/>
    <w:rsid w:val="00F551FA"/>
    <w:rsid w:val="00F575A4"/>
    <w:rsid w:val="00F604BA"/>
    <w:rsid w:val="00F63151"/>
    <w:rsid w:val="00F65203"/>
    <w:rsid w:val="00F72194"/>
    <w:rsid w:val="00F72B0C"/>
    <w:rsid w:val="00F72FD4"/>
    <w:rsid w:val="00F7357D"/>
    <w:rsid w:val="00F75BEE"/>
    <w:rsid w:val="00F82848"/>
    <w:rsid w:val="00F83B09"/>
    <w:rsid w:val="00F93DAF"/>
    <w:rsid w:val="00F96518"/>
    <w:rsid w:val="00F970BE"/>
    <w:rsid w:val="00FA0A87"/>
    <w:rsid w:val="00FA2822"/>
    <w:rsid w:val="00FA59F5"/>
    <w:rsid w:val="00FA791F"/>
    <w:rsid w:val="00FB53E2"/>
    <w:rsid w:val="00FC5A8C"/>
    <w:rsid w:val="00FD03FA"/>
    <w:rsid w:val="00FD2D0B"/>
    <w:rsid w:val="00FD5BEE"/>
    <w:rsid w:val="00FD6AEE"/>
    <w:rsid w:val="00FE2F96"/>
    <w:rsid w:val="00FE452F"/>
    <w:rsid w:val="00FE50E9"/>
    <w:rsid w:val="00FE71F0"/>
    <w:rsid w:val="00FF0A58"/>
    <w:rsid w:val="00FF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70B7AB"/>
  <w15:docId w15:val="{AB319C6E-4A3B-484D-B62A-4B237A1FC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aragrafoelenco">
    <w:name w:val="List Paragraph"/>
    <w:uiPriority w:val="34"/>
    <w:qFormat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Stileimportato1">
    <w:name w:val="Stile importato 1"/>
    <w:pPr>
      <w:numPr>
        <w:numId w:val="1"/>
      </w:numPr>
    </w:pPr>
  </w:style>
  <w:style w:type="paragraph" w:customStyle="1" w:styleId="Didefault">
    <w:name w:val="Di 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Stileimportato2">
    <w:name w:val="Stile importato 2"/>
    <w:pPr>
      <w:numPr>
        <w:numId w:val="3"/>
      </w:numPr>
    </w:pPr>
  </w:style>
  <w:style w:type="character" w:customStyle="1" w:styleId="Link">
    <w:name w:val="Link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Link"/>
    <w:rPr>
      <w:rFonts w:ascii="Calibri" w:eastAsia="Calibri" w:hAnsi="Calibri" w:cs="Calibri"/>
      <w:i/>
      <w:iCs/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Link"/>
    <w:rPr>
      <w:rFonts w:ascii="Calibri" w:eastAsia="Calibri" w:hAnsi="Calibri" w:cs="Calibri"/>
      <w:color w:val="0563C1"/>
      <w:sz w:val="20"/>
      <w:szCs w:val="20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paragraph" w:styleId="Testocommento">
    <w:name w:val="annotation text"/>
    <w:basedOn w:val="Normale"/>
    <w:link w:val="TestocommentoCarattere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rFonts w:ascii="Calibri" w:hAnsi="Calibri" w:cs="Arial Unicode MS"/>
      <w:color w:val="000000"/>
      <w:u w:color="00000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7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7494"/>
    <w:rPr>
      <w:rFonts w:ascii="Tahoma" w:hAnsi="Tahoma" w:cs="Tahoma"/>
      <w:color w:val="000000"/>
      <w:sz w:val="16"/>
      <w:szCs w:val="16"/>
      <w:u w:color="00000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E577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E577D"/>
    <w:rPr>
      <w:rFonts w:ascii="Calibri" w:hAnsi="Calibri" w:cs="Arial Unicode MS"/>
      <w:b/>
      <w:bCs/>
      <w:color w:val="000000"/>
      <w:u w:color="000000"/>
    </w:rPr>
  </w:style>
  <w:style w:type="paragraph" w:styleId="Intestazione">
    <w:name w:val="header"/>
    <w:basedOn w:val="Normale"/>
    <w:link w:val="Intestazione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7E45"/>
    <w:rPr>
      <w:color w:val="FF00FF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26A8F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05C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sz w:val="20"/>
      <w:szCs w:val="20"/>
      <w:bdr w:val="none" w:sz="0" w:space="0" w:color="auto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05C8D"/>
    <w:rPr>
      <w:rFonts w:asciiTheme="minorHAnsi" w:eastAsiaTheme="minorHAnsi" w:hAnsiTheme="minorHAnsi" w:cstheme="minorBidi"/>
      <w:bdr w:val="none" w:sz="0" w:space="0" w:color="auto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05C8D"/>
    <w:rPr>
      <w:vertAlign w:val="superscrip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3F2987"/>
    <w:rPr>
      <w:color w:val="605E5C"/>
      <w:shd w:val="clear" w:color="auto" w:fill="E1DFDD"/>
    </w:rPr>
  </w:style>
  <w:style w:type="paragraph" w:styleId="Testonormale">
    <w:name w:val="Plain Text"/>
    <w:basedOn w:val="Normale"/>
    <w:link w:val="TestonormaleCarattere"/>
    <w:uiPriority w:val="99"/>
    <w:unhideWhenUsed/>
    <w:rsid w:val="00C4440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eastAsiaTheme="minorHAnsi" w:cs="Calibri"/>
      <w:color w:val="00457D"/>
      <w:bdr w:val="none" w:sz="0" w:space="0" w:color="auto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C4440A"/>
    <w:rPr>
      <w:rFonts w:ascii="Calibri" w:eastAsiaTheme="minorHAnsi" w:hAnsi="Calibri" w:cs="Calibri"/>
      <w:color w:val="00457D"/>
      <w:sz w:val="22"/>
      <w:szCs w:val="22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0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3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6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3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6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8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6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ronavirus.gimbe.or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ufficio.stampa@gimbe.or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A9CD55-B305-40B3-A256-6941BD1FB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2007</Words>
  <Characters>11444</Characters>
  <Application>Microsoft Office Word</Application>
  <DocSecurity>0</DocSecurity>
  <Lines>95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Nino Cartabellotta</dc:creator>
  <cp:lastModifiedBy>Luca Bellusci</cp:lastModifiedBy>
  <cp:revision>3</cp:revision>
  <cp:lastPrinted>2021-09-08T14:38:00Z</cp:lastPrinted>
  <dcterms:created xsi:type="dcterms:W3CDTF">2021-09-16T07:01:00Z</dcterms:created>
  <dcterms:modified xsi:type="dcterms:W3CDTF">2021-09-16T07:59:00Z</dcterms:modified>
</cp:coreProperties>
</file>