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F1EEA" w:rsidRDefault="00124E32" w:rsidP="002A7332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61160A" w:rsidRDefault="002C5AF4" w:rsidP="00844492">
      <w:pPr>
        <w:spacing w:after="120"/>
        <w:jc w:val="center"/>
        <w:rPr>
          <w:b/>
          <w:sz w:val="32"/>
          <w:szCs w:val="32"/>
        </w:rPr>
      </w:pPr>
      <w:r w:rsidRPr="00C82B51">
        <w:rPr>
          <w:b/>
          <w:sz w:val="32"/>
          <w:szCs w:val="32"/>
        </w:rPr>
        <w:t xml:space="preserve">CORONAVIRUS: </w:t>
      </w:r>
      <w:r w:rsidR="00330AF5">
        <w:rPr>
          <w:b/>
          <w:sz w:val="32"/>
          <w:szCs w:val="32"/>
        </w:rPr>
        <w:t xml:space="preserve">DISCESA </w:t>
      </w:r>
      <w:r w:rsidR="00E83150">
        <w:rPr>
          <w:b/>
          <w:sz w:val="32"/>
          <w:szCs w:val="32"/>
        </w:rPr>
        <w:t>DE</w:t>
      </w:r>
      <w:r w:rsidR="00330AF5">
        <w:rPr>
          <w:b/>
          <w:sz w:val="32"/>
          <w:szCs w:val="32"/>
        </w:rPr>
        <w:t>I CONTAGI</w:t>
      </w:r>
      <w:r w:rsidR="0089039D">
        <w:rPr>
          <w:b/>
          <w:sz w:val="32"/>
          <w:szCs w:val="32"/>
        </w:rPr>
        <w:t xml:space="preserve"> TROPPO LENTA</w:t>
      </w:r>
      <w:r w:rsidR="00E83150">
        <w:rPr>
          <w:b/>
          <w:sz w:val="32"/>
          <w:szCs w:val="32"/>
        </w:rPr>
        <w:t>,</w:t>
      </w:r>
      <w:r w:rsidR="0074337C">
        <w:rPr>
          <w:b/>
          <w:sz w:val="32"/>
          <w:szCs w:val="32"/>
        </w:rPr>
        <w:t xml:space="preserve"> </w:t>
      </w:r>
      <w:r w:rsidR="00330AF5">
        <w:rPr>
          <w:b/>
          <w:sz w:val="32"/>
          <w:szCs w:val="32"/>
        </w:rPr>
        <w:t>OSPEDALI ANCORA SATURI</w:t>
      </w:r>
      <w:r w:rsidR="00844492">
        <w:rPr>
          <w:b/>
          <w:sz w:val="32"/>
          <w:szCs w:val="32"/>
        </w:rPr>
        <w:t>,</w:t>
      </w:r>
      <w:r w:rsidR="00330AF5">
        <w:rPr>
          <w:b/>
          <w:sz w:val="32"/>
          <w:szCs w:val="32"/>
        </w:rPr>
        <w:t xml:space="preserve"> </w:t>
      </w:r>
      <w:r w:rsidR="0074337C">
        <w:rPr>
          <w:b/>
          <w:sz w:val="32"/>
          <w:szCs w:val="32"/>
        </w:rPr>
        <w:t xml:space="preserve">OLTRE 20.000 DECESSI NELL’ULTIMO MESE. </w:t>
      </w:r>
      <w:r w:rsidR="00844492">
        <w:rPr>
          <w:b/>
          <w:sz w:val="32"/>
          <w:szCs w:val="32"/>
        </w:rPr>
        <w:br/>
      </w:r>
      <w:r w:rsidR="00844492" w:rsidRPr="00844492">
        <w:rPr>
          <w:b/>
          <w:sz w:val="32"/>
          <w:szCs w:val="32"/>
        </w:rPr>
        <w:t xml:space="preserve">SERRATA DI NATALE INEVITABILE PER </w:t>
      </w:r>
      <w:r w:rsidR="0089039D">
        <w:rPr>
          <w:b/>
          <w:sz w:val="32"/>
          <w:szCs w:val="32"/>
        </w:rPr>
        <w:t>ARGINARE</w:t>
      </w:r>
      <w:r w:rsidR="00844492" w:rsidRPr="00844492">
        <w:rPr>
          <w:b/>
          <w:sz w:val="32"/>
          <w:szCs w:val="32"/>
        </w:rPr>
        <w:t xml:space="preserve"> LA TERZA ONDATA</w:t>
      </w:r>
    </w:p>
    <w:p w:rsidR="003852CD" w:rsidRPr="00825CAF" w:rsidRDefault="00AF55A7" w:rsidP="00AF55A7">
      <w:pPr>
        <w:spacing w:after="120"/>
        <w:jc w:val="both"/>
        <w:rPr>
          <w:b/>
          <w:color w:val="FF0000"/>
          <w:sz w:val="23"/>
          <w:szCs w:val="23"/>
        </w:rPr>
      </w:pPr>
      <w:r w:rsidRPr="00667A0A">
        <w:rPr>
          <w:b/>
          <w:sz w:val="23"/>
          <w:szCs w:val="23"/>
        </w:rPr>
        <w:t>IL MONI</w:t>
      </w:r>
      <w:r w:rsidR="00B276DB" w:rsidRPr="00667A0A">
        <w:rPr>
          <w:b/>
          <w:sz w:val="23"/>
          <w:szCs w:val="23"/>
        </w:rPr>
        <w:t xml:space="preserve">TORAGGIO DELLA FONDAZIONE </w:t>
      </w:r>
      <w:r w:rsidR="00E61480" w:rsidRPr="00667A0A">
        <w:rPr>
          <w:b/>
          <w:sz w:val="23"/>
          <w:szCs w:val="23"/>
        </w:rPr>
        <w:t>GIMBE</w:t>
      </w:r>
      <w:r w:rsidR="00B276DB" w:rsidRPr="00667A0A">
        <w:rPr>
          <w:b/>
          <w:sz w:val="23"/>
          <w:szCs w:val="23"/>
        </w:rPr>
        <w:t xml:space="preserve"> </w:t>
      </w:r>
      <w:r w:rsidRPr="00667A0A">
        <w:rPr>
          <w:b/>
          <w:sz w:val="23"/>
          <w:szCs w:val="23"/>
        </w:rPr>
        <w:t xml:space="preserve">NELLA SETTIMANA </w:t>
      </w:r>
      <w:r w:rsidR="000009D8">
        <w:rPr>
          <w:b/>
          <w:sz w:val="23"/>
          <w:szCs w:val="23"/>
        </w:rPr>
        <w:t>9-15</w:t>
      </w:r>
      <w:r w:rsidR="00180E36" w:rsidRPr="00667A0A">
        <w:rPr>
          <w:b/>
          <w:sz w:val="23"/>
          <w:szCs w:val="23"/>
        </w:rPr>
        <w:t xml:space="preserve"> DICEMBRE</w:t>
      </w:r>
      <w:r w:rsidR="00B276DB" w:rsidRPr="00667A0A">
        <w:rPr>
          <w:b/>
          <w:sz w:val="23"/>
          <w:szCs w:val="23"/>
        </w:rPr>
        <w:t xml:space="preserve"> </w:t>
      </w:r>
      <w:r w:rsidR="005F4D26" w:rsidRPr="00667A0A">
        <w:rPr>
          <w:b/>
          <w:sz w:val="23"/>
          <w:szCs w:val="23"/>
        </w:rPr>
        <w:t>CONFERMA</w:t>
      </w:r>
      <w:r w:rsidR="0013076F">
        <w:rPr>
          <w:b/>
          <w:sz w:val="23"/>
          <w:szCs w:val="23"/>
        </w:rPr>
        <w:t xml:space="preserve"> </w:t>
      </w:r>
      <w:r w:rsidR="0013076F" w:rsidRPr="00ED06A4">
        <w:rPr>
          <w:b/>
          <w:sz w:val="23"/>
          <w:szCs w:val="23"/>
        </w:rPr>
        <w:t>UN L</w:t>
      </w:r>
      <w:r w:rsidR="009C4F75" w:rsidRPr="00ED06A4">
        <w:rPr>
          <w:b/>
          <w:sz w:val="23"/>
          <w:szCs w:val="23"/>
        </w:rPr>
        <w:t>IEVE RALLENTAMENTO NELLA CRESCITA D</w:t>
      </w:r>
      <w:r w:rsidR="0091637D" w:rsidRPr="00ED06A4">
        <w:rPr>
          <w:b/>
          <w:sz w:val="23"/>
          <w:szCs w:val="23"/>
        </w:rPr>
        <w:t>E</w:t>
      </w:r>
      <w:r w:rsidR="00B4477E" w:rsidRPr="00ED06A4">
        <w:rPr>
          <w:b/>
          <w:sz w:val="23"/>
          <w:szCs w:val="23"/>
        </w:rPr>
        <w:t>I NUOVI CASI</w:t>
      </w:r>
      <w:r w:rsidR="00ED06A4">
        <w:rPr>
          <w:b/>
          <w:sz w:val="23"/>
          <w:szCs w:val="23"/>
        </w:rPr>
        <w:t xml:space="preserve">, SOVRASTIMATO DA UN ULTERIORE CALO </w:t>
      </w:r>
      <w:bookmarkStart w:id="0" w:name="_GoBack"/>
      <w:bookmarkEnd w:id="0"/>
      <w:r w:rsidR="00ED06A4">
        <w:rPr>
          <w:b/>
          <w:sz w:val="23"/>
          <w:szCs w:val="23"/>
        </w:rPr>
        <w:t>DEI TAMPONI.</w:t>
      </w:r>
      <w:r w:rsidR="00B4477E" w:rsidRPr="00ED06A4">
        <w:rPr>
          <w:b/>
          <w:sz w:val="23"/>
          <w:szCs w:val="23"/>
        </w:rPr>
        <w:t xml:space="preserve"> </w:t>
      </w:r>
      <w:r w:rsidR="00ED06A4">
        <w:rPr>
          <w:b/>
          <w:sz w:val="23"/>
          <w:szCs w:val="23"/>
        </w:rPr>
        <w:t xml:space="preserve">CALA </w:t>
      </w:r>
      <w:r w:rsidR="00B4477E" w:rsidRPr="00ED06A4">
        <w:rPr>
          <w:b/>
          <w:sz w:val="23"/>
          <w:szCs w:val="23"/>
        </w:rPr>
        <w:t xml:space="preserve">LA PRESSIONE SUGLI OSPEDALI, </w:t>
      </w:r>
      <w:r w:rsidR="00ED06A4">
        <w:rPr>
          <w:b/>
          <w:sz w:val="23"/>
          <w:szCs w:val="23"/>
        </w:rPr>
        <w:t xml:space="preserve">MA AREA MEDICA E </w:t>
      </w:r>
      <w:r w:rsidR="00E61480" w:rsidRPr="00ED06A4">
        <w:rPr>
          <w:b/>
          <w:sz w:val="23"/>
          <w:szCs w:val="23"/>
        </w:rPr>
        <w:t xml:space="preserve">TERAPIE INTENSIVE </w:t>
      </w:r>
      <w:r w:rsidR="0089039D">
        <w:rPr>
          <w:b/>
          <w:sz w:val="23"/>
          <w:szCs w:val="23"/>
        </w:rPr>
        <w:t>RIMANGONO</w:t>
      </w:r>
      <w:r w:rsidR="003852CD" w:rsidRPr="00ED06A4">
        <w:rPr>
          <w:b/>
          <w:sz w:val="23"/>
          <w:szCs w:val="23"/>
        </w:rPr>
        <w:t xml:space="preserve"> </w:t>
      </w:r>
      <w:r w:rsidR="0038066D" w:rsidRPr="00ED06A4">
        <w:rPr>
          <w:b/>
          <w:sz w:val="23"/>
          <w:szCs w:val="23"/>
        </w:rPr>
        <w:t xml:space="preserve">SOPRA SOGLIA DI SATURAZIONE </w:t>
      </w:r>
      <w:r w:rsidR="00C82B51" w:rsidRPr="00ED06A4">
        <w:rPr>
          <w:b/>
          <w:sz w:val="23"/>
          <w:szCs w:val="23"/>
        </w:rPr>
        <w:t xml:space="preserve">RISPETTIVAMENTE </w:t>
      </w:r>
      <w:r w:rsidR="00BC6293" w:rsidRPr="00ED06A4">
        <w:rPr>
          <w:b/>
          <w:sz w:val="23"/>
          <w:szCs w:val="23"/>
        </w:rPr>
        <w:t xml:space="preserve">IN </w:t>
      </w:r>
      <w:r w:rsidR="001C646B" w:rsidRPr="00ED06A4">
        <w:rPr>
          <w:b/>
          <w:sz w:val="23"/>
          <w:szCs w:val="23"/>
        </w:rPr>
        <w:t>1</w:t>
      </w:r>
      <w:r w:rsidR="00C82B51" w:rsidRPr="00ED06A4">
        <w:rPr>
          <w:b/>
          <w:sz w:val="23"/>
          <w:szCs w:val="23"/>
        </w:rPr>
        <w:t>0 E 14</w:t>
      </w:r>
      <w:r w:rsidR="00BC6293" w:rsidRPr="00ED06A4">
        <w:rPr>
          <w:b/>
          <w:sz w:val="23"/>
          <w:szCs w:val="23"/>
        </w:rPr>
        <w:t xml:space="preserve"> REGIONI</w:t>
      </w:r>
      <w:r w:rsidR="00A16704" w:rsidRPr="00ED06A4">
        <w:rPr>
          <w:b/>
          <w:sz w:val="23"/>
          <w:szCs w:val="23"/>
        </w:rPr>
        <w:t>.</w:t>
      </w:r>
      <w:r w:rsidR="00EA569B" w:rsidRPr="00ED06A4">
        <w:rPr>
          <w:b/>
          <w:sz w:val="23"/>
          <w:szCs w:val="23"/>
        </w:rPr>
        <w:t xml:space="preserve"> </w:t>
      </w:r>
      <w:r w:rsidR="00002E76">
        <w:rPr>
          <w:b/>
          <w:sz w:val="23"/>
          <w:szCs w:val="23"/>
        </w:rPr>
        <w:t>CONTINUA A</w:t>
      </w:r>
      <w:r w:rsidR="0010669B">
        <w:rPr>
          <w:b/>
          <w:sz w:val="23"/>
          <w:szCs w:val="23"/>
        </w:rPr>
        <w:t xml:space="preserve"> SALIRE </w:t>
      </w:r>
      <w:r w:rsidR="00EA569B" w:rsidRPr="00ED06A4">
        <w:rPr>
          <w:b/>
          <w:sz w:val="23"/>
          <w:szCs w:val="23"/>
        </w:rPr>
        <w:t>IL NUMERO DEI DECESSI.</w:t>
      </w:r>
      <w:r w:rsidR="00BC6293" w:rsidRPr="00ED06A4">
        <w:rPr>
          <w:b/>
          <w:sz w:val="23"/>
          <w:szCs w:val="23"/>
        </w:rPr>
        <w:t xml:space="preserve"> </w:t>
      </w:r>
      <w:r w:rsidR="00562045">
        <w:rPr>
          <w:b/>
          <w:sz w:val="23"/>
          <w:szCs w:val="23"/>
        </w:rPr>
        <w:t xml:space="preserve">A FRONTE DI </w:t>
      </w:r>
      <w:r w:rsidR="0089039D">
        <w:rPr>
          <w:b/>
          <w:sz w:val="23"/>
          <w:szCs w:val="23"/>
        </w:rPr>
        <w:t xml:space="preserve">QUESTI </w:t>
      </w:r>
      <w:r w:rsidR="004C74EF">
        <w:rPr>
          <w:b/>
          <w:sz w:val="23"/>
          <w:szCs w:val="23"/>
        </w:rPr>
        <w:t>NUMERI</w:t>
      </w:r>
      <w:r w:rsidR="00002E76">
        <w:rPr>
          <w:b/>
          <w:sz w:val="23"/>
          <w:szCs w:val="23"/>
        </w:rPr>
        <w:t>,</w:t>
      </w:r>
      <w:r w:rsidR="00562045" w:rsidRPr="00562045">
        <w:rPr>
          <w:b/>
          <w:sz w:val="23"/>
          <w:szCs w:val="23"/>
        </w:rPr>
        <w:t xml:space="preserve"> LE </w:t>
      </w:r>
      <w:r w:rsidR="00562045" w:rsidRPr="00002E76">
        <w:rPr>
          <w:b/>
          <w:sz w:val="23"/>
          <w:szCs w:val="23"/>
        </w:rPr>
        <w:t>(</w:t>
      </w:r>
      <w:r w:rsidR="00562045" w:rsidRPr="00330AF5">
        <w:rPr>
          <w:b/>
          <w:sz w:val="23"/>
          <w:szCs w:val="23"/>
        </w:rPr>
        <w:t xml:space="preserve">IN)DECISIONI </w:t>
      </w:r>
      <w:r w:rsidR="00562045" w:rsidRPr="00562045">
        <w:rPr>
          <w:b/>
          <w:sz w:val="23"/>
          <w:szCs w:val="23"/>
        </w:rPr>
        <w:t xml:space="preserve">POLITICHE </w:t>
      </w:r>
      <w:r w:rsidR="004C74EF">
        <w:rPr>
          <w:b/>
          <w:sz w:val="23"/>
          <w:szCs w:val="23"/>
        </w:rPr>
        <w:t xml:space="preserve">SONO </w:t>
      </w:r>
      <w:r w:rsidR="00002E76">
        <w:rPr>
          <w:b/>
          <w:sz w:val="23"/>
          <w:szCs w:val="23"/>
        </w:rPr>
        <w:t>IN BAL</w:t>
      </w:r>
      <w:r w:rsidR="004C74EF">
        <w:rPr>
          <w:b/>
          <w:sz w:val="23"/>
          <w:szCs w:val="23"/>
        </w:rPr>
        <w:t>Ì</w:t>
      </w:r>
      <w:r w:rsidR="00002E76">
        <w:rPr>
          <w:b/>
          <w:sz w:val="23"/>
          <w:szCs w:val="23"/>
        </w:rPr>
        <w:t>A DI</w:t>
      </w:r>
      <w:r w:rsidR="00562045" w:rsidRPr="00562045">
        <w:rPr>
          <w:b/>
          <w:sz w:val="23"/>
          <w:szCs w:val="23"/>
        </w:rPr>
        <w:t xml:space="preserve"> CONFLITTI GOVERNO</w:t>
      </w:r>
      <w:r w:rsidR="004C74EF">
        <w:rPr>
          <w:b/>
          <w:sz w:val="23"/>
          <w:szCs w:val="23"/>
        </w:rPr>
        <w:t>-</w:t>
      </w:r>
      <w:r w:rsidR="00562045" w:rsidRPr="00562045">
        <w:rPr>
          <w:b/>
          <w:sz w:val="23"/>
          <w:szCs w:val="23"/>
        </w:rPr>
        <w:t>REGIONI</w:t>
      </w:r>
      <w:r w:rsidR="00002E76">
        <w:rPr>
          <w:b/>
          <w:sz w:val="23"/>
          <w:szCs w:val="23"/>
        </w:rPr>
        <w:t>,</w:t>
      </w:r>
      <w:r w:rsidR="00562045" w:rsidRPr="00562045">
        <w:rPr>
          <w:b/>
          <w:sz w:val="23"/>
          <w:szCs w:val="23"/>
        </w:rPr>
        <w:t xml:space="preserve"> COMPROMESSI PARTITICI</w:t>
      </w:r>
      <w:r w:rsidR="00002E76">
        <w:rPr>
          <w:b/>
          <w:sz w:val="23"/>
          <w:szCs w:val="23"/>
        </w:rPr>
        <w:t xml:space="preserve"> E </w:t>
      </w:r>
      <w:r w:rsidR="00002E76" w:rsidRPr="00562045">
        <w:rPr>
          <w:b/>
          <w:sz w:val="23"/>
          <w:szCs w:val="23"/>
        </w:rPr>
        <w:t>REAZIONI EMOTIVE</w:t>
      </w:r>
      <w:r w:rsidR="0089039D">
        <w:rPr>
          <w:b/>
          <w:sz w:val="23"/>
          <w:szCs w:val="23"/>
        </w:rPr>
        <w:t>, PIUTTOSTO CHE ESSERE INFORMATE DA</w:t>
      </w:r>
      <w:r w:rsidR="004C74EF">
        <w:rPr>
          <w:b/>
          <w:sz w:val="23"/>
          <w:szCs w:val="23"/>
        </w:rPr>
        <w:t xml:space="preserve"> </w:t>
      </w:r>
      <w:r w:rsidR="00562045" w:rsidRPr="00562045">
        <w:rPr>
          <w:b/>
          <w:sz w:val="23"/>
          <w:szCs w:val="23"/>
        </w:rPr>
        <w:t xml:space="preserve">UN PIANO </w:t>
      </w:r>
      <w:r w:rsidR="00562045">
        <w:rPr>
          <w:b/>
          <w:sz w:val="23"/>
          <w:szCs w:val="23"/>
        </w:rPr>
        <w:t>STRATEGICO</w:t>
      </w:r>
      <w:r w:rsidR="00562045" w:rsidRPr="00562045">
        <w:rPr>
          <w:b/>
          <w:sz w:val="23"/>
          <w:szCs w:val="23"/>
        </w:rPr>
        <w:t xml:space="preserve"> PER TUTELARE LA SALUTE, </w:t>
      </w:r>
      <w:r w:rsidR="00330AF5">
        <w:rPr>
          <w:b/>
          <w:sz w:val="23"/>
          <w:szCs w:val="23"/>
        </w:rPr>
        <w:t xml:space="preserve">SOSTENERE CONCRETAMENTE </w:t>
      </w:r>
      <w:r w:rsidR="00562045" w:rsidRPr="00562045">
        <w:rPr>
          <w:b/>
          <w:sz w:val="23"/>
          <w:szCs w:val="23"/>
        </w:rPr>
        <w:t xml:space="preserve">L’ECONOMIA E </w:t>
      </w:r>
      <w:r w:rsidR="004C74EF">
        <w:rPr>
          <w:b/>
          <w:sz w:val="23"/>
          <w:szCs w:val="23"/>
        </w:rPr>
        <w:t>GESTIRE</w:t>
      </w:r>
      <w:r w:rsidR="004C74EF" w:rsidRPr="00562045">
        <w:rPr>
          <w:b/>
          <w:sz w:val="23"/>
          <w:szCs w:val="23"/>
        </w:rPr>
        <w:t xml:space="preserve"> </w:t>
      </w:r>
      <w:r w:rsidR="00562045">
        <w:rPr>
          <w:b/>
          <w:sz w:val="23"/>
          <w:szCs w:val="23"/>
        </w:rPr>
        <w:t xml:space="preserve">LE CONSEGUENZE </w:t>
      </w:r>
      <w:r w:rsidR="00562045" w:rsidRPr="00562045">
        <w:rPr>
          <w:b/>
          <w:sz w:val="23"/>
          <w:szCs w:val="23"/>
        </w:rPr>
        <w:t>SOCIALI DELLA PANDEMIA</w:t>
      </w:r>
      <w:r w:rsidR="0089039D">
        <w:rPr>
          <w:b/>
          <w:sz w:val="23"/>
          <w:szCs w:val="23"/>
        </w:rPr>
        <w:t>.</w:t>
      </w:r>
      <w:r w:rsidR="0089039D" w:rsidRPr="0089039D">
        <w:t xml:space="preserve"> </w:t>
      </w:r>
      <w:r w:rsidR="0089039D" w:rsidRPr="0089039D">
        <w:rPr>
          <w:b/>
          <w:sz w:val="23"/>
          <w:szCs w:val="23"/>
        </w:rPr>
        <w:t xml:space="preserve">GOVERNO E REGIONI NON </w:t>
      </w:r>
      <w:r w:rsidR="0089039D">
        <w:rPr>
          <w:b/>
          <w:sz w:val="23"/>
          <w:szCs w:val="23"/>
        </w:rPr>
        <w:t xml:space="preserve">POSSONO LIMITARSI A </w:t>
      </w:r>
      <w:r w:rsidR="0089039D" w:rsidRPr="0089039D">
        <w:rPr>
          <w:b/>
          <w:sz w:val="23"/>
          <w:szCs w:val="23"/>
        </w:rPr>
        <w:t xml:space="preserve">TEMERE LA TERZA ONDATA, DEVONO </w:t>
      </w:r>
      <w:r w:rsidR="0089039D">
        <w:rPr>
          <w:b/>
          <w:sz w:val="23"/>
          <w:szCs w:val="23"/>
        </w:rPr>
        <w:t>ARGINARLA</w:t>
      </w:r>
    </w:p>
    <w:p w:rsidR="00B443D8" w:rsidRPr="00667A0A" w:rsidRDefault="00667A0A" w:rsidP="00EC6CAA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67A0A"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0009D8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Pr="00667A0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180E36" w:rsidRPr="00667A0A">
        <w:rPr>
          <w:rFonts w:ascii="Calibri" w:eastAsia="Calibri" w:hAnsi="Calibri" w:cs="Times New Roman"/>
          <w:b/>
          <w:bCs/>
          <w:sz w:val="24"/>
          <w:szCs w:val="24"/>
        </w:rPr>
        <w:t>dicembre</w:t>
      </w:r>
      <w:r w:rsidR="007D6A5B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F3F63" w:rsidRPr="00667A0A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B443D8" w:rsidRPr="00667A0A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:rsidR="00756BF5" w:rsidRPr="00667A0A" w:rsidRDefault="00406DC9" w:rsidP="0050520B">
      <w:pPr>
        <w:jc w:val="both"/>
      </w:pPr>
      <w:r w:rsidRPr="00667A0A">
        <w:t xml:space="preserve">Il monitoraggio indipendente della Fondazione GIMBE </w:t>
      </w:r>
      <w:r w:rsidR="00F0762F" w:rsidRPr="00667A0A">
        <w:t>conferma</w:t>
      </w:r>
      <w:r w:rsidR="00B276DB" w:rsidRPr="00667A0A">
        <w:t xml:space="preserve"> </w:t>
      </w:r>
      <w:r w:rsidRPr="00667A0A">
        <w:t>n</w:t>
      </w:r>
      <w:r w:rsidR="00DD06F4" w:rsidRPr="00667A0A">
        <w:t xml:space="preserve">ella settimana </w:t>
      </w:r>
      <w:r w:rsidR="000009D8">
        <w:t>9</w:t>
      </w:r>
      <w:r w:rsidR="00667A0A" w:rsidRPr="00667A0A">
        <w:t>-</w:t>
      </w:r>
      <w:r w:rsidR="000009D8">
        <w:t>15</w:t>
      </w:r>
      <w:r w:rsidR="00180E36" w:rsidRPr="00667A0A">
        <w:t xml:space="preserve"> dicembre</w:t>
      </w:r>
      <w:r w:rsidR="00A73F90" w:rsidRPr="00667A0A">
        <w:t xml:space="preserve">, rispetto alla precedente, </w:t>
      </w:r>
      <w:r w:rsidR="00147FE2" w:rsidRPr="00667A0A">
        <w:t>un</w:t>
      </w:r>
      <w:r w:rsidR="00F5179B" w:rsidRPr="00667A0A">
        <w:t>a</w:t>
      </w:r>
      <w:r w:rsidR="00AC1FCE">
        <w:t xml:space="preserve"> flessione</w:t>
      </w:r>
      <w:r w:rsidR="0079793A" w:rsidRPr="00667A0A">
        <w:t xml:space="preserve"> </w:t>
      </w:r>
      <w:r w:rsidR="00DD06F4" w:rsidRPr="00667A0A">
        <w:t>dei nuovi casi (</w:t>
      </w:r>
      <w:r w:rsidR="000009D8">
        <w:t>113.182 vs 136.493</w:t>
      </w:r>
      <w:r w:rsidR="00796E28" w:rsidRPr="00667A0A">
        <w:t>)</w:t>
      </w:r>
      <w:r w:rsidR="00F0762F" w:rsidRPr="00667A0A">
        <w:t xml:space="preserve">, </w:t>
      </w:r>
      <w:r w:rsidR="002E1E49" w:rsidRPr="00667A0A">
        <w:t xml:space="preserve">a fronte di </w:t>
      </w:r>
      <w:r w:rsidR="007D6A5B">
        <w:t>una riduzione</w:t>
      </w:r>
      <w:r w:rsidR="0079793A" w:rsidRPr="00667A0A">
        <w:t xml:space="preserve"> </w:t>
      </w:r>
      <w:r w:rsidR="00667A0A" w:rsidRPr="00667A0A">
        <w:t xml:space="preserve">di oltre </w:t>
      </w:r>
      <w:r w:rsidR="000009D8">
        <w:t>88</w:t>
      </w:r>
      <w:r w:rsidR="00667A0A" w:rsidRPr="00667A0A">
        <w:t xml:space="preserve"> mila </w:t>
      </w:r>
      <w:r w:rsidR="006B448E" w:rsidRPr="00667A0A">
        <w:t>casi testati (</w:t>
      </w:r>
      <w:r w:rsidR="000009D8">
        <w:t xml:space="preserve">462.645 vs </w:t>
      </w:r>
      <w:r w:rsidR="00667A0A" w:rsidRPr="00667A0A">
        <w:t>551.068</w:t>
      </w:r>
      <w:r w:rsidR="004D602F" w:rsidRPr="00667A0A">
        <w:t>)</w:t>
      </w:r>
      <w:r w:rsidR="00BD2C5E" w:rsidRPr="00667A0A">
        <w:t xml:space="preserve"> e </w:t>
      </w:r>
      <w:r w:rsidR="00147FE2" w:rsidRPr="00667A0A">
        <w:t xml:space="preserve">di </w:t>
      </w:r>
      <w:r w:rsidR="00ED06A4">
        <w:t xml:space="preserve">un </w:t>
      </w:r>
      <w:r w:rsidR="00703E54" w:rsidRPr="00667A0A">
        <w:t xml:space="preserve">rapporto positivi/casi testati </w:t>
      </w:r>
      <w:r w:rsidR="00ED06A4">
        <w:t xml:space="preserve">stabile </w:t>
      </w:r>
      <w:r w:rsidR="00703E54" w:rsidRPr="00667A0A">
        <w:t>(</w:t>
      </w:r>
      <w:r w:rsidR="000009D8">
        <w:t xml:space="preserve">24,5% vs </w:t>
      </w:r>
      <w:r w:rsidR="00667A0A" w:rsidRPr="00667A0A">
        <w:t>24,8%</w:t>
      </w:r>
      <w:r w:rsidR="00703E54" w:rsidRPr="00667A0A">
        <w:t>)</w:t>
      </w:r>
      <w:r w:rsidR="006B448E" w:rsidRPr="00667A0A">
        <w:t xml:space="preserve">. </w:t>
      </w:r>
      <w:r w:rsidR="00383D9D" w:rsidRPr="00667A0A">
        <w:t>Calano</w:t>
      </w:r>
      <w:r w:rsidR="0079793A" w:rsidRPr="00667A0A">
        <w:t xml:space="preserve"> </w:t>
      </w:r>
      <w:r w:rsidR="003B22C9" w:rsidRPr="00667A0A">
        <w:t>del</w:t>
      </w:r>
      <w:r w:rsidR="00383D9D" w:rsidRPr="00667A0A">
        <w:t xml:space="preserve"> </w:t>
      </w:r>
      <w:r w:rsidR="000009D8">
        <w:t>9,5</w:t>
      </w:r>
      <w:r w:rsidR="0050520B" w:rsidRPr="00667A0A">
        <w:t xml:space="preserve">% </w:t>
      </w:r>
      <w:r w:rsidR="006B448E" w:rsidRPr="00667A0A">
        <w:t>i</w:t>
      </w:r>
      <w:r w:rsidR="00D33012" w:rsidRPr="00667A0A">
        <w:t xml:space="preserve"> casi attualmente positivi (</w:t>
      </w:r>
      <w:r w:rsidR="000009D8">
        <w:t xml:space="preserve">667.303 vs </w:t>
      </w:r>
      <w:r w:rsidR="00667A0A" w:rsidRPr="00667A0A">
        <w:t>737.525</w:t>
      </w:r>
      <w:r w:rsidR="00D33012" w:rsidRPr="00667A0A">
        <w:t>)</w:t>
      </w:r>
      <w:r w:rsidR="006B448E" w:rsidRPr="00667A0A">
        <w:t xml:space="preserve"> e</w:t>
      </w:r>
      <w:r w:rsidR="003F4EAB" w:rsidRPr="00667A0A">
        <w:t>,</w:t>
      </w:r>
      <w:r w:rsidR="005B05C3" w:rsidRPr="00667A0A">
        <w:t xml:space="preserve"> sul </w:t>
      </w:r>
      <w:r w:rsidR="003F4EAB" w:rsidRPr="00667A0A">
        <w:t xml:space="preserve">fronte </w:t>
      </w:r>
      <w:r w:rsidR="006B448E" w:rsidRPr="00667A0A">
        <w:t>degli ospedali</w:t>
      </w:r>
      <w:r w:rsidR="00E12F28" w:rsidRPr="00667A0A">
        <w:t>,</w:t>
      </w:r>
      <w:r w:rsidR="0079793A" w:rsidRPr="00667A0A">
        <w:t xml:space="preserve"> </w:t>
      </w:r>
      <w:r w:rsidR="00665201" w:rsidRPr="00667A0A">
        <w:t>diminuiscono</w:t>
      </w:r>
      <w:r w:rsidR="0079793A" w:rsidRPr="00667A0A">
        <w:t xml:space="preserve"> </w:t>
      </w:r>
      <w:r w:rsidR="00F5179B" w:rsidRPr="00667A0A">
        <w:t>ricover</w:t>
      </w:r>
      <w:r w:rsidR="008F1BD5" w:rsidRPr="00667A0A">
        <w:t>i con sintomi</w:t>
      </w:r>
      <w:r w:rsidR="0079793A" w:rsidRPr="00667A0A">
        <w:t xml:space="preserve"> </w:t>
      </w:r>
      <w:r w:rsidR="007B4206" w:rsidRPr="00667A0A">
        <w:t>(</w:t>
      </w:r>
      <w:r w:rsidR="005B0E13">
        <w:t xml:space="preserve">27.342 vs </w:t>
      </w:r>
      <w:r w:rsidR="00667A0A" w:rsidRPr="00667A0A">
        <w:t>30.081</w:t>
      </w:r>
      <w:r w:rsidR="007B4206" w:rsidRPr="00667A0A">
        <w:t>)</w:t>
      </w:r>
      <w:r w:rsidR="0079793A" w:rsidRPr="00667A0A">
        <w:t xml:space="preserve"> </w:t>
      </w:r>
      <w:r w:rsidR="00383D9D" w:rsidRPr="00667A0A">
        <w:t>e terapie intensive</w:t>
      </w:r>
      <w:r w:rsidR="0046598E" w:rsidRPr="00667A0A">
        <w:t xml:space="preserve"> (</w:t>
      </w:r>
      <w:r w:rsidR="005B0E13">
        <w:t xml:space="preserve">3.003 vs </w:t>
      </w:r>
      <w:r w:rsidR="00667A0A" w:rsidRPr="00667A0A">
        <w:t>3.345</w:t>
      </w:r>
      <w:r w:rsidR="00F469C4" w:rsidRPr="00667A0A">
        <w:t>)</w:t>
      </w:r>
      <w:r w:rsidR="00F5179B" w:rsidRPr="00667A0A">
        <w:t xml:space="preserve">; </w:t>
      </w:r>
      <w:r w:rsidR="003B22C9" w:rsidRPr="00667A0A">
        <w:t xml:space="preserve">in </w:t>
      </w:r>
      <w:r w:rsidR="00667A0A" w:rsidRPr="00667A0A">
        <w:t xml:space="preserve">lieve </w:t>
      </w:r>
      <w:r w:rsidR="00665C55">
        <w:t>riduzione</w:t>
      </w:r>
      <w:r w:rsidR="00667A0A" w:rsidRPr="00667A0A">
        <w:t xml:space="preserve"> anche </w:t>
      </w:r>
      <w:r w:rsidR="008A2AB7" w:rsidRPr="00667A0A">
        <w:t xml:space="preserve">i </w:t>
      </w:r>
      <w:r w:rsidR="00F469C4" w:rsidRPr="00667A0A">
        <w:t>decessi</w:t>
      </w:r>
      <w:r w:rsidR="00BE59CF" w:rsidRPr="00667A0A">
        <w:t xml:space="preserve"> (</w:t>
      </w:r>
      <w:r w:rsidR="005B0E13">
        <w:t xml:space="preserve">4.617 vs </w:t>
      </w:r>
      <w:r w:rsidR="00667A0A" w:rsidRPr="00667A0A">
        <w:t>4.879</w:t>
      </w:r>
      <w:r w:rsidR="00BE59CF" w:rsidRPr="00667A0A">
        <w:t>)</w:t>
      </w:r>
      <w:r w:rsidR="0061393A" w:rsidRPr="00667A0A">
        <w:t>.</w:t>
      </w:r>
      <w:r w:rsidR="0079793A" w:rsidRPr="00667A0A">
        <w:t xml:space="preserve"> </w:t>
      </w:r>
      <w:r w:rsidR="0069637C" w:rsidRPr="00667A0A">
        <w:t xml:space="preserve">In </w:t>
      </w:r>
      <w:r w:rsidR="00C036E5" w:rsidRPr="00667A0A">
        <w:t>dettaglio</w:t>
      </w:r>
      <w:r w:rsidR="003442B9" w:rsidRPr="00667A0A">
        <w:t xml:space="preserve">, </w:t>
      </w:r>
      <w:r w:rsidR="00BE59CF" w:rsidRPr="00667A0A">
        <w:t xml:space="preserve">rispetto alla settimana precedente, </w:t>
      </w:r>
      <w:r w:rsidR="00742EE2" w:rsidRPr="00667A0A">
        <w:t>si registrano le seguenti variazioni</w:t>
      </w:r>
      <w:r w:rsidR="0069637C" w:rsidRPr="00667A0A">
        <w:t>:</w:t>
      </w:r>
    </w:p>
    <w:p w:rsidR="005E1B70" w:rsidRPr="00667A0A" w:rsidRDefault="00300572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667A0A">
        <w:t>D</w:t>
      </w:r>
      <w:r w:rsidR="005E1B70" w:rsidRPr="00667A0A">
        <w:t>ecessi</w:t>
      </w:r>
      <w:r w:rsidR="00383D9D" w:rsidRPr="00667A0A">
        <w:t xml:space="preserve">: </w:t>
      </w:r>
      <w:r w:rsidR="005B0E13">
        <w:t>4.617</w:t>
      </w:r>
      <w:r w:rsidR="00667A0A" w:rsidRPr="00C249FA">
        <w:t xml:space="preserve"> </w:t>
      </w:r>
      <w:r w:rsidR="003442B9" w:rsidRPr="00667A0A">
        <w:t>(</w:t>
      </w:r>
      <w:r w:rsidR="003D10F8">
        <w:t>-</w:t>
      </w:r>
      <w:r w:rsidR="005B0E13">
        <w:t>5,4</w:t>
      </w:r>
      <w:r w:rsidR="005862D2" w:rsidRPr="00667A0A">
        <w:t>%)</w:t>
      </w:r>
    </w:p>
    <w:p w:rsidR="005E1B70" w:rsidRPr="00667A0A" w:rsidRDefault="005E1B70" w:rsidP="007D6881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667A0A">
        <w:t xml:space="preserve">Terapia intensiva: </w:t>
      </w:r>
      <w:r w:rsidR="00383D9D" w:rsidRPr="00667A0A">
        <w:t>-</w:t>
      </w:r>
      <w:r w:rsidR="00667A0A" w:rsidRPr="00667A0A">
        <w:t>3</w:t>
      </w:r>
      <w:r w:rsidR="007D6881">
        <w:t>42</w:t>
      </w:r>
      <w:r w:rsidR="00667A0A" w:rsidRPr="00667A0A">
        <w:t xml:space="preserve"> </w:t>
      </w:r>
      <w:r w:rsidR="005862D2" w:rsidRPr="00667A0A">
        <w:t>(</w:t>
      </w:r>
      <w:r w:rsidR="00667A0A" w:rsidRPr="00667A0A">
        <w:t>-</w:t>
      </w:r>
      <w:r w:rsidR="007D6881">
        <w:t>10,2</w:t>
      </w:r>
      <w:r w:rsidR="003565EE" w:rsidRPr="00667A0A">
        <w:t>%</w:t>
      </w:r>
      <w:r w:rsidR="005862D2" w:rsidRPr="00667A0A">
        <w:t>)</w:t>
      </w:r>
    </w:p>
    <w:p w:rsidR="00DD06F4" w:rsidRPr="00667A0A" w:rsidRDefault="00DD06F4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667A0A">
        <w:t xml:space="preserve">Ricoverati con sintomi: </w:t>
      </w:r>
      <w:r w:rsidR="00383D9D" w:rsidRPr="00667A0A">
        <w:t>-</w:t>
      </w:r>
      <w:r w:rsidR="007D6881">
        <w:t>2.739</w:t>
      </w:r>
      <w:r w:rsidR="00667A0A" w:rsidRPr="00667A0A">
        <w:t xml:space="preserve"> (-</w:t>
      </w:r>
      <w:r w:rsidR="007D6881">
        <w:t>9,1</w:t>
      </w:r>
      <w:r w:rsidR="00667A0A" w:rsidRPr="00667A0A">
        <w:t>%</w:t>
      </w:r>
      <w:r w:rsidR="005862D2" w:rsidRPr="00667A0A">
        <w:t>)</w:t>
      </w:r>
    </w:p>
    <w:p w:rsidR="005E1B70" w:rsidRPr="00667A0A" w:rsidRDefault="00BE59CF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667A0A">
        <w:t>Nuovi casi</w:t>
      </w:r>
      <w:r w:rsidR="005E1B70" w:rsidRPr="00667A0A">
        <w:t>:</w:t>
      </w:r>
      <w:r w:rsidR="00667A0A" w:rsidRPr="00667A0A">
        <w:t xml:space="preserve"> </w:t>
      </w:r>
      <w:r w:rsidR="00CE10B2">
        <w:t>1</w:t>
      </w:r>
      <w:r w:rsidR="00AC5E21">
        <w:t>1</w:t>
      </w:r>
      <w:r w:rsidR="00CE10B2">
        <w:t>3.182</w:t>
      </w:r>
      <w:r w:rsidR="00667A0A" w:rsidRPr="00667A0A">
        <w:t xml:space="preserve"> </w:t>
      </w:r>
      <w:r w:rsidR="00924C50" w:rsidRPr="00667A0A">
        <w:t>(</w:t>
      </w:r>
      <w:r w:rsidR="003D10F8">
        <w:t>-17,</w:t>
      </w:r>
      <w:r w:rsidR="00CE10B2">
        <w:t>1</w:t>
      </w:r>
      <w:r w:rsidR="005862D2" w:rsidRPr="00667A0A">
        <w:t>%)</w:t>
      </w:r>
    </w:p>
    <w:p w:rsidR="000B6B1F" w:rsidRPr="00667A0A" w:rsidRDefault="000B6B1F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667A0A">
        <w:t xml:space="preserve">Casi </w:t>
      </w:r>
      <w:r w:rsidR="00487E15" w:rsidRPr="00667A0A">
        <w:t>attualmente positivi</w:t>
      </w:r>
      <w:r w:rsidR="00595785" w:rsidRPr="00667A0A">
        <w:t xml:space="preserve">: </w:t>
      </w:r>
      <w:r w:rsidR="00CE10B2">
        <w:t>-70.222</w:t>
      </w:r>
      <w:r w:rsidR="00667A0A" w:rsidRPr="00667A0A">
        <w:t xml:space="preserve"> </w:t>
      </w:r>
      <w:r w:rsidR="00F469C4" w:rsidRPr="00667A0A">
        <w:t>(</w:t>
      </w:r>
      <w:r w:rsidR="00667A0A" w:rsidRPr="00667A0A">
        <w:t>-</w:t>
      </w:r>
      <w:r w:rsidR="00CE10B2">
        <w:t>9</w:t>
      </w:r>
      <w:r w:rsidR="00667A0A" w:rsidRPr="00667A0A">
        <w:t>,</w:t>
      </w:r>
      <w:r w:rsidR="00CE10B2">
        <w:t>5</w:t>
      </w:r>
      <w:r w:rsidR="00FE10CC" w:rsidRPr="00667A0A">
        <w:t>%</w:t>
      </w:r>
      <w:r w:rsidRPr="00667A0A">
        <w:t>)</w:t>
      </w:r>
    </w:p>
    <w:p w:rsidR="00260775" w:rsidRPr="00667A0A" w:rsidRDefault="002A3D04" w:rsidP="000F1FFA">
      <w:pPr>
        <w:pStyle w:val="Paragrafoelenco"/>
        <w:numPr>
          <w:ilvl w:val="0"/>
          <w:numId w:val="1"/>
        </w:numPr>
        <w:spacing w:after="120" w:line="276" w:lineRule="auto"/>
        <w:jc w:val="both"/>
      </w:pPr>
      <w:r w:rsidRPr="00667A0A">
        <w:t xml:space="preserve">Casi testati </w:t>
      </w:r>
      <w:r w:rsidR="00CE10B2">
        <w:t>-88.423</w:t>
      </w:r>
      <w:r w:rsidR="00667A0A" w:rsidRPr="00667A0A">
        <w:t xml:space="preserve"> </w:t>
      </w:r>
      <w:r w:rsidR="0092337D" w:rsidRPr="00667A0A">
        <w:t>(</w:t>
      </w:r>
      <w:r w:rsidR="00BB57B7" w:rsidRPr="00667A0A">
        <w:t>-</w:t>
      </w:r>
      <w:r w:rsidR="00CE10B2">
        <w:t>16,1</w:t>
      </w:r>
      <w:r w:rsidR="003565EE" w:rsidRPr="00667A0A">
        <w:t>%</w:t>
      </w:r>
      <w:r w:rsidR="0092337D" w:rsidRPr="00667A0A">
        <w:t>)</w:t>
      </w:r>
    </w:p>
    <w:p w:rsidR="00260775" w:rsidRPr="00C82B51" w:rsidRDefault="00260775" w:rsidP="000F1FFA">
      <w:pPr>
        <w:pStyle w:val="Paragrafoelenco"/>
        <w:numPr>
          <w:ilvl w:val="0"/>
          <w:numId w:val="1"/>
        </w:numPr>
        <w:spacing w:after="120" w:line="276" w:lineRule="auto"/>
        <w:jc w:val="both"/>
      </w:pPr>
      <w:r w:rsidRPr="00C82B51">
        <w:t xml:space="preserve">Tamponi totali: </w:t>
      </w:r>
      <w:r w:rsidR="00CE10B2" w:rsidRPr="00C82B51">
        <w:t>-162.837</w:t>
      </w:r>
      <w:r w:rsidR="00667A0A" w:rsidRPr="00C82B51">
        <w:t xml:space="preserve"> </w:t>
      </w:r>
      <w:r w:rsidR="00A149F4" w:rsidRPr="00C82B51">
        <w:t>(</w:t>
      </w:r>
      <w:r w:rsidR="00667A0A" w:rsidRPr="00C82B51">
        <w:t>-</w:t>
      </w:r>
      <w:r w:rsidR="00CE10B2" w:rsidRPr="00C82B51">
        <w:t>12,9</w:t>
      </w:r>
      <w:r w:rsidR="00A149F4" w:rsidRPr="00C82B51">
        <w:t>%</w:t>
      </w:r>
      <w:r w:rsidR="009D6AEE" w:rsidRPr="00C82B51">
        <w:t>)</w:t>
      </w:r>
    </w:p>
    <w:p w:rsidR="00AC5E21" w:rsidRPr="00EF6C85" w:rsidRDefault="0041559A" w:rsidP="00F64432">
      <w:pPr>
        <w:jc w:val="both"/>
        <w:rPr>
          <w:rFonts w:cstheme="minorHAnsi"/>
        </w:rPr>
      </w:pPr>
      <w:r w:rsidRPr="00C82B51">
        <w:t>«</w:t>
      </w:r>
      <w:r w:rsidR="00825CAF">
        <w:t>I dati di questa settimana</w:t>
      </w:r>
      <w:r w:rsidR="00AC5E21">
        <w:t xml:space="preserve"> </w:t>
      </w:r>
      <w:r w:rsidRPr="00C82B51">
        <w:t>–</w:t>
      </w:r>
      <w:r w:rsidR="004D4FAC" w:rsidRPr="00C82B51">
        <w:t xml:space="preserve"> dichiara </w:t>
      </w:r>
      <w:r w:rsidR="002B36CD" w:rsidRPr="00C82B51">
        <w:t xml:space="preserve">Nino Cartabellotta, Presidente della Fondazione GIMBE </w:t>
      </w:r>
      <w:r w:rsidRPr="00C82B51">
        <w:t>–</w:t>
      </w:r>
      <w:r w:rsidR="00825CAF">
        <w:t xml:space="preserve"> </w:t>
      </w:r>
      <w:r w:rsidR="003B60B6" w:rsidRPr="00C82B51">
        <w:t xml:space="preserve">confermano </w:t>
      </w:r>
      <w:r w:rsidR="00825CAF">
        <w:t xml:space="preserve">il </w:t>
      </w:r>
      <w:r w:rsidR="003B60B6" w:rsidRPr="00C82B51">
        <w:t>rallentamento del contagio</w:t>
      </w:r>
      <w:r w:rsidR="00825CAF">
        <w:t xml:space="preserve">, </w:t>
      </w:r>
      <w:r w:rsidR="00ED06A4">
        <w:t xml:space="preserve">documentato </w:t>
      </w:r>
      <w:r w:rsidR="00825CAF">
        <w:t>dalla</w:t>
      </w:r>
      <w:r w:rsidR="003B60B6" w:rsidRPr="00C82B51">
        <w:t xml:space="preserve"> </w:t>
      </w:r>
      <w:r w:rsidR="00665201" w:rsidRPr="00C82B51">
        <w:t xml:space="preserve">riduzione </w:t>
      </w:r>
      <w:r w:rsidR="002B36CD" w:rsidRPr="00C82B51">
        <w:t>dell’incremento percentuale dei casi</w:t>
      </w:r>
      <w:r w:rsidR="001C646B" w:rsidRPr="00C82B51">
        <w:t xml:space="preserve"> totali</w:t>
      </w:r>
      <w:r w:rsidR="0079793A" w:rsidRPr="00C82B51">
        <w:t xml:space="preserve"> </w:t>
      </w:r>
      <w:r w:rsidR="00512854" w:rsidRPr="00C82B51">
        <w:t>(</w:t>
      </w:r>
      <w:r w:rsidR="00C82B51" w:rsidRPr="00C82B51">
        <w:t xml:space="preserve">6,4% vs </w:t>
      </w:r>
      <w:r w:rsidR="00667A0A" w:rsidRPr="00C82B51">
        <w:t xml:space="preserve">8,4% </w:t>
      </w:r>
      <w:r w:rsidR="007B2ACE" w:rsidRPr="00C82B51">
        <w:t xml:space="preserve">a livello nazionale, </w:t>
      </w:r>
      <w:r w:rsidR="009C5664" w:rsidRPr="00C82B51">
        <w:t xml:space="preserve">registrata </w:t>
      </w:r>
      <w:r w:rsidR="007B2ACE" w:rsidRPr="00C82B51">
        <w:t>anche in tutte le Regioni</w:t>
      </w:r>
      <w:r w:rsidR="00512854" w:rsidRPr="00C82B51">
        <w:t>)</w:t>
      </w:r>
      <w:r w:rsidR="003B60B6" w:rsidRPr="00C82B51">
        <w:t xml:space="preserve"> e </w:t>
      </w:r>
      <w:r w:rsidR="005B7662" w:rsidRPr="00C82B51">
        <w:t>d</w:t>
      </w:r>
      <w:r w:rsidR="00825CAF">
        <w:t>a</w:t>
      </w:r>
      <w:r w:rsidR="005B7662" w:rsidRPr="00C82B51">
        <w:t xml:space="preserve">l </w:t>
      </w:r>
      <w:r w:rsidR="001C646B" w:rsidRPr="00C82B51">
        <w:t xml:space="preserve">numero </w:t>
      </w:r>
      <w:r w:rsidR="003B60B6" w:rsidRPr="00C82B51">
        <w:t xml:space="preserve">dei </w:t>
      </w:r>
      <w:r w:rsidR="00DA65C2" w:rsidRPr="00C82B51">
        <w:t>nuovi</w:t>
      </w:r>
      <w:r w:rsidR="0079793A" w:rsidRPr="00C82B51">
        <w:t xml:space="preserve"> </w:t>
      </w:r>
      <w:r w:rsidR="00665201" w:rsidRPr="00C82B51">
        <w:t xml:space="preserve">casi </w:t>
      </w:r>
      <w:r w:rsidR="004D4FAC" w:rsidRPr="00C82B51">
        <w:t>settimanali</w:t>
      </w:r>
      <w:r w:rsidR="00ED06A4">
        <w:t xml:space="preserve"> (- 17,1%)</w:t>
      </w:r>
      <w:r w:rsidR="00AC5E21">
        <w:t xml:space="preserve">. </w:t>
      </w:r>
      <w:r w:rsidR="00ED06A4">
        <w:t xml:space="preserve">Tuttavia, la </w:t>
      </w:r>
      <w:r w:rsidR="00AC5E21">
        <w:t xml:space="preserve">netta riduzione di oltre </w:t>
      </w:r>
      <w:r w:rsidR="00AC5E21" w:rsidRPr="00C82B51">
        <w:t>88 mila casi testati (-16,1%)</w:t>
      </w:r>
      <w:r w:rsidR="00AC5E21">
        <w:t xml:space="preserve"> e </w:t>
      </w:r>
      <w:r w:rsidR="00ED06A4">
        <w:t xml:space="preserve">il </w:t>
      </w:r>
      <w:r w:rsidR="00AC5E21" w:rsidRPr="00C82B51">
        <w:t xml:space="preserve">rapporto positivi/casi testati </w:t>
      </w:r>
      <w:r w:rsidR="00ED06A4">
        <w:t xml:space="preserve">stabile </w:t>
      </w:r>
      <w:r w:rsidR="00AC5E21" w:rsidRPr="00C82B51">
        <w:t>(</w:t>
      </w:r>
      <w:r w:rsidR="00AC5E21" w:rsidRPr="00C82B51">
        <w:rPr>
          <w:highlight w:val="yellow"/>
        </w:rPr>
        <w:t>figura 1</w:t>
      </w:r>
      <w:r w:rsidR="00AC5E21" w:rsidRPr="00C82B51">
        <w:t>)</w:t>
      </w:r>
      <w:r w:rsidR="00AC5E21">
        <w:t xml:space="preserve"> </w:t>
      </w:r>
      <w:r w:rsidR="000F1645">
        <w:t xml:space="preserve">finiscono per sovrastimare </w:t>
      </w:r>
      <w:r w:rsidR="003F17D0">
        <w:t>gli effetti</w:t>
      </w:r>
      <w:r w:rsidR="00AC5E21">
        <w:t xml:space="preserve"> delle misure di </w:t>
      </w:r>
      <w:r w:rsidR="003F17D0">
        <w:t>mitigazione</w:t>
      </w:r>
      <w:r w:rsidR="00AC5E21" w:rsidRPr="00C82B51">
        <w:rPr>
          <w:rFonts w:cstheme="minorHAnsi"/>
        </w:rPr>
        <w:t>»</w:t>
      </w:r>
      <w:r w:rsidR="00AC5E21">
        <w:rPr>
          <w:rFonts w:cstheme="minorHAnsi"/>
        </w:rPr>
        <w:t>.</w:t>
      </w:r>
      <w:r w:rsidR="00EF6C85">
        <w:rPr>
          <w:rFonts w:cstheme="minorHAnsi"/>
        </w:rPr>
        <w:t xml:space="preserve"> </w:t>
      </w:r>
      <w:r w:rsidR="003F17D0">
        <w:rPr>
          <w:rFonts w:cstheme="minorHAnsi"/>
        </w:rPr>
        <w:t xml:space="preserve">La consistente </w:t>
      </w:r>
      <w:r w:rsidR="00B311E7">
        <w:rPr>
          <w:rFonts w:cstheme="minorHAnsi"/>
        </w:rPr>
        <w:t xml:space="preserve">e ingiustificata </w:t>
      </w:r>
      <w:r w:rsidR="003F17D0">
        <w:rPr>
          <w:rFonts w:cstheme="minorHAnsi"/>
        </w:rPr>
        <w:t xml:space="preserve">riduzione </w:t>
      </w:r>
      <w:r w:rsidR="00AC5E21">
        <w:t xml:space="preserve">dell’attività di testing </w:t>
      </w:r>
      <w:r w:rsidR="00002E76">
        <w:t xml:space="preserve">viene </w:t>
      </w:r>
      <w:r w:rsidR="000F1645">
        <w:t xml:space="preserve">infatti </w:t>
      </w:r>
      <w:r w:rsidR="00002E76">
        <w:t>registrata</w:t>
      </w:r>
      <w:r w:rsidR="00825CAF">
        <w:t xml:space="preserve"> in </w:t>
      </w:r>
      <w:r w:rsidR="00AC5E21">
        <w:t xml:space="preserve">tutte le Regioni, </w:t>
      </w:r>
      <w:r w:rsidR="0010669B">
        <w:t>eccetto</w:t>
      </w:r>
      <w:r w:rsidR="00ED06A4">
        <w:t xml:space="preserve"> </w:t>
      </w:r>
      <w:r w:rsidR="00AC5E21">
        <w:t>Veneto e Valle d’Aosta (</w:t>
      </w:r>
      <w:r w:rsidR="00AC5E21" w:rsidRPr="00C82B51">
        <w:rPr>
          <w:highlight w:val="yellow"/>
        </w:rPr>
        <w:t>tabella</w:t>
      </w:r>
      <w:r w:rsidR="00AC5E21">
        <w:t>).</w:t>
      </w:r>
    </w:p>
    <w:p w:rsidR="00D45454" w:rsidRDefault="00DF65F5" w:rsidP="00F64432">
      <w:pPr>
        <w:jc w:val="both"/>
        <w:rPr>
          <w:rFonts w:cstheme="minorHAnsi"/>
        </w:rPr>
      </w:pPr>
      <w:r>
        <w:t>Il</w:t>
      </w:r>
      <w:r w:rsidR="00EF6C85">
        <w:t xml:space="preserve"> </w:t>
      </w:r>
      <w:r w:rsidR="00D45454">
        <w:t>bacino degli attualmente positivi</w:t>
      </w:r>
      <w:r w:rsidR="008077CC">
        <w:t xml:space="preserve"> </w:t>
      </w:r>
      <w:r>
        <w:t xml:space="preserve">si </w:t>
      </w:r>
      <w:r w:rsidR="00ED06A4">
        <w:t>svuota</w:t>
      </w:r>
      <w:r>
        <w:t xml:space="preserve"> </w:t>
      </w:r>
      <w:r w:rsidR="000D3F79">
        <w:t>molto lentamente</w:t>
      </w:r>
      <w:r w:rsidR="00562045">
        <w:t xml:space="preserve"> e in </w:t>
      </w:r>
      <w:r w:rsidR="009A68EF">
        <w:t>6 Regioni</w:t>
      </w:r>
      <w:r w:rsidR="00562045">
        <w:t xml:space="preserve"> si registra </w:t>
      </w:r>
      <w:r w:rsidR="000D3F79">
        <w:t xml:space="preserve">addirittura </w:t>
      </w:r>
      <w:r w:rsidR="00562045">
        <w:t xml:space="preserve">un incremento </w:t>
      </w:r>
      <w:r w:rsidR="009A68EF">
        <w:t>rispetto alla settimana precedente</w:t>
      </w:r>
      <w:r w:rsidR="00EF6C85">
        <w:t xml:space="preserve"> (</w:t>
      </w:r>
      <w:r w:rsidR="00EF6C85" w:rsidRPr="00C82B51">
        <w:rPr>
          <w:highlight w:val="yellow"/>
        </w:rPr>
        <w:t>tabella</w:t>
      </w:r>
      <w:r w:rsidR="00EF6C85">
        <w:t>)</w:t>
      </w:r>
      <w:r w:rsidR="003F17D0">
        <w:t>.</w:t>
      </w:r>
      <w:r>
        <w:t xml:space="preserve"> </w:t>
      </w:r>
      <w:r w:rsidR="009A41BE" w:rsidRPr="009A41BE">
        <w:t xml:space="preserve">In particolare, dopo il picco </w:t>
      </w:r>
      <w:r w:rsidR="00562045">
        <w:t xml:space="preserve">del </w:t>
      </w:r>
      <w:r w:rsidR="009A41BE" w:rsidRPr="009A41BE">
        <w:t>22 novembre (</w:t>
      </w:r>
      <w:r w:rsidR="00562045">
        <w:t xml:space="preserve">n. </w:t>
      </w:r>
      <w:r w:rsidR="009A41BE" w:rsidRPr="009A41BE">
        <w:t xml:space="preserve">805.947), </w:t>
      </w:r>
      <w:r w:rsidR="00ED06A4">
        <w:t xml:space="preserve">i casi attualmente positivi sono diminuiti </w:t>
      </w:r>
      <w:r w:rsidR="00562045" w:rsidRPr="009A41BE">
        <w:t xml:space="preserve">in 24 giorni </w:t>
      </w:r>
      <w:r w:rsidR="009A41BE" w:rsidRPr="009A41BE">
        <w:t>del 20,8%, con una riduzione media giornaliera del</w:t>
      </w:r>
      <w:r w:rsidR="00B311E7">
        <w:t>lo</w:t>
      </w:r>
      <w:r w:rsidR="009A41BE" w:rsidRPr="009A41BE">
        <w:t xml:space="preserve"> 0,9%</w:t>
      </w:r>
      <w:r w:rsidR="00337D17">
        <w:t xml:space="preserve">: tuttavia </w:t>
      </w:r>
      <w:r w:rsidR="0061160A">
        <w:t xml:space="preserve">con oltre 667 mila casi attualmente positivi </w:t>
      </w:r>
      <w:r w:rsidR="00337D17">
        <w:t xml:space="preserve">risulta </w:t>
      </w:r>
      <w:r w:rsidR="00B311E7">
        <w:t xml:space="preserve">al momento </w:t>
      </w:r>
      <w:r w:rsidR="0061160A">
        <w:t>impossibile riprendere qualsiasi attività di tracciamento</w:t>
      </w:r>
      <w:r w:rsidR="009A41BE" w:rsidRPr="009A41BE">
        <w:t>.</w:t>
      </w:r>
      <w:r w:rsidR="00185FAE">
        <w:t xml:space="preserve"> </w:t>
      </w:r>
      <w:r w:rsidR="003205A9" w:rsidRPr="00C82B51">
        <w:t>«</w:t>
      </w:r>
      <w:r w:rsidR="003205A9">
        <w:t>Sicuramente le misure restrittive introdotte da</w:t>
      </w:r>
      <w:r w:rsidR="00ED06A4">
        <w:t xml:space="preserve">l DPCM 3 novembre 2020 </w:t>
      </w:r>
      <w:r w:rsidR="003205A9">
        <w:t xml:space="preserve">hanno </w:t>
      </w:r>
      <w:r w:rsidR="003F17D0">
        <w:t xml:space="preserve">frenato la diffusione del </w:t>
      </w:r>
      <w:r w:rsidR="003205A9">
        <w:t>contagio –</w:t>
      </w:r>
      <w:r w:rsidR="004A73EA">
        <w:t xml:space="preserve"> continua il Presidente </w:t>
      </w:r>
      <w:r w:rsidR="003205A9">
        <w:t xml:space="preserve">– ma la lenta </w:t>
      </w:r>
      <w:r w:rsidR="003F17D0">
        <w:t xml:space="preserve">e irregolare </w:t>
      </w:r>
      <w:r w:rsidR="00ED06A4">
        <w:t>discesa della curva</w:t>
      </w:r>
      <w:r w:rsidR="00337D17">
        <w:t>,</w:t>
      </w:r>
      <w:r w:rsidR="00ED06A4">
        <w:t xml:space="preserve"> </w:t>
      </w:r>
      <w:r w:rsidR="00337D17">
        <w:t xml:space="preserve">unita </w:t>
      </w:r>
      <w:r w:rsidR="003F17D0">
        <w:t>a</w:t>
      </w:r>
      <w:r w:rsidR="00ED06A4">
        <w:t xml:space="preserve">d un </w:t>
      </w:r>
      <w:r w:rsidR="003205A9">
        <w:t>rapporto positivi/casi testati</w:t>
      </w:r>
      <w:r w:rsidR="00ED06A4">
        <w:t xml:space="preserve"> stabile da tre settimane</w:t>
      </w:r>
      <w:r w:rsidR="003205A9">
        <w:t xml:space="preserve">, suggeriscono che </w:t>
      </w:r>
      <w:r w:rsidR="003F17D0">
        <w:t xml:space="preserve">le </w:t>
      </w:r>
      <w:r w:rsidR="003F17D0">
        <w:lastRenderedPageBreak/>
        <w:t xml:space="preserve">misure </w:t>
      </w:r>
      <w:r w:rsidR="00ED06A4">
        <w:t xml:space="preserve">di mitigazione </w:t>
      </w:r>
      <w:r w:rsidR="003205A9">
        <w:t>abbiano ormai dat</w:t>
      </w:r>
      <w:r w:rsidR="003F17D0">
        <w:t xml:space="preserve">o il massimo </w:t>
      </w:r>
      <w:r w:rsidR="00ED06A4">
        <w:t xml:space="preserve">risultato </w:t>
      </w:r>
      <w:r w:rsidR="003F17D0">
        <w:t xml:space="preserve">e </w:t>
      </w:r>
      <w:r w:rsidR="00337D17">
        <w:t>ora</w:t>
      </w:r>
      <w:r w:rsidR="003F17D0">
        <w:t xml:space="preserve">, </w:t>
      </w:r>
      <w:r w:rsidR="00ED06A4">
        <w:t>con le progressive riaperture</w:t>
      </w:r>
      <w:r w:rsidR="00337D17">
        <w:t>,</w:t>
      </w:r>
      <w:r w:rsidR="00ED06A4">
        <w:t xml:space="preserve"> </w:t>
      </w:r>
      <w:r w:rsidR="00337D17">
        <w:t xml:space="preserve">verosimilmente </w:t>
      </w:r>
      <w:r w:rsidR="004A73EA">
        <w:t>la curva</w:t>
      </w:r>
      <w:r w:rsidR="00330AF5">
        <w:t xml:space="preserve"> </w:t>
      </w:r>
      <w:r w:rsidR="00337D17">
        <w:t xml:space="preserve">prima rallenterà </w:t>
      </w:r>
      <w:r w:rsidR="004A73EA">
        <w:t xml:space="preserve">la sua discesa </w:t>
      </w:r>
      <w:r w:rsidR="00337D17">
        <w:t xml:space="preserve">per poi tornare </w:t>
      </w:r>
      <w:r w:rsidR="00B311E7">
        <w:t xml:space="preserve">inesorabilmente </w:t>
      </w:r>
      <w:r w:rsidR="00337D17">
        <w:t xml:space="preserve">a </w:t>
      </w:r>
      <w:r w:rsidR="004A73EA">
        <w:t>salire</w:t>
      </w:r>
      <w:r w:rsidR="003205A9" w:rsidRPr="00C82B51">
        <w:rPr>
          <w:rFonts w:cstheme="minorHAnsi"/>
        </w:rPr>
        <w:t>»</w:t>
      </w:r>
      <w:r w:rsidR="003205A9">
        <w:rPr>
          <w:rFonts w:cstheme="minorHAnsi"/>
        </w:rPr>
        <w:t>.</w:t>
      </w:r>
    </w:p>
    <w:p w:rsidR="004A73EA" w:rsidRDefault="004A73EA" w:rsidP="00823636">
      <w:pPr>
        <w:jc w:val="both"/>
      </w:pPr>
      <w:r w:rsidRPr="00C82B51">
        <w:t>«</w:t>
      </w:r>
      <w:r>
        <w:t xml:space="preserve">Anche sul fronte ospedali – spiega Renata Gili, Responsabile Ricerca sui Servizi sanitari della Fondazione GIMBE – l’entità del </w:t>
      </w:r>
      <w:r w:rsidR="00185FAE">
        <w:t xml:space="preserve">rallentamento </w:t>
      </w:r>
      <w:r w:rsidR="00560EF8">
        <w:t>non la</w:t>
      </w:r>
      <w:r>
        <w:t>scia spazio a grandi entusiasmi</w:t>
      </w:r>
      <w:r w:rsidRPr="00C82B51">
        <w:rPr>
          <w:rFonts w:cstheme="minorHAnsi"/>
        </w:rPr>
        <w:t>»</w:t>
      </w:r>
      <w:r>
        <w:t>.</w:t>
      </w:r>
      <w:r w:rsidR="00560EF8">
        <w:t xml:space="preserve"> </w:t>
      </w:r>
      <w:r w:rsidR="00C468F6">
        <w:t>I</w:t>
      </w:r>
      <w:r w:rsidR="00B311E7">
        <w:t>l</w:t>
      </w:r>
      <w:r w:rsidR="002912EB" w:rsidRPr="002912EB">
        <w:t xml:space="preserve"> picco della seconda ondata per i ricoverati con sintomi è stato raggiunto il 23 novembre (</w:t>
      </w:r>
      <w:r>
        <w:t xml:space="preserve">n. </w:t>
      </w:r>
      <w:r w:rsidR="002912EB" w:rsidRPr="002912EB">
        <w:t xml:space="preserve">34.697) e </w:t>
      </w:r>
      <w:r w:rsidRPr="002912EB">
        <w:t xml:space="preserve">in 22 giorni </w:t>
      </w:r>
      <w:r>
        <w:t xml:space="preserve">si è </w:t>
      </w:r>
      <w:r w:rsidR="002912EB" w:rsidRPr="002912EB">
        <w:t xml:space="preserve">ridotto del 26,9%, quello delle terapie intensive il 25 novembre (3.848) e </w:t>
      </w:r>
      <w:r w:rsidRPr="002912EB">
        <w:t xml:space="preserve">in 20 giorni </w:t>
      </w:r>
      <w:r>
        <w:t xml:space="preserve">si è </w:t>
      </w:r>
      <w:r w:rsidR="002912EB" w:rsidRPr="002912EB">
        <w:t>ridotto del 28,1%</w:t>
      </w:r>
      <w:r w:rsidR="00EF6C85">
        <w:t xml:space="preserve">. </w:t>
      </w:r>
      <w:r w:rsidR="00560EF8" w:rsidRPr="00C82B51">
        <w:t>«</w:t>
      </w:r>
      <w:r w:rsidR="003F17D0">
        <w:t xml:space="preserve">Peraltro </w:t>
      </w:r>
      <w:r w:rsidR="00C468F6">
        <w:t xml:space="preserve">non è possibile definire </w:t>
      </w:r>
      <w:r w:rsidR="003F17D0">
        <w:t>– prosegue Gili –</w:t>
      </w:r>
      <w:r w:rsidR="00B311E7">
        <w:t xml:space="preserve"> </w:t>
      </w:r>
      <w:r>
        <w:t xml:space="preserve">quanto </w:t>
      </w:r>
      <w:r w:rsidR="00EF6C85" w:rsidRPr="00C82B51">
        <w:t xml:space="preserve">la </w:t>
      </w:r>
      <w:r>
        <w:t xml:space="preserve">ridotta </w:t>
      </w:r>
      <w:r w:rsidR="00EF6C85" w:rsidRPr="00C82B51">
        <w:t xml:space="preserve">pressione su ricoveri e terapie intensive </w:t>
      </w:r>
      <w:r>
        <w:t xml:space="preserve">sia un effetto delle misure di </w:t>
      </w:r>
      <w:r w:rsidR="006F32FE">
        <w:t>contenimento</w:t>
      </w:r>
      <w:r w:rsidR="006F32FE" w:rsidRPr="00C82B51">
        <w:t xml:space="preserve"> </w:t>
      </w:r>
      <w:r>
        <w:t xml:space="preserve">e quanto </w:t>
      </w:r>
      <w:r w:rsidR="00C468F6">
        <w:t>dipenda invece da</w:t>
      </w:r>
      <w:r w:rsidR="004239A7">
        <w:t>ll</w:t>
      </w:r>
      <w:r>
        <w:t xml:space="preserve">’elevato tasso di </w:t>
      </w:r>
      <w:r w:rsidR="004239A7">
        <w:t xml:space="preserve">mortalità </w:t>
      </w:r>
      <w:r>
        <w:t>dei pazienti ospedalizzati</w:t>
      </w:r>
      <w:r w:rsidR="00560EF8" w:rsidRPr="00C82B51">
        <w:rPr>
          <w:rFonts w:cstheme="minorHAnsi"/>
        </w:rPr>
        <w:t>»</w:t>
      </w:r>
      <w:r w:rsidR="00C468F6">
        <w:rPr>
          <w:rFonts w:cstheme="minorHAnsi"/>
        </w:rPr>
        <w:t>.</w:t>
      </w:r>
      <w:r w:rsidR="00EF6C85" w:rsidRPr="00C82B51">
        <w:t xml:space="preserve"> </w:t>
      </w:r>
      <w:r>
        <w:t xml:space="preserve">In ogni caso, </w:t>
      </w:r>
      <w:r w:rsidRPr="00C82B51">
        <w:t xml:space="preserve">la soglia di occupazione </w:t>
      </w:r>
      <w:r w:rsidR="002F265A">
        <w:t xml:space="preserve">da parte di pazienti COVID </w:t>
      </w:r>
      <w:r w:rsidR="00330AF5">
        <w:t xml:space="preserve">supera </w:t>
      </w:r>
      <w:r w:rsidRPr="00C82B51">
        <w:t xml:space="preserve">il 40% nei reparti di area medica in 10 Regioni e </w:t>
      </w:r>
      <w:r>
        <w:t>oltre il</w:t>
      </w:r>
      <w:r w:rsidRPr="00C82B51">
        <w:t xml:space="preserve"> 30% nelle terapie intensive in 14 Regioni </w:t>
      </w:r>
      <w:r w:rsidR="00EF6C85" w:rsidRPr="00C82B51">
        <w:t>(</w:t>
      </w:r>
      <w:r w:rsidR="00556568">
        <w:rPr>
          <w:highlight w:val="yellow"/>
        </w:rPr>
        <w:t xml:space="preserve">figure 2 </w:t>
      </w:r>
      <w:r w:rsidR="00556568" w:rsidRPr="00556568">
        <w:rPr>
          <w:highlight w:val="yellow"/>
        </w:rPr>
        <w:t>e 3</w:t>
      </w:r>
      <w:r w:rsidR="00EF6C85" w:rsidRPr="00C82B51">
        <w:t>)</w:t>
      </w:r>
      <w:r w:rsidR="00EF6C85" w:rsidRPr="00C82B51">
        <w:rPr>
          <w:rFonts w:cstheme="minorHAnsi"/>
        </w:rPr>
        <w:t>.</w:t>
      </w:r>
      <w:r w:rsidR="00C45E24">
        <w:rPr>
          <w:rFonts w:cstheme="minorHAnsi"/>
        </w:rPr>
        <w:t xml:space="preserve"> </w:t>
      </w:r>
    </w:p>
    <w:p w:rsidR="004A23C7" w:rsidRDefault="00C45E24" w:rsidP="00823636">
      <w:pPr>
        <w:jc w:val="both"/>
        <w:rPr>
          <w:rFonts w:cstheme="minorHAnsi"/>
        </w:rPr>
      </w:pPr>
      <w:r>
        <w:rPr>
          <w:rFonts w:cstheme="minorHAnsi"/>
        </w:rPr>
        <w:t>I</w:t>
      </w:r>
      <w:r w:rsidR="004A23C7">
        <w:rPr>
          <w:rFonts w:cstheme="minorHAnsi"/>
        </w:rPr>
        <w:t xml:space="preserve">nfine, </w:t>
      </w:r>
      <w:r w:rsidR="00330AF5">
        <w:rPr>
          <w:rFonts w:cstheme="minorHAnsi"/>
        </w:rPr>
        <w:t xml:space="preserve">continua </w:t>
      </w:r>
      <w:r w:rsidR="001C4387">
        <w:rPr>
          <w:rFonts w:cstheme="minorHAnsi"/>
        </w:rPr>
        <w:t xml:space="preserve">inesorabilmente </w:t>
      </w:r>
      <w:r w:rsidR="00330AF5">
        <w:rPr>
          <w:rFonts w:cstheme="minorHAnsi"/>
        </w:rPr>
        <w:t xml:space="preserve">a </w:t>
      </w:r>
      <w:r w:rsidR="00E72B7D">
        <w:rPr>
          <w:rFonts w:cstheme="minorHAnsi"/>
        </w:rPr>
        <w:t>salire</w:t>
      </w:r>
      <w:r w:rsidR="00330AF5">
        <w:rPr>
          <w:rFonts w:cstheme="minorHAnsi"/>
        </w:rPr>
        <w:t xml:space="preserve"> </w:t>
      </w:r>
      <w:r w:rsidR="004A23C7">
        <w:rPr>
          <w:rFonts w:cstheme="minorHAnsi"/>
        </w:rPr>
        <w:t xml:space="preserve">il </w:t>
      </w:r>
      <w:r>
        <w:rPr>
          <w:rFonts w:cstheme="minorHAnsi"/>
        </w:rPr>
        <w:t>numero dei decessi</w:t>
      </w:r>
      <w:r w:rsidR="004239A7">
        <w:rPr>
          <w:rFonts w:cstheme="minorHAnsi"/>
        </w:rPr>
        <w:t xml:space="preserve">: </w:t>
      </w:r>
      <w:r w:rsidR="004239A7">
        <w:t xml:space="preserve">4.617 morti </w:t>
      </w:r>
      <w:r>
        <w:rPr>
          <w:rFonts w:cstheme="minorHAnsi"/>
        </w:rPr>
        <w:t>nell’ultima settimana</w:t>
      </w:r>
      <w:r w:rsidR="004A23C7">
        <w:rPr>
          <w:rFonts w:cstheme="minorHAnsi"/>
        </w:rPr>
        <w:t xml:space="preserve">, </w:t>
      </w:r>
      <w:r w:rsidR="0061160A">
        <w:t>oltre</w:t>
      </w:r>
      <w:r w:rsidR="004A23C7">
        <w:t xml:space="preserve"> 20.000 nell’ultimo mese</w:t>
      </w:r>
      <w:r w:rsidR="004A23C7">
        <w:rPr>
          <w:rFonts w:cstheme="minorHAnsi"/>
        </w:rPr>
        <w:t xml:space="preserve"> e</w:t>
      </w:r>
      <w:r w:rsidR="0061160A">
        <w:rPr>
          <w:rFonts w:cstheme="minorHAnsi"/>
        </w:rPr>
        <w:t xml:space="preserve"> più di </w:t>
      </w:r>
      <w:r w:rsidR="001B403F">
        <w:t>31</w:t>
      </w:r>
      <w:r w:rsidR="00B95366">
        <w:t xml:space="preserve">.000 </w:t>
      </w:r>
      <w:r w:rsidR="004A23C7">
        <w:t>quelli della seconda ondata dal 1 settembre</w:t>
      </w:r>
      <w:r w:rsidR="00C048C9">
        <w:t xml:space="preserve"> </w:t>
      </w:r>
      <w:r w:rsidR="002902B5" w:rsidRPr="00C82B51">
        <w:rPr>
          <w:rFonts w:cstheme="minorHAnsi"/>
        </w:rPr>
        <w:t>(</w:t>
      </w:r>
      <w:r w:rsidR="00556568">
        <w:rPr>
          <w:rFonts w:cstheme="minorHAnsi"/>
          <w:highlight w:val="yellow"/>
        </w:rPr>
        <w:t xml:space="preserve">figura </w:t>
      </w:r>
      <w:r w:rsidR="00556568" w:rsidRPr="00556568">
        <w:rPr>
          <w:rFonts w:cstheme="minorHAnsi"/>
          <w:highlight w:val="yellow"/>
        </w:rPr>
        <w:t>4</w:t>
      </w:r>
      <w:r w:rsidR="002912EB">
        <w:rPr>
          <w:rFonts w:cstheme="minorHAnsi"/>
        </w:rPr>
        <w:t>).</w:t>
      </w:r>
      <w:r w:rsidR="00C048C9">
        <w:rPr>
          <w:rFonts w:cstheme="minorHAnsi"/>
        </w:rPr>
        <w:t xml:space="preserve"> </w:t>
      </w:r>
      <w:r w:rsidR="00330AF5">
        <w:rPr>
          <w:rFonts w:cstheme="minorHAnsi"/>
        </w:rPr>
        <w:t>Questi n</w:t>
      </w:r>
      <w:r w:rsidR="002F757F">
        <w:rPr>
          <w:rFonts w:cstheme="minorHAnsi"/>
        </w:rPr>
        <w:t>umeri</w:t>
      </w:r>
      <w:r w:rsidR="0089039D">
        <w:rPr>
          <w:rFonts w:cstheme="minorHAnsi"/>
        </w:rPr>
        <w:t xml:space="preserve"> - </w:t>
      </w:r>
      <w:r w:rsidR="002F757F">
        <w:rPr>
          <w:rFonts w:cstheme="minorHAnsi"/>
        </w:rPr>
        <w:t>che</w:t>
      </w:r>
      <w:r w:rsidR="0010669B">
        <w:rPr>
          <w:rFonts w:cstheme="minorHAnsi"/>
        </w:rPr>
        <w:t xml:space="preserve"> catapultano</w:t>
      </w:r>
      <w:r w:rsidR="002F757F">
        <w:rPr>
          <w:rFonts w:cstheme="minorHAnsi"/>
        </w:rPr>
        <w:t xml:space="preserve"> </w:t>
      </w:r>
      <w:r w:rsidR="004A23C7">
        <w:rPr>
          <w:rFonts w:cstheme="minorHAnsi"/>
        </w:rPr>
        <w:t xml:space="preserve">l’Italia al primo posto </w:t>
      </w:r>
      <w:r w:rsidR="002F757F">
        <w:rPr>
          <w:rFonts w:cstheme="minorHAnsi"/>
        </w:rPr>
        <w:t xml:space="preserve">in Europa per decessi </w:t>
      </w:r>
      <w:r w:rsidR="001B403F">
        <w:rPr>
          <w:rFonts w:cstheme="minorHAnsi"/>
        </w:rPr>
        <w:t xml:space="preserve">totali </w:t>
      </w:r>
      <w:r w:rsidR="00340D96">
        <w:rPr>
          <w:rFonts w:cstheme="minorHAnsi"/>
        </w:rPr>
        <w:t xml:space="preserve">da </w:t>
      </w:r>
      <w:r w:rsidR="002F757F">
        <w:rPr>
          <w:rFonts w:cstheme="minorHAnsi"/>
        </w:rPr>
        <w:t>COVID-19 (n.</w:t>
      </w:r>
      <w:r w:rsidR="001C4387">
        <w:rPr>
          <w:rFonts w:cstheme="minorHAnsi"/>
        </w:rPr>
        <w:t xml:space="preserve"> </w:t>
      </w:r>
      <w:r w:rsidR="002F757F">
        <w:t xml:space="preserve">65.857) </w:t>
      </w:r>
      <w:r w:rsidR="0089039D">
        <w:t>e</w:t>
      </w:r>
      <w:r w:rsidR="002F757F">
        <w:t xml:space="preserve"> per tasso di letalità (3,5%)</w:t>
      </w:r>
      <w:r w:rsidR="0089039D">
        <w:t xml:space="preserve"> -</w:t>
      </w:r>
      <w:r w:rsidR="001B403F">
        <w:t xml:space="preserve"> </w:t>
      </w:r>
      <w:r w:rsidR="002F757F">
        <w:rPr>
          <w:rFonts w:cstheme="minorHAnsi"/>
        </w:rPr>
        <w:t xml:space="preserve">stridono </w:t>
      </w:r>
      <w:r w:rsidR="0089039D">
        <w:rPr>
          <w:rFonts w:cstheme="minorHAnsi"/>
        </w:rPr>
        <w:t xml:space="preserve">molto </w:t>
      </w:r>
      <w:r w:rsidR="00330AF5">
        <w:rPr>
          <w:rFonts w:cstheme="minorHAnsi"/>
        </w:rPr>
        <w:t xml:space="preserve">con </w:t>
      </w:r>
      <w:r w:rsidR="002F757F">
        <w:rPr>
          <w:rFonts w:cstheme="minorHAnsi"/>
        </w:rPr>
        <w:t xml:space="preserve">le </w:t>
      </w:r>
      <w:r w:rsidR="001C4387">
        <w:rPr>
          <w:rFonts w:cstheme="minorHAnsi"/>
        </w:rPr>
        <w:t xml:space="preserve">parole </w:t>
      </w:r>
      <w:r w:rsidR="002F757F">
        <w:t>del premier Conte secondo cui “</w:t>
      </w:r>
      <w:r w:rsidR="002F757F" w:rsidRPr="004A23C7">
        <w:rPr>
          <w:i/>
        </w:rPr>
        <w:t>Con misure calibrate e ben circoscritte stiamo reggendo bene questa seconda ondata</w:t>
      </w:r>
      <w:r w:rsidR="002F757F">
        <w:t>”.</w:t>
      </w:r>
    </w:p>
    <w:p w:rsidR="002452AE" w:rsidRDefault="00C048C9" w:rsidP="00823636">
      <w:pPr>
        <w:jc w:val="both"/>
      </w:pPr>
      <w:r w:rsidRPr="00C82B51">
        <w:t>«</w:t>
      </w:r>
      <w:r w:rsidR="002F757F">
        <w:t xml:space="preserve">Nell’imminenza delle festività natalizie </w:t>
      </w:r>
      <w:r w:rsidR="00F8092D">
        <w:t xml:space="preserve">– </w:t>
      </w:r>
      <w:r w:rsidR="002F757F">
        <w:t xml:space="preserve">continua </w:t>
      </w:r>
      <w:r w:rsidR="00F8092D">
        <w:t>Cartabellotta –</w:t>
      </w:r>
      <w:r w:rsidR="002F757F">
        <w:t xml:space="preserve"> </w:t>
      </w:r>
      <w:r w:rsidR="00424E39">
        <w:t>a fronte di dati</w:t>
      </w:r>
      <w:r w:rsidR="002F757F">
        <w:t xml:space="preserve"> tutt’altro che tranquillizzanti, le (in)decisioni politiche continuano ad essere condizionate </w:t>
      </w:r>
      <w:r w:rsidR="001B403F">
        <w:t xml:space="preserve">conflitti </w:t>
      </w:r>
      <w:r w:rsidR="00424E39">
        <w:t>istituzionali</w:t>
      </w:r>
      <w:r w:rsidR="00A22980">
        <w:t>,</w:t>
      </w:r>
      <w:r w:rsidR="001B403F">
        <w:t xml:space="preserve"> </w:t>
      </w:r>
      <w:r w:rsidR="002F757F">
        <w:t>compromessi</w:t>
      </w:r>
      <w:r w:rsidR="001B403F">
        <w:t xml:space="preserve"> partitici</w:t>
      </w:r>
      <w:r w:rsidR="00A22980">
        <w:t xml:space="preserve"> e reazioni emotive</w:t>
      </w:r>
      <w:r w:rsidR="002F757F">
        <w:t xml:space="preserve">, </w:t>
      </w:r>
      <w:r w:rsidR="001B403F">
        <w:t xml:space="preserve">piuttosto che essere informate </w:t>
      </w:r>
      <w:r w:rsidR="002F757F">
        <w:t xml:space="preserve">da un piano </w:t>
      </w:r>
      <w:r w:rsidR="00A33B90">
        <w:t>stra</w:t>
      </w:r>
      <w:r w:rsidR="00562045">
        <w:t>t</w:t>
      </w:r>
      <w:r w:rsidR="00A33B90">
        <w:t>e</w:t>
      </w:r>
      <w:r w:rsidR="00562045">
        <w:t>gico</w:t>
      </w:r>
      <w:r w:rsidR="002F757F">
        <w:t xml:space="preserve"> per tutelare la salute, </w:t>
      </w:r>
      <w:r w:rsidR="00330AF5">
        <w:t xml:space="preserve">sostenere concretamente </w:t>
      </w:r>
      <w:r w:rsidR="002F757F">
        <w:t xml:space="preserve">l’economia e </w:t>
      </w:r>
      <w:r w:rsidR="00EC24A2">
        <w:t xml:space="preserve">gestire </w:t>
      </w:r>
      <w:r w:rsidR="00562045">
        <w:t xml:space="preserve">le conseguenze </w:t>
      </w:r>
      <w:r w:rsidR="002F757F">
        <w:t>sociali della pandemia</w:t>
      </w:r>
      <w:r w:rsidR="00824AC7" w:rsidRPr="00824AC7">
        <w:t>»</w:t>
      </w:r>
      <w:r w:rsidR="00824AC7">
        <w:t>.</w:t>
      </w:r>
      <w:r w:rsidR="001B403F">
        <w:t xml:space="preserve"> </w:t>
      </w:r>
      <w:r w:rsidR="001B403F">
        <w:rPr>
          <w:rFonts w:cstheme="minorHAnsi"/>
        </w:rPr>
        <w:t>In altre parole, se è doveroso</w:t>
      </w:r>
      <w:r w:rsidR="00562045">
        <w:rPr>
          <w:rFonts w:cstheme="minorHAnsi"/>
        </w:rPr>
        <w:t xml:space="preserve"> il continuo</w:t>
      </w:r>
      <w:r w:rsidR="001B403F">
        <w:rPr>
          <w:rFonts w:cstheme="minorHAnsi"/>
        </w:rPr>
        <w:t xml:space="preserve"> appello alla responsabilità civica delle persone </w:t>
      </w:r>
      <w:r w:rsidR="00152E78">
        <w:rPr>
          <w:rFonts w:cstheme="minorHAnsi"/>
        </w:rPr>
        <w:t xml:space="preserve">chiamate a non </w:t>
      </w:r>
      <w:r w:rsidR="00F57BEC" w:rsidRPr="00C45E24">
        <w:t>abbassare la guardia</w:t>
      </w:r>
      <w:r w:rsidR="00A33B90">
        <w:t xml:space="preserve"> in alcun modo</w:t>
      </w:r>
      <w:r w:rsidR="001B403F" w:rsidRPr="00EC24A2">
        <w:t xml:space="preserve">, </w:t>
      </w:r>
      <w:r w:rsidR="004B40F7" w:rsidRPr="0010669B">
        <w:t>Governo e Regioni</w:t>
      </w:r>
      <w:r w:rsidR="001B403F" w:rsidRPr="0010669B">
        <w:t xml:space="preserve"> </w:t>
      </w:r>
      <w:r w:rsidR="001B403F" w:rsidRPr="00EC24A2">
        <w:t xml:space="preserve">devono </w:t>
      </w:r>
      <w:r w:rsidR="00152E78">
        <w:t xml:space="preserve">ammettere </w:t>
      </w:r>
      <w:r w:rsidR="001B403F">
        <w:t>che</w:t>
      </w:r>
      <w:r w:rsidR="00152E78">
        <w:t>,</w:t>
      </w:r>
      <w:r w:rsidR="001B403F">
        <w:t xml:space="preserve"> dopo </w:t>
      </w:r>
      <w:r w:rsidR="00562045">
        <w:t xml:space="preserve">gli estenuanti tentennamenti </w:t>
      </w:r>
      <w:r w:rsidR="001B403F">
        <w:t xml:space="preserve">di ottobre nell’introdurre </w:t>
      </w:r>
      <w:r w:rsidR="004B40F7" w:rsidRPr="00C45E24">
        <w:t xml:space="preserve">le </w:t>
      </w:r>
      <w:r w:rsidR="001B403F">
        <w:t>restrizioni</w:t>
      </w:r>
      <w:r w:rsidR="004B40F7" w:rsidRPr="00C45E24">
        <w:t xml:space="preserve">, </w:t>
      </w:r>
      <w:r w:rsidR="00216C7A">
        <w:t xml:space="preserve">le hanno </w:t>
      </w:r>
      <w:r w:rsidR="001B403F">
        <w:t xml:space="preserve">poi </w:t>
      </w:r>
      <w:r w:rsidR="00216C7A">
        <w:t xml:space="preserve">allentate </w:t>
      </w:r>
      <w:r w:rsidR="00A33B90">
        <w:t>troppo frettolosamente,</w:t>
      </w:r>
      <w:r w:rsidR="001B403F">
        <w:t xml:space="preserve"> senza attendere </w:t>
      </w:r>
      <w:r w:rsidR="00A33B90">
        <w:t xml:space="preserve">una flessione significativa dei contagi, </w:t>
      </w:r>
      <w:r w:rsidR="001B403F">
        <w:t xml:space="preserve">né un </w:t>
      </w:r>
      <w:r w:rsidR="0089039D">
        <w:t>consistente</w:t>
      </w:r>
      <w:r w:rsidR="00EC24A2">
        <w:t xml:space="preserve"> </w:t>
      </w:r>
      <w:r w:rsidR="001B403F">
        <w:t>svuotamento degli ospedali.</w:t>
      </w:r>
    </w:p>
    <w:p w:rsidR="002452AE" w:rsidRDefault="004B40F7" w:rsidP="00823636">
      <w:pPr>
        <w:jc w:val="both"/>
      </w:pPr>
      <w:r w:rsidRPr="00C82B51">
        <w:t>«</w:t>
      </w:r>
      <w:r w:rsidR="00553DB5">
        <w:t xml:space="preserve">In questo </w:t>
      </w:r>
      <w:r w:rsidR="00330AF5">
        <w:t>scenario</w:t>
      </w:r>
      <w:r w:rsidR="00553DB5">
        <w:t xml:space="preserve"> </w:t>
      </w:r>
      <w:r>
        <w:t xml:space="preserve">– conclude </w:t>
      </w:r>
      <w:r w:rsidR="002452AE">
        <w:t xml:space="preserve">Cartabellotta </w:t>
      </w:r>
      <w:r>
        <w:t>–</w:t>
      </w:r>
      <w:r w:rsidR="002452AE">
        <w:t xml:space="preserve"> </w:t>
      </w:r>
      <w:r w:rsidR="003264A1">
        <w:t xml:space="preserve">la serrata di Natale è </w:t>
      </w:r>
      <w:r w:rsidR="002452AE">
        <w:t>l’unica possibilità per non affacciarsi al nuovo anno con ospedali ancora saturi</w:t>
      </w:r>
      <w:r w:rsidR="004908D9">
        <w:t xml:space="preserve"> e</w:t>
      </w:r>
      <w:r w:rsidR="00553DB5">
        <w:t xml:space="preserve"> servizi sanitari che rischiano di andare in tilt per</w:t>
      </w:r>
      <w:r w:rsidR="002452AE">
        <w:t xml:space="preserve"> </w:t>
      </w:r>
      <w:r w:rsidR="0061160A">
        <w:t xml:space="preserve">la </w:t>
      </w:r>
      <w:r w:rsidR="00553DB5">
        <w:t>coincidenza tr</w:t>
      </w:r>
      <w:r w:rsidR="00425F9F">
        <w:t>a</w:t>
      </w:r>
      <w:r w:rsidR="00553DB5">
        <w:t xml:space="preserve"> </w:t>
      </w:r>
      <w:r w:rsidR="002452AE">
        <w:t>riapertura delle scuole, picco dell’influenza e avvio della campagna di vaccinazione anti-COVID</w:t>
      </w:r>
      <w:r w:rsidR="0061160A">
        <w:t xml:space="preserve">. </w:t>
      </w:r>
      <w:r w:rsidR="00425F9F">
        <w:t xml:space="preserve">Non è più il tempo di giocare con i colori </w:t>
      </w:r>
      <w:r w:rsidR="00B77E0F">
        <w:t>disorientando la popolazione, ormai stremata</w:t>
      </w:r>
      <w:r w:rsidR="004040B5">
        <w:t xml:space="preserve"> psicologicamente ed economicamente dal continuo </w:t>
      </w:r>
      <w:r w:rsidR="00330AF5">
        <w:t>e imprevedibile tira e molla</w:t>
      </w:r>
      <w:r w:rsidR="00334609">
        <w:t xml:space="preserve"> sino all’ultimo minuto</w:t>
      </w:r>
      <w:r w:rsidR="004040B5">
        <w:t xml:space="preserve">: Governo </w:t>
      </w:r>
      <w:r w:rsidR="00844492">
        <w:t xml:space="preserve">e Regioni non </w:t>
      </w:r>
      <w:r w:rsidR="0089039D">
        <w:t xml:space="preserve">possono limitarsi a </w:t>
      </w:r>
      <w:r w:rsidR="004040B5">
        <w:t xml:space="preserve">temere la </w:t>
      </w:r>
      <w:r w:rsidR="00844492">
        <w:t>terza</w:t>
      </w:r>
      <w:r w:rsidR="004040B5">
        <w:t xml:space="preserve"> ondata, </w:t>
      </w:r>
      <w:r w:rsidR="00844492">
        <w:t xml:space="preserve">devono </w:t>
      </w:r>
      <w:r w:rsidR="0089039D">
        <w:t>arginarla</w:t>
      </w:r>
      <w:r w:rsidR="00F34B0D" w:rsidRPr="00824AC7">
        <w:t>»</w:t>
      </w:r>
      <w:r w:rsidR="00F34B0D">
        <w:t>.</w:t>
      </w:r>
    </w:p>
    <w:p w:rsidR="002B4AAD" w:rsidRDefault="005127EB" w:rsidP="00031A14">
      <w:pPr>
        <w:spacing w:after="120"/>
        <w:rPr>
          <w:rStyle w:val="Collegamentoipertestuale"/>
          <w:rFonts w:cstheme="minorHAnsi"/>
          <w:i/>
          <w:color w:val="auto"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497C09">
          <w:rPr>
            <w:rStyle w:val="Collegamentoipertestuale"/>
            <w:rFonts w:cstheme="minorHAnsi"/>
            <w:i/>
            <w:color w:val="auto"/>
          </w:rPr>
          <w:t>https://coronavirus.gimbe.org</w:t>
        </w:r>
      </w:hyperlink>
    </w:p>
    <w:p w:rsidR="0010669B" w:rsidRDefault="0010669B" w:rsidP="0010669B">
      <w:pPr>
        <w:jc w:val="center"/>
        <w:rPr>
          <w:b/>
          <w:bCs/>
        </w:rPr>
      </w:pPr>
    </w:p>
    <w:p w:rsidR="001C4387" w:rsidRPr="0010669B" w:rsidRDefault="00EF3666" w:rsidP="0010669B">
      <w:pPr>
        <w:jc w:val="center"/>
        <w:rPr>
          <w:b/>
          <w:bCs/>
        </w:rPr>
      </w:pPr>
      <w:r w:rsidRPr="0010669B">
        <w:rPr>
          <w:b/>
          <w:bCs/>
        </w:rPr>
        <w:t>IL PROSSIMO MONITORAGGIO GIMBE SARÀ PUBBLICATO MERCOLEDÌ 23 DICEMBRE 2020</w:t>
      </w:r>
    </w:p>
    <w:p w:rsidR="0010669B" w:rsidRDefault="0010669B" w:rsidP="00C34C83">
      <w:pPr>
        <w:spacing w:after="120"/>
        <w:rPr>
          <w:rFonts w:ascii="Calibri" w:eastAsia="Calibri" w:hAnsi="Calibri" w:cs="Times New Roman"/>
          <w:b/>
          <w:bCs/>
        </w:rPr>
      </w:pPr>
    </w:p>
    <w:p w:rsidR="00BC6293" w:rsidRDefault="005127EB" w:rsidP="00C34C83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</w:rPr>
        <w:br/>
      </w:r>
      <w:r w:rsidRPr="00A24080">
        <w:rPr>
          <w:b/>
        </w:rPr>
        <w:t>Fondazione GIMBE</w:t>
      </w:r>
      <w:r w:rsidR="00B71DD4">
        <w:rPr>
          <w:rFonts w:cstheme="minorHAnsi"/>
          <w:i/>
          <w:color w:val="0000FF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95349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2B4AA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F34B0D" w:rsidRDefault="00F34B0D" w:rsidP="00C34C83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</w:p>
    <w:p w:rsidR="00F34B0D" w:rsidRDefault="00F34B0D" w:rsidP="00C34C83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</w:p>
    <w:p w:rsidR="00383D9D" w:rsidRPr="00844492" w:rsidRDefault="009440B2" w:rsidP="00844492">
      <w:pPr>
        <w:jc w:val="center"/>
        <w:rPr>
          <w:b/>
          <w:color w:val="1F497D" w:themeColor="text2"/>
          <w:sz w:val="24"/>
        </w:rPr>
      </w:pPr>
      <w:r w:rsidRPr="00057843">
        <w:rPr>
          <w:b/>
          <w:color w:val="1F497D" w:themeColor="text2"/>
          <w:sz w:val="24"/>
        </w:rPr>
        <w:lastRenderedPageBreak/>
        <w:t>Figura 1</w:t>
      </w:r>
      <w:r w:rsidR="00844492">
        <w:rPr>
          <w:b/>
          <w:color w:val="1F497D" w:themeColor="text2"/>
          <w:sz w:val="24"/>
        </w:rPr>
        <w:br/>
      </w:r>
      <w:r w:rsidR="00844492">
        <w:rPr>
          <w:noProof/>
        </w:rPr>
        <w:drawing>
          <wp:inline distT="0" distB="0" distL="0" distR="0" wp14:anchorId="31B12FF2" wp14:editId="75891ADF">
            <wp:extent cx="6120130" cy="334176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4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0B6" w:rsidRDefault="003B60B6" w:rsidP="00993455">
      <w:pPr>
        <w:spacing w:after="0" w:line="240" w:lineRule="auto"/>
        <w:rPr>
          <w:b/>
          <w:color w:val="FF0000"/>
          <w:sz w:val="24"/>
        </w:rPr>
      </w:pPr>
    </w:p>
    <w:p w:rsidR="003B4BF3" w:rsidRDefault="003B60B6" w:rsidP="003B60B6">
      <w:pPr>
        <w:jc w:val="center"/>
        <w:rPr>
          <w:b/>
          <w:color w:val="1F497D" w:themeColor="text2"/>
          <w:sz w:val="24"/>
        </w:rPr>
      </w:pPr>
      <w:r w:rsidRPr="00057843">
        <w:rPr>
          <w:b/>
          <w:color w:val="1F497D" w:themeColor="text2"/>
          <w:sz w:val="24"/>
        </w:rPr>
        <w:t xml:space="preserve">Figura </w:t>
      </w:r>
      <w:r w:rsidR="00C249FA">
        <w:rPr>
          <w:b/>
          <w:color w:val="1F497D" w:themeColor="text2"/>
          <w:sz w:val="24"/>
        </w:rPr>
        <w:t>2</w:t>
      </w:r>
    </w:p>
    <w:p w:rsidR="00CF35E2" w:rsidRPr="00E33365" w:rsidRDefault="00C82B51" w:rsidP="00E33365">
      <w:pPr>
        <w:spacing w:after="0" w:line="240" w:lineRule="auto"/>
        <w:jc w:val="center"/>
        <w:rPr>
          <w:b/>
          <w:color w:val="FF0000"/>
          <w:sz w:val="24"/>
        </w:rPr>
      </w:pPr>
      <w:r>
        <w:rPr>
          <w:b/>
          <w:noProof/>
          <w:color w:val="FF0000"/>
          <w:sz w:val="24"/>
        </w:rPr>
        <w:drawing>
          <wp:inline distT="0" distB="0" distL="0" distR="0" wp14:anchorId="27D8D38D" wp14:editId="4438897C">
            <wp:extent cx="5040000" cy="475285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47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B51" w:rsidRDefault="00C82B51" w:rsidP="00F041DE">
      <w:pPr>
        <w:spacing w:after="0" w:line="240" w:lineRule="auto"/>
        <w:jc w:val="center"/>
        <w:rPr>
          <w:b/>
          <w:color w:val="00457D"/>
          <w:sz w:val="24"/>
        </w:rPr>
      </w:pPr>
    </w:p>
    <w:p w:rsidR="003B4BF3" w:rsidRPr="00C82B51" w:rsidRDefault="00667A0A" w:rsidP="00F041DE">
      <w:pPr>
        <w:spacing w:after="0" w:line="240" w:lineRule="auto"/>
        <w:jc w:val="center"/>
        <w:rPr>
          <w:b/>
          <w:color w:val="00457D"/>
          <w:sz w:val="12"/>
          <w:szCs w:val="12"/>
        </w:rPr>
      </w:pPr>
      <w:r w:rsidRPr="00C249FA">
        <w:rPr>
          <w:b/>
          <w:color w:val="00457D"/>
          <w:sz w:val="24"/>
        </w:rPr>
        <w:lastRenderedPageBreak/>
        <w:t xml:space="preserve">Figura </w:t>
      </w:r>
      <w:r w:rsidR="00556568">
        <w:rPr>
          <w:b/>
          <w:color w:val="00457D"/>
          <w:sz w:val="24"/>
        </w:rPr>
        <w:t>3</w:t>
      </w:r>
      <w:r w:rsidR="003B4BF3">
        <w:rPr>
          <w:b/>
          <w:color w:val="00457D"/>
          <w:sz w:val="24"/>
        </w:rPr>
        <w:br/>
      </w:r>
    </w:p>
    <w:p w:rsidR="00C82B51" w:rsidRDefault="00C82B51" w:rsidP="00F041DE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noProof/>
          <w:color w:val="1F497D" w:themeColor="text2"/>
          <w:sz w:val="24"/>
        </w:rPr>
        <w:drawing>
          <wp:inline distT="0" distB="0" distL="0" distR="0" wp14:anchorId="47FF3BE7" wp14:editId="25A9EF4D">
            <wp:extent cx="5040000" cy="4928025"/>
            <wp:effectExtent l="0" t="0" r="8255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492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1DE" w:rsidRDefault="00F041DE" w:rsidP="00E33365">
      <w:pPr>
        <w:spacing w:after="0" w:line="240" w:lineRule="auto"/>
        <w:rPr>
          <w:b/>
          <w:sz w:val="24"/>
        </w:rPr>
      </w:pPr>
    </w:p>
    <w:p w:rsidR="00F041DE" w:rsidRDefault="00F041DE" w:rsidP="009440B2">
      <w:pPr>
        <w:rPr>
          <w:b/>
          <w:sz w:val="24"/>
        </w:rPr>
      </w:pPr>
    </w:p>
    <w:p w:rsidR="00A450AD" w:rsidRDefault="00A450AD" w:rsidP="009440B2">
      <w:pPr>
        <w:rPr>
          <w:b/>
          <w:sz w:val="24"/>
        </w:rPr>
        <w:sectPr w:rsidR="00A450AD" w:rsidSect="00F64432">
          <w:headerReference w:type="default" r:id="rId13"/>
          <w:footerReference w:type="default" r:id="rId14"/>
          <w:footnotePr>
            <w:numFmt w:val="chicago"/>
          </w:footnotePr>
          <w:type w:val="continuous"/>
          <w:pgSz w:w="11906" w:h="16838"/>
          <w:pgMar w:top="993" w:right="1134" w:bottom="709" w:left="1134" w:header="709" w:footer="836" w:gutter="0"/>
          <w:cols w:space="708"/>
          <w:docGrid w:linePitch="360"/>
        </w:sectPr>
      </w:pPr>
    </w:p>
    <w:p w:rsidR="00180E36" w:rsidRDefault="00B5790F" w:rsidP="00F10847">
      <w:pPr>
        <w:spacing w:after="0" w:line="360" w:lineRule="auto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lastRenderedPageBreak/>
        <w:t xml:space="preserve">Figura </w:t>
      </w:r>
      <w:r w:rsidR="00556568">
        <w:rPr>
          <w:b/>
          <w:color w:val="1F497D" w:themeColor="text2"/>
          <w:sz w:val="24"/>
        </w:rPr>
        <w:t>4</w:t>
      </w:r>
    </w:p>
    <w:p w:rsidR="00571ED4" w:rsidRDefault="00844492" w:rsidP="00F10847">
      <w:pPr>
        <w:spacing w:after="0" w:line="360" w:lineRule="auto"/>
        <w:jc w:val="center"/>
        <w:rPr>
          <w:b/>
          <w:color w:val="FF0000"/>
          <w:sz w:val="24"/>
        </w:rPr>
      </w:pPr>
      <w:r>
        <w:rPr>
          <w:noProof/>
        </w:rPr>
        <w:drawing>
          <wp:inline distT="0" distB="0" distL="0" distR="0" wp14:anchorId="034E2369" wp14:editId="67B11CBA">
            <wp:extent cx="9000000" cy="470938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470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B51" w:rsidRPr="00051CB3" w:rsidRDefault="00F10847" w:rsidP="00C82B51">
      <w:pPr>
        <w:spacing w:after="0" w:line="360" w:lineRule="auto"/>
        <w:jc w:val="center"/>
        <w:rPr>
          <w:b/>
          <w:sz w:val="2"/>
          <w:szCs w:val="2"/>
        </w:rPr>
      </w:pPr>
      <w:r>
        <w:rPr>
          <w:b/>
          <w:sz w:val="24"/>
        </w:rPr>
        <w:br w:type="page"/>
      </w:r>
      <w:r w:rsidR="00C82B51" w:rsidRPr="00051CB3">
        <w:rPr>
          <w:b/>
          <w:sz w:val="24"/>
        </w:rPr>
        <w:lastRenderedPageBreak/>
        <w:t>Tabella. Indicatori regionali settimana 9-15 dicembre</w:t>
      </w:r>
    </w:p>
    <w:p w:rsidR="00C82B51" w:rsidRDefault="00C82B51" w:rsidP="00C82B51">
      <w:pPr>
        <w:spacing w:after="0" w:line="240" w:lineRule="auto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2151"/>
        <w:gridCol w:w="1574"/>
        <w:gridCol w:w="2006"/>
        <w:gridCol w:w="1718"/>
        <w:gridCol w:w="2436"/>
        <w:gridCol w:w="2257"/>
      </w:tblGrid>
      <w:tr w:rsidR="00C82B51" w:rsidRPr="002E195A" w:rsidTr="001C57EA">
        <w:trPr>
          <w:trHeight w:val="850"/>
        </w:trPr>
        <w:tc>
          <w:tcPr>
            <w:tcW w:w="873" w:type="pct"/>
            <w:tcBorders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b/>
                <w:sz w:val="2"/>
                <w:szCs w:val="2"/>
              </w:rPr>
              <w:br w:type="page"/>
            </w:r>
            <w:r w:rsidRPr="002E195A">
              <w:rPr>
                <w:rFonts w:ascii="Calibri" w:eastAsia="Times New Roman" w:hAnsi="Calibri" w:cs="Calibri"/>
                <w:b/>
                <w:bCs/>
                <w:color w:val="FFFFFF"/>
              </w:rPr>
              <w:t>Regione</w:t>
            </w:r>
          </w:p>
        </w:tc>
        <w:tc>
          <w:tcPr>
            <w:tcW w:w="73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 xml:space="preserve">Casi attualmente positivi per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br/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>100.000 abitanti</w:t>
            </w:r>
          </w:p>
        </w:tc>
        <w:tc>
          <w:tcPr>
            <w:tcW w:w="5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Incremento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% casi</w:t>
            </w:r>
          </w:p>
        </w:tc>
        <w:tc>
          <w:tcPr>
            <w:tcW w:w="68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Casi testati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per 100.000 abitanti</w:t>
            </w:r>
          </w:p>
        </w:tc>
        <w:tc>
          <w:tcPr>
            <w:tcW w:w="58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>Rapporto positivi/casi testati</w:t>
            </w:r>
          </w:p>
        </w:tc>
        <w:tc>
          <w:tcPr>
            <w:tcW w:w="82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osti letto in area medica occupati da pazienti COVID−19</w:t>
            </w:r>
          </w:p>
        </w:tc>
        <w:tc>
          <w:tcPr>
            <w:tcW w:w="767" w:type="pct"/>
            <w:tcBorders>
              <w:left w:val="single" w:sz="4" w:space="0" w:color="FFFFFF" w:themeColor="background1"/>
            </w:tcBorders>
            <w:shd w:val="clear" w:color="000000" w:fill="00457D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osti letto in terapia intensiva occupati da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  <w:t>pazienti COVID−19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Abruzzo</w:t>
            </w:r>
          </w:p>
        </w:tc>
        <w:tc>
          <w:tcPr>
            <w:tcW w:w="731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1.103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5,4%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555</w:t>
            </w:r>
          </w:p>
        </w:tc>
        <w:tc>
          <w:tcPr>
            <w:tcW w:w="584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22,9%</w:t>
            </w:r>
          </w:p>
        </w:tc>
        <w:tc>
          <w:tcPr>
            <w:tcW w:w="828" w:type="pct"/>
            <w:shd w:val="clear" w:color="auto" w:fill="C6EF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006100"/>
              </w:rPr>
              <w:t>40%</w:t>
            </w:r>
          </w:p>
        </w:tc>
        <w:tc>
          <w:tcPr>
            <w:tcW w:w="767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31%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Basilicata</w:t>
            </w:r>
          </w:p>
        </w:tc>
        <w:tc>
          <w:tcPr>
            <w:tcW w:w="731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1.094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4,9%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974</w:t>
            </w:r>
          </w:p>
        </w:tc>
        <w:tc>
          <w:tcPr>
            <w:tcW w:w="584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8,2%</w:t>
            </w:r>
          </w:p>
        </w:tc>
        <w:tc>
          <w:tcPr>
            <w:tcW w:w="828" w:type="pct"/>
            <w:shd w:val="clear" w:color="auto" w:fill="C6EF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006100"/>
              </w:rPr>
              <w:t>23%</w:t>
            </w:r>
          </w:p>
        </w:tc>
        <w:tc>
          <w:tcPr>
            <w:tcW w:w="767" w:type="pct"/>
            <w:shd w:val="clear" w:color="auto" w:fill="C6EF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006100"/>
              </w:rPr>
              <w:t>13%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Calabria</w:t>
            </w:r>
          </w:p>
        </w:tc>
        <w:tc>
          <w:tcPr>
            <w:tcW w:w="731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468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6,7%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666</w:t>
            </w:r>
          </w:p>
        </w:tc>
        <w:tc>
          <w:tcPr>
            <w:tcW w:w="584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9,8%</w:t>
            </w:r>
          </w:p>
        </w:tc>
        <w:tc>
          <w:tcPr>
            <w:tcW w:w="828" w:type="pct"/>
            <w:shd w:val="clear" w:color="auto" w:fill="C6EF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006100"/>
              </w:rPr>
              <w:t>36%</w:t>
            </w:r>
          </w:p>
        </w:tc>
        <w:tc>
          <w:tcPr>
            <w:tcW w:w="767" w:type="pct"/>
            <w:shd w:val="clear" w:color="auto" w:fill="C6EF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006100"/>
              </w:rPr>
              <w:t>14%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Campania</w:t>
            </w:r>
          </w:p>
        </w:tc>
        <w:tc>
          <w:tcPr>
            <w:tcW w:w="731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1.555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4,9%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1.180</w:t>
            </w:r>
          </w:p>
        </w:tc>
        <w:tc>
          <w:tcPr>
            <w:tcW w:w="584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12,1%</w:t>
            </w:r>
          </w:p>
        </w:tc>
        <w:tc>
          <w:tcPr>
            <w:tcW w:w="828" w:type="pct"/>
            <w:shd w:val="clear" w:color="auto" w:fill="C6EF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006100"/>
              </w:rPr>
              <w:t>37%</w:t>
            </w:r>
          </w:p>
        </w:tc>
        <w:tc>
          <w:tcPr>
            <w:tcW w:w="767" w:type="pct"/>
            <w:shd w:val="clear" w:color="auto" w:fill="C6EF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006100"/>
              </w:rPr>
              <w:t>20%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Emilia Romagna</w:t>
            </w:r>
          </w:p>
        </w:tc>
        <w:tc>
          <w:tcPr>
            <w:tcW w:w="731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1.449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7,5%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741</w:t>
            </w:r>
          </w:p>
        </w:tc>
        <w:tc>
          <w:tcPr>
            <w:tcW w:w="584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31,1%</w:t>
            </w:r>
          </w:p>
        </w:tc>
        <w:tc>
          <w:tcPr>
            <w:tcW w:w="828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50%</w:t>
            </w:r>
          </w:p>
        </w:tc>
        <w:tc>
          <w:tcPr>
            <w:tcW w:w="767" w:type="pct"/>
            <w:shd w:val="clear" w:color="auto" w:fill="C6EF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006100"/>
              </w:rPr>
              <w:t>28%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Friuli Venezia Giulia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1.475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13,3%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1.232</w:t>
            </w:r>
          </w:p>
        </w:tc>
        <w:tc>
          <w:tcPr>
            <w:tcW w:w="584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32,3%</w:t>
            </w:r>
          </w:p>
        </w:tc>
        <w:tc>
          <w:tcPr>
            <w:tcW w:w="828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51%</w:t>
            </w:r>
          </w:p>
        </w:tc>
        <w:tc>
          <w:tcPr>
            <w:tcW w:w="767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32%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Lazio</w:t>
            </w:r>
          </w:p>
        </w:tc>
        <w:tc>
          <w:tcPr>
            <w:tcW w:w="731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1.433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6,8%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896</w:t>
            </w:r>
          </w:p>
        </w:tc>
        <w:tc>
          <w:tcPr>
            <w:tcW w:w="584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17,1%</w:t>
            </w:r>
          </w:p>
        </w:tc>
        <w:tc>
          <w:tcPr>
            <w:tcW w:w="828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45%</w:t>
            </w:r>
          </w:p>
        </w:tc>
        <w:tc>
          <w:tcPr>
            <w:tcW w:w="767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34%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Liguria</w:t>
            </w:r>
          </w:p>
        </w:tc>
        <w:tc>
          <w:tcPr>
            <w:tcW w:w="731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523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3,5%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480</w:t>
            </w:r>
          </w:p>
        </w:tc>
        <w:tc>
          <w:tcPr>
            <w:tcW w:w="584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25,1%</w:t>
            </w:r>
          </w:p>
        </w:tc>
        <w:tc>
          <w:tcPr>
            <w:tcW w:w="828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46%</w:t>
            </w:r>
          </w:p>
        </w:tc>
        <w:tc>
          <w:tcPr>
            <w:tcW w:w="767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33%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Lombardia</w:t>
            </w:r>
          </w:p>
        </w:tc>
        <w:tc>
          <w:tcPr>
            <w:tcW w:w="731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754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3,4%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523</w:t>
            </w:r>
          </w:p>
        </w:tc>
        <w:tc>
          <w:tcPr>
            <w:tcW w:w="584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27,9%</w:t>
            </w:r>
          </w:p>
        </w:tc>
        <w:tc>
          <w:tcPr>
            <w:tcW w:w="828" w:type="pct"/>
            <w:shd w:val="clear" w:color="auto" w:fill="C6EF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006100"/>
              </w:rPr>
              <w:t>38%</w:t>
            </w:r>
          </w:p>
        </w:tc>
        <w:tc>
          <w:tcPr>
            <w:tcW w:w="767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51%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Marche</w:t>
            </w:r>
          </w:p>
        </w:tc>
        <w:tc>
          <w:tcPr>
            <w:tcW w:w="731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780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7,2%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899</w:t>
            </w:r>
          </w:p>
        </w:tc>
        <w:tc>
          <w:tcPr>
            <w:tcW w:w="584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17,3%</w:t>
            </w:r>
          </w:p>
        </w:tc>
        <w:tc>
          <w:tcPr>
            <w:tcW w:w="828" w:type="pct"/>
            <w:shd w:val="clear" w:color="auto" w:fill="C6EF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006100"/>
              </w:rPr>
              <w:t>39%</w:t>
            </w:r>
          </w:p>
        </w:tc>
        <w:tc>
          <w:tcPr>
            <w:tcW w:w="767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40%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Molise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870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7,0%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1.557</w:t>
            </w:r>
          </w:p>
        </w:tc>
        <w:tc>
          <w:tcPr>
            <w:tcW w:w="584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7,9%</w:t>
            </w:r>
          </w:p>
        </w:tc>
        <w:tc>
          <w:tcPr>
            <w:tcW w:w="828" w:type="pct"/>
            <w:shd w:val="clear" w:color="auto" w:fill="C6EF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006100"/>
              </w:rPr>
              <w:t>27%</w:t>
            </w:r>
          </w:p>
        </w:tc>
        <w:tc>
          <w:tcPr>
            <w:tcW w:w="767" w:type="pct"/>
            <w:shd w:val="clear" w:color="auto" w:fill="C6EF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006100"/>
              </w:rPr>
              <w:t>24%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Piemonte</w:t>
            </w:r>
          </w:p>
        </w:tc>
        <w:tc>
          <w:tcPr>
            <w:tcW w:w="731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1.170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4,2%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873</w:t>
            </w:r>
          </w:p>
        </w:tc>
        <w:tc>
          <w:tcPr>
            <w:tcW w:w="584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19,8%</w:t>
            </w:r>
          </w:p>
        </w:tc>
        <w:tc>
          <w:tcPr>
            <w:tcW w:w="828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65%</w:t>
            </w:r>
          </w:p>
        </w:tc>
        <w:tc>
          <w:tcPr>
            <w:tcW w:w="767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42%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Prov. Aut. Bolzano</w:t>
            </w:r>
          </w:p>
        </w:tc>
        <w:tc>
          <w:tcPr>
            <w:tcW w:w="731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2.001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5,4%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605</w:t>
            </w:r>
          </w:p>
        </w:tc>
        <w:tc>
          <w:tcPr>
            <w:tcW w:w="584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43,1%</w:t>
            </w:r>
          </w:p>
        </w:tc>
        <w:tc>
          <w:tcPr>
            <w:tcW w:w="828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41%</w:t>
            </w:r>
          </w:p>
        </w:tc>
        <w:tc>
          <w:tcPr>
            <w:tcW w:w="767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31%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Prov. Aut. Trento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500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8,2%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601</w:t>
            </w:r>
          </w:p>
        </w:tc>
        <w:tc>
          <w:tcPr>
            <w:tcW w:w="584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43,9%</w:t>
            </w:r>
          </w:p>
        </w:tc>
        <w:tc>
          <w:tcPr>
            <w:tcW w:w="828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68%</w:t>
            </w:r>
          </w:p>
        </w:tc>
        <w:tc>
          <w:tcPr>
            <w:tcW w:w="767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59%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Puglia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1.297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12,7%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635</w:t>
            </w:r>
          </w:p>
        </w:tc>
        <w:tc>
          <w:tcPr>
            <w:tcW w:w="584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32,8%</w:t>
            </w:r>
          </w:p>
        </w:tc>
        <w:tc>
          <w:tcPr>
            <w:tcW w:w="828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44%</w:t>
            </w:r>
          </w:p>
        </w:tc>
        <w:tc>
          <w:tcPr>
            <w:tcW w:w="767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41%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Sardegna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938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7,9%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1.155</w:t>
            </w:r>
          </w:p>
        </w:tc>
        <w:tc>
          <w:tcPr>
            <w:tcW w:w="584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10,3%</w:t>
            </w:r>
          </w:p>
        </w:tc>
        <w:tc>
          <w:tcPr>
            <w:tcW w:w="828" w:type="pct"/>
            <w:shd w:val="clear" w:color="auto" w:fill="C6EF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006100"/>
              </w:rPr>
              <w:t>34%</w:t>
            </w:r>
          </w:p>
        </w:tc>
        <w:tc>
          <w:tcPr>
            <w:tcW w:w="767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32%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Sicilia</w:t>
            </w:r>
          </w:p>
        </w:tc>
        <w:tc>
          <w:tcPr>
            <w:tcW w:w="731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719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9,0%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704</w:t>
            </w:r>
          </w:p>
        </w:tc>
        <w:tc>
          <w:tcPr>
            <w:tcW w:w="584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18,9%</w:t>
            </w:r>
          </w:p>
        </w:tc>
        <w:tc>
          <w:tcPr>
            <w:tcW w:w="828" w:type="pct"/>
            <w:shd w:val="clear" w:color="auto" w:fill="C6EF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006100"/>
              </w:rPr>
              <w:t>29%</w:t>
            </w:r>
          </w:p>
        </w:tc>
        <w:tc>
          <w:tcPr>
            <w:tcW w:w="767" w:type="pct"/>
            <w:shd w:val="clear" w:color="auto" w:fill="C6EF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006100"/>
              </w:rPr>
              <w:t>23%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Toscana</w:t>
            </w:r>
          </w:p>
        </w:tc>
        <w:tc>
          <w:tcPr>
            <w:tcW w:w="731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436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3,4%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619</w:t>
            </w:r>
          </w:p>
        </w:tc>
        <w:tc>
          <w:tcPr>
            <w:tcW w:w="584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16,0%</w:t>
            </w:r>
          </w:p>
        </w:tc>
        <w:tc>
          <w:tcPr>
            <w:tcW w:w="828" w:type="pct"/>
            <w:shd w:val="clear" w:color="auto" w:fill="C6EF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006100"/>
              </w:rPr>
              <w:t>23%</w:t>
            </w:r>
          </w:p>
        </w:tc>
        <w:tc>
          <w:tcPr>
            <w:tcW w:w="767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37%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Umbria</w:t>
            </w:r>
          </w:p>
        </w:tc>
        <w:tc>
          <w:tcPr>
            <w:tcW w:w="731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517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4,2%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624</w:t>
            </w:r>
          </w:p>
        </w:tc>
        <w:tc>
          <w:tcPr>
            <w:tcW w:w="584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19,5%</w:t>
            </w:r>
          </w:p>
        </w:tc>
        <w:tc>
          <w:tcPr>
            <w:tcW w:w="828" w:type="pct"/>
            <w:shd w:val="clear" w:color="auto" w:fill="C6EF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006100"/>
              </w:rPr>
              <w:t>38%</w:t>
            </w:r>
          </w:p>
        </w:tc>
        <w:tc>
          <w:tcPr>
            <w:tcW w:w="767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35%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Valle D'Aosta</w:t>
            </w:r>
          </w:p>
        </w:tc>
        <w:tc>
          <w:tcPr>
            <w:tcW w:w="731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419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2,1%</w:t>
            </w:r>
          </w:p>
        </w:tc>
        <w:tc>
          <w:tcPr>
            <w:tcW w:w="682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612</w:t>
            </w:r>
          </w:p>
        </w:tc>
        <w:tc>
          <w:tcPr>
            <w:tcW w:w="584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18,1%</w:t>
            </w:r>
          </w:p>
        </w:tc>
        <w:tc>
          <w:tcPr>
            <w:tcW w:w="828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42%</w:t>
            </w:r>
          </w:p>
        </w:tc>
        <w:tc>
          <w:tcPr>
            <w:tcW w:w="767" w:type="pct"/>
            <w:shd w:val="clear" w:color="auto" w:fill="C6EF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3512E1">
              <w:rPr>
                <w:rFonts w:ascii="Calibri" w:eastAsia="Times New Roman" w:hAnsi="Calibri" w:cs="Calibri"/>
                <w:color w:val="006100"/>
              </w:rPr>
              <w:t>18%</w:t>
            </w:r>
          </w:p>
        </w:tc>
      </w:tr>
      <w:tr w:rsidR="00C82B51" w:rsidRPr="002E195A" w:rsidTr="001C57EA">
        <w:trPr>
          <w:trHeight w:val="329"/>
        </w:trPr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95A">
              <w:rPr>
                <w:rFonts w:ascii="Calibri" w:eastAsia="Times New Roman" w:hAnsi="Calibri" w:cs="Calibri"/>
                <w:color w:val="000000"/>
              </w:rPr>
              <w:t>Veneto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1.889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15,1%</w:t>
            </w:r>
          </w:p>
        </w:tc>
        <w:tc>
          <w:tcPr>
            <w:tcW w:w="682" w:type="pct"/>
            <w:shd w:val="clear" w:color="auto" w:fill="C6EF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006100"/>
              </w:rPr>
              <w:t>727</w:t>
            </w:r>
          </w:p>
        </w:tc>
        <w:tc>
          <w:tcPr>
            <w:tcW w:w="584" w:type="pct"/>
            <w:shd w:val="clear" w:color="auto" w:fill="FFC7CE"/>
            <w:noWrap/>
            <w:vAlign w:val="center"/>
            <w:hideMark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E195A">
              <w:rPr>
                <w:rFonts w:ascii="Calibri" w:eastAsia="Times New Roman" w:hAnsi="Calibri" w:cs="Calibri"/>
                <w:color w:val="9C0006"/>
              </w:rPr>
              <w:t>72,5%</w:t>
            </w:r>
          </w:p>
        </w:tc>
        <w:tc>
          <w:tcPr>
            <w:tcW w:w="828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45%</w:t>
            </w:r>
          </w:p>
        </w:tc>
        <w:tc>
          <w:tcPr>
            <w:tcW w:w="767" w:type="pct"/>
            <w:shd w:val="clear" w:color="auto" w:fill="FFC7CE"/>
            <w:vAlign w:val="center"/>
          </w:tcPr>
          <w:p w:rsidR="00C82B51" w:rsidRPr="002E195A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3512E1">
              <w:rPr>
                <w:rFonts w:ascii="Calibri" w:eastAsia="Times New Roman" w:hAnsi="Calibri" w:cs="Calibri"/>
                <w:color w:val="9C0006"/>
              </w:rPr>
              <w:t>35%</w:t>
            </w:r>
          </w:p>
        </w:tc>
      </w:tr>
      <w:tr w:rsidR="00C82B51" w:rsidRPr="00051CB3" w:rsidTr="001C57EA">
        <w:trPr>
          <w:trHeight w:val="329"/>
        </w:trPr>
        <w:tc>
          <w:tcPr>
            <w:tcW w:w="873" w:type="pct"/>
            <w:shd w:val="clear" w:color="auto" w:fill="00457D"/>
            <w:noWrap/>
            <w:vAlign w:val="center"/>
            <w:hideMark/>
          </w:tcPr>
          <w:p w:rsidR="00C82B51" w:rsidRPr="00051CB3" w:rsidRDefault="00C82B51" w:rsidP="001C5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1CB3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ITALIA</w:t>
            </w:r>
          </w:p>
        </w:tc>
        <w:tc>
          <w:tcPr>
            <w:tcW w:w="731" w:type="pct"/>
            <w:shd w:val="clear" w:color="auto" w:fill="C6EFCE"/>
            <w:noWrap/>
            <w:vAlign w:val="center"/>
            <w:hideMark/>
          </w:tcPr>
          <w:p w:rsidR="00C82B51" w:rsidRPr="00051CB3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051CB3">
              <w:rPr>
                <w:rFonts w:ascii="Calibri" w:eastAsia="Times New Roman" w:hAnsi="Calibri" w:cs="Calibri"/>
                <w:b/>
                <w:bCs/>
                <w:color w:val="006100"/>
              </w:rPr>
              <w:t>1.106</w:t>
            </w:r>
          </w:p>
        </w:tc>
        <w:tc>
          <w:tcPr>
            <w:tcW w:w="535" w:type="pct"/>
            <w:shd w:val="clear" w:color="auto" w:fill="C6EFCE"/>
            <w:noWrap/>
            <w:vAlign w:val="center"/>
            <w:hideMark/>
          </w:tcPr>
          <w:p w:rsidR="00C82B51" w:rsidRPr="00051CB3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051CB3">
              <w:rPr>
                <w:rFonts w:ascii="Calibri" w:eastAsia="Times New Roman" w:hAnsi="Calibri" w:cs="Calibri"/>
                <w:b/>
                <w:bCs/>
                <w:color w:val="006100"/>
              </w:rPr>
              <w:t>6,4%</w:t>
            </w:r>
          </w:p>
        </w:tc>
        <w:tc>
          <w:tcPr>
            <w:tcW w:w="682" w:type="pct"/>
            <w:shd w:val="clear" w:color="auto" w:fill="FFC7CE"/>
            <w:noWrap/>
            <w:vAlign w:val="center"/>
            <w:hideMark/>
          </w:tcPr>
          <w:p w:rsidR="00C82B51" w:rsidRPr="00051CB3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</w:rPr>
            </w:pPr>
            <w:r w:rsidRPr="00051CB3">
              <w:rPr>
                <w:rFonts w:ascii="Calibri" w:eastAsia="Times New Roman" w:hAnsi="Calibri" w:cs="Calibri"/>
                <w:b/>
                <w:bCs/>
                <w:color w:val="9C0006"/>
              </w:rPr>
              <w:t>766</w:t>
            </w:r>
          </w:p>
        </w:tc>
        <w:tc>
          <w:tcPr>
            <w:tcW w:w="584" w:type="pct"/>
            <w:shd w:val="clear" w:color="auto" w:fill="C6EFCE"/>
            <w:noWrap/>
            <w:vAlign w:val="center"/>
            <w:hideMark/>
          </w:tcPr>
          <w:p w:rsidR="00C82B51" w:rsidRPr="00051CB3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051CB3">
              <w:rPr>
                <w:rFonts w:ascii="Calibri" w:eastAsia="Times New Roman" w:hAnsi="Calibri" w:cs="Calibri"/>
                <w:b/>
                <w:bCs/>
                <w:color w:val="006100"/>
              </w:rPr>
              <w:t>24,5%</w:t>
            </w:r>
          </w:p>
        </w:tc>
        <w:tc>
          <w:tcPr>
            <w:tcW w:w="828" w:type="pct"/>
            <w:shd w:val="clear" w:color="auto" w:fill="FFC7CE"/>
            <w:vAlign w:val="center"/>
          </w:tcPr>
          <w:p w:rsidR="00C82B51" w:rsidRPr="00051CB3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3512E1">
              <w:rPr>
                <w:rFonts w:ascii="Calibri" w:eastAsia="Times New Roman" w:hAnsi="Calibri" w:cs="Calibri"/>
                <w:b/>
                <w:color w:val="9C0006"/>
              </w:rPr>
              <w:t>42%</w:t>
            </w:r>
          </w:p>
        </w:tc>
        <w:tc>
          <w:tcPr>
            <w:tcW w:w="767" w:type="pct"/>
            <w:shd w:val="clear" w:color="auto" w:fill="FFC7CE"/>
            <w:vAlign w:val="center"/>
          </w:tcPr>
          <w:p w:rsidR="00C82B51" w:rsidRPr="00051CB3" w:rsidRDefault="00C82B51" w:rsidP="001C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3512E1">
              <w:rPr>
                <w:rFonts w:ascii="Calibri" w:eastAsia="Times New Roman" w:hAnsi="Calibri" w:cs="Calibri"/>
                <w:b/>
                <w:color w:val="9C0006"/>
              </w:rPr>
              <w:t>35%</w:t>
            </w:r>
          </w:p>
        </w:tc>
      </w:tr>
      <w:tr w:rsidR="00C82B51" w:rsidRPr="0094110A" w:rsidTr="001C57EA">
        <w:trPr>
          <w:trHeight w:val="624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C82B51" w:rsidRPr="00196558" w:rsidRDefault="00C82B51" w:rsidP="001C57E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1"/>
              </w:rPr>
            </w:pP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 xml:space="preserve">Nota: nelle prime 4 colonne rosso e verde indicano rispettivamente una performance regionale in peggioramento, o in miglioramento, rispetto alla settimana precedente; </w:t>
            </w: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br/>
              <w:t>nelle ultime 2 colonne rosso e verde indicano il superamento, o meno, della soglia di saturazione del 40% per l’area medica e del 30% per le terapie intensive (dati Agenas).</w:t>
            </w:r>
          </w:p>
        </w:tc>
      </w:tr>
    </w:tbl>
    <w:p w:rsidR="00C82B51" w:rsidRPr="00051CB3" w:rsidRDefault="00C82B51" w:rsidP="00C82B51">
      <w:pPr>
        <w:spacing w:after="0"/>
        <w:rPr>
          <w:sz w:val="2"/>
          <w:szCs w:val="2"/>
        </w:rPr>
      </w:pPr>
    </w:p>
    <w:p w:rsidR="00F10847" w:rsidRPr="00C82B51" w:rsidRDefault="00F10847" w:rsidP="00C82B51">
      <w:pPr>
        <w:spacing w:after="0" w:line="240" w:lineRule="auto"/>
        <w:rPr>
          <w:b/>
          <w:sz w:val="10"/>
          <w:szCs w:val="10"/>
        </w:rPr>
      </w:pPr>
    </w:p>
    <w:sectPr w:rsidR="00F10847" w:rsidRPr="00C82B51" w:rsidSect="009D067F">
      <w:footnotePr>
        <w:numFmt w:val="chicago"/>
      </w:footnotePr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1466" w16cex:dateUtc="2020-11-25T16:35:00Z"/>
  <w16cex:commentExtensible w16cex:durableId="23691406" w16cex:dateUtc="2020-11-25T16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48" w:rsidRDefault="004D5148">
      <w:pPr>
        <w:spacing w:after="0" w:line="240" w:lineRule="auto"/>
      </w:pPr>
      <w:r>
        <w:separator/>
      </w:r>
    </w:p>
  </w:endnote>
  <w:endnote w:type="continuationSeparator" w:id="0">
    <w:p w:rsidR="004D5148" w:rsidRDefault="004D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DD" w:rsidRDefault="008422DD" w:rsidP="00F64432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48" w:rsidRDefault="004D5148">
      <w:pPr>
        <w:spacing w:after="0" w:line="240" w:lineRule="auto"/>
      </w:pPr>
      <w:r>
        <w:separator/>
      </w:r>
    </w:p>
  </w:footnote>
  <w:footnote w:type="continuationSeparator" w:id="0">
    <w:p w:rsidR="004D5148" w:rsidRDefault="004D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AB" w:rsidRPr="00C138AB" w:rsidRDefault="00C138AB" w:rsidP="003C123D">
    <w:pPr>
      <w:pStyle w:val="Intestazione"/>
      <w:jc w:val="center"/>
      <w:rPr>
        <w:b/>
        <w:color w:val="FF0000"/>
        <w:sz w:val="1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7FB"/>
    <w:multiLevelType w:val="hybridMultilevel"/>
    <w:tmpl w:val="8C2CD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0DC3"/>
    <w:multiLevelType w:val="hybridMultilevel"/>
    <w:tmpl w:val="78360B0C"/>
    <w:lvl w:ilvl="0" w:tplc="86D8772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5B44"/>
    <w:multiLevelType w:val="hybridMultilevel"/>
    <w:tmpl w:val="CC4C06C0"/>
    <w:lvl w:ilvl="0" w:tplc="79A07C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F1F6E"/>
    <w:multiLevelType w:val="hybridMultilevel"/>
    <w:tmpl w:val="0E6E0B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449C9"/>
    <w:multiLevelType w:val="hybridMultilevel"/>
    <w:tmpl w:val="D02A6AF8"/>
    <w:lvl w:ilvl="0" w:tplc="2EB2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20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E5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4B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2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A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0E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A9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E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6D3F6A"/>
    <w:multiLevelType w:val="hybridMultilevel"/>
    <w:tmpl w:val="264A6A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6B1F18"/>
    <w:multiLevelType w:val="hybridMultilevel"/>
    <w:tmpl w:val="29E45C22"/>
    <w:lvl w:ilvl="0" w:tplc="4E2AF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77073"/>
    <w:multiLevelType w:val="hybridMultilevel"/>
    <w:tmpl w:val="82463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4474C"/>
    <w:multiLevelType w:val="hybridMultilevel"/>
    <w:tmpl w:val="C68A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E0A62"/>
    <w:multiLevelType w:val="hybridMultilevel"/>
    <w:tmpl w:val="E7BE01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05DC"/>
    <w:rsid w:val="000009D8"/>
    <w:rsid w:val="00001504"/>
    <w:rsid w:val="00001CEF"/>
    <w:rsid w:val="00001D9F"/>
    <w:rsid w:val="00002908"/>
    <w:rsid w:val="00002E3E"/>
    <w:rsid w:val="00002E76"/>
    <w:rsid w:val="00002EAA"/>
    <w:rsid w:val="00002F0E"/>
    <w:rsid w:val="00003A18"/>
    <w:rsid w:val="00003C8B"/>
    <w:rsid w:val="00005314"/>
    <w:rsid w:val="0000610C"/>
    <w:rsid w:val="00006437"/>
    <w:rsid w:val="000078D5"/>
    <w:rsid w:val="00007CC5"/>
    <w:rsid w:val="00007E2D"/>
    <w:rsid w:val="00010AEF"/>
    <w:rsid w:val="00010BCC"/>
    <w:rsid w:val="00012955"/>
    <w:rsid w:val="00012B91"/>
    <w:rsid w:val="00013EC3"/>
    <w:rsid w:val="000140C3"/>
    <w:rsid w:val="000150A5"/>
    <w:rsid w:val="00015809"/>
    <w:rsid w:val="00016445"/>
    <w:rsid w:val="00016851"/>
    <w:rsid w:val="00016C36"/>
    <w:rsid w:val="000171B3"/>
    <w:rsid w:val="000171CE"/>
    <w:rsid w:val="000177CD"/>
    <w:rsid w:val="000179EC"/>
    <w:rsid w:val="00017FA5"/>
    <w:rsid w:val="000200E1"/>
    <w:rsid w:val="00020588"/>
    <w:rsid w:val="00020B41"/>
    <w:rsid w:val="00021283"/>
    <w:rsid w:val="0002190C"/>
    <w:rsid w:val="00022183"/>
    <w:rsid w:val="000223AC"/>
    <w:rsid w:val="000223CF"/>
    <w:rsid w:val="0002246B"/>
    <w:rsid w:val="00022977"/>
    <w:rsid w:val="00022EBF"/>
    <w:rsid w:val="00023F18"/>
    <w:rsid w:val="00024712"/>
    <w:rsid w:val="0002696E"/>
    <w:rsid w:val="00026DC0"/>
    <w:rsid w:val="000273DB"/>
    <w:rsid w:val="00027540"/>
    <w:rsid w:val="0003040E"/>
    <w:rsid w:val="00030B5F"/>
    <w:rsid w:val="00030DDE"/>
    <w:rsid w:val="00031A14"/>
    <w:rsid w:val="00031E5F"/>
    <w:rsid w:val="00031ED0"/>
    <w:rsid w:val="000328C9"/>
    <w:rsid w:val="0003425F"/>
    <w:rsid w:val="00034493"/>
    <w:rsid w:val="00035405"/>
    <w:rsid w:val="000370F6"/>
    <w:rsid w:val="000379DC"/>
    <w:rsid w:val="0004029D"/>
    <w:rsid w:val="000417F7"/>
    <w:rsid w:val="00043148"/>
    <w:rsid w:val="00043A85"/>
    <w:rsid w:val="00043C7D"/>
    <w:rsid w:val="0004522A"/>
    <w:rsid w:val="0004544E"/>
    <w:rsid w:val="000466D8"/>
    <w:rsid w:val="0004717B"/>
    <w:rsid w:val="00047260"/>
    <w:rsid w:val="00047EE0"/>
    <w:rsid w:val="00047FD1"/>
    <w:rsid w:val="00051306"/>
    <w:rsid w:val="00051A26"/>
    <w:rsid w:val="00052357"/>
    <w:rsid w:val="0005270A"/>
    <w:rsid w:val="000529FD"/>
    <w:rsid w:val="000534AE"/>
    <w:rsid w:val="000548AC"/>
    <w:rsid w:val="00054EA2"/>
    <w:rsid w:val="000559EC"/>
    <w:rsid w:val="00055D5E"/>
    <w:rsid w:val="00055E53"/>
    <w:rsid w:val="00055FB6"/>
    <w:rsid w:val="0005649A"/>
    <w:rsid w:val="0005657F"/>
    <w:rsid w:val="000568EE"/>
    <w:rsid w:val="00056CBF"/>
    <w:rsid w:val="00057675"/>
    <w:rsid w:val="00057843"/>
    <w:rsid w:val="00057983"/>
    <w:rsid w:val="00057A37"/>
    <w:rsid w:val="00057CF0"/>
    <w:rsid w:val="00060A3C"/>
    <w:rsid w:val="000620F2"/>
    <w:rsid w:val="00062310"/>
    <w:rsid w:val="00062E06"/>
    <w:rsid w:val="000637B1"/>
    <w:rsid w:val="000648AF"/>
    <w:rsid w:val="00064937"/>
    <w:rsid w:val="000650A3"/>
    <w:rsid w:val="000654A3"/>
    <w:rsid w:val="00066671"/>
    <w:rsid w:val="00066C3D"/>
    <w:rsid w:val="00066FEB"/>
    <w:rsid w:val="0007007A"/>
    <w:rsid w:val="00070944"/>
    <w:rsid w:val="000713E0"/>
    <w:rsid w:val="000716C6"/>
    <w:rsid w:val="00071F3F"/>
    <w:rsid w:val="00072E7C"/>
    <w:rsid w:val="00072FF7"/>
    <w:rsid w:val="000731D1"/>
    <w:rsid w:val="00073B14"/>
    <w:rsid w:val="00073DC9"/>
    <w:rsid w:val="0007462C"/>
    <w:rsid w:val="0007561A"/>
    <w:rsid w:val="00075811"/>
    <w:rsid w:val="00075B48"/>
    <w:rsid w:val="0007670E"/>
    <w:rsid w:val="000771C3"/>
    <w:rsid w:val="00080943"/>
    <w:rsid w:val="00081141"/>
    <w:rsid w:val="00081B10"/>
    <w:rsid w:val="00081DF7"/>
    <w:rsid w:val="00081F03"/>
    <w:rsid w:val="00082DDC"/>
    <w:rsid w:val="00083198"/>
    <w:rsid w:val="00083222"/>
    <w:rsid w:val="00083DA7"/>
    <w:rsid w:val="00083F44"/>
    <w:rsid w:val="0008470A"/>
    <w:rsid w:val="000856B2"/>
    <w:rsid w:val="0008634F"/>
    <w:rsid w:val="00086BD4"/>
    <w:rsid w:val="0008726D"/>
    <w:rsid w:val="00087618"/>
    <w:rsid w:val="00090BE2"/>
    <w:rsid w:val="00091C99"/>
    <w:rsid w:val="00092A9D"/>
    <w:rsid w:val="00093477"/>
    <w:rsid w:val="00093FC2"/>
    <w:rsid w:val="000943CF"/>
    <w:rsid w:val="00094EF2"/>
    <w:rsid w:val="00095141"/>
    <w:rsid w:val="00095DA9"/>
    <w:rsid w:val="00095FCA"/>
    <w:rsid w:val="00096403"/>
    <w:rsid w:val="00097568"/>
    <w:rsid w:val="000A03D1"/>
    <w:rsid w:val="000A09CD"/>
    <w:rsid w:val="000A1C07"/>
    <w:rsid w:val="000A1C83"/>
    <w:rsid w:val="000A24C2"/>
    <w:rsid w:val="000A37BD"/>
    <w:rsid w:val="000A5441"/>
    <w:rsid w:val="000A5D42"/>
    <w:rsid w:val="000A5DC3"/>
    <w:rsid w:val="000A7474"/>
    <w:rsid w:val="000A7D7F"/>
    <w:rsid w:val="000B0330"/>
    <w:rsid w:val="000B0E87"/>
    <w:rsid w:val="000B1503"/>
    <w:rsid w:val="000B23AC"/>
    <w:rsid w:val="000B2A0D"/>
    <w:rsid w:val="000B2A60"/>
    <w:rsid w:val="000B2EA4"/>
    <w:rsid w:val="000B6B1F"/>
    <w:rsid w:val="000B6E50"/>
    <w:rsid w:val="000B77BB"/>
    <w:rsid w:val="000B77EA"/>
    <w:rsid w:val="000B7C16"/>
    <w:rsid w:val="000B7F91"/>
    <w:rsid w:val="000C153C"/>
    <w:rsid w:val="000C1558"/>
    <w:rsid w:val="000C1EDD"/>
    <w:rsid w:val="000C22C6"/>
    <w:rsid w:val="000C271B"/>
    <w:rsid w:val="000C44FE"/>
    <w:rsid w:val="000C7557"/>
    <w:rsid w:val="000D1769"/>
    <w:rsid w:val="000D1841"/>
    <w:rsid w:val="000D1D78"/>
    <w:rsid w:val="000D230B"/>
    <w:rsid w:val="000D2B84"/>
    <w:rsid w:val="000D2C51"/>
    <w:rsid w:val="000D3F79"/>
    <w:rsid w:val="000D4762"/>
    <w:rsid w:val="000D56B8"/>
    <w:rsid w:val="000D5B60"/>
    <w:rsid w:val="000D64BB"/>
    <w:rsid w:val="000D6AC6"/>
    <w:rsid w:val="000D73D0"/>
    <w:rsid w:val="000D7D59"/>
    <w:rsid w:val="000E1792"/>
    <w:rsid w:val="000E2B65"/>
    <w:rsid w:val="000E2D59"/>
    <w:rsid w:val="000E3205"/>
    <w:rsid w:val="000E3B02"/>
    <w:rsid w:val="000E4C32"/>
    <w:rsid w:val="000E72BC"/>
    <w:rsid w:val="000F0E42"/>
    <w:rsid w:val="000F136B"/>
    <w:rsid w:val="000F1645"/>
    <w:rsid w:val="000F1FFA"/>
    <w:rsid w:val="000F2369"/>
    <w:rsid w:val="000F23C9"/>
    <w:rsid w:val="000F2E5C"/>
    <w:rsid w:val="000F381E"/>
    <w:rsid w:val="000F41B1"/>
    <w:rsid w:val="000F4E69"/>
    <w:rsid w:val="000F56B7"/>
    <w:rsid w:val="000F5922"/>
    <w:rsid w:val="000F63C3"/>
    <w:rsid w:val="000F655E"/>
    <w:rsid w:val="000F6B97"/>
    <w:rsid w:val="000F6C3D"/>
    <w:rsid w:val="000F7D28"/>
    <w:rsid w:val="000F7EE8"/>
    <w:rsid w:val="00100714"/>
    <w:rsid w:val="001007AC"/>
    <w:rsid w:val="00100954"/>
    <w:rsid w:val="00100F54"/>
    <w:rsid w:val="00101E1F"/>
    <w:rsid w:val="0010205D"/>
    <w:rsid w:val="0010348F"/>
    <w:rsid w:val="00103E7D"/>
    <w:rsid w:val="00104007"/>
    <w:rsid w:val="001040FE"/>
    <w:rsid w:val="00104759"/>
    <w:rsid w:val="001047A9"/>
    <w:rsid w:val="00104A0E"/>
    <w:rsid w:val="00104BBA"/>
    <w:rsid w:val="0010550E"/>
    <w:rsid w:val="001059AD"/>
    <w:rsid w:val="00105C83"/>
    <w:rsid w:val="0010669B"/>
    <w:rsid w:val="001079DA"/>
    <w:rsid w:val="00111831"/>
    <w:rsid w:val="00113053"/>
    <w:rsid w:val="00113554"/>
    <w:rsid w:val="00113C94"/>
    <w:rsid w:val="00113F56"/>
    <w:rsid w:val="00114498"/>
    <w:rsid w:val="00114B20"/>
    <w:rsid w:val="001204BB"/>
    <w:rsid w:val="001218DD"/>
    <w:rsid w:val="00123005"/>
    <w:rsid w:val="0012329E"/>
    <w:rsid w:val="00123C15"/>
    <w:rsid w:val="0012440D"/>
    <w:rsid w:val="00124E32"/>
    <w:rsid w:val="00126676"/>
    <w:rsid w:val="0012777B"/>
    <w:rsid w:val="001305E0"/>
    <w:rsid w:val="0013076F"/>
    <w:rsid w:val="001307CA"/>
    <w:rsid w:val="00130C34"/>
    <w:rsid w:val="00131099"/>
    <w:rsid w:val="0013167A"/>
    <w:rsid w:val="001320B9"/>
    <w:rsid w:val="00133DCB"/>
    <w:rsid w:val="00133E24"/>
    <w:rsid w:val="001341D8"/>
    <w:rsid w:val="001345C1"/>
    <w:rsid w:val="001348C4"/>
    <w:rsid w:val="00134B94"/>
    <w:rsid w:val="0013659A"/>
    <w:rsid w:val="00136710"/>
    <w:rsid w:val="00137608"/>
    <w:rsid w:val="00137854"/>
    <w:rsid w:val="00137E4B"/>
    <w:rsid w:val="0014018F"/>
    <w:rsid w:val="001408D2"/>
    <w:rsid w:val="00143377"/>
    <w:rsid w:val="001433CB"/>
    <w:rsid w:val="001435C6"/>
    <w:rsid w:val="00143BB8"/>
    <w:rsid w:val="00144CF6"/>
    <w:rsid w:val="001457D9"/>
    <w:rsid w:val="00145AFE"/>
    <w:rsid w:val="00145D5E"/>
    <w:rsid w:val="00146588"/>
    <w:rsid w:val="00147917"/>
    <w:rsid w:val="00147D74"/>
    <w:rsid w:val="00147FE2"/>
    <w:rsid w:val="00150678"/>
    <w:rsid w:val="001509C3"/>
    <w:rsid w:val="00151D45"/>
    <w:rsid w:val="00151EC4"/>
    <w:rsid w:val="00152168"/>
    <w:rsid w:val="001521A0"/>
    <w:rsid w:val="00152E78"/>
    <w:rsid w:val="00153115"/>
    <w:rsid w:val="00153964"/>
    <w:rsid w:val="00154691"/>
    <w:rsid w:val="00156012"/>
    <w:rsid w:val="00156186"/>
    <w:rsid w:val="001620F7"/>
    <w:rsid w:val="001629EB"/>
    <w:rsid w:val="001630EB"/>
    <w:rsid w:val="00163182"/>
    <w:rsid w:val="00164139"/>
    <w:rsid w:val="0016624A"/>
    <w:rsid w:val="00166B94"/>
    <w:rsid w:val="00166D9E"/>
    <w:rsid w:val="001670B6"/>
    <w:rsid w:val="0016713F"/>
    <w:rsid w:val="00170961"/>
    <w:rsid w:val="00171CA7"/>
    <w:rsid w:val="0017461E"/>
    <w:rsid w:val="00174C24"/>
    <w:rsid w:val="0017590C"/>
    <w:rsid w:val="00175A46"/>
    <w:rsid w:val="001767BB"/>
    <w:rsid w:val="00176B56"/>
    <w:rsid w:val="00180482"/>
    <w:rsid w:val="00180E36"/>
    <w:rsid w:val="001812FC"/>
    <w:rsid w:val="001815BB"/>
    <w:rsid w:val="00181BDC"/>
    <w:rsid w:val="00181E68"/>
    <w:rsid w:val="001822AB"/>
    <w:rsid w:val="0018261A"/>
    <w:rsid w:val="00183566"/>
    <w:rsid w:val="00183F81"/>
    <w:rsid w:val="00185422"/>
    <w:rsid w:val="001856C6"/>
    <w:rsid w:val="00185E17"/>
    <w:rsid w:val="00185FAE"/>
    <w:rsid w:val="00186CF1"/>
    <w:rsid w:val="00187B8A"/>
    <w:rsid w:val="00187C43"/>
    <w:rsid w:val="00190025"/>
    <w:rsid w:val="00191018"/>
    <w:rsid w:val="00191361"/>
    <w:rsid w:val="00191564"/>
    <w:rsid w:val="00191AFB"/>
    <w:rsid w:val="0019215F"/>
    <w:rsid w:val="001935A0"/>
    <w:rsid w:val="00194B6D"/>
    <w:rsid w:val="00194FA7"/>
    <w:rsid w:val="00196162"/>
    <w:rsid w:val="00196558"/>
    <w:rsid w:val="00196614"/>
    <w:rsid w:val="00197941"/>
    <w:rsid w:val="00197B87"/>
    <w:rsid w:val="001A0964"/>
    <w:rsid w:val="001A25A5"/>
    <w:rsid w:val="001A2AC2"/>
    <w:rsid w:val="001A3813"/>
    <w:rsid w:val="001A38DF"/>
    <w:rsid w:val="001A3959"/>
    <w:rsid w:val="001A3BD0"/>
    <w:rsid w:val="001A3EC6"/>
    <w:rsid w:val="001A6277"/>
    <w:rsid w:val="001A62B9"/>
    <w:rsid w:val="001A642A"/>
    <w:rsid w:val="001A702A"/>
    <w:rsid w:val="001A7D9C"/>
    <w:rsid w:val="001B0820"/>
    <w:rsid w:val="001B1550"/>
    <w:rsid w:val="001B183D"/>
    <w:rsid w:val="001B29FE"/>
    <w:rsid w:val="001B3683"/>
    <w:rsid w:val="001B3E88"/>
    <w:rsid w:val="001B403F"/>
    <w:rsid w:val="001B5B18"/>
    <w:rsid w:val="001B718E"/>
    <w:rsid w:val="001B7500"/>
    <w:rsid w:val="001C07D8"/>
    <w:rsid w:val="001C16B5"/>
    <w:rsid w:val="001C2DF9"/>
    <w:rsid w:val="001C3419"/>
    <w:rsid w:val="001C3871"/>
    <w:rsid w:val="001C4387"/>
    <w:rsid w:val="001C4BF5"/>
    <w:rsid w:val="001C563B"/>
    <w:rsid w:val="001C5BFE"/>
    <w:rsid w:val="001C646B"/>
    <w:rsid w:val="001C70FD"/>
    <w:rsid w:val="001D0755"/>
    <w:rsid w:val="001D1B73"/>
    <w:rsid w:val="001D1D83"/>
    <w:rsid w:val="001D2A82"/>
    <w:rsid w:val="001D3373"/>
    <w:rsid w:val="001D3BEA"/>
    <w:rsid w:val="001D487C"/>
    <w:rsid w:val="001D551E"/>
    <w:rsid w:val="001D59FE"/>
    <w:rsid w:val="001D6AC1"/>
    <w:rsid w:val="001D6D39"/>
    <w:rsid w:val="001D7689"/>
    <w:rsid w:val="001D7BC3"/>
    <w:rsid w:val="001E06CF"/>
    <w:rsid w:val="001E0DFD"/>
    <w:rsid w:val="001E1467"/>
    <w:rsid w:val="001E15A7"/>
    <w:rsid w:val="001E16B1"/>
    <w:rsid w:val="001E235C"/>
    <w:rsid w:val="001E27E8"/>
    <w:rsid w:val="001E2D5A"/>
    <w:rsid w:val="001E2E2C"/>
    <w:rsid w:val="001E2E7F"/>
    <w:rsid w:val="001E456C"/>
    <w:rsid w:val="001E5436"/>
    <w:rsid w:val="001E5A4A"/>
    <w:rsid w:val="001E5CB5"/>
    <w:rsid w:val="001E6000"/>
    <w:rsid w:val="001E66B3"/>
    <w:rsid w:val="001E6B2B"/>
    <w:rsid w:val="001F06CD"/>
    <w:rsid w:val="001F2345"/>
    <w:rsid w:val="001F2B90"/>
    <w:rsid w:val="001F31DC"/>
    <w:rsid w:val="001F374C"/>
    <w:rsid w:val="001F4A0A"/>
    <w:rsid w:val="001F4CD4"/>
    <w:rsid w:val="001F69E0"/>
    <w:rsid w:val="001F7738"/>
    <w:rsid w:val="00204E2D"/>
    <w:rsid w:val="00205992"/>
    <w:rsid w:val="0020632D"/>
    <w:rsid w:val="00206575"/>
    <w:rsid w:val="00206E9A"/>
    <w:rsid w:val="00207983"/>
    <w:rsid w:val="00210F6C"/>
    <w:rsid w:val="002115AE"/>
    <w:rsid w:val="002118B6"/>
    <w:rsid w:val="002120A0"/>
    <w:rsid w:val="00212CD8"/>
    <w:rsid w:val="00213097"/>
    <w:rsid w:val="002149D9"/>
    <w:rsid w:val="00215778"/>
    <w:rsid w:val="00216C7A"/>
    <w:rsid w:val="00216D0E"/>
    <w:rsid w:val="00217534"/>
    <w:rsid w:val="00217612"/>
    <w:rsid w:val="00217C7C"/>
    <w:rsid w:val="00220033"/>
    <w:rsid w:val="002205C9"/>
    <w:rsid w:val="00222222"/>
    <w:rsid w:val="00223CBF"/>
    <w:rsid w:val="00223FDE"/>
    <w:rsid w:val="002242D0"/>
    <w:rsid w:val="00224B04"/>
    <w:rsid w:val="0022503B"/>
    <w:rsid w:val="0022562D"/>
    <w:rsid w:val="0022655A"/>
    <w:rsid w:val="0022697D"/>
    <w:rsid w:val="002269AD"/>
    <w:rsid w:val="00226CB8"/>
    <w:rsid w:val="002273E1"/>
    <w:rsid w:val="002306E8"/>
    <w:rsid w:val="002315C5"/>
    <w:rsid w:val="00232450"/>
    <w:rsid w:val="00232826"/>
    <w:rsid w:val="0023282A"/>
    <w:rsid w:val="002329BC"/>
    <w:rsid w:val="00232FA3"/>
    <w:rsid w:val="0023363F"/>
    <w:rsid w:val="00233A92"/>
    <w:rsid w:val="0023472D"/>
    <w:rsid w:val="002349C2"/>
    <w:rsid w:val="0023571B"/>
    <w:rsid w:val="00236A29"/>
    <w:rsid w:val="00236DB5"/>
    <w:rsid w:val="002372A1"/>
    <w:rsid w:val="00240436"/>
    <w:rsid w:val="002409AC"/>
    <w:rsid w:val="00240B0E"/>
    <w:rsid w:val="0024102E"/>
    <w:rsid w:val="00241578"/>
    <w:rsid w:val="00241672"/>
    <w:rsid w:val="002419BE"/>
    <w:rsid w:val="00241BC8"/>
    <w:rsid w:val="00243835"/>
    <w:rsid w:val="002442BE"/>
    <w:rsid w:val="00244487"/>
    <w:rsid w:val="00244D59"/>
    <w:rsid w:val="002452AE"/>
    <w:rsid w:val="00246085"/>
    <w:rsid w:val="002509F9"/>
    <w:rsid w:val="0025131F"/>
    <w:rsid w:val="00251E02"/>
    <w:rsid w:val="00252C2D"/>
    <w:rsid w:val="00252E88"/>
    <w:rsid w:val="0025387F"/>
    <w:rsid w:val="00253F3D"/>
    <w:rsid w:val="002559B4"/>
    <w:rsid w:val="00255F11"/>
    <w:rsid w:val="002563BC"/>
    <w:rsid w:val="00256D8D"/>
    <w:rsid w:val="0025799B"/>
    <w:rsid w:val="00260775"/>
    <w:rsid w:val="00260A99"/>
    <w:rsid w:val="00261451"/>
    <w:rsid w:val="00262053"/>
    <w:rsid w:val="0026314F"/>
    <w:rsid w:val="0026434E"/>
    <w:rsid w:val="00264C7C"/>
    <w:rsid w:val="002666F4"/>
    <w:rsid w:val="002705E8"/>
    <w:rsid w:val="002724DC"/>
    <w:rsid w:val="00272A45"/>
    <w:rsid w:val="00272F32"/>
    <w:rsid w:val="0027352D"/>
    <w:rsid w:val="00274710"/>
    <w:rsid w:val="00275D83"/>
    <w:rsid w:val="00275DFA"/>
    <w:rsid w:val="00276946"/>
    <w:rsid w:val="0027695E"/>
    <w:rsid w:val="00277E90"/>
    <w:rsid w:val="00280213"/>
    <w:rsid w:val="00280571"/>
    <w:rsid w:val="002813A7"/>
    <w:rsid w:val="002815AC"/>
    <w:rsid w:val="0028323F"/>
    <w:rsid w:val="00283577"/>
    <w:rsid w:val="002837E8"/>
    <w:rsid w:val="00284702"/>
    <w:rsid w:val="00285170"/>
    <w:rsid w:val="002852F5"/>
    <w:rsid w:val="00287A1A"/>
    <w:rsid w:val="00287EB2"/>
    <w:rsid w:val="002902B5"/>
    <w:rsid w:val="0029048A"/>
    <w:rsid w:val="0029074E"/>
    <w:rsid w:val="00290EB0"/>
    <w:rsid w:val="00290FDF"/>
    <w:rsid w:val="002912EB"/>
    <w:rsid w:val="00292F53"/>
    <w:rsid w:val="002933A0"/>
    <w:rsid w:val="0029457A"/>
    <w:rsid w:val="00295E29"/>
    <w:rsid w:val="00296100"/>
    <w:rsid w:val="002965D6"/>
    <w:rsid w:val="00297057"/>
    <w:rsid w:val="00297824"/>
    <w:rsid w:val="002A2099"/>
    <w:rsid w:val="002A3261"/>
    <w:rsid w:val="002A3D04"/>
    <w:rsid w:val="002A4C5F"/>
    <w:rsid w:val="002A4DEE"/>
    <w:rsid w:val="002A4E8D"/>
    <w:rsid w:val="002A50E2"/>
    <w:rsid w:val="002A5371"/>
    <w:rsid w:val="002A55EA"/>
    <w:rsid w:val="002A582B"/>
    <w:rsid w:val="002A59D9"/>
    <w:rsid w:val="002A5FA2"/>
    <w:rsid w:val="002A6486"/>
    <w:rsid w:val="002A6ED6"/>
    <w:rsid w:val="002A6F3F"/>
    <w:rsid w:val="002A7332"/>
    <w:rsid w:val="002B0276"/>
    <w:rsid w:val="002B159A"/>
    <w:rsid w:val="002B170F"/>
    <w:rsid w:val="002B1BF9"/>
    <w:rsid w:val="002B2BF2"/>
    <w:rsid w:val="002B3135"/>
    <w:rsid w:val="002B33DE"/>
    <w:rsid w:val="002B36CD"/>
    <w:rsid w:val="002B4159"/>
    <w:rsid w:val="002B4392"/>
    <w:rsid w:val="002B49E9"/>
    <w:rsid w:val="002B4AAD"/>
    <w:rsid w:val="002B5018"/>
    <w:rsid w:val="002B7A9C"/>
    <w:rsid w:val="002C25F3"/>
    <w:rsid w:val="002C487A"/>
    <w:rsid w:val="002C5983"/>
    <w:rsid w:val="002C5AF4"/>
    <w:rsid w:val="002D281C"/>
    <w:rsid w:val="002D2881"/>
    <w:rsid w:val="002D4A30"/>
    <w:rsid w:val="002D4C97"/>
    <w:rsid w:val="002D559D"/>
    <w:rsid w:val="002D5A0D"/>
    <w:rsid w:val="002D5AFA"/>
    <w:rsid w:val="002D6143"/>
    <w:rsid w:val="002D63E0"/>
    <w:rsid w:val="002D6AFB"/>
    <w:rsid w:val="002D6D5F"/>
    <w:rsid w:val="002D70B8"/>
    <w:rsid w:val="002D7694"/>
    <w:rsid w:val="002D76E0"/>
    <w:rsid w:val="002E0DAB"/>
    <w:rsid w:val="002E17F8"/>
    <w:rsid w:val="002E182B"/>
    <w:rsid w:val="002E1A37"/>
    <w:rsid w:val="002E1E49"/>
    <w:rsid w:val="002E234E"/>
    <w:rsid w:val="002E2579"/>
    <w:rsid w:val="002E288A"/>
    <w:rsid w:val="002E3B3A"/>
    <w:rsid w:val="002E3CBF"/>
    <w:rsid w:val="002E450B"/>
    <w:rsid w:val="002E6F00"/>
    <w:rsid w:val="002E77F3"/>
    <w:rsid w:val="002F0DFB"/>
    <w:rsid w:val="002F10E7"/>
    <w:rsid w:val="002F1137"/>
    <w:rsid w:val="002F117B"/>
    <w:rsid w:val="002F1666"/>
    <w:rsid w:val="002F214E"/>
    <w:rsid w:val="002F265A"/>
    <w:rsid w:val="002F47DF"/>
    <w:rsid w:val="002F4D19"/>
    <w:rsid w:val="002F4DEF"/>
    <w:rsid w:val="002F4FEC"/>
    <w:rsid w:val="002F5E78"/>
    <w:rsid w:val="002F70DB"/>
    <w:rsid w:val="002F743B"/>
    <w:rsid w:val="002F757F"/>
    <w:rsid w:val="002F76F9"/>
    <w:rsid w:val="002F78F1"/>
    <w:rsid w:val="00300572"/>
    <w:rsid w:val="00300FDE"/>
    <w:rsid w:val="003020A3"/>
    <w:rsid w:val="003022B9"/>
    <w:rsid w:val="00303AB8"/>
    <w:rsid w:val="00303BD2"/>
    <w:rsid w:val="00303C74"/>
    <w:rsid w:val="003044C2"/>
    <w:rsid w:val="00304BC8"/>
    <w:rsid w:val="00304F90"/>
    <w:rsid w:val="003053CC"/>
    <w:rsid w:val="003055A2"/>
    <w:rsid w:val="00305A28"/>
    <w:rsid w:val="00306624"/>
    <w:rsid w:val="00306D88"/>
    <w:rsid w:val="0030740E"/>
    <w:rsid w:val="00307FED"/>
    <w:rsid w:val="00313AF8"/>
    <w:rsid w:val="00314CCF"/>
    <w:rsid w:val="00314DA3"/>
    <w:rsid w:val="00315070"/>
    <w:rsid w:val="0031542F"/>
    <w:rsid w:val="003168CE"/>
    <w:rsid w:val="00317410"/>
    <w:rsid w:val="00317538"/>
    <w:rsid w:val="00320449"/>
    <w:rsid w:val="003205A9"/>
    <w:rsid w:val="003219FD"/>
    <w:rsid w:val="00322EA7"/>
    <w:rsid w:val="0032306E"/>
    <w:rsid w:val="00323B62"/>
    <w:rsid w:val="00323CCC"/>
    <w:rsid w:val="00324354"/>
    <w:rsid w:val="003244A6"/>
    <w:rsid w:val="00324BD4"/>
    <w:rsid w:val="00325485"/>
    <w:rsid w:val="00325776"/>
    <w:rsid w:val="00325971"/>
    <w:rsid w:val="003264A1"/>
    <w:rsid w:val="00326A22"/>
    <w:rsid w:val="00327AF6"/>
    <w:rsid w:val="00327C0A"/>
    <w:rsid w:val="00327D55"/>
    <w:rsid w:val="00327D6B"/>
    <w:rsid w:val="00330AF5"/>
    <w:rsid w:val="00330B57"/>
    <w:rsid w:val="00330DDC"/>
    <w:rsid w:val="003315FA"/>
    <w:rsid w:val="003319BF"/>
    <w:rsid w:val="00332B22"/>
    <w:rsid w:val="003334F4"/>
    <w:rsid w:val="00334609"/>
    <w:rsid w:val="003348B3"/>
    <w:rsid w:val="00335645"/>
    <w:rsid w:val="00336225"/>
    <w:rsid w:val="003366CD"/>
    <w:rsid w:val="0033698E"/>
    <w:rsid w:val="0033740A"/>
    <w:rsid w:val="00337D17"/>
    <w:rsid w:val="00337E71"/>
    <w:rsid w:val="00340D96"/>
    <w:rsid w:val="00341741"/>
    <w:rsid w:val="00343BBE"/>
    <w:rsid w:val="00343D23"/>
    <w:rsid w:val="003442B9"/>
    <w:rsid w:val="00344C02"/>
    <w:rsid w:val="00345326"/>
    <w:rsid w:val="00345D05"/>
    <w:rsid w:val="0034652C"/>
    <w:rsid w:val="00346A37"/>
    <w:rsid w:val="00346A49"/>
    <w:rsid w:val="00350EFA"/>
    <w:rsid w:val="003515F5"/>
    <w:rsid w:val="003522D4"/>
    <w:rsid w:val="00352733"/>
    <w:rsid w:val="00352A02"/>
    <w:rsid w:val="00352E63"/>
    <w:rsid w:val="00352FC5"/>
    <w:rsid w:val="00353D22"/>
    <w:rsid w:val="00354245"/>
    <w:rsid w:val="0035471B"/>
    <w:rsid w:val="0035569C"/>
    <w:rsid w:val="00355D9B"/>
    <w:rsid w:val="003565B1"/>
    <w:rsid w:val="003565EE"/>
    <w:rsid w:val="00356984"/>
    <w:rsid w:val="00356D01"/>
    <w:rsid w:val="0035727A"/>
    <w:rsid w:val="00357398"/>
    <w:rsid w:val="003573F0"/>
    <w:rsid w:val="00360AA4"/>
    <w:rsid w:val="00361522"/>
    <w:rsid w:val="00361FEB"/>
    <w:rsid w:val="003624F9"/>
    <w:rsid w:val="00362D3B"/>
    <w:rsid w:val="0036340C"/>
    <w:rsid w:val="003637A1"/>
    <w:rsid w:val="00363CCA"/>
    <w:rsid w:val="003644FC"/>
    <w:rsid w:val="00365312"/>
    <w:rsid w:val="003658CE"/>
    <w:rsid w:val="00366193"/>
    <w:rsid w:val="003715A0"/>
    <w:rsid w:val="0037191E"/>
    <w:rsid w:val="0037366F"/>
    <w:rsid w:val="0037421B"/>
    <w:rsid w:val="00375555"/>
    <w:rsid w:val="00375FF6"/>
    <w:rsid w:val="0037610F"/>
    <w:rsid w:val="00376334"/>
    <w:rsid w:val="0037699E"/>
    <w:rsid w:val="00376AB7"/>
    <w:rsid w:val="00376B13"/>
    <w:rsid w:val="0037764A"/>
    <w:rsid w:val="00380457"/>
    <w:rsid w:val="0038066D"/>
    <w:rsid w:val="00381030"/>
    <w:rsid w:val="00381A86"/>
    <w:rsid w:val="003827FB"/>
    <w:rsid w:val="00383720"/>
    <w:rsid w:val="003838C1"/>
    <w:rsid w:val="00383D9D"/>
    <w:rsid w:val="00384388"/>
    <w:rsid w:val="00384F8E"/>
    <w:rsid w:val="003852CD"/>
    <w:rsid w:val="00385A4A"/>
    <w:rsid w:val="00385ED3"/>
    <w:rsid w:val="003864BA"/>
    <w:rsid w:val="00386683"/>
    <w:rsid w:val="00387426"/>
    <w:rsid w:val="00387D68"/>
    <w:rsid w:val="00390E96"/>
    <w:rsid w:val="00391930"/>
    <w:rsid w:val="00391B51"/>
    <w:rsid w:val="003925EF"/>
    <w:rsid w:val="0039384F"/>
    <w:rsid w:val="00393DDC"/>
    <w:rsid w:val="003944F4"/>
    <w:rsid w:val="003948A2"/>
    <w:rsid w:val="00394F1A"/>
    <w:rsid w:val="0039540D"/>
    <w:rsid w:val="003955CC"/>
    <w:rsid w:val="00395971"/>
    <w:rsid w:val="00397A51"/>
    <w:rsid w:val="003A0175"/>
    <w:rsid w:val="003A0F9B"/>
    <w:rsid w:val="003A2071"/>
    <w:rsid w:val="003A4307"/>
    <w:rsid w:val="003A5BA1"/>
    <w:rsid w:val="003A6A3C"/>
    <w:rsid w:val="003A6C83"/>
    <w:rsid w:val="003A6DA5"/>
    <w:rsid w:val="003B06AF"/>
    <w:rsid w:val="003B0916"/>
    <w:rsid w:val="003B0C11"/>
    <w:rsid w:val="003B0DB0"/>
    <w:rsid w:val="003B102E"/>
    <w:rsid w:val="003B22C9"/>
    <w:rsid w:val="003B2C91"/>
    <w:rsid w:val="003B386F"/>
    <w:rsid w:val="003B3BA8"/>
    <w:rsid w:val="003B42F8"/>
    <w:rsid w:val="003B434F"/>
    <w:rsid w:val="003B46B9"/>
    <w:rsid w:val="003B4B8E"/>
    <w:rsid w:val="003B4BF3"/>
    <w:rsid w:val="003B4DD7"/>
    <w:rsid w:val="003B512D"/>
    <w:rsid w:val="003B5BD7"/>
    <w:rsid w:val="003B60B6"/>
    <w:rsid w:val="003B7557"/>
    <w:rsid w:val="003B761A"/>
    <w:rsid w:val="003B767D"/>
    <w:rsid w:val="003B7ED5"/>
    <w:rsid w:val="003C123D"/>
    <w:rsid w:val="003C28C9"/>
    <w:rsid w:val="003C2FB1"/>
    <w:rsid w:val="003C300D"/>
    <w:rsid w:val="003C3A9A"/>
    <w:rsid w:val="003C44B3"/>
    <w:rsid w:val="003C5449"/>
    <w:rsid w:val="003C545F"/>
    <w:rsid w:val="003C657D"/>
    <w:rsid w:val="003C6EB4"/>
    <w:rsid w:val="003C7356"/>
    <w:rsid w:val="003C74F7"/>
    <w:rsid w:val="003D10F8"/>
    <w:rsid w:val="003D1749"/>
    <w:rsid w:val="003D1F04"/>
    <w:rsid w:val="003D1FAF"/>
    <w:rsid w:val="003D2181"/>
    <w:rsid w:val="003D3898"/>
    <w:rsid w:val="003D530D"/>
    <w:rsid w:val="003D5B18"/>
    <w:rsid w:val="003D5C6D"/>
    <w:rsid w:val="003D6109"/>
    <w:rsid w:val="003D65DB"/>
    <w:rsid w:val="003D6D85"/>
    <w:rsid w:val="003D7012"/>
    <w:rsid w:val="003E08D7"/>
    <w:rsid w:val="003E091C"/>
    <w:rsid w:val="003E172D"/>
    <w:rsid w:val="003E1DDD"/>
    <w:rsid w:val="003E1F85"/>
    <w:rsid w:val="003E228A"/>
    <w:rsid w:val="003E318E"/>
    <w:rsid w:val="003E452D"/>
    <w:rsid w:val="003E62A0"/>
    <w:rsid w:val="003E7BE4"/>
    <w:rsid w:val="003F0150"/>
    <w:rsid w:val="003F17D0"/>
    <w:rsid w:val="003F24A4"/>
    <w:rsid w:val="003F2B5E"/>
    <w:rsid w:val="003F3A78"/>
    <w:rsid w:val="003F48A0"/>
    <w:rsid w:val="003F4964"/>
    <w:rsid w:val="003F4EAB"/>
    <w:rsid w:val="003F5E91"/>
    <w:rsid w:val="003F5EB8"/>
    <w:rsid w:val="003F66ED"/>
    <w:rsid w:val="003F7AAD"/>
    <w:rsid w:val="003F7EE4"/>
    <w:rsid w:val="00400B49"/>
    <w:rsid w:val="004010CD"/>
    <w:rsid w:val="00401D6B"/>
    <w:rsid w:val="004027B6"/>
    <w:rsid w:val="004029BD"/>
    <w:rsid w:val="00402D73"/>
    <w:rsid w:val="004040B5"/>
    <w:rsid w:val="00404ACE"/>
    <w:rsid w:val="00404CF8"/>
    <w:rsid w:val="00404EDE"/>
    <w:rsid w:val="004053FC"/>
    <w:rsid w:val="004055A4"/>
    <w:rsid w:val="0040563C"/>
    <w:rsid w:val="00406927"/>
    <w:rsid w:val="00406DC9"/>
    <w:rsid w:val="00410301"/>
    <w:rsid w:val="00410438"/>
    <w:rsid w:val="00410F0D"/>
    <w:rsid w:val="0041135C"/>
    <w:rsid w:val="00411BE2"/>
    <w:rsid w:val="00412031"/>
    <w:rsid w:val="0041302D"/>
    <w:rsid w:val="00413344"/>
    <w:rsid w:val="00413E8E"/>
    <w:rsid w:val="00413FFA"/>
    <w:rsid w:val="00414460"/>
    <w:rsid w:val="0041559A"/>
    <w:rsid w:val="00416469"/>
    <w:rsid w:val="004167BC"/>
    <w:rsid w:val="004173E1"/>
    <w:rsid w:val="00417C1C"/>
    <w:rsid w:val="004203C6"/>
    <w:rsid w:val="00420697"/>
    <w:rsid w:val="004207EF"/>
    <w:rsid w:val="00420BEA"/>
    <w:rsid w:val="00420C20"/>
    <w:rsid w:val="00420CC8"/>
    <w:rsid w:val="004214E3"/>
    <w:rsid w:val="00422172"/>
    <w:rsid w:val="004225BB"/>
    <w:rsid w:val="004228AD"/>
    <w:rsid w:val="004239A7"/>
    <w:rsid w:val="00423B2B"/>
    <w:rsid w:val="00423ED3"/>
    <w:rsid w:val="00424E39"/>
    <w:rsid w:val="00425C3A"/>
    <w:rsid w:val="00425F9F"/>
    <w:rsid w:val="00426A8E"/>
    <w:rsid w:val="00426C7C"/>
    <w:rsid w:val="00427B58"/>
    <w:rsid w:val="00432089"/>
    <w:rsid w:val="0043285A"/>
    <w:rsid w:val="0043421F"/>
    <w:rsid w:val="0043447B"/>
    <w:rsid w:val="00434F61"/>
    <w:rsid w:val="00435198"/>
    <w:rsid w:val="00435282"/>
    <w:rsid w:val="00435375"/>
    <w:rsid w:val="004374D6"/>
    <w:rsid w:val="004377D9"/>
    <w:rsid w:val="00437BB8"/>
    <w:rsid w:val="0044003C"/>
    <w:rsid w:val="00441414"/>
    <w:rsid w:val="004421F3"/>
    <w:rsid w:val="00442661"/>
    <w:rsid w:val="004430FB"/>
    <w:rsid w:val="00443363"/>
    <w:rsid w:val="00443644"/>
    <w:rsid w:val="004445B2"/>
    <w:rsid w:val="0044462E"/>
    <w:rsid w:val="00445BBA"/>
    <w:rsid w:val="004501DC"/>
    <w:rsid w:val="00451DF0"/>
    <w:rsid w:val="00452084"/>
    <w:rsid w:val="004534C0"/>
    <w:rsid w:val="004549CB"/>
    <w:rsid w:val="00454F29"/>
    <w:rsid w:val="00455B93"/>
    <w:rsid w:val="00455F70"/>
    <w:rsid w:val="004561B7"/>
    <w:rsid w:val="00456FB9"/>
    <w:rsid w:val="00457239"/>
    <w:rsid w:val="00457AEC"/>
    <w:rsid w:val="00460478"/>
    <w:rsid w:val="00460DB4"/>
    <w:rsid w:val="004612FF"/>
    <w:rsid w:val="004625C9"/>
    <w:rsid w:val="004627B8"/>
    <w:rsid w:val="00462B38"/>
    <w:rsid w:val="0046399E"/>
    <w:rsid w:val="00463AB6"/>
    <w:rsid w:val="004640C3"/>
    <w:rsid w:val="004642D0"/>
    <w:rsid w:val="00464523"/>
    <w:rsid w:val="00464B0A"/>
    <w:rsid w:val="004653C6"/>
    <w:rsid w:val="0046598E"/>
    <w:rsid w:val="00465DF4"/>
    <w:rsid w:val="00467C46"/>
    <w:rsid w:val="004703BD"/>
    <w:rsid w:val="00470817"/>
    <w:rsid w:val="00470EA2"/>
    <w:rsid w:val="00470ED4"/>
    <w:rsid w:val="0047278C"/>
    <w:rsid w:val="00474F53"/>
    <w:rsid w:val="004750C9"/>
    <w:rsid w:val="004751C0"/>
    <w:rsid w:val="00475227"/>
    <w:rsid w:val="00475ED4"/>
    <w:rsid w:val="00475FAA"/>
    <w:rsid w:val="0047644D"/>
    <w:rsid w:val="00476735"/>
    <w:rsid w:val="00476F10"/>
    <w:rsid w:val="004776AE"/>
    <w:rsid w:val="00477D40"/>
    <w:rsid w:val="00477F07"/>
    <w:rsid w:val="004805BB"/>
    <w:rsid w:val="00480CC3"/>
    <w:rsid w:val="00481C9F"/>
    <w:rsid w:val="00482E09"/>
    <w:rsid w:val="00484316"/>
    <w:rsid w:val="00484574"/>
    <w:rsid w:val="004855A5"/>
    <w:rsid w:val="0048584E"/>
    <w:rsid w:val="00485E87"/>
    <w:rsid w:val="00486F84"/>
    <w:rsid w:val="0048700C"/>
    <w:rsid w:val="004874E1"/>
    <w:rsid w:val="00487CA2"/>
    <w:rsid w:val="00487DFA"/>
    <w:rsid w:val="00487E15"/>
    <w:rsid w:val="00490325"/>
    <w:rsid w:val="00490381"/>
    <w:rsid w:val="004908D9"/>
    <w:rsid w:val="00492AE1"/>
    <w:rsid w:val="00493007"/>
    <w:rsid w:val="004931F7"/>
    <w:rsid w:val="00494318"/>
    <w:rsid w:val="00494885"/>
    <w:rsid w:val="004950E0"/>
    <w:rsid w:val="00496ADF"/>
    <w:rsid w:val="00496B0B"/>
    <w:rsid w:val="00497078"/>
    <w:rsid w:val="0049718B"/>
    <w:rsid w:val="004973CE"/>
    <w:rsid w:val="004979DB"/>
    <w:rsid w:val="00497C09"/>
    <w:rsid w:val="004A0133"/>
    <w:rsid w:val="004A1527"/>
    <w:rsid w:val="004A23C7"/>
    <w:rsid w:val="004A3EE6"/>
    <w:rsid w:val="004A46F7"/>
    <w:rsid w:val="004A54BA"/>
    <w:rsid w:val="004A574D"/>
    <w:rsid w:val="004A5C54"/>
    <w:rsid w:val="004A62EA"/>
    <w:rsid w:val="004A6E52"/>
    <w:rsid w:val="004A73EA"/>
    <w:rsid w:val="004A7DB9"/>
    <w:rsid w:val="004B035F"/>
    <w:rsid w:val="004B219E"/>
    <w:rsid w:val="004B2D07"/>
    <w:rsid w:val="004B2FB3"/>
    <w:rsid w:val="004B30DC"/>
    <w:rsid w:val="004B34C0"/>
    <w:rsid w:val="004B3D68"/>
    <w:rsid w:val="004B40F7"/>
    <w:rsid w:val="004B46CE"/>
    <w:rsid w:val="004B4E74"/>
    <w:rsid w:val="004B64C5"/>
    <w:rsid w:val="004C12A9"/>
    <w:rsid w:val="004C1508"/>
    <w:rsid w:val="004C2287"/>
    <w:rsid w:val="004C2A3A"/>
    <w:rsid w:val="004C2BCB"/>
    <w:rsid w:val="004C305E"/>
    <w:rsid w:val="004C3A9A"/>
    <w:rsid w:val="004C3CCC"/>
    <w:rsid w:val="004C4178"/>
    <w:rsid w:val="004C41A8"/>
    <w:rsid w:val="004C50A7"/>
    <w:rsid w:val="004C50EA"/>
    <w:rsid w:val="004C60BA"/>
    <w:rsid w:val="004C60DC"/>
    <w:rsid w:val="004C6651"/>
    <w:rsid w:val="004C7401"/>
    <w:rsid w:val="004C74EF"/>
    <w:rsid w:val="004D030D"/>
    <w:rsid w:val="004D26DF"/>
    <w:rsid w:val="004D2D7B"/>
    <w:rsid w:val="004D3037"/>
    <w:rsid w:val="004D3220"/>
    <w:rsid w:val="004D3455"/>
    <w:rsid w:val="004D34F3"/>
    <w:rsid w:val="004D381A"/>
    <w:rsid w:val="004D3DAE"/>
    <w:rsid w:val="004D4E9E"/>
    <w:rsid w:val="004D4FAC"/>
    <w:rsid w:val="004D5148"/>
    <w:rsid w:val="004D5A05"/>
    <w:rsid w:val="004D602F"/>
    <w:rsid w:val="004D64D7"/>
    <w:rsid w:val="004D6BCF"/>
    <w:rsid w:val="004D6BE7"/>
    <w:rsid w:val="004D71C4"/>
    <w:rsid w:val="004D7373"/>
    <w:rsid w:val="004D7D3F"/>
    <w:rsid w:val="004D7F8F"/>
    <w:rsid w:val="004E0606"/>
    <w:rsid w:val="004E1A67"/>
    <w:rsid w:val="004E1AC9"/>
    <w:rsid w:val="004E364B"/>
    <w:rsid w:val="004E39E1"/>
    <w:rsid w:val="004E46D4"/>
    <w:rsid w:val="004E6DA9"/>
    <w:rsid w:val="004E7D1A"/>
    <w:rsid w:val="004F0320"/>
    <w:rsid w:val="004F05B1"/>
    <w:rsid w:val="004F173B"/>
    <w:rsid w:val="004F2759"/>
    <w:rsid w:val="004F29CC"/>
    <w:rsid w:val="004F2E8F"/>
    <w:rsid w:val="004F3704"/>
    <w:rsid w:val="004F5F19"/>
    <w:rsid w:val="004F61AA"/>
    <w:rsid w:val="004F62AF"/>
    <w:rsid w:val="004F7098"/>
    <w:rsid w:val="004F7D64"/>
    <w:rsid w:val="00500FEB"/>
    <w:rsid w:val="0050143A"/>
    <w:rsid w:val="005015C7"/>
    <w:rsid w:val="0050196C"/>
    <w:rsid w:val="005019AF"/>
    <w:rsid w:val="005025CD"/>
    <w:rsid w:val="00502A03"/>
    <w:rsid w:val="00503664"/>
    <w:rsid w:val="00503976"/>
    <w:rsid w:val="005049A0"/>
    <w:rsid w:val="00504B2C"/>
    <w:rsid w:val="0050520B"/>
    <w:rsid w:val="005052B2"/>
    <w:rsid w:val="00505F2C"/>
    <w:rsid w:val="00506EB0"/>
    <w:rsid w:val="005070CE"/>
    <w:rsid w:val="00510A31"/>
    <w:rsid w:val="00511884"/>
    <w:rsid w:val="005118BC"/>
    <w:rsid w:val="0051236D"/>
    <w:rsid w:val="005126FA"/>
    <w:rsid w:val="005127EB"/>
    <w:rsid w:val="00512854"/>
    <w:rsid w:val="00512FC7"/>
    <w:rsid w:val="00513B57"/>
    <w:rsid w:val="0051437E"/>
    <w:rsid w:val="00516047"/>
    <w:rsid w:val="005165ED"/>
    <w:rsid w:val="00521A13"/>
    <w:rsid w:val="00521CAE"/>
    <w:rsid w:val="00522819"/>
    <w:rsid w:val="00523087"/>
    <w:rsid w:val="00523A22"/>
    <w:rsid w:val="0052414B"/>
    <w:rsid w:val="005249AD"/>
    <w:rsid w:val="00524F56"/>
    <w:rsid w:val="0052545F"/>
    <w:rsid w:val="0052679C"/>
    <w:rsid w:val="00526F9F"/>
    <w:rsid w:val="00530D8C"/>
    <w:rsid w:val="00531D87"/>
    <w:rsid w:val="00532931"/>
    <w:rsid w:val="0053536E"/>
    <w:rsid w:val="005356F3"/>
    <w:rsid w:val="00535B99"/>
    <w:rsid w:val="00535D27"/>
    <w:rsid w:val="00535FB8"/>
    <w:rsid w:val="005378EA"/>
    <w:rsid w:val="00540811"/>
    <w:rsid w:val="00541FCE"/>
    <w:rsid w:val="005430E7"/>
    <w:rsid w:val="00544216"/>
    <w:rsid w:val="00544C9B"/>
    <w:rsid w:val="0054575E"/>
    <w:rsid w:val="00546091"/>
    <w:rsid w:val="00546182"/>
    <w:rsid w:val="0054649D"/>
    <w:rsid w:val="00547577"/>
    <w:rsid w:val="00550AE4"/>
    <w:rsid w:val="00550EED"/>
    <w:rsid w:val="00551044"/>
    <w:rsid w:val="005512A0"/>
    <w:rsid w:val="00551627"/>
    <w:rsid w:val="00551B78"/>
    <w:rsid w:val="00552E7A"/>
    <w:rsid w:val="005531F6"/>
    <w:rsid w:val="00553D7E"/>
    <w:rsid w:val="00553DB5"/>
    <w:rsid w:val="005543C3"/>
    <w:rsid w:val="005555AC"/>
    <w:rsid w:val="00556568"/>
    <w:rsid w:val="00557FAC"/>
    <w:rsid w:val="00560EF8"/>
    <w:rsid w:val="00561E94"/>
    <w:rsid w:val="00562045"/>
    <w:rsid w:val="0056226F"/>
    <w:rsid w:val="00562614"/>
    <w:rsid w:val="0056309C"/>
    <w:rsid w:val="00563171"/>
    <w:rsid w:val="00563CEE"/>
    <w:rsid w:val="00565896"/>
    <w:rsid w:val="005659F4"/>
    <w:rsid w:val="00565B01"/>
    <w:rsid w:val="005661A6"/>
    <w:rsid w:val="00566597"/>
    <w:rsid w:val="005670E5"/>
    <w:rsid w:val="0056782F"/>
    <w:rsid w:val="00570E0C"/>
    <w:rsid w:val="00571051"/>
    <w:rsid w:val="00571125"/>
    <w:rsid w:val="00571B31"/>
    <w:rsid w:val="00571ED4"/>
    <w:rsid w:val="005721B6"/>
    <w:rsid w:val="00572631"/>
    <w:rsid w:val="0057286A"/>
    <w:rsid w:val="00573443"/>
    <w:rsid w:val="00573900"/>
    <w:rsid w:val="00573A18"/>
    <w:rsid w:val="00573AF5"/>
    <w:rsid w:val="00573CE1"/>
    <w:rsid w:val="005759D5"/>
    <w:rsid w:val="00575FE4"/>
    <w:rsid w:val="005803F6"/>
    <w:rsid w:val="00580652"/>
    <w:rsid w:val="00580EFD"/>
    <w:rsid w:val="00581AE4"/>
    <w:rsid w:val="00582AEB"/>
    <w:rsid w:val="00582B47"/>
    <w:rsid w:val="005843E5"/>
    <w:rsid w:val="00584F34"/>
    <w:rsid w:val="005850C4"/>
    <w:rsid w:val="00585AF3"/>
    <w:rsid w:val="00585EDD"/>
    <w:rsid w:val="00585F5E"/>
    <w:rsid w:val="005861EF"/>
    <w:rsid w:val="005862D2"/>
    <w:rsid w:val="0058631B"/>
    <w:rsid w:val="00586D6A"/>
    <w:rsid w:val="00586EDB"/>
    <w:rsid w:val="005871AA"/>
    <w:rsid w:val="00587855"/>
    <w:rsid w:val="005879F9"/>
    <w:rsid w:val="00591FDA"/>
    <w:rsid w:val="005927E5"/>
    <w:rsid w:val="00593D47"/>
    <w:rsid w:val="0059481E"/>
    <w:rsid w:val="0059496D"/>
    <w:rsid w:val="0059509E"/>
    <w:rsid w:val="00595785"/>
    <w:rsid w:val="00595C29"/>
    <w:rsid w:val="00595CBC"/>
    <w:rsid w:val="00596FA8"/>
    <w:rsid w:val="00597447"/>
    <w:rsid w:val="005A0944"/>
    <w:rsid w:val="005A0C5E"/>
    <w:rsid w:val="005A1684"/>
    <w:rsid w:val="005A2114"/>
    <w:rsid w:val="005A3752"/>
    <w:rsid w:val="005A3E3B"/>
    <w:rsid w:val="005A491E"/>
    <w:rsid w:val="005A4C86"/>
    <w:rsid w:val="005A6603"/>
    <w:rsid w:val="005A680E"/>
    <w:rsid w:val="005A69DC"/>
    <w:rsid w:val="005A7071"/>
    <w:rsid w:val="005A74A5"/>
    <w:rsid w:val="005B05C3"/>
    <w:rsid w:val="005B0CCF"/>
    <w:rsid w:val="005B0E13"/>
    <w:rsid w:val="005B1421"/>
    <w:rsid w:val="005B1EBE"/>
    <w:rsid w:val="005B2C4A"/>
    <w:rsid w:val="005B4EDF"/>
    <w:rsid w:val="005B529E"/>
    <w:rsid w:val="005B6533"/>
    <w:rsid w:val="005B67AE"/>
    <w:rsid w:val="005B6BDE"/>
    <w:rsid w:val="005B7662"/>
    <w:rsid w:val="005C0442"/>
    <w:rsid w:val="005C08B9"/>
    <w:rsid w:val="005C092C"/>
    <w:rsid w:val="005C1554"/>
    <w:rsid w:val="005C171E"/>
    <w:rsid w:val="005C1FAD"/>
    <w:rsid w:val="005C3F52"/>
    <w:rsid w:val="005C5269"/>
    <w:rsid w:val="005C5D3F"/>
    <w:rsid w:val="005C623E"/>
    <w:rsid w:val="005C6739"/>
    <w:rsid w:val="005C7586"/>
    <w:rsid w:val="005D01D3"/>
    <w:rsid w:val="005D08B3"/>
    <w:rsid w:val="005D12FA"/>
    <w:rsid w:val="005D291A"/>
    <w:rsid w:val="005D2CAB"/>
    <w:rsid w:val="005D2F9E"/>
    <w:rsid w:val="005D3313"/>
    <w:rsid w:val="005D38E6"/>
    <w:rsid w:val="005D419D"/>
    <w:rsid w:val="005D493F"/>
    <w:rsid w:val="005D59BB"/>
    <w:rsid w:val="005D6044"/>
    <w:rsid w:val="005D6265"/>
    <w:rsid w:val="005D6330"/>
    <w:rsid w:val="005D6D2D"/>
    <w:rsid w:val="005D7170"/>
    <w:rsid w:val="005D78FF"/>
    <w:rsid w:val="005E0124"/>
    <w:rsid w:val="005E053F"/>
    <w:rsid w:val="005E1B70"/>
    <w:rsid w:val="005E2749"/>
    <w:rsid w:val="005E2DB3"/>
    <w:rsid w:val="005E30DA"/>
    <w:rsid w:val="005E3A63"/>
    <w:rsid w:val="005E3CCE"/>
    <w:rsid w:val="005E4391"/>
    <w:rsid w:val="005E4864"/>
    <w:rsid w:val="005E4FE6"/>
    <w:rsid w:val="005E6366"/>
    <w:rsid w:val="005E6613"/>
    <w:rsid w:val="005E6A32"/>
    <w:rsid w:val="005E6C0B"/>
    <w:rsid w:val="005E7348"/>
    <w:rsid w:val="005E7832"/>
    <w:rsid w:val="005F0188"/>
    <w:rsid w:val="005F11A3"/>
    <w:rsid w:val="005F2C1D"/>
    <w:rsid w:val="005F400B"/>
    <w:rsid w:val="005F4AC1"/>
    <w:rsid w:val="005F4D26"/>
    <w:rsid w:val="005F5D57"/>
    <w:rsid w:val="005F6212"/>
    <w:rsid w:val="005F707B"/>
    <w:rsid w:val="005F7259"/>
    <w:rsid w:val="005F7707"/>
    <w:rsid w:val="005F7A93"/>
    <w:rsid w:val="00600B66"/>
    <w:rsid w:val="00600CCD"/>
    <w:rsid w:val="00601327"/>
    <w:rsid w:val="00601753"/>
    <w:rsid w:val="006020ED"/>
    <w:rsid w:val="00602DF1"/>
    <w:rsid w:val="0060442D"/>
    <w:rsid w:val="006047F2"/>
    <w:rsid w:val="00604986"/>
    <w:rsid w:val="00604A4F"/>
    <w:rsid w:val="00604DAE"/>
    <w:rsid w:val="006054FB"/>
    <w:rsid w:val="006056BE"/>
    <w:rsid w:val="00605898"/>
    <w:rsid w:val="00605E61"/>
    <w:rsid w:val="00606973"/>
    <w:rsid w:val="00606D1D"/>
    <w:rsid w:val="006074AF"/>
    <w:rsid w:val="006115E6"/>
    <w:rsid w:val="0061160A"/>
    <w:rsid w:val="00611E90"/>
    <w:rsid w:val="0061266D"/>
    <w:rsid w:val="00612C8A"/>
    <w:rsid w:val="00612F59"/>
    <w:rsid w:val="00612F65"/>
    <w:rsid w:val="0061393A"/>
    <w:rsid w:val="00613DFA"/>
    <w:rsid w:val="00615855"/>
    <w:rsid w:val="00615B1C"/>
    <w:rsid w:val="006165DD"/>
    <w:rsid w:val="00617AF9"/>
    <w:rsid w:val="00620EF4"/>
    <w:rsid w:val="0062113D"/>
    <w:rsid w:val="00621372"/>
    <w:rsid w:val="006218AA"/>
    <w:rsid w:val="0062200B"/>
    <w:rsid w:val="00622A81"/>
    <w:rsid w:val="00622F59"/>
    <w:rsid w:val="006238A2"/>
    <w:rsid w:val="00625210"/>
    <w:rsid w:val="00625A0B"/>
    <w:rsid w:val="00626CDE"/>
    <w:rsid w:val="00627001"/>
    <w:rsid w:val="00627D19"/>
    <w:rsid w:val="00631563"/>
    <w:rsid w:val="00631903"/>
    <w:rsid w:val="00631EE7"/>
    <w:rsid w:val="00632363"/>
    <w:rsid w:val="00632682"/>
    <w:rsid w:val="00633FE4"/>
    <w:rsid w:val="006344FF"/>
    <w:rsid w:val="00634684"/>
    <w:rsid w:val="006347C6"/>
    <w:rsid w:val="006349C9"/>
    <w:rsid w:val="00634B52"/>
    <w:rsid w:val="006350E1"/>
    <w:rsid w:val="006355A5"/>
    <w:rsid w:val="00636A47"/>
    <w:rsid w:val="00637E95"/>
    <w:rsid w:val="00637EFB"/>
    <w:rsid w:val="0064216D"/>
    <w:rsid w:val="0064233C"/>
    <w:rsid w:val="00642A96"/>
    <w:rsid w:val="00643482"/>
    <w:rsid w:val="00643D07"/>
    <w:rsid w:val="00643FD1"/>
    <w:rsid w:val="00644B51"/>
    <w:rsid w:val="006453AA"/>
    <w:rsid w:val="006477D2"/>
    <w:rsid w:val="006478FC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5BE4"/>
    <w:rsid w:val="00656B65"/>
    <w:rsid w:val="006576D7"/>
    <w:rsid w:val="006602C7"/>
    <w:rsid w:val="00660401"/>
    <w:rsid w:val="00661625"/>
    <w:rsid w:val="0066164A"/>
    <w:rsid w:val="00663257"/>
    <w:rsid w:val="006648B6"/>
    <w:rsid w:val="00664F08"/>
    <w:rsid w:val="00665201"/>
    <w:rsid w:val="00665C55"/>
    <w:rsid w:val="00667A0A"/>
    <w:rsid w:val="00667E4C"/>
    <w:rsid w:val="006708C0"/>
    <w:rsid w:val="00671221"/>
    <w:rsid w:val="00672099"/>
    <w:rsid w:val="0067483E"/>
    <w:rsid w:val="006748E3"/>
    <w:rsid w:val="00674F78"/>
    <w:rsid w:val="00675D4F"/>
    <w:rsid w:val="00676036"/>
    <w:rsid w:val="0067619D"/>
    <w:rsid w:val="006768D8"/>
    <w:rsid w:val="006778FC"/>
    <w:rsid w:val="00681040"/>
    <w:rsid w:val="00683B82"/>
    <w:rsid w:val="006842FB"/>
    <w:rsid w:val="00685F86"/>
    <w:rsid w:val="006864FE"/>
    <w:rsid w:val="00687318"/>
    <w:rsid w:val="006876EB"/>
    <w:rsid w:val="00687E75"/>
    <w:rsid w:val="00690ACD"/>
    <w:rsid w:val="006917E1"/>
    <w:rsid w:val="00691C7B"/>
    <w:rsid w:val="00691E9D"/>
    <w:rsid w:val="00694111"/>
    <w:rsid w:val="00694845"/>
    <w:rsid w:val="00695BD5"/>
    <w:rsid w:val="0069637C"/>
    <w:rsid w:val="00696849"/>
    <w:rsid w:val="0069725F"/>
    <w:rsid w:val="006A1820"/>
    <w:rsid w:val="006A22FC"/>
    <w:rsid w:val="006A2714"/>
    <w:rsid w:val="006A294B"/>
    <w:rsid w:val="006A381D"/>
    <w:rsid w:val="006A3B33"/>
    <w:rsid w:val="006A40EB"/>
    <w:rsid w:val="006A564A"/>
    <w:rsid w:val="006A5AB0"/>
    <w:rsid w:val="006A68BB"/>
    <w:rsid w:val="006B0B33"/>
    <w:rsid w:val="006B0D3D"/>
    <w:rsid w:val="006B12A9"/>
    <w:rsid w:val="006B2769"/>
    <w:rsid w:val="006B448E"/>
    <w:rsid w:val="006B6C0F"/>
    <w:rsid w:val="006B6EF7"/>
    <w:rsid w:val="006B72FE"/>
    <w:rsid w:val="006C0A61"/>
    <w:rsid w:val="006C16FF"/>
    <w:rsid w:val="006C207C"/>
    <w:rsid w:val="006C21F7"/>
    <w:rsid w:val="006C22E4"/>
    <w:rsid w:val="006C3FBD"/>
    <w:rsid w:val="006C458D"/>
    <w:rsid w:val="006C48D5"/>
    <w:rsid w:val="006C5A99"/>
    <w:rsid w:val="006C61CF"/>
    <w:rsid w:val="006C759A"/>
    <w:rsid w:val="006C79E9"/>
    <w:rsid w:val="006D0AAF"/>
    <w:rsid w:val="006D0D40"/>
    <w:rsid w:val="006D121C"/>
    <w:rsid w:val="006D127C"/>
    <w:rsid w:val="006D28FA"/>
    <w:rsid w:val="006D2FAE"/>
    <w:rsid w:val="006D43C8"/>
    <w:rsid w:val="006D4E98"/>
    <w:rsid w:val="006D59A8"/>
    <w:rsid w:val="006D5C17"/>
    <w:rsid w:val="006D696D"/>
    <w:rsid w:val="006E02A4"/>
    <w:rsid w:val="006E1042"/>
    <w:rsid w:val="006E2575"/>
    <w:rsid w:val="006E2727"/>
    <w:rsid w:val="006E3E6F"/>
    <w:rsid w:val="006E4166"/>
    <w:rsid w:val="006E459F"/>
    <w:rsid w:val="006E488E"/>
    <w:rsid w:val="006E4C8E"/>
    <w:rsid w:val="006E5D20"/>
    <w:rsid w:val="006E6E87"/>
    <w:rsid w:val="006E6EE0"/>
    <w:rsid w:val="006F0C1E"/>
    <w:rsid w:val="006F20F9"/>
    <w:rsid w:val="006F24CB"/>
    <w:rsid w:val="006F2A40"/>
    <w:rsid w:val="006F32FE"/>
    <w:rsid w:val="006F34AA"/>
    <w:rsid w:val="006F34F5"/>
    <w:rsid w:val="006F422F"/>
    <w:rsid w:val="006F4998"/>
    <w:rsid w:val="006F4A1D"/>
    <w:rsid w:val="006F62DB"/>
    <w:rsid w:val="006F6445"/>
    <w:rsid w:val="007000E1"/>
    <w:rsid w:val="007006C3"/>
    <w:rsid w:val="007013BF"/>
    <w:rsid w:val="00702C85"/>
    <w:rsid w:val="0070345C"/>
    <w:rsid w:val="0070361A"/>
    <w:rsid w:val="00703A43"/>
    <w:rsid w:val="00703E54"/>
    <w:rsid w:val="00704462"/>
    <w:rsid w:val="00704845"/>
    <w:rsid w:val="007062F0"/>
    <w:rsid w:val="00706AE0"/>
    <w:rsid w:val="00707157"/>
    <w:rsid w:val="007104D6"/>
    <w:rsid w:val="00710565"/>
    <w:rsid w:val="007106A3"/>
    <w:rsid w:val="00710B57"/>
    <w:rsid w:val="00710D8D"/>
    <w:rsid w:val="007115C9"/>
    <w:rsid w:val="0071191E"/>
    <w:rsid w:val="00711A0F"/>
    <w:rsid w:val="00711A1B"/>
    <w:rsid w:val="00711EF3"/>
    <w:rsid w:val="00712DE3"/>
    <w:rsid w:val="00714222"/>
    <w:rsid w:val="00714DD1"/>
    <w:rsid w:val="00716306"/>
    <w:rsid w:val="00716462"/>
    <w:rsid w:val="00716D6F"/>
    <w:rsid w:val="00716E9B"/>
    <w:rsid w:val="00717187"/>
    <w:rsid w:val="00717245"/>
    <w:rsid w:val="007202C9"/>
    <w:rsid w:val="00720787"/>
    <w:rsid w:val="00720A09"/>
    <w:rsid w:val="00721BA1"/>
    <w:rsid w:val="00721F90"/>
    <w:rsid w:val="00722404"/>
    <w:rsid w:val="0072253E"/>
    <w:rsid w:val="00723286"/>
    <w:rsid w:val="00723655"/>
    <w:rsid w:val="00723A22"/>
    <w:rsid w:val="00723F9D"/>
    <w:rsid w:val="00726C81"/>
    <w:rsid w:val="007274EA"/>
    <w:rsid w:val="0072783E"/>
    <w:rsid w:val="007305F0"/>
    <w:rsid w:val="00730A5A"/>
    <w:rsid w:val="00730C8A"/>
    <w:rsid w:val="0073137D"/>
    <w:rsid w:val="0073143C"/>
    <w:rsid w:val="0073232B"/>
    <w:rsid w:val="00732E2F"/>
    <w:rsid w:val="00733410"/>
    <w:rsid w:val="00733D24"/>
    <w:rsid w:val="00734A61"/>
    <w:rsid w:val="00734FA2"/>
    <w:rsid w:val="0073519F"/>
    <w:rsid w:val="0073695C"/>
    <w:rsid w:val="007376ED"/>
    <w:rsid w:val="00737FDA"/>
    <w:rsid w:val="007406A1"/>
    <w:rsid w:val="007429A2"/>
    <w:rsid w:val="00742B69"/>
    <w:rsid w:val="00742EE2"/>
    <w:rsid w:val="0074337C"/>
    <w:rsid w:val="00743648"/>
    <w:rsid w:val="00743DAB"/>
    <w:rsid w:val="00743FBB"/>
    <w:rsid w:val="0074492B"/>
    <w:rsid w:val="007456CB"/>
    <w:rsid w:val="00746937"/>
    <w:rsid w:val="007476C5"/>
    <w:rsid w:val="0075145C"/>
    <w:rsid w:val="007517B1"/>
    <w:rsid w:val="007517C6"/>
    <w:rsid w:val="00751DF2"/>
    <w:rsid w:val="0075277A"/>
    <w:rsid w:val="00753608"/>
    <w:rsid w:val="00753D53"/>
    <w:rsid w:val="0075480B"/>
    <w:rsid w:val="00755114"/>
    <w:rsid w:val="007551E8"/>
    <w:rsid w:val="007557D7"/>
    <w:rsid w:val="00756BF5"/>
    <w:rsid w:val="00757AB3"/>
    <w:rsid w:val="00757E7A"/>
    <w:rsid w:val="0076048C"/>
    <w:rsid w:val="00760663"/>
    <w:rsid w:val="007606A9"/>
    <w:rsid w:val="007607AB"/>
    <w:rsid w:val="00761604"/>
    <w:rsid w:val="007620F2"/>
    <w:rsid w:val="007626CA"/>
    <w:rsid w:val="0076281B"/>
    <w:rsid w:val="0076336E"/>
    <w:rsid w:val="007635DA"/>
    <w:rsid w:val="007635F5"/>
    <w:rsid w:val="0076380E"/>
    <w:rsid w:val="00765D46"/>
    <w:rsid w:val="00766A21"/>
    <w:rsid w:val="0076715F"/>
    <w:rsid w:val="00767EE8"/>
    <w:rsid w:val="007707AD"/>
    <w:rsid w:val="00771BCB"/>
    <w:rsid w:val="007726D0"/>
    <w:rsid w:val="00772DD3"/>
    <w:rsid w:val="00772ECB"/>
    <w:rsid w:val="00772F06"/>
    <w:rsid w:val="00773CD5"/>
    <w:rsid w:val="0077536F"/>
    <w:rsid w:val="007753BC"/>
    <w:rsid w:val="007762D0"/>
    <w:rsid w:val="00776D3B"/>
    <w:rsid w:val="00777568"/>
    <w:rsid w:val="00777E08"/>
    <w:rsid w:val="007804CC"/>
    <w:rsid w:val="00780B5E"/>
    <w:rsid w:val="00780B6B"/>
    <w:rsid w:val="00780CCA"/>
    <w:rsid w:val="007822E2"/>
    <w:rsid w:val="007836E4"/>
    <w:rsid w:val="007852E6"/>
    <w:rsid w:val="00785B66"/>
    <w:rsid w:val="00787430"/>
    <w:rsid w:val="00787494"/>
    <w:rsid w:val="007908E2"/>
    <w:rsid w:val="00791096"/>
    <w:rsid w:val="00792513"/>
    <w:rsid w:val="00793293"/>
    <w:rsid w:val="007934E9"/>
    <w:rsid w:val="00794410"/>
    <w:rsid w:val="00794AEC"/>
    <w:rsid w:val="0079515D"/>
    <w:rsid w:val="00796A3E"/>
    <w:rsid w:val="00796E28"/>
    <w:rsid w:val="00797683"/>
    <w:rsid w:val="0079793A"/>
    <w:rsid w:val="007A0E55"/>
    <w:rsid w:val="007A17B0"/>
    <w:rsid w:val="007A1D9A"/>
    <w:rsid w:val="007A1DA8"/>
    <w:rsid w:val="007A1E0F"/>
    <w:rsid w:val="007A2B7E"/>
    <w:rsid w:val="007A2F59"/>
    <w:rsid w:val="007A3025"/>
    <w:rsid w:val="007A5918"/>
    <w:rsid w:val="007A5CE7"/>
    <w:rsid w:val="007A70DF"/>
    <w:rsid w:val="007A7B6F"/>
    <w:rsid w:val="007A7C9C"/>
    <w:rsid w:val="007B0C03"/>
    <w:rsid w:val="007B1502"/>
    <w:rsid w:val="007B16AC"/>
    <w:rsid w:val="007B2ACE"/>
    <w:rsid w:val="007B2B63"/>
    <w:rsid w:val="007B2BC2"/>
    <w:rsid w:val="007B2D95"/>
    <w:rsid w:val="007B3BB0"/>
    <w:rsid w:val="007B4206"/>
    <w:rsid w:val="007B460A"/>
    <w:rsid w:val="007B6FBA"/>
    <w:rsid w:val="007B76C3"/>
    <w:rsid w:val="007B7FE3"/>
    <w:rsid w:val="007C0241"/>
    <w:rsid w:val="007C1924"/>
    <w:rsid w:val="007C2BCE"/>
    <w:rsid w:val="007C3065"/>
    <w:rsid w:val="007C42C3"/>
    <w:rsid w:val="007C48EB"/>
    <w:rsid w:val="007C627B"/>
    <w:rsid w:val="007C62A1"/>
    <w:rsid w:val="007C6A4D"/>
    <w:rsid w:val="007C731E"/>
    <w:rsid w:val="007C7ED0"/>
    <w:rsid w:val="007D0C94"/>
    <w:rsid w:val="007D1158"/>
    <w:rsid w:val="007D1284"/>
    <w:rsid w:val="007D1838"/>
    <w:rsid w:val="007D21EE"/>
    <w:rsid w:val="007D2880"/>
    <w:rsid w:val="007D2E67"/>
    <w:rsid w:val="007D3730"/>
    <w:rsid w:val="007D4B2A"/>
    <w:rsid w:val="007D4BE9"/>
    <w:rsid w:val="007D4C7F"/>
    <w:rsid w:val="007D6881"/>
    <w:rsid w:val="007D6A5B"/>
    <w:rsid w:val="007D7805"/>
    <w:rsid w:val="007D7BBD"/>
    <w:rsid w:val="007D7FFD"/>
    <w:rsid w:val="007E05D8"/>
    <w:rsid w:val="007E0965"/>
    <w:rsid w:val="007E177C"/>
    <w:rsid w:val="007E1F0A"/>
    <w:rsid w:val="007E2BA6"/>
    <w:rsid w:val="007E2C64"/>
    <w:rsid w:val="007E2EE5"/>
    <w:rsid w:val="007E38FC"/>
    <w:rsid w:val="007E3B6F"/>
    <w:rsid w:val="007E5D7A"/>
    <w:rsid w:val="007E5F6D"/>
    <w:rsid w:val="007E6477"/>
    <w:rsid w:val="007E6483"/>
    <w:rsid w:val="007E7156"/>
    <w:rsid w:val="007E7B7B"/>
    <w:rsid w:val="007E7EA8"/>
    <w:rsid w:val="007F1598"/>
    <w:rsid w:val="007F1C37"/>
    <w:rsid w:val="007F276F"/>
    <w:rsid w:val="007F32E5"/>
    <w:rsid w:val="007F345B"/>
    <w:rsid w:val="007F35B2"/>
    <w:rsid w:val="007F3875"/>
    <w:rsid w:val="007F38FE"/>
    <w:rsid w:val="007F3F63"/>
    <w:rsid w:val="007F5C08"/>
    <w:rsid w:val="007F60CE"/>
    <w:rsid w:val="007F6282"/>
    <w:rsid w:val="007F7956"/>
    <w:rsid w:val="008006DB"/>
    <w:rsid w:val="00801080"/>
    <w:rsid w:val="00801134"/>
    <w:rsid w:val="00802724"/>
    <w:rsid w:val="0080404F"/>
    <w:rsid w:val="0080428A"/>
    <w:rsid w:val="00805C49"/>
    <w:rsid w:val="00805F05"/>
    <w:rsid w:val="0080635D"/>
    <w:rsid w:val="008064EA"/>
    <w:rsid w:val="008069D5"/>
    <w:rsid w:val="00806A53"/>
    <w:rsid w:val="0080704D"/>
    <w:rsid w:val="008077CC"/>
    <w:rsid w:val="00807B71"/>
    <w:rsid w:val="00807E75"/>
    <w:rsid w:val="008109FF"/>
    <w:rsid w:val="00811307"/>
    <w:rsid w:val="00811C30"/>
    <w:rsid w:val="00811F1C"/>
    <w:rsid w:val="00812008"/>
    <w:rsid w:val="00812DAD"/>
    <w:rsid w:val="00813429"/>
    <w:rsid w:val="00813DA2"/>
    <w:rsid w:val="00813FAA"/>
    <w:rsid w:val="008141B0"/>
    <w:rsid w:val="0081421A"/>
    <w:rsid w:val="00815132"/>
    <w:rsid w:val="00815E3F"/>
    <w:rsid w:val="00815F40"/>
    <w:rsid w:val="00816B69"/>
    <w:rsid w:val="00817B29"/>
    <w:rsid w:val="00821104"/>
    <w:rsid w:val="008214C5"/>
    <w:rsid w:val="00822659"/>
    <w:rsid w:val="00823542"/>
    <w:rsid w:val="00823636"/>
    <w:rsid w:val="008238B9"/>
    <w:rsid w:val="00823F81"/>
    <w:rsid w:val="00824061"/>
    <w:rsid w:val="00824131"/>
    <w:rsid w:val="00824253"/>
    <w:rsid w:val="00824AC7"/>
    <w:rsid w:val="00824D1D"/>
    <w:rsid w:val="00825CAF"/>
    <w:rsid w:val="00825F7D"/>
    <w:rsid w:val="00826824"/>
    <w:rsid w:val="0082682D"/>
    <w:rsid w:val="0083016D"/>
    <w:rsid w:val="0083233C"/>
    <w:rsid w:val="0083247F"/>
    <w:rsid w:val="00833C4A"/>
    <w:rsid w:val="00834083"/>
    <w:rsid w:val="00834413"/>
    <w:rsid w:val="00834A20"/>
    <w:rsid w:val="00834C43"/>
    <w:rsid w:val="00835264"/>
    <w:rsid w:val="00835930"/>
    <w:rsid w:val="00837424"/>
    <w:rsid w:val="008376AC"/>
    <w:rsid w:val="0084002B"/>
    <w:rsid w:val="0084018C"/>
    <w:rsid w:val="00840E9B"/>
    <w:rsid w:val="0084133F"/>
    <w:rsid w:val="00841C8F"/>
    <w:rsid w:val="008422DD"/>
    <w:rsid w:val="00842C0E"/>
    <w:rsid w:val="00843D5B"/>
    <w:rsid w:val="00844492"/>
    <w:rsid w:val="00844C40"/>
    <w:rsid w:val="00844F9A"/>
    <w:rsid w:val="008452E2"/>
    <w:rsid w:val="008456A2"/>
    <w:rsid w:val="008458BF"/>
    <w:rsid w:val="00845DEF"/>
    <w:rsid w:val="00846C06"/>
    <w:rsid w:val="0084753A"/>
    <w:rsid w:val="00847FDE"/>
    <w:rsid w:val="008505F6"/>
    <w:rsid w:val="00851073"/>
    <w:rsid w:val="008515EF"/>
    <w:rsid w:val="008516F4"/>
    <w:rsid w:val="00852700"/>
    <w:rsid w:val="00852832"/>
    <w:rsid w:val="00852CA1"/>
    <w:rsid w:val="00853797"/>
    <w:rsid w:val="00853A01"/>
    <w:rsid w:val="0085447A"/>
    <w:rsid w:val="00854A33"/>
    <w:rsid w:val="00854B36"/>
    <w:rsid w:val="00854BA2"/>
    <w:rsid w:val="00855916"/>
    <w:rsid w:val="00855ECD"/>
    <w:rsid w:val="00856676"/>
    <w:rsid w:val="008613A9"/>
    <w:rsid w:val="00862990"/>
    <w:rsid w:val="00862D8E"/>
    <w:rsid w:val="00863411"/>
    <w:rsid w:val="00863DF6"/>
    <w:rsid w:val="00864570"/>
    <w:rsid w:val="00864ED9"/>
    <w:rsid w:val="00867799"/>
    <w:rsid w:val="008716C4"/>
    <w:rsid w:val="00871B35"/>
    <w:rsid w:val="00872114"/>
    <w:rsid w:val="00873715"/>
    <w:rsid w:val="00873E22"/>
    <w:rsid w:val="00873FC1"/>
    <w:rsid w:val="00873FF0"/>
    <w:rsid w:val="00874788"/>
    <w:rsid w:val="00875265"/>
    <w:rsid w:val="00877452"/>
    <w:rsid w:val="008774F3"/>
    <w:rsid w:val="00880FFA"/>
    <w:rsid w:val="008822E7"/>
    <w:rsid w:val="0088261F"/>
    <w:rsid w:val="0088282B"/>
    <w:rsid w:val="00882A5C"/>
    <w:rsid w:val="00882B54"/>
    <w:rsid w:val="00883151"/>
    <w:rsid w:val="0088398F"/>
    <w:rsid w:val="0088451E"/>
    <w:rsid w:val="00885C9E"/>
    <w:rsid w:val="00885E3A"/>
    <w:rsid w:val="00886171"/>
    <w:rsid w:val="00886215"/>
    <w:rsid w:val="0088654D"/>
    <w:rsid w:val="00886B2E"/>
    <w:rsid w:val="00887E06"/>
    <w:rsid w:val="0089039D"/>
    <w:rsid w:val="00890657"/>
    <w:rsid w:val="00890C9D"/>
    <w:rsid w:val="00891E62"/>
    <w:rsid w:val="00892FE5"/>
    <w:rsid w:val="00893D88"/>
    <w:rsid w:val="00893E02"/>
    <w:rsid w:val="008957D2"/>
    <w:rsid w:val="008958EF"/>
    <w:rsid w:val="00895E24"/>
    <w:rsid w:val="008974DB"/>
    <w:rsid w:val="00897558"/>
    <w:rsid w:val="008A0E45"/>
    <w:rsid w:val="008A2AB7"/>
    <w:rsid w:val="008A2BF7"/>
    <w:rsid w:val="008A2F6A"/>
    <w:rsid w:val="008A3B0B"/>
    <w:rsid w:val="008A49DD"/>
    <w:rsid w:val="008A4B7A"/>
    <w:rsid w:val="008A4E35"/>
    <w:rsid w:val="008A55F7"/>
    <w:rsid w:val="008A5BA9"/>
    <w:rsid w:val="008A5D4B"/>
    <w:rsid w:val="008A6587"/>
    <w:rsid w:val="008A7176"/>
    <w:rsid w:val="008A7D9C"/>
    <w:rsid w:val="008A7EAD"/>
    <w:rsid w:val="008A7FB8"/>
    <w:rsid w:val="008B0811"/>
    <w:rsid w:val="008B13C3"/>
    <w:rsid w:val="008B16E5"/>
    <w:rsid w:val="008B1878"/>
    <w:rsid w:val="008B305E"/>
    <w:rsid w:val="008B3962"/>
    <w:rsid w:val="008B4508"/>
    <w:rsid w:val="008B5356"/>
    <w:rsid w:val="008B5E90"/>
    <w:rsid w:val="008B63BB"/>
    <w:rsid w:val="008B692E"/>
    <w:rsid w:val="008B7303"/>
    <w:rsid w:val="008B791C"/>
    <w:rsid w:val="008C0576"/>
    <w:rsid w:val="008C0CF6"/>
    <w:rsid w:val="008C204C"/>
    <w:rsid w:val="008C4165"/>
    <w:rsid w:val="008C54E1"/>
    <w:rsid w:val="008C5C22"/>
    <w:rsid w:val="008C6522"/>
    <w:rsid w:val="008C7B6D"/>
    <w:rsid w:val="008D07E8"/>
    <w:rsid w:val="008D0904"/>
    <w:rsid w:val="008D12D6"/>
    <w:rsid w:val="008D2367"/>
    <w:rsid w:val="008D2AAD"/>
    <w:rsid w:val="008D437F"/>
    <w:rsid w:val="008D43FC"/>
    <w:rsid w:val="008D4DF1"/>
    <w:rsid w:val="008D6E67"/>
    <w:rsid w:val="008E086F"/>
    <w:rsid w:val="008E1CFF"/>
    <w:rsid w:val="008E24BB"/>
    <w:rsid w:val="008E252F"/>
    <w:rsid w:val="008E26E5"/>
    <w:rsid w:val="008E2D75"/>
    <w:rsid w:val="008E3095"/>
    <w:rsid w:val="008E37BD"/>
    <w:rsid w:val="008E5187"/>
    <w:rsid w:val="008E5A95"/>
    <w:rsid w:val="008E5D9E"/>
    <w:rsid w:val="008E6971"/>
    <w:rsid w:val="008E7910"/>
    <w:rsid w:val="008F0A5C"/>
    <w:rsid w:val="008F0FDA"/>
    <w:rsid w:val="008F1612"/>
    <w:rsid w:val="008F1BD5"/>
    <w:rsid w:val="008F2959"/>
    <w:rsid w:val="008F4115"/>
    <w:rsid w:val="008F42FB"/>
    <w:rsid w:val="008F4E0D"/>
    <w:rsid w:val="008F50B0"/>
    <w:rsid w:val="008F62A3"/>
    <w:rsid w:val="008F654F"/>
    <w:rsid w:val="008F675F"/>
    <w:rsid w:val="008F6DBD"/>
    <w:rsid w:val="00900D84"/>
    <w:rsid w:val="00901363"/>
    <w:rsid w:val="00901A6B"/>
    <w:rsid w:val="00901D22"/>
    <w:rsid w:val="00902148"/>
    <w:rsid w:val="00902553"/>
    <w:rsid w:val="00903164"/>
    <w:rsid w:val="0090359D"/>
    <w:rsid w:val="0090383F"/>
    <w:rsid w:val="009049BC"/>
    <w:rsid w:val="0090501A"/>
    <w:rsid w:val="0090558C"/>
    <w:rsid w:val="009068D0"/>
    <w:rsid w:val="00906C3E"/>
    <w:rsid w:val="00907E53"/>
    <w:rsid w:val="00910926"/>
    <w:rsid w:val="00911346"/>
    <w:rsid w:val="009117CC"/>
    <w:rsid w:val="00911CAF"/>
    <w:rsid w:val="00911D2E"/>
    <w:rsid w:val="00912140"/>
    <w:rsid w:val="0091396B"/>
    <w:rsid w:val="00913B7F"/>
    <w:rsid w:val="00913C78"/>
    <w:rsid w:val="00914402"/>
    <w:rsid w:val="00914A26"/>
    <w:rsid w:val="00914D9D"/>
    <w:rsid w:val="009154AC"/>
    <w:rsid w:val="009162FB"/>
    <w:rsid w:val="0091637D"/>
    <w:rsid w:val="00916FD5"/>
    <w:rsid w:val="009173C6"/>
    <w:rsid w:val="00921D60"/>
    <w:rsid w:val="009225B1"/>
    <w:rsid w:val="0092274E"/>
    <w:rsid w:val="0092337D"/>
    <w:rsid w:val="0092347C"/>
    <w:rsid w:val="00923A0D"/>
    <w:rsid w:val="00924369"/>
    <w:rsid w:val="00924455"/>
    <w:rsid w:val="009249AB"/>
    <w:rsid w:val="00924C50"/>
    <w:rsid w:val="0092554E"/>
    <w:rsid w:val="00925C73"/>
    <w:rsid w:val="00925D82"/>
    <w:rsid w:val="0093137F"/>
    <w:rsid w:val="009315A0"/>
    <w:rsid w:val="00931E7B"/>
    <w:rsid w:val="009321B9"/>
    <w:rsid w:val="00932325"/>
    <w:rsid w:val="00932B6D"/>
    <w:rsid w:val="0093426F"/>
    <w:rsid w:val="00935CD1"/>
    <w:rsid w:val="00936453"/>
    <w:rsid w:val="009369B6"/>
    <w:rsid w:val="0093710F"/>
    <w:rsid w:val="00940114"/>
    <w:rsid w:val="00940309"/>
    <w:rsid w:val="00940CFC"/>
    <w:rsid w:val="00941121"/>
    <w:rsid w:val="00942106"/>
    <w:rsid w:val="00943479"/>
    <w:rsid w:val="00943551"/>
    <w:rsid w:val="009435DE"/>
    <w:rsid w:val="00943B2E"/>
    <w:rsid w:val="00943DE0"/>
    <w:rsid w:val="009440B2"/>
    <w:rsid w:val="00944EF6"/>
    <w:rsid w:val="00945A20"/>
    <w:rsid w:val="00945E9B"/>
    <w:rsid w:val="00946221"/>
    <w:rsid w:val="00947579"/>
    <w:rsid w:val="009475F0"/>
    <w:rsid w:val="0095196F"/>
    <w:rsid w:val="00951C83"/>
    <w:rsid w:val="00953034"/>
    <w:rsid w:val="0095349D"/>
    <w:rsid w:val="00954287"/>
    <w:rsid w:val="00955993"/>
    <w:rsid w:val="00955E2A"/>
    <w:rsid w:val="0095608C"/>
    <w:rsid w:val="00956331"/>
    <w:rsid w:val="00956E92"/>
    <w:rsid w:val="00957B5F"/>
    <w:rsid w:val="0096117F"/>
    <w:rsid w:val="00962793"/>
    <w:rsid w:val="009642AA"/>
    <w:rsid w:val="0096541A"/>
    <w:rsid w:val="00967957"/>
    <w:rsid w:val="009704D7"/>
    <w:rsid w:val="00970B5D"/>
    <w:rsid w:val="00972E1E"/>
    <w:rsid w:val="0097373C"/>
    <w:rsid w:val="00974BE4"/>
    <w:rsid w:val="00974C0B"/>
    <w:rsid w:val="00974EC8"/>
    <w:rsid w:val="0097518B"/>
    <w:rsid w:val="00975612"/>
    <w:rsid w:val="00975F96"/>
    <w:rsid w:val="009760BB"/>
    <w:rsid w:val="009769A6"/>
    <w:rsid w:val="0098015B"/>
    <w:rsid w:val="0098076B"/>
    <w:rsid w:val="009807C1"/>
    <w:rsid w:val="00980FC9"/>
    <w:rsid w:val="00984DF6"/>
    <w:rsid w:val="00985182"/>
    <w:rsid w:val="0098527F"/>
    <w:rsid w:val="009856B6"/>
    <w:rsid w:val="009858B9"/>
    <w:rsid w:val="00985EA4"/>
    <w:rsid w:val="00987AF9"/>
    <w:rsid w:val="00990E18"/>
    <w:rsid w:val="00991393"/>
    <w:rsid w:val="00991CD3"/>
    <w:rsid w:val="00993455"/>
    <w:rsid w:val="009942DB"/>
    <w:rsid w:val="009952B5"/>
    <w:rsid w:val="0099548B"/>
    <w:rsid w:val="009956AF"/>
    <w:rsid w:val="00995CB2"/>
    <w:rsid w:val="00995DBB"/>
    <w:rsid w:val="009970D3"/>
    <w:rsid w:val="009A1612"/>
    <w:rsid w:val="009A2A05"/>
    <w:rsid w:val="009A33DB"/>
    <w:rsid w:val="009A41BE"/>
    <w:rsid w:val="009A4D40"/>
    <w:rsid w:val="009A61D1"/>
    <w:rsid w:val="009A64A5"/>
    <w:rsid w:val="009A6824"/>
    <w:rsid w:val="009A68EF"/>
    <w:rsid w:val="009A6AFC"/>
    <w:rsid w:val="009A6CC4"/>
    <w:rsid w:val="009A7852"/>
    <w:rsid w:val="009A7C9F"/>
    <w:rsid w:val="009B0507"/>
    <w:rsid w:val="009B1C61"/>
    <w:rsid w:val="009B1C75"/>
    <w:rsid w:val="009B22A4"/>
    <w:rsid w:val="009B314F"/>
    <w:rsid w:val="009B452D"/>
    <w:rsid w:val="009B6082"/>
    <w:rsid w:val="009B6731"/>
    <w:rsid w:val="009B7B66"/>
    <w:rsid w:val="009C0AB9"/>
    <w:rsid w:val="009C113E"/>
    <w:rsid w:val="009C12B3"/>
    <w:rsid w:val="009C3213"/>
    <w:rsid w:val="009C344E"/>
    <w:rsid w:val="009C3A7D"/>
    <w:rsid w:val="009C47F0"/>
    <w:rsid w:val="009C4F75"/>
    <w:rsid w:val="009C5664"/>
    <w:rsid w:val="009C6BF7"/>
    <w:rsid w:val="009C71A7"/>
    <w:rsid w:val="009D067F"/>
    <w:rsid w:val="009D167D"/>
    <w:rsid w:val="009D1BD2"/>
    <w:rsid w:val="009D34A4"/>
    <w:rsid w:val="009D3C6E"/>
    <w:rsid w:val="009D4A19"/>
    <w:rsid w:val="009D4B7A"/>
    <w:rsid w:val="009D4C6D"/>
    <w:rsid w:val="009D538C"/>
    <w:rsid w:val="009D5834"/>
    <w:rsid w:val="009D6AEE"/>
    <w:rsid w:val="009E0E19"/>
    <w:rsid w:val="009E1E52"/>
    <w:rsid w:val="009E1F22"/>
    <w:rsid w:val="009E288E"/>
    <w:rsid w:val="009E35CB"/>
    <w:rsid w:val="009E51E1"/>
    <w:rsid w:val="009E5780"/>
    <w:rsid w:val="009E6748"/>
    <w:rsid w:val="009E7573"/>
    <w:rsid w:val="009E7657"/>
    <w:rsid w:val="009E7D1B"/>
    <w:rsid w:val="009F0587"/>
    <w:rsid w:val="009F09B7"/>
    <w:rsid w:val="009F0CF5"/>
    <w:rsid w:val="009F0DC8"/>
    <w:rsid w:val="009F0E8E"/>
    <w:rsid w:val="009F22D0"/>
    <w:rsid w:val="009F2B01"/>
    <w:rsid w:val="009F360B"/>
    <w:rsid w:val="009F40A4"/>
    <w:rsid w:val="009F4108"/>
    <w:rsid w:val="009F5BC5"/>
    <w:rsid w:val="009F5DAC"/>
    <w:rsid w:val="009F5F16"/>
    <w:rsid w:val="009F667D"/>
    <w:rsid w:val="009F6F0E"/>
    <w:rsid w:val="009F7BF1"/>
    <w:rsid w:val="009F7C36"/>
    <w:rsid w:val="00A00674"/>
    <w:rsid w:val="00A00C54"/>
    <w:rsid w:val="00A02788"/>
    <w:rsid w:val="00A02B9F"/>
    <w:rsid w:val="00A04258"/>
    <w:rsid w:val="00A05149"/>
    <w:rsid w:val="00A05DA4"/>
    <w:rsid w:val="00A05F39"/>
    <w:rsid w:val="00A061E7"/>
    <w:rsid w:val="00A07778"/>
    <w:rsid w:val="00A10324"/>
    <w:rsid w:val="00A1162F"/>
    <w:rsid w:val="00A125C6"/>
    <w:rsid w:val="00A12E11"/>
    <w:rsid w:val="00A132DF"/>
    <w:rsid w:val="00A133D0"/>
    <w:rsid w:val="00A14132"/>
    <w:rsid w:val="00A1436A"/>
    <w:rsid w:val="00A148E1"/>
    <w:rsid w:val="00A149F4"/>
    <w:rsid w:val="00A16704"/>
    <w:rsid w:val="00A176D4"/>
    <w:rsid w:val="00A17A73"/>
    <w:rsid w:val="00A200E1"/>
    <w:rsid w:val="00A208E0"/>
    <w:rsid w:val="00A20C16"/>
    <w:rsid w:val="00A21B24"/>
    <w:rsid w:val="00A22720"/>
    <w:rsid w:val="00A22980"/>
    <w:rsid w:val="00A2329E"/>
    <w:rsid w:val="00A24080"/>
    <w:rsid w:val="00A2408F"/>
    <w:rsid w:val="00A24168"/>
    <w:rsid w:val="00A245F6"/>
    <w:rsid w:val="00A2480C"/>
    <w:rsid w:val="00A25914"/>
    <w:rsid w:val="00A262A8"/>
    <w:rsid w:val="00A26E17"/>
    <w:rsid w:val="00A27B40"/>
    <w:rsid w:val="00A30550"/>
    <w:rsid w:val="00A30D45"/>
    <w:rsid w:val="00A31274"/>
    <w:rsid w:val="00A314DF"/>
    <w:rsid w:val="00A31A0E"/>
    <w:rsid w:val="00A3202F"/>
    <w:rsid w:val="00A32609"/>
    <w:rsid w:val="00A32A97"/>
    <w:rsid w:val="00A32CC0"/>
    <w:rsid w:val="00A33B90"/>
    <w:rsid w:val="00A33EF5"/>
    <w:rsid w:val="00A35C8F"/>
    <w:rsid w:val="00A37423"/>
    <w:rsid w:val="00A3760E"/>
    <w:rsid w:val="00A37787"/>
    <w:rsid w:val="00A37A23"/>
    <w:rsid w:val="00A37A8B"/>
    <w:rsid w:val="00A406C1"/>
    <w:rsid w:val="00A40DB7"/>
    <w:rsid w:val="00A4164F"/>
    <w:rsid w:val="00A41AFB"/>
    <w:rsid w:val="00A4237C"/>
    <w:rsid w:val="00A42648"/>
    <w:rsid w:val="00A42764"/>
    <w:rsid w:val="00A42FDA"/>
    <w:rsid w:val="00A43286"/>
    <w:rsid w:val="00A43546"/>
    <w:rsid w:val="00A438D1"/>
    <w:rsid w:val="00A43D16"/>
    <w:rsid w:val="00A44F25"/>
    <w:rsid w:val="00A450AD"/>
    <w:rsid w:val="00A4525F"/>
    <w:rsid w:val="00A45510"/>
    <w:rsid w:val="00A4555F"/>
    <w:rsid w:val="00A45A8E"/>
    <w:rsid w:val="00A46007"/>
    <w:rsid w:val="00A463BE"/>
    <w:rsid w:val="00A46BA1"/>
    <w:rsid w:val="00A5005A"/>
    <w:rsid w:val="00A50577"/>
    <w:rsid w:val="00A5468C"/>
    <w:rsid w:val="00A54E38"/>
    <w:rsid w:val="00A54F2C"/>
    <w:rsid w:val="00A553C0"/>
    <w:rsid w:val="00A55D17"/>
    <w:rsid w:val="00A56AAB"/>
    <w:rsid w:val="00A574E0"/>
    <w:rsid w:val="00A578D4"/>
    <w:rsid w:val="00A57EE9"/>
    <w:rsid w:val="00A60230"/>
    <w:rsid w:val="00A60C84"/>
    <w:rsid w:val="00A610E4"/>
    <w:rsid w:val="00A62731"/>
    <w:rsid w:val="00A63180"/>
    <w:rsid w:val="00A63BAD"/>
    <w:rsid w:val="00A63D58"/>
    <w:rsid w:val="00A63F5C"/>
    <w:rsid w:val="00A64E2D"/>
    <w:rsid w:val="00A65179"/>
    <w:rsid w:val="00A651A2"/>
    <w:rsid w:val="00A652DA"/>
    <w:rsid w:val="00A6550A"/>
    <w:rsid w:val="00A655B1"/>
    <w:rsid w:val="00A6607A"/>
    <w:rsid w:val="00A66518"/>
    <w:rsid w:val="00A67218"/>
    <w:rsid w:val="00A6798E"/>
    <w:rsid w:val="00A67B4E"/>
    <w:rsid w:val="00A71B18"/>
    <w:rsid w:val="00A71E26"/>
    <w:rsid w:val="00A73800"/>
    <w:rsid w:val="00A73BBD"/>
    <w:rsid w:val="00A73F10"/>
    <w:rsid w:val="00A73F90"/>
    <w:rsid w:val="00A76519"/>
    <w:rsid w:val="00A7678D"/>
    <w:rsid w:val="00A773F1"/>
    <w:rsid w:val="00A776BE"/>
    <w:rsid w:val="00A77F3C"/>
    <w:rsid w:val="00A80931"/>
    <w:rsid w:val="00A8160A"/>
    <w:rsid w:val="00A8226A"/>
    <w:rsid w:val="00A82379"/>
    <w:rsid w:val="00A82603"/>
    <w:rsid w:val="00A82638"/>
    <w:rsid w:val="00A833AA"/>
    <w:rsid w:val="00A835FA"/>
    <w:rsid w:val="00A83CBB"/>
    <w:rsid w:val="00A85D36"/>
    <w:rsid w:val="00A86612"/>
    <w:rsid w:val="00A8692E"/>
    <w:rsid w:val="00A872E7"/>
    <w:rsid w:val="00A90231"/>
    <w:rsid w:val="00A94367"/>
    <w:rsid w:val="00A94901"/>
    <w:rsid w:val="00A9533C"/>
    <w:rsid w:val="00A953E6"/>
    <w:rsid w:val="00A96213"/>
    <w:rsid w:val="00A9688B"/>
    <w:rsid w:val="00A96D0B"/>
    <w:rsid w:val="00A96DF7"/>
    <w:rsid w:val="00A97066"/>
    <w:rsid w:val="00AA07F1"/>
    <w:rsid w:val="00AA0C59"/>
    <w:rsid w:val="00AA1769"/>
    <w:rsid w:val="00AA1782"/>
    <w:rsid w:val="00AA2732"/>
    <w:rsid w:val="00AA2759"/>
    <w:rsid w:val="00AA2946"/>
    <w:rsid w:val="00AA2BFF"/>
    <w:rsid w:val="00AA2F2F"/>
    <w:rsid w:val="00AA2FD8"/>
    <w:rsid w:val="00AA3B9C"/>
    <w:rsid w:val="00AA5DF1"/>
    <w:rsid w:val="00AA6EC2"/>
    <w:rsid w:val="00AA714B"/>
    <w:rsid w:val="00AA739E"/>
    <w:rsid w:val="00AA7482"/>
    <w:rsid w:val="00AA757B"/>
    <w:rsid w:val="00AB0CE2"/>
    <w:rsid w:val="00AB3446"/>
    <w:rsid w:val="00AB35BB"/>
    <w:rsid w:val="00AB3ABC"/>
    <w:rsid w:val="00AB3B81"/>
    <w:rsid w:val="00AB415E"/>
    <w:rsid w:val="00AB4371"/>
    <w:rsid w:val="00AB4B85"/>
    <w:rsid w:val="00AB4D1C"/>
    <w:rsid w:val="00AB6636"/>
    <w:rsid w:val="00AB6F51"/>
    <w:rsid w:val="00AB76CE"/>
    <w:rsid w:val="00AB7A6D"/>
    <w:rsid w:val="00AB7C9B"/>
    <w:rsid w:val="00AC04EB"/>
    <w:rsid w:val="00AC100A"/>
    <w:rsid w:val="00AC186F"/>
    <w:rsid w:val="00AC1D69"/>
    <w:rsid w:val="00AC1FCE"/>
    <w:rsid w:val="00AC273C"/>
    <w:rsid w:val="00AC2A51"/>
    <w:rsid w:val="00AC3792"/>
    <w:rsid w:val="00AC3FC8"/>
    <w:rsid w:val="00AC4710"/>
    <w:rsid w:val="00AC546F"/>
    <w:rsid w:val="00AC55D6"/>
    <w:rsid w:val="00AC5E21"/>
    <w:rsid w:val="00AC691D"/>
    <w:rsid w:val="00AC69F1"/>
    <w:rsid w:val="00AC7B0D"/>
    <w:rsid w:val="00AC7C25"/>
    <w:rsid w:val="00AD0513"/>
    <w:rsid w:val="00AD069A"/>
    <w:rsid w:val="00AD1A9F"/>
    <w:rsid w:val="00AD1DC7"/>
    <w:rsid w:val="00AD21A5"/>
    <w:rsid w:val="00AD3147"/>
    <w:rsid w:val="00AD4596"/>
    <w:rsid w:val="00AD4714"/>
    <w:rsid w:val="00AD4E60"/>
    <w:rsid w:val="00AD4E81"/>
    <w:rsid w:val="00AD510C"/>
    <w:rsid w:val="00AD51A4"/>
    <w:rsid w:val="00AD57F0"/>
    <w:rsid w:val="00AD5D07"/>
    <w:rsid w:val="00AD70F8"/>
    <w:rsid w:val="00AD7137"/>
    <w:rsid w:val="00AE0068"/>
    <w:rsid w:val="00AE0F66"/>
    <w:rsid w:val="00AE174F"/>
    <w:rsid w:val="00AE2B36"/>
    <w:rsid w:val="00AE35A2"/>
    <w:rsid w:val="00AE3EA3"/>
    <w:rsid w:val="00AE6C19"/>
    <w:rsid w:val="00AE78D8"/>
    <w:rsid w:val="00AE7D6B"/>
    <w:rsid w:val="00AF1029"/>
    <w:rsid w:val="00AF55A7"/>
    <w:rsid w:val="00AF55DD"/>
    <w:rsid w:val="00AF56B2"/>
    <w:rsid w:val="00AF5735"/>
    <w:rsid w:val="00AF58A6"/>
    <w:rsid w:val="00AF71E2"/>
    <w:rsid w:val="00AF7887"/>
    <w:rsid w:val="00AF7CDD"/>
    <w:rsid w:val="00B00612"/>
    <w:rsid w:val="00B00DF2"/>
    <w:rsid w:val="00B01615"/>
    <w:rsid w:val="00B0194F"/>
    <w:rsid w:val="00B01F54"/>
    <w:rsid w:val="00B021EA"/>
    <w:rsid w:val="00B02EE3"/>
    <w:rsid w:val="00B03553"/>
    <w:rsid w:val="00B03D5F"/>
    <w:rsid w:val="00B04792"/>
    <w:rsid w:val="00B04E45"/>
    <w:rsid w:val="00B050EF"/>
    <w:rsid w:val="00B05439"/>
    <w:rsid w:val="00B05E6D"/>
    <w:rsid w:val="00B06085"/>
    <w:rsid w:val="00B07715"/>
    <w:rsid w:val="00B10B61"/>
    <w:rsid w:val="00B10E28"/>
    <w:rsid w:val="00B11015"/>
    <w:rsid w:val="00B11737"/>
    <w:rsid w:val="00B14080"/>
    <w:rsid w:val="00B15015"/>
    <w:rsid w:val="00B15B68"/>
    <w:rsid w:val="00B15C15"/>
    <w:rsid w:val="00B17140"/>
    <w:rsid w:val="00B1715C"/>
    <w:rsid w:val="00B20D0D"/>
    <w:rsid w:val="00B21099"/>
    <w:rsid w:val="00B210CE"/>
    <w:rsid w:val="00B215D4"/>
    <w:rsid w:val="00B23F66"/>
    <w:rsid w:val="00B241CC"/>
    <w:rsid w:val="00B24821"/>
    <w:rsid w:val="00B24906"/>
    <w:rsid w:val="00B25324"/>
    <w:rsid w:val="00B25576"/>
    <w:rsid w:val="00B25ED5"/>
    <w:rsid w:val="00B266AC"/>
    <w:rsid w:val="00B2672C"/>
    <w:rsid w:val="00B26BFD"/>
    <w:rsid w:val="00B276DB"/>
    <w:rsid w:val="00B27A9C"/>
    <w:rsid w:val="00B27DE2"/>
    <w:rsid w:val="00B30F11"/>
    <w:rsid w:val="00B311E7"/>
    <w:rsid w:val="00B31D9B"/>
    <w:rsid w:val="00B324FB"/>
    <w:rsid w:val="00B32BE4"/>
    <w:rsid w:val="00B32ED3"/>
    <w:rsid w:val="00B33FBD"/>
    <w:rsid w:val="00B34EB5"/>
    <w:rsid w:val="00B34F92"/>
    <w:rsid w:val="00B35EBC"/>
    <w:rsid w:val="00B36206"/>
    <w:rsid w:val="00B3670B"/>
    <w:rsid w:val="00B3789D"/>
    <w:rsid w:val="00B401DA"/>
    <w:rsid w:val="00B41CDA"/>
    <w:rsid w:val="00B41F3E"/>
    <w:rsid w:val="00B441BB"/>
    <w:rsid w:val="00B443D8"/>
    <w:rsid w:val="00B4477E"/>
    <w:rsid w:val="00B44FD2"/>
    <w:rsid w:val="00B453DB"/>
    <w:rsid w:val="00B45494"/>
    <w:rsid w:val="00B460F9"/>
    <w:rsid w:val="00B4696D"/>
    <w:rsid w:val="00B47F85"/>
    <w:rsid w:val="00B47F95"/>
    <w:rsid w:val="00B50481"/>
    <w:rsid w:val="00B5100D"/>
    <w:rsid w:val="00B52D21"/>
    <w:rsid w:val="00B5483A"/>
    <w:rsid w:val="00B552B6"/>
    <w:rsid w:val="00B558BE"/>
    <w:rsid w:val="00B55C32"/>
    <w:rsid w:val="00B56D01"/>
    <w:rsid w:val="00B571B7"/>
    <w:rsid w:val="00B57331"/>
    <w:rsid w:val="00B5790F"/>
    <w:rsid w:val="00B607AD"/>
    <w:rsid w:val="00B6206C"/>
    <w:rsid w:val="00B6250F"/>
    <w:rsid w:val="00B635C6"/>
    <w:rsid w:val="00B639F9"/>
    <w:rsid w:val="00B63A84"/>
    <w:rsid w:val="00B63FB2"/>
    <w:rsid w:val="00B65D9C"/>
    <w:rsid w:val="00B661A5"/>
    <w:rsid w:val="00B66222"/>
    <w:rsid w:val="00B6650A"/>
    <w:rsid w:val="00B66B6B"/>
    <w:rsid w:val="00B67321"/>
    <w:rsid w:val="00B67F4F"/>
    <w:rsid w:val="00B701A5"/>
    <w:rsid w:val="00B7049A"/>
    <w:rsid w:val="00B70744"/>
    <w:rsid w:val="00B70D74"/>
    <w:rsid w:val="00B71507"/>
    <w:rsid w:val="00B71DD4"/>
    <w:rsid w:val="00B73658"/>
    <w:rsid w:val="00B73CBB"/>
    <w:rsid w:val="00B74102"/>
    <w:rsid w:val="00B74FD7"/>
    <w:rsid w:val="00B75E8B"/>
    <w:rsid w:val="00B76857"/>
    <w:rsid w:val="00B777F2"/>
    <w:rsid w:val="00B77E0F"/>
    <w:rsid w:val="00B77F95"/>
    <w:rsid w:val="00B812D1"/>
    <w:rsid w:val="00B822D5"/>
    <w:rsid w:val="00B82B20"/>
    <w:rsid w:val="00B82FEA"/>
    <w:rsid w:val="00B83160"/>
    <w:rsid w:val="00B8711E"/>
    <w:rsid w:val="00B9032D"/>
    <w:rsid w:val="00B903E0"/>
    <w:rsid w:val="00B904EF"/>
    <w:rsid w:val="00B9098A"/>
    <w:rsid w:val="00B9180D"/>
    <w:rsid w:val="00B9217E"/>
    <w:rsid w:val="00B92745"/>
    <w:rsid w:val="00B92D75"/>
    <w:rsid w:val="00B93DEF"/>
    <w:rsid w:val="00B95366"/>
    <w:rsid w:val="00B95670"/>
    <w:rsid w:val="00B9578B"/>
    <w:rsid w:val="00B95C53"/>
    <w:rsid w:val="00B95C5D"/>
    <w:rsid w:val="00B96D7E"/>
    <w:rsid w:val="00B97121"/>
    <w:rsid w:val="00B97D60"/>
    <w:rsid w:val="00BA08BE"/>
    <w:rsid w:val="00BA095D"/>
    <w:rsid w:val="00BA0D04"/>
    <w:rsid w:val="00BA17A3"/>
    <w:rsid w:val="00BA2642"/>
    <w:rsid w:val="00BA26DE"/>
    <w:rsid w:val="00BA2ED2"/>
    <w:rsid w:val="00BA3DDE"/>
    <w:rsid w:val="00BA44A2"/>
    <w:rsid w:val="00BA44E0"/>
    <w:rsid w:val="00BA5083"/>
    <w:rsid w:val="00BA558F"/>
    <w:rsid w:val="00BA600C"/>
    <w:rsid w:val="00BA798E"/>
    <w:rsid w:val="00BA7A01"/>
    <w:rsid w:val="00BA7AE5"/>
    <w:rsid w:val="00BB0200"/>
    <w:rsid w:val="00BB0440"/>
    <w:rsid w:val="00BB090B"/>
    <w:rsid w:val="00BB0AD6"/>
    <w:rsid w:val="00BB1A7D"/>
    <w:rsid w:val="00BB2E70"/>
    <w:rsid w:val="00BB355E"/>
    <w:rsid w:val="00BB4CDF"/>
    <w:rsid w:val="00BB50B0"/>
    <w:rsid w:val="00BB57B7"/>
    <w:rsid w:val="00BB6B84"/>
    <w:rsid w:val="00BB7277"/>
    <w:rsid w:val="00BC045A"/>
    <w:rsid w:val="00BC0D09"/>
    <w:rsid w:val="00BC1400"/>
    <w:rsid w:val="00BC29E2"/>
    <w:rsid w:val="00BC46EA"/>
    <w:rsid w:val="00BC49CA"/>
    <w:rsid w:val="00BC4E19"/>
    <w:rsid w:val="00BC61B6"/>
    <w:rsid w:val="00BC6293"/>
    <w:rsid w:val="00BC670C"/>
    <w:rsid w:val="00BC7AAD"/>
    <w:rsid w:val="00BD06DE"/>
    <w:rsid w:val="00BD1234"/>
    <w:rsid w:val="00BD12F3"/>
    <w:rsid w:val="00BD172C"/>
    <w:rsid w:val="00BD21B5"/>
    <w:rsid w:val="00BD2441"/>
    <w:rsid w:val="00BD2C5E"/>
    <w:rsid w:val="00BD3A22"/>
    <w:rsid w:val="00BD49A5"/>
    <w:rsid w:val="00BD49BD"/>
    <w:rsid w:val="00BD5032"/>
    <w:rsid w:val="00BD5865"/>
    <w:rsid w:val="00BD5F41"/>
    <w:rsid w:val="00BD618E"/>
    <w:rsid w:val="00BD64B7"/>
    <w:rsid w:val="00BD689A"/>
    <w:rsid w:val="00BE0147"/>
    <w:rsid w:val="00BE0F2D"/>
    <w:rsid w:val="00BE1AA2"/>
    <w:rsid w:val="00BE1EF1"/>
    <w:rsid w:val="00BE266D"/>
    <w:rsid w:val="00BE2807"/>
    <w:rsid w:val="00BE2B21"/>
    <w:rsid w:val="00BE3545"/>
    <w:rsid w:val="00BE4215"/>
    <w:rsid w:val="00BE4CBF"/>
    <w:rsid w:val="00BE59CF"/>
    <w:rsid w:val="00BF0218"/>
    <w:rsid w:val="00BF1B6B"/>
    <w:rsid w:val="00BF1EEA"/>
    <w:rsid w:val="00BF22E3"/>
    <w:rsid w:val="00BF2DE2"/>
    <w:rsid w:val="00BF319E"/>
    <w:rsid w:val="00BF3AAC"/>
    <w:rsid w:val="00BF4446"/>
    <w:rsid w:val="00BF4BDB"/>
    <w:rsid w:val="00BF55EA"/>
    <w:rsid w:val="00BF62D2"/>
    <w:rsid w:val="00BF656A"/>
    <w:rsid w:val="00BF7AD5"/>
    <w:rsid w:val="00C004A0"/>
    <w:rsid w:val="00C01B35"/>
    <w:rsid w:val="00C024D8"/>
    <w:rsid w:val="00C02A23"/>
    <w:rsid w:val="00C02AE0"/>
    <w:rsid w:val="00C036C3"/>
    <w:rsid w:val="00C036E5"/>
    <w:rsid w:val="00C03FE3"/>
    <w:rsid w:val="00C048C9"/>
    <w:rsid w:val="00C04A0B"/>
    <w:rsid w:val="00C05AB7"/>
    <w:rsid w:val="00C06C3B"/>
    <w:rsid w:val="00C06ED3"/>
    <w:rsid w:val="00C075E0"/>
    <w:rsid w:val="00C1065A"/>
    <w:rsid w:val="00C10E3A"/>
    <w:rsid w:val="00C12018"/>
    <w:rsid w:val="00C138AB"/>
    <w:rsid w:val="00C13B7B"/>
    <w:rsid w:val="00C14E33"/>
    <w:rsid w:val="00C15F9E"/>
    <w:rsid w:val="00C15FCE"/>
    <w:rsid w:val="00C20D5E"/>
    <w:rsid w:val="00C21766"/>
    <w:rsid w:val="00C22254"/>
    <w:rsid w:val="00C23924"/>
    <w:rsid w:val="00C2408D"/>
    <w:rsid w:val="00C24286"/>
    <w:rsid w:val="00C2461F"/>
    <w:rsid w:val="00C249E7"/>
    <w:rsid w:val="00C249FA"/>
    <w:rsid w:val="00C24DA8"/>
    <w:rsid w:val="00C251DE"/>
    <w:rsid w:val="00C276DD"/>
    <w:rsid w:val="00C27F9F"/>
    <w:rsid w:val="00C30DB5"/>
    <w:rsid w:val="00C31037"/>
    <w:rsid w:val="00C31765"/>
    <w:rsid w:val="00C33F46"/>
    <w:rsid w:val="00C343C5"/>
    <w:rsid w:val="00C34525"/>
    <w:rsid w:val="00C3488A"/>
    <w:rsid w:val="00C34AB8"/>
    <w:rsid w:val="00C34C83"/>
    <w:rsid w:val="00C34CA7"/>
    <w:rsid w:val="00C34E68"/>
    <w:rsid w:val="00C34EA8"/>
    <w:rsid w:val="00C3563E"/>
    <w:rsid w:val="00C36A7B"/>
    <w:rsid w:val="00C36AE2"/>
    <w:rsid w:val="00C40014"/>
    <w:rsid w:val="00C4077E"/>
    <w:rsid w:val="00C41167"/>
    <w:rsid w:val="00C41C75"/>
    <w:rsid w:val="00C43393"/>
    <w:rsid w:val="00C44EE1"/>
    <w:rsid w:val="00C44FA0"/>
    <w:rsid w:val="00C45232"/>
    <w:rsid w:val="00C45DE2"/>
    <w:rsid w:val="00C45E24"/>
    <w:rsid w:val="00C4623F"/>
    <w:rsid w:val="00C46537"/>
    <w:rsid w:val="00C468F6"/>
    <w:rsid w:val="00C46F2A"/>
    <w:rsid w:val="00C47C7A"/>
    <w:rsid w:val="00C47F17"/>
    <w:rsid w:val="00C502C7"/>
    <w:rsid w:val="00C50340"/>
    <w:rsid w:val="00C5094C"/>
    <w:rsid w:val="00C520DC"/>
    <w:rsid w:val="00C5221A"/>
    <w:rsid w:val="00C52B51"/>
    <w:rsid w:val="00C552C3"/>
    <w:rsid w:val="00C55BF6"/>
    <w:rsid w:val="00C55E0F"/>
    <w:rsid w:val="00C569D2"/>
    <w:rsid w:val="00C56E82"/>
    <w:rsid w:val="00C570CD"/>
    <w:rsid w:val="00C57B75"/>
    <w:rsid w:val="00C61AA4"/>
    <w:rsid w:val="00C61B08"/>
    <w:rsid w:val="00C6226B"/>
    <w:rsid w:val="00C63D79"/>
    <w:rsid w:val="00C64990"/>
    <w:rsid w:val="00C64F82"/>
    <w:rsid w:val="00C6764B"/>
    <w:rsid w:val="00C67E52"/>
    <w:rsid w:val="00C70259"/>
    <w:rsid w:val="00C71643"/>
    <w:rsid w:val="00C718A8"/>
    <w:rsid w:val="00C72198"/>
    <w:rsid w:val="00C72291"/>
    <w:rsid w:val="00C7252C"/>
    <w:rsid w:val="00C733CB"/>
    <w:rsid w:val="00C73B8B"/>
    <w:rsid w:val="00C754D8"/>
    <w:rsid w:val="00C75C27"/>
    <w:rsid w:val="00C76D3A"/>
    <w:rsid w:val="00C77CE3"/>
    <w:rsid w:val="00C81268"/>
    <w:rsid w:val="00C81942"/>
    <w:rsid w:val="00C82B51"/>
    <w:rsid w:val="00C83843"/>
    <w:rsid w:val="00C83CAC"/>
    <w:rsid w:val="00C84861"/>
    <w:rsid w:val="00C853A4"/>
    <w:rsid w:val="00C85560"/>
    <w:rsid w:val="00C86179"/>
    <w:rsid w:val="00C872E6"/>
    <w:rsid w:val="00C8751F"/>
    <w:rsid w:val="00C87814"/>
    <w:rsid w:val="00C87B32"/>
    <w:rsid w:val="00C90BDE"/>
    <w:rsid w:val="00C90C8D"/>
    <w:rsid w:val="00C90DDC"/>
    <w:rsid w:val="00C9114B"/>
    <w:rsid w:val="00C91496"/>
    <w:rsid w:val="00C9165C"/>
    <w:rsid w:val="00C91BCF"/>
    <w:rsid w:val="00C91D28"/>
    <w:rsid w:val="00C91F26"/>
    <w:rsid w:val="00C926F4"/>
    <w:rsid w:val="00C932D1"/>
    <w:rsid w:val="00C93369"/>
    <w:rsid w:val="00C93E25"/>
    <w:rsid w:val="00C94612"/>
    <w:rsid w:val="00C9476F"/>
    <w:rsid w:val="00C94A3A"/>
    <w:rsid w:val="00C95A2F"/>
    <w:rsid w:val="00C95E10"/>
    <w:rsid w:val="00C9645B"/>
    <w:rsid w:val="00C97145"/>
    <w:rsid w:val="00C97510"/>
    <w:rsid w:val="00C977DF"/>
    <w:rsid w:val="00CA00B2"/>
    <w:rsid w:val="00CA02FD"/>
    <w:rsid w:val="00CA248C"/>
    <w:rsid w:val="00CA3BC7"/>
    <w:rsid w:val="00CA461A"/>
    <w:rsid w:val="00CA4B43"/>
    <w:rsid w:val="00CA71BA"/>
    <w:rsid w:val="00CB237B"/>
    <w:rsid w:val="00CB308D"/>
    <w:rsid w:val="00CB3113"/>
    <w:rsid w:val="00CB4288"/>
    <w:rsid w:val="00CB5127"/>
    <w:rsid w:val="00CB54EC"/>
    <w:rsid w:val="00CB5911"/>
    <w:rsid w:val="00CB5F5C"/>
    <w:rsid w:val="00CB71D2"/>
    <w:rsid w:val="00CB7EB6"/>
    <w:rsid w:val="00CC1520"/>
    <w:rsid w:val="00CC153B"/>
    <w:rsid w:val="00CC1B6C"/>
    <w:rsid w:val="00CC25F5"/>
    <w:rsid w:val="00CC2AD2"/>
    <w:rsid w:val="00CC2D50"/>
    <w:rsid w:val="00CC3BE0"/>
    <w:rsid w:val="00CC4F6E"/>
    <w:rsid w:val="00CC6930"/>
    <w:rsid w:val="00CC7082"/>
    <w:rsid w:val="00CC75DA"/>
    <w:rsid w:val="00CC76C8"/>
    <w:rsid w:val="00CC7BD9"/>
    <w:rsid w:val="00CC7E10"/>
    <w:rsid w:val="00CD019A"/>
    <w:rsid w:val="00CD0D02"/>
    <w:rsid w:val="00CD1202"/>
    <w:rsid w:val="00CD173C"/>
    <w:rsid w:val="00CD2388"/>
    <w:rsid w:val="00CD256F"/>
    <w:rsid w:val="00CD2F58"/>
    <w:rsid w:val="00CD317F"/>
    <w:rsid w:val="00CD4441"/>
    <w:rsid w:val="00CD4D51"/>
    <w:rsid w:val="00CD4F92"/>
    <w:rsid w:val="00CD5104"/>
    <w:rsid w:val="00CD6030"/>
    <w:rsid w:val="00CD71A7"/>
    <w:rsid w:val="00CE0186"/>
    <w:rsid w:val="00CE02BB"/>
    <w:rsid w:val="00CE05FB"/>
    <w:rsid w:val="00CE10AB"/>
    <w:rsid w:val="00CE10B2"/>
    <w:rsid w:val="00CE1598"/>
    <w:rsid w:val="00CE1C69"/>
    <w:rsid w:val="00CE2A76"/>
    <w:rsid w:val="00CE2DBC"/>
    <w:rsid w:val="00CE54B4"/>
    <w:rsid w:val="00CE5B44"/>
    <w:rsid w:val="00CE6335"/>
    <w:rsid w:val="00CE6AAE"/>
    <w:rsid w:val="00CE6C02"/>
    <w:rsid w:val="00CE71FC"/>
    <w:rsid w:val="00CE7638"/>
    <w:rsid w:val="00CF1F59"/>
    <w:rsid w:val="00CF2D13"/>
    <w:rsid w:val="00CF3074"/>
    <w:rsid w:val="00CF35E2"/>
    <w:rsid w:val="00CF3FB0"/>
    <w:rsid w:val="00CF40E7"/>
    <w:rsid w:val="00CF475E"/>
    <w:rsid w:val="00CF4849"/>
    <w:rsid w:val="00CF57BD"/>
    <w:rsid w:val="00CF6C2D"/>
    <w:rsid w:val="00CF7673"/>
    <w:rsid w:val="00CF77FD"/>
    <w:rsid w:val="00CF7FEB"/>
    <w:rsid w:val="00D0010D"/>
    <w:rsid w:val="00D0122D"/>
    <w:rsid w:val="00D021F1"/>
    <w:rsid w:val="00D028AA"/>
    <w:rsid w:val="00D02BD5"/>
    <w:rsid w:val="00D02C20"/>
    <w:rsid w:val="00D02DA0"/>
    <w:rsid w:val="00D038AD"/>
    <w:rsid w:val="00D06D81"/>
    <w:rsid w:val="00D06FCC"/>
    <w:rsid w:val="00D07536"/>
    <w:rsid w:val="00D07609"/>
    <w:rsid w:val="00D07A13"/>
    <w:rsid w:val="00D10635"/>
    <w:rsid w:val="00D109CA"/>
    <w:rsid w:val="00D10DBB"/>
    <w:rsid w:val="00D12808"/>
    <w:rsid w:val="00D14283"/>
    <w:rsid w:val="00D14388"/>
    <w:rsid w:val="00D14A88"/>
    <w:rsid w:val="00D14FA1"/>
    <w:rsid w:val="00D152EE"/>
    <w:rsid w:val="00D17AA3"/>
    <w:rsid w:val="00D2064A"/>
    <w:rsid w:val="00D218D6"/>
    <w:rsid w:val="00D224D0"/>
    <w:rsid w:val="00D22EEA"/>
    <w:rsid w:val="00D230BD"/>
    <w:rsid w:val="00D239E9"/>
    <w:rsid w:val="00D23C21"/>
    <w:rsid w:val="00D23D9B"/>
    <w:rsid w:val="00D24622"/>
    <w:rsid w:val="00D24C61"/>
    <w:rsid w:val="00D24EEE"/>
    <w:rsid w:val="00D25E02"/>
    <w:rsid w:val="00D25FEF"/>
    <w:rsid w:val="00D3040F"/>
    <w:rsid w:val="00D31C5A"/>
    <w:rsid w:val="00D32FD3"/>
    <w:rsid w:val="00D33012"/>
    <w:rsid w:val="00D332DE"/>
    <w:rsid w:val="00D34657"/>
    <w:rsid w:val="00D349B7"/>
    <w:rsid w:val="00D34A2E"/>
    <w:rsid w:val="00D34A3F"/>
    <w:rsid w:val="00D35089"/>
    <w:rsid w:val="00D35772"/>
    <w:rsid w:val="00D373DD"/>
    <w:rsid w:val="00D40BC4"/>
    <w:rsid w:val="00D40DE5"/>
    <w:rsid w:val="00D41B85"/>
    <w:rsid w:val="00D42C3C"/>
    <w:rsid w:val="00D43D12"/>
    <w:rsid w:val="00D442D0"/>
    <w:rsid w:val="00D44392"/>
    <w:rsid w:val="00D4485D"/>
    <w:rsid w:val="00D45454"/>
    <w:rsid w:val="00D462EE"/>
    <w:rsid w:val="00D47D62"/>
    <w:rsid w:val="00D50997"/>
    <w:rsid w:val="00D50BC0"/>
    <w:rsid w:val="00D5109E"/>
    <w:rsid w:val="00D51212"/>
    <w:rsid w:val="00D51B40"/>
    <w:rsid w:val="00D529F7"/>
    <w:rsid w:val="00D52E58"/>
    <w:rsid w:val="00D53A14"/>
    <w:rsid w:val="00D54F3F"/>
    <w:rsid w:val="00D55922"/>
    <w:rsid w:val="00D55B56"/>
    <w:rsid w:val="00D56884"/>
    <w:rsid w:val="00D56B24"/>
    <w:rsid w:val="00D6016A"/>
    <w:rsid w:val="00D60482"/>
    <w:rsid w:val="00D62DC7"/>
    <w:rsid w:val="00D64160"/>
    <w:rsid w:val="00D648BD"/>
    <w:rsid w:val="00D648FE"/>
    <w:rsid w:val="00D6690F"/>
    <w:rsid w:val="00D67259"/>
    <w:rsid w:val="00D677F5"/>
    <w:rsid w:val="00D67E77"/>
    <w:rsid w:val="00D70181"/>
    <w:rsid w:val="00D708C0"/>
    <w:rsid w:val="00D709FB"/>
    <w:rsid w:val="00D713DC"/>
    <w:rsid w:val="00D71616"/>
    <w:rsid w:val="00D724A6"/>
    <w:rsid w:val="00D72D37"/>
    <w:rsid w:val="00D736FB"/>
    <w:rsid w:val="00D73AD1"/>
    <w:rsid w:val="00D7556D"/>
    <w:rsid w:val="00D75B91"/>
    <w:rsid w:val="00D76397"/>
    <w:rsid w:val="00D76553"/>
    <w:rsid w:val="00D76A8D"/>
    <w:rsid w:val="00D76D04"/>
    <w:rsid w:val="00D77456"/>
    <w:rsid w:val="00D80343"/>
    <w:rsid w:val="00D8059F"/>
    <w:rsid w:val="00D814F0"/>
    <w:rsid w:val="00D815B5"/>
    <w:rsid w:val="00D81BA5"/>
    <w:rsid w:val="00D81C78"/>
    <w:rsid w:val="00D821D1"/>
    <w:rsid w:val="00D822D9"/>
    <w:rsid w:val="00D83497"/>
    <w:rsid w:val="00D847B7"/>
    <w:rsid w:val="00D851D0"/>
    <w:rsid w:val="00D85ED1"/>
    <w:rsid w:val="00D8626A"/>
    <w:rsid w:val="00D868C9"/>
    <w:rsid w:val="00D86A75"/>
    <w:rsid w:val="00D86C9A"/>
    <w:rsid w:val="00D87549"/>
    <w:rsid w:val="00D8774A"/>
    <w:rsid w:val="00D904E4"/>
    <w:rsid w:val="00D90AB3"/>
    <w:rsid w:val="00D90D82"/>
    <w:rsid w:val="00D90E1D"/>
    <w:rsid w:val="00D914A0"/>
    <w:rsid w:val="00D914F7"/>
    <w:rsid w:val="00D92E1E"/>
    <w:rsid w:val="00D932BA"/>
    <w:rsid w:val="00D93C4C"/>
    <w:rsid w:val="00D93C9B"/>
    <w:rsid w:val="00D94B97"/>
    <w:rsid w:val="00D94DFE"/>
    <w:rsid w:val="00D96620"/>
    <w:rsid w:val="00D97BA4"/>
    <w:rsid w:val="00D97DF9"/>
    <w:rsid w:val="00DA08AA"/>
    <w:rsid w:val="00DA1BAE"/>
    <w:rsid w:val="00DA2017"/>
    <w:rsid w:val="00DA331F"/>
    <w:rsid w:val="00DA5193"/>
    <w:rsid w:val="00DA65C2"/>
    <w:rsid w:val="00DA73BE"/>
    <w:rsid w:val="00DA788A"/>
    <w:rsid w:val="00DB0000"/>
    <w:rsid w:val="00DB2142"/>
    <w:rsid w:val="00DB2301"/>
    <w:rsid w:val="00DB248A"/>
    <w:rsid w:val="00DB29EE"/>
    <w:rsid w:val="00DB2EDA"/>
    <w:rsid w:val="00DB2FFA"/>
    <w:rsid w:val="00DB33CE"/>
    <w:rsid w:val="00DB3BAD"/>
    <w:rsid w:val="00DB441C"/>
    <w:rsid w:val="00DB77F3"/>
    <w:rsid w:val="00DB7C52"/>
    <w:rsid w:val="00DC0CA0"/>
    <w:rsid w:val="00DC14AD"/>
    <w:rsid w:val="00DC3221"/>
    <w:rsid w:val="00DC334C"/>
    <w:rsid w:val="00DC40F5"/>
    <w:rsid w:val="00DC424F"/>
    <w:rsid w:val="00DC4DE7"/>
    <w:rsid w:val="00DC56DC"/>
    <w:rsid w:val="00DC669F"/>
    <w:rsid w:val="00DC745F"/>
    <w:rsid w:val="00DC7CA1"/>
    <w:rsid w:val="00DD03C7"/>
    <w:rsid w:val="00DD0466"/>
    <w:rsid w:val="00DD0598"/>
    <w:rsid w:val="00DD06F4"/>
    <w:rsid w:val="00DD24D5"/>
    <w:rsid w:val="00DD2682"/>
    <w:rsid w:val="00DD2CB9"/>
    <w:rsid w:val="00DD368D"/>
    <w:rsid w:val="00DD3B60"/>
    <w:rsid w:val="00DD3D71"/>
    <w:rsid w:val="00DD43F4"/>
    <w:rsid w:val="00DD473C"/>
    <w:rsid w:val="00DD4CA1"/>
    <w:rsid w:val="00DD5296"/>
    <w:rsid w:val="00DD547F"/>
    <w:rsid w:val="00DD59EA"/>
    <w:rsid w:val="00DD6C38"/>
    <w:rsid w:val="00DE16F3"/>
    <w:rsid w:val="00DE1B83"/>
    <w:rsid w:val="00DE32E2"/>
    <w:rsid w:val="00DE42BF"/>
    <w:rsid w:val="00DE4DEC"/>
    <w:rsid w:val="00DE6438"/>
    <w:rsid w:val="00DE68C2"/>
    <w:rsid w:val="00DE68D0"/>
    <w:rsid w:val="00DE7F13"/>
    <w:rsid w:val="00DF0857"/>
    <w:rsid w:val="00DF1142"/>
    <w:rsid w:val="00DF221A"/>
    <w:rsid w:val="00DF26AE"/>
    <w:rsid w:val="00DF26C3"/>
    <w:rsid w:val="00DF2E9B"/>
    <w:rsid w:val="00DF3202"/>
    <w:rsid w:val="00DF33AF"/>
    <w:rsid w:val="00DF3D34"/>
    <w:rsid w:val="00DF4924"/>
    <w:rsid w:val="00DF619E"/>
    <w:rsid w:val="00DF65F5"/>
    <w:rsid w:val="00DF73F5"/>
    <w:rsid w:val="00DF792A"/>
    <w:rsid w:val="00DF7EF2"/>
    <w:rsid w:val="00DF7F73"/>
    <w:rsid w:val="00E0214D"/>
    <w:rsid w:val="00E02217"/>
    <w:rsid w:val="00E025AE"/>
    <w:rsid w:val="00E025C7"/>
    <w:rsid w:val="00E02ACD"/>
    <w:rsid w:val="00E02E4B"/>
    <w:rsid w:val="00E04098"/>
    <w:rsid w:val="00E0452B"/>
    <w:rsid w:val="00E04696"/>
    <w:rsid w:val="00E05052"/>
    <w:rsid w:val="00E0665C"/>
    <w:rsid w:val="00E06BD9"/>
    <w:rsid w:val="00E101A8"/>
    <w:rsid w:val="00E108A8"/>
    <w:rsid w:val="00E1162E"/>
    <w:rsid w:val="00E11C42"/>
    <w:rsid w:val="00E11E90"/>
    <w:rsid w:val="00E12171"/>
    <w:rsid w:val="00E12F28"/>
    <w:rsid w:val="00E142ED"/>
    <w:rsid w:val="00E15139"/>
    <w:rsid w:val="00E15254"/>
    <w:rsid w:val="00E153B6"/>
    <w:rsid w:val="00E17238"/>
    <w:rsid w:val="00E20281"/>
    <w:rsid w:val="00E2044B"/>
    <w:rsid w:val="00E20F30"/>
    <w:rsid w:val="00E22879"/>
    <w:rsid w:val="00E23B0B"/>
    <w:rsid w:val="00E23DCC"/>
    <w:rsid w:val="00E243CC"/>
    <w:rsid w:val="00E244E2"/>
    <w:rsid w:val="00E256CA"/>
    <w:rsid w:val="00E25DE3"/>
    <w:rsid w:val="00E25F3D"/>
    <w:rsid w:val="00E2614C"/>
    <w:rsid w:val="00E30A6E"/>
    <w:rsid w:val="00E31526"/>
    <w:rsid w:val="00E31D44"/>
    <w:rsid w:val="00E32251"/>
    <w:rsid w:val="00E33365"/>
    <w:rsid w:val="00E33896"/>
    <w:rsid w:val="00E33E7F"/>
    <w:rsid w:val="00E34061"/>
    <w:rsid w:val="00E34A31"/>
    <w:rsid w:val="00E34B7A"/>
    <w:rsid w:val="00E355C8"/>
    <w:rsid w:val="00E35646"/>
    <w:rsid w:val="00E362B9"/>
    <w:rsid w:val="00E36C9C"/>
    <w:rsid w:val="00E36F43"/>
    <w:rsid w:val="00E37206"/>
    <w:rsid w:val="00E3740D"/>
    <w:rsid w:val="00E37CF0"/>
    <w:rsid w:val="00E37F8D"/>
    <w:rsid w:val="00E405FE"/>
    <w:rsid w:val="00E414C1"/>
    <w:rsid w:val="00E4191E"/>
    <w:rsid w:val="00E41EBD"/>
    <w:rsid w:val="00E4211E"/>
    <w:rsid w:val="00E4222C"/>
    <w:rsid w:val="00E423B3"/>
    <w:rsid w:val="00E423EB"/>
    <w:rsid w:val="00E428BC"/>
    <w:rsid w:val="00E4315A"/>
    <w:rsid w:val="00E4322D"/>
    <w:rsid w:val="00E43331"/>
    <w:rsid w:val="00E4401C"/>
    <w:rsid w:val="00E44149"/>
    <w:rsid w:val="00E449EC"/>
    <w:rsid w:val="00E45DC4"/>
    <w:rsid w:val="00E45EDE"/>
    <w:rsid w:val="00E466FD"/>
    <w:rsid w:val="00E46A29"/>
    <w:rsid w:val="00E46AAD"/>
    <w:rsid w:val="00E46C79"/>
    <w:rsid w:val="00E474D3"/>
    <w:rsid w:val="00E51040"/>
    <w:rsid w:val="00E519F2"/>
    <w:rsid w:val="00E51A21"/>
    <w:rsid w:val="00E51FB7"/>
    <w:rsid w:val="00E51FEC"/>
    <w:rsid w:val="00E537EB"/>
    <w:rsid w:val="00E53A59"/>
    <w:rsid w:val="00E53E33"/>
    <w:rsid w:val="00E544FB"/>
    <w:rsid w:val="00E56786"/>
    <w:rsid w:val="00E56A01"/>
    <w:rsid w:val="00E57477"/>
    <w:rsid w:val="00E6017D"/>
    <w:rsid w:val="00E607A2"/>
    <w:rsid w:val="00E60B1F"/>
    <w:rsid w:val="00E61480"/>
    <w:rsid w:val="00E6154F"/>
    <w:rsid w:val="00E61960"/>
    <w:rsid w:val="00E61AF4"/>
    <w:rsid w:val="00E61D83"/>
    <w:rsid w:val="00E61F2B"/>
    <w:rsid w:val="00E62497"/>
    <w:rsid w:val="00E62938"/>
    <w:rsid w:val="00E62C02"/>
    <w:rsid w:val="00E63554"/>
    <w:rsid w:val="00E63ED0"/>
    <w:rsid w:val="00E646EE"/>
    <w:rsid w:val="00E6605C"/>
    <w:rsid w:val="00E66B8A"/>
    <w:rsid w:val="00E66E01"/>
    <w:rsid w:val="00E66F49"/>
    <w:rsid w:val="00E6747E"/>
    <w:rsid w:val="00E7095D"/>
    <w:rsid w:val="00E709EA"/>
    <w:rsid w:val="00E70F18"/>
    <w:rsid w:val="00E7165C"/>
    <w:rsid w:val="00E72B7D"/>
    <w:rsid w:val="00E73CFE"/>
    <w:rsid w:val="00E74431"/>
    <w:rsid w:val="00E74C75"/>
    <w:rsid w:val="00E751C2"/>
    <w:rsid w:val="00E752C6"/>
    <w:rsid w:val="00E7540C"/>
    <w:rsid w:val="00E757DD"/>
    <w:rsid w:val="00E7586F"/>
    <w:rsid w:val="00E7633F"/>
    <w:rsid w:val="00E76422"/>
    <w:rsid w:val="00E766DD"/>
    <w:rsid w:val="00E774C5"/>
    <w:rsid w:val="00E81093"/>
    <w:rsid w:val="00E8179D"/>
    <w:rsid w:val="00E81B54"/>
    <w:rsid w:val="00E82566"/>
    <w:rsid w:val="00E83150"/>
    <w:rsid w:val="00E83D64"/>
    <w:rsid w:val="00E84D5D"/>
    <w:rsid w:val="00E85CB8"/>
    <w:rsid w:val="00E861DE"/>
    <w:rsid w:val="00E866A2"/>
    <w:rsid w:val="00E86D17"/>
    <w:rsid w:val="00E87BB1"/>
    <w:rsid w:val="00E90213"/>
    <w:rsid w:val="00E90376"/>
    <w:rsid w:val="00E916CD"/>
    <w:rsid w:val="00E92498"/>
    <w:rsid w:val="00E924D6"/>
    <w:rsid w:val="00E92D33"/>
    <w:rsid w:val="00E9318D"/>
    <w:rsid w:val="00E9357F"/>
    <w:rsid w:val="00E93B96"/>
    <w:rsid w:val="00E94224"/>
    <w:rsid w:val="00E94F86"/>
    <w:rsid w:val="00E9517D"/>
    <w:rsid w:val="00E95A0D"/>
    <w:rsid w:val="00E964C7"/>
    <w:rsid w:val="00E96C93"/>
    <w:rsid w:val="00E97258"/>
    <w:rsid w:val="00E976D0"/>
    <w:rsid w:val="00EA0F3F"/>
    <w:rsid w:val="00EA118B"/>
    <w:rsid w:val="00EA1636"/>
    <w:rsid w:val="00EA1EDA"/>
    <w:rsid w:val="00EA2A16"/>
    <w:rsid w:val="00EA2BA5"/>
    <w:rsid w:val="00EA2F90"/>
    <w:rsid w:val="00EA3564"/>
    <w:rsid w:val="00EA43D0"/>
    <w:rsid w:val="00EA48E0"/>
    <w:rsid w:val="00EA4E3A"/>
    <w:rsid w:val="00EA569B"/>
    <w:rsid w:val="00EA5993"/>
    <w:rsid w:val="00EA6343"/>
    <w:rsid w:val="00EA6CB9"/>
    <w:rsid w:val="00EA705E"/>
    <w:rsid w:val="00EA78A2"/>
    <w:rsid w:val="00EA7AE8"/>
    <w:rsid w:val="00EB04A6"/>
    <w:rsid w:val="00EB06BB"/>
    <w:rsid w:val="00EB2BEE"/>
    <w:rsid w:val="00EB3915"/>
    <w:rsid w:val="00EB75D3"/>
    <w:rsid w:val="00EB7C0F"/>
    <w:rsid w:val="00EC0138"/>
    <w:rsid w:val="00EC0983"/>
    <w:rsid w:val="00EC0A19"/>
    <w:rsid w:val="00EC0EEC"/>
    <w:rsid w:val="00EC1D9E"/>
    <w:rsid w:val="00EC24A2"/>
    <w:rsid w:val="00EC2B05"/>
    <w:rsid w:val="00EC3C73"/>
    <w:rsid w:val="00EC4034"/>
    <w:rsid w:val="00EC49A3"/>
    <w:rsid w:val="00EC60D9"/>
    <w:rsid w:val="00EC6CAA"/>
    <w:rsid w:val="00EC7463"/>
    <w:rsid w:val="00EC792D"/>
    <w:rsid w:val="00EC7EE7"/>
    <w:rsid w:val="00ED06A4"/>
    <w:rsid w:val="00ED0E1A"/>
    <w:rsid w:val="00ED11F1"/>
    <w:rsid w:val="00ED16CF"/>
    <w:rsid w:val="00ED1C2D"/>
    <w:rsid w:val="00ED248D"/>
    <w:rsid w:val="00ED2FFC"/>
    <w:rsid w:val="00ED3AC6"/>
    <w:rsid w:val="00ED3D3F"/>
    <w:rsid w:val="00ED47E6"/>
    <w:rsid w:val="00ED695D"/>
    <w:rsid w:val="00ED6961"/>
    <w:rsid w:val="00ED6D28"/>
    <w:rsid w:val="00ED6D36"/>
    <w:rsid w:val="00ED7975"/>
    <w:rsid w:val="00ED7ACE"/>
    <w:rsid w:val="00EE24E5"/>
    <w:rsid w:val="00EE2B8E"/>
    <w:rsid w:val="00EE2C05"/>
    <w:rsid w:val="00EE3BD8"/>
    <w:rsid w:val="00EE3F08"/>
    <w:rsid w:val="00EE4D1B"/>
    <w:rsid w:val="00EE4E87"/>
    <w:rsid w:val="00EE577D"/>
    <w:rsid w:val="00EE6F28"/>
    <w:rsid w:val="00EE7BA3"/>
    <w:rsid w:val="00EF1802"/>
    <w:rsid w:val="00EF24A6"/>
    <w:rsid w:val="00EF29A0"/>
    <w:rsid w:val="00EF3666"/>
    <w:rsid w:val="00EF3D27"/>
    <w:rsid w:val="00EF50D7"/>
    <w:rsid w:val="00EF6C85"/>
    <w:rsid w:val="00EF6DF5"/>
    <w:rsid w:val="00F019EB"/>
    <w:rsid w:val="00F023BF"/>
    <w:rsid w:val="00F02483"/>
    <w:rsid w:val="00F026DD"/>
    <w:rsid w:val="00F02F06"/>
    <w:rsid w:val="00F03C0B"/>
    <w:rsid w:val="00F041DE"/>
    <w:rsid w:val="00F0472D"/>
    <w:rsid w:val="00F04C84"/>
    <w:rsid w:val="00F05883"/>
    <w:rsid w:val="00F072AF"/>
    <w:rsid w:val="00F072B6"/>
    <w:rsid w:val="00F0750A"/>
    <w:rsid w:val="00F0762F"/>
    <w:rsid w:val="00F07791"/>
    <w:rsid w:val="00F07B4D"/>
    <w:rsid w:val="00F07D8A"/>
    <w:rsid w:val="00F10001"/>
    <w:rsid w:val="00F10847"/>
    <w:rsid w:val="00F10F5D"/>
    <w:rsid w:val="00F1238A"/>
    <w:rsid w:val="00F126E8"/>
    <w:rsid w:val="00F12842"/>
    <w:rsid w:val="00F1321F"/>
    <w:rsid w:val="00F15ECF"/>
    <w:rsid w:val="00F16223"/>
    <w:rsid w:val="00F16A08"/>
    <w:rsid w:val="00F16C8A"/>
    <w:rsid w:val="00F17C2A"/>
    <w:rsid w:val="00F2045B"/>
    <w:rsid w:val="00F20599"/>
    <w:rsid w:val="00F22B10"/>
    <w:rsid w:val="00F23A93"/>
    <w:rsid w:val="00F23CEA"/>
    <w:rsid w:val="00F259FF"/>
    <w:rsid w:val="00F25F97"/>
    <w:rsid w:val="00F26E18"/>
    <w:rsid w:val="00F2705D"/>
    <w:rsid w:val="00F273A2"/>
    <w:rsid w:val="00F3021C"/>
    <w:rsid w:val="00F302CB"/>
    <w:rsid w:val="00F30DDA"/>
    <w:rsid w:val="00F313F9"/>
    <w:rsid w:val="00F33C62"/>
    <w:rsid w:val="00F3480D"/>
    <w:rsid w:val="00F348D4"/>
    <w:rsid w:val="00F34B0D"/>
    <w:rsid w:val="00F35AA9"/>
    <w:rsid w:val="00F35F8E"/>
    <w:rsid w:val="00F3681C"/>
    <w:rsid w:val="00F36A54"/>
    <w:rsid w:val="00F373A1"/>
    <w:rsid w:val="00F37431"/>
    <w:rsid w:val="00F37E81"/>
    <w:rsid w:val="00F41B0E"/>
    <w:rsid w:val="00F41B15"/>
    <w:rsid w:val="00F42384"/>
    <w:rsid w:val="00F4306A"/>
    <w:rsid w:val="00F432D2"/>
    <w:rsid w:val="00F434A1"/>
    <w:rsid w:val="00F43895"/>
    <w:rsid w:val="00F438A6"/>
    <w:rsid w:val="00F43CED"/>
    <w:rsid w:val="00F43F00"/>
    <w:rsid w:val="00F454DE"/>
    <w:rsid w:val="00F45F23"/>
    <w:rsid w:val="00F461BB"/>
    <w:rsid w:val="00F469C4"/>
    <w:rsid w:val="00F46E73"/>
    <w:rsid w:val="00F470B3"/>
    <w:rsid w:val="00F4738E"/>
    <w:rsid w:val="00F47E50"/>
    <w:rsid w:val="00F50624"/>
    <w:rsid w:val="00F5179B"/>
    <w:rsid w:val="00F52062"/>
    <w:rsid w:val="00F53EE8"/>
    <w:rsid w:val="00F544A5"/>
    <w:rsid w:val="00F54FFA"/>
    <w:rsid w:val="00F566D6"/>
    <w:rsid w:val="00F57BEC"/>
    <w:rsid w:val="00F60151"/>
    <w:rsid w:val="00F61E51"/>
    <w:rsid w:val="00F635A5"/>
    <w:rsid w:val="00F6381A"/>
    <w:rsid w:val="00F64432"/>
    <w:rsid w:val="00F66FD8"/>
    <w:rsid w:val="00F671B9"/>
    <w:rsid w:val="00F6787E"/>
    <w:rsid w:val="00F67DCD"/>
    <w:rsid w:val="00F70C39"/>
    <w:rsid w:val="00F70C6F"/>
    <w:rsid w:val="00F70D2E"/>
    <w:rsid w:val="00F716DA"/>
    <w:rsid w:val="00F71726"/>
    <w:rsid w:val="00F71DDE"/>
    <w:rsid w:val="00F72378"/>
    <w:rsid w:val="00F7270C"/>
    <w:rsid w:val="00F73279"/>
    <w:rsid w:val="00F750DA"/>
    <w:rsid w:val="00F754D3"/>
    <w:rsid w:val="00F76100"/>
    <w:rsid w:val="00F768CD"/>
    <w:rsid w:val="00F769EE"/>
    <w:rsid w:val="00F8092D"/>
    <w:rsid w:val="00F818FD"/>
    <w:rsid w:val="00F833AF"/>
    <w:rsid w:val="00F8379A"/>
    <w:rsid w:val="00F839F8"/>
    <w:rsid w:val="00F8431D"/>
    <w:rsid w:val="00F84B69"/>
    <w:rsid w:val="00F8519A"/>
    <w:rsid w:val="00F854B1"/>
    <w:rsid w:val="00F8554D"/>
    <w:rsid w:val="00F8568B"/>
    <w:rsid w:val="00F8583F"/>
    <w:rsid w:val="00F86095"/>
    <w:rsid w:val="00F8697E"/>
    <w:rsid w:val="00F870C4"/>
    <w:rsid w:val="00F873F0"/>
    <w:rsid w:val="00F876F6"/>
    <w:rsid w:val="00F907F5"/>
    <w:rsid w:val="00F90BF9"/>
    <w:rsid w:val="00F90D95"/>
    <w:rsid w:val="00F92BE6"/>
    <w:rsid w:val="00F94702"/>
    <w:rsid w:val="00F956D4"/>
    <w:rsid w:val="00F95A9B"/>
    <w:rsid w:val="00F962F4"/>
    <w:rsid w:val="00F96C08"/>
    <w:rsid w:val="00F96D3D"/>
    <w:rsid w:val="00F96F71"/>
    <w:rsid w:val="00FA02FF"/>
    <w:rsid w:val="00FA19FE"/>
    <w:rsid w:val="00FA2CA8"/>
    <w:rsid w:val="00FA33BD"/>
    <w:rsid w:val="00FA3BC4"/>
    <w:rsid w:val="00FA3D96"/>
    <w:rsid w:val="00FA45AE"/>
    <w:rsid w:val="00FA5125"/>
    <w:rsid w:val="00FA55AE"/>
    <w:rsid w:val="00FA588E"/>
    <w:rsid w:val="00FA609E"/>
    <w:rsid w:val="00FA7342"/>
    <w:rsid w:val="00FB13C1"/>
    <w:rsid w:val="00FB1F92"/>
    <w:rsid w:val="00FB2C18"/>
    <w:rsid w:val="00FB3E94"/>
    <w:rsid w:val="00FB52B9"/>
    <w:rsid w:val="00FB5DBA"/>
    <w:rsid w:val="00FB7F03"/>
    <w:rsid w:val="00FC0F65"/>
    <w:rsid w:val="00FC14DC"/>
    <w:rsid w:val="00FC20EC"/>
    <w:rsid w:val="00FC236B"/>
    <w:rsid w:val="00FC37FB"/>
    <w:rsid w:val="00FC4217"/>
    <w:rsid w:val="00FC4D96"/>
    <w:rsid w:val="00FC5223"/>
    <w:rsid w:val="00FC5317"/>
    <w:rsid w:val="00FC5603"/>
    <w:rsid w:val="00FC5D48"/>
    <w:rsid w:val="00FC7002"/>
    <w:rsid w:val="00FC713E"/>
    <w:rsid w:val="00FC77DA"/>
    <w:rsid w:val="00FC7925"/>
    <w:rsid w:val="00FD18A7"/>
    <w:rsid w:val="00FD2C21"/>
    <w:rsid w:val="00FD2FAB"/>
    <w:rsid w:val="00FD4603"/>
    <w:rsid w:val="00FD5498"/>
    <w:rsid w:val="00FD5F25"/>
    <w:rsid w:val="00FD6645"/>
    <w:rsid w:val="00FD778E"/>
    <w:rsid w:val="00FE06CD"/>
    <w:rsid w:val="00FE10CC"/>
    <w:rsid w:val="00FE21F9"/>
    <w:rsid w:val="00FE25D1"/>
    <w:rsid w:val="00FE2BE5"/>
    <w:rsid w:val="00FE2DA2"/>
    <w:rsid w:val="00FE3503"/>
    <w:rsid w:val="00FE3A84"/>
    <w:rsid w:val="00FE3B63"/>
    <w:rsid w:val="00FE3BCA"/>
    <w:rsid w:val="00FE4674"/>
    <w:rsid w:val="00FE4936"/>
    <w:rsid w:val="00FE4DCA"/>
    <w:rsid w:val="00FE508C"/>
    <w:rsid w:val="00FE56FA"/>
    <w:rsid w:val="00FE5DA6"/>
    <w:rsid w:val="00FE6830"/>
    <w:rsid w:val="00FE6E72"/>
    <w:rsid w:val="00FE78EE"/>
    <w:rsid w:val="00FF02D1"/>
    <w:rsid w:val="00FF0B43"/>
    <w:rsid w:val="00FF1316"/>
    <w:rsid w:val="00FF1617"/>
    <w:rsid w:val="00FF1FCC"/>
    <w:rsid w:val="00FF3016"/>
    <w:rsid w:val="00FF344F"/>
    <w:rsid w:val="00FF4316"/>
    <w:rsid w:val="00FF499D"/>
    <w:rsid w:val="00FF53EC"/>
    <w:rsid w:val="00FF681D"/>
    <w:rsid w:val="00FF6B22"/>
    <w:rsid w:val="00FF6BCA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F6F54-0704-47BC-8605-FB4B7271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020E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95196F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086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13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54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94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90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775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24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75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5A29-5F40-4C8E-97E9-52CA1DA5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13</cp:revision>
  <cp:lastPrinted>2020-12-02T12:15:00Z</cp:lastPrinted>
  <dcterms:created xsi:type="dcterms:W3CDTF">2020-12-17T07:30:00Z</dcterms:created>
  <dcterms:modified xsi:type="dcterms:W3CDTF">2020-12-17T08:51:00Z</dcterms:modified>
</cp:coreProperties>
</file>