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64" w:rsidRPr="00BF1EEA" w:rsidRDefault="00115E64" w:rsidP="00115E64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7F323C" w:rsidRPr="0018467E" w:rsidRDefault="007F323C" w:rsidP="007F323C">
      <w:pPr>
        <w:spacing w:after="120"/>
        <w:jc w:val="center"/>
        <w:rPr>
          <w:b/>
          <w:sz w:val="32"/>
          <w:szCs w:val="32"/>
        </w:rPr>
      </w:pPr>
      <w:r w:rsidRPr="007F323C">
        <w:rPr>
          <w:b/>
          <w:sz w:val="32"/>
          <w:szCs w:val="32"/>
        </w:rPr>
        <w:t xml:space="preserve">CORONAVIRUS: IN 7 GIORNI </w:t>
      </w:r>
      <w:r>
        <w:rPr>
          <w:b/>
          <w:sz w:val="32"/>
          <w:szCs w:val="32"/>
        </w:rPr>
        <w:t xml:space="preserve">+10% DI </w:t>
      </w:r>
      <w:r w:rsidRPr="007F323C">
        <w:rPr>
          <w:b/>
          <w:sz w:val="32"/>
          <w:szCs w:val="32"/>
        </w:rPr>
        <w:t xml:space="preserve">NUOVI CASI </w:t>
      </w:r>
      <w:r>
        <w:rPr>
          <w:b/>
          <w:sz w:val="32"/>
          <w:szCs w:val="32"/>
        </w:rPr>
        <w:t xml:space="preserve">E SPIE ROSSE </w:t>
      </w:r>
      <w:r w:rsidR="00DC16E6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IN 41 </w:t>
      </w:r>
      <w:r w:rsidRPr="007F323C">
        <w:rPr>
          <w:b/>
          <w:sz w:val="32"/>
          <w:szCs w:val="32"/>
        </w:rPr>
        <w:t xml:space="preserve">PROVINCE. </w:t>
      </w:r>
      <w:r w:rsidR="00227FF4">
        <w:rPr>
          <w:b/>
          <w:sz w:val="32"/>
          <w:szCs w:val="32"/>
        </w:rPr>
        <w:t xml:space="preserve">RISALGONO </w:t>
      </w:r>
      <w:r>
        <w:rPr>
          <w:b/>
          <w:sz w:val="32"/>
          <w:szCs w:val="32"/>
        </w:rPr>
        <w:t>LE TERAPIE INTENSIVE.</w:t>
      </w:r>
      <w:r>
        <w:rPr>
          <w:b/>
          <w:sz w:val="32"/>
          <w:szCs w:val="32"/>
        </w:rPr>
        <w:br/>
      </w:r>
      <w:r w:rsidR="00962DE6">
        <w:rPr>
          <w:b/>
          <w:sz w:val="32"/>
          <w:szCs w:val="32"/>
        </w:rPr>
        <w:t xml:space="preserve">REGIONI IN ORDINE SPARSO SULLA </w:t>
      </w:r>
      <w:r w:rsidRPr="007F323C">
        <w:rPr>
          <w:b/>
          <w:sz w:val="32"/>
          <w:szCs w:val="32"/>
        </w:rPr>
        <w:t>VACCINAZIONE DI MASSA</w:t>
      </w:r>
      <w:r>
        <w:rPr>
          <w:b/>
          <w:sz w:val="32"/>
          <w:szCs w:val="32"/>
        </w:rPr>
        <w:t xml:space="preserve">, </w:t>
      </w:r>
      <w:r w:rsidR="00962DE6">
        <w:rPr>
          <w:b/>
          <w:sz w:val="32"/>
          <w:szCs w:val="32"/>
        </w:rPr>
        <w:br/>
      </w:r>
      <w:r w:rsidRPr="007F323C">
        <w:rPr>
          <w:b/>
          <w:sz w:val="32"/>
          <w:szCs w:val="32"/>
        </w:rPr>
        <w:t xml:space="preserve">DOPPIA DOSE SOLO </w:t>
      </w:r>
      <w:r>
        <w:rPr>
          <w:b/>
          <w:sz w:val="32"/>
          <w:szCs w:val="32"/>
        </w:rPr>
        <w:t xml:space="preserve">AL 2,9% DEGLI OVER 80 </w:t>
      </w:r>
    </w:p>
    <w:p w:rsidR="00F5371A" w:rsidRPr="00D43DF2" w:rsidRDefault="00115E64" w:rsidP="000936E0">
      <w:pPr>
        <w:spacing w:after="120"/>
        <w:jc w:val="both"/>
        <w:rPr>
          <w:b/>
          <w:sz w:val="23"/>
          <w:szCs w:val="23"/>
        </w:rPr>
      </w:pPr>
      <w:r w:rsidRPr="00D43DF2">
        <w:rPr>
          <w:b/>
          <w:sz w:val="23"/>
          <w:szCs w:val="23"/>
        </w:rPr>
        <w:t xml:space="preserve">IL MONITORAGGIO DELLA FONDAZIONE GIMBE </w:t>
      </w:r>
      <w:r w:rsidR="00930A07" w:rsidRPr="00D43DF2">
        <w:rPr>
          <w:b/>
          <w:sz w:val="23"/>
          <w:szCs w:val="23"/>
        </w:rPr>
        <w:t xml:space="preserve">REGISTRA </w:t>
      </w:r>
      <w:r w:rsidRPr="00D43DF2">
        <w:rPr>
          <w:b/>
          <w:sz w:val="23"/>
          <w:szCs w:val="23"/>
        </w:rPr>
        <w:t xml:space="preserve">NELLA SETTIMANA </w:t>
      </w:r>
      <w:r w:rsidR="005E400E" w:rsidRPr="00D43DF2">
        <w:rPr>
          <w:b/>
          <w:sz w:val="23"/>
          <w:szCs w:val="23"/>
        </w:rPr>
        <w:t>17-23</w:t>
      </w:r>
      <w:r w:rsidR="008049E8" w:rsidRPr="00D43DF2">
        <w:rPr>
          <w:b/>
          <w:sz w:val="23"/>
          <w:szCs w:val="23"/>
        </w:rPr>
        <w:t xml:space="preserve"> FEBBRAIO </w:t>
      </w:r>
      <w:r w:rsidR="00930A07" w:rsidRPr="00D43DF2">
        <w:rPr>
          <w:b/>
          <w:sz w:val="23"/>
          <w:szCs w:val="23"/>
        </w:rPr>
        <w:t>UN AUMENTO DEI NUOVI CASI CHE RIFLETTE L’ESPANDERSI DI VARIANTI PIÙ CONTAGIOSE</w:t>
      </w:r>
      <w:r w:rsidR="00DC16E6">
        <w:rPr>
          <w:b/>
          <w:sz w:val="23"/>
          <w:szCs w:val="23"/>
        </w:rPr>
        <w:t>.</w:t>
      </w:r>
      <w:r w:rsidR="00930A07" w:rsidRPr="00D43DF2">
        <w:rPr>
          <w:b/>
          <w:sz w:val="23"/>
          <w:szCs w:val="23"/>
        </w:rPr>
        <w:t xml:space="preserve"> </w:t>
      </w:r>
      <w:r w:rsidR="00DC16E6">
        <w:rPr>
          <w:b/>
          <w:sz w:val="23"/>
          <w:szCs w:val="23"/>
        </w:rPr>
        <w:t xml:space="preserve">INCREMENTI PERCENTUALI </w:t>
      </w:r>
      <w:r w:rsidR="00297818">
        <w:rPr>
          <w:b/>
          <w:sz w:val="23"/>
          <w:szCs w:val="23"/>
        </w:rPr>
        <w:t xml:space="preserve">DEI NUOVI CASI </w:t>
      </w:r>
      <w:r w:rsidR="00DC16E6">
        <w:rPr>
          <w:b/>
          <w:sz w:val="23"/>
          <w:szCs w:val="23"/>
        </w:rPr>
        <w:t xml:space="preserve">OLTRE IL 20% IN </w:t>
      </w:r>
      <w:r w:rsidR="00930A07" w:rsidRPr="00D43DF2">
        <w:rPr>
          <w:b/>
          <w:sz w:val="23"/>
          <w:szCs w:val="23"/>
        </w:rPr>
        <w:t xml:space="preserve">41 PROVINCE </w:t>
      </w:r>
      <w:r w:rsidR="00DC16E6">
        <w:rPr>
          <w:b/>
          <w:sz w:val="23"/>
          <w:szCs w:val="23"/>
        </w:rPr>
        <w:t xml:space="preserve">RICHIEDONO RESTRIZIONI MIRATE E TEMPESTIVE PER EVITARE LOCKDOWN </w:t>
      </w:r>
      <w:r w:rsidR="00447160">
        <w:rPr>
          <w:b/>
          <w:sz w:val="23"/>
          <w:szCs w:val="23"/>
        </w:rPr>
        <w:t>PIÙ ESTESI</w:t>
      </w:r>
      <w:r w:rsidR="00930A07" w:rsidRPr="00D43DF2">
        <w:rPr>
          <w:b/>
          <w:sz w:val="23"/>
          <w:szCs w:val="23"/>
        </w:rPr>
        <w:t xml:space="preserve">. CAMPAGNA VACCINALE SOTTO SCACCO DELLE FORNITURE, MA </w:t>
      </w:r>
      <w:r w:rsidR="00813AA9">
        <w:rPr>
          <w:b/>
          <w:sz w:val="23"/>
          <w:szCs w:val="23"/>
        </w:rPr>
        <w:t>NECESSARIO</w:t>
      </w:r>
      <w:r w:rsidR="00813AA9" w:rsidRPr="00D43DF2">
        <w:rPr>
          <w:b/>
          <w:sz w:val="23"/>
          <w:szCs w:val="23"/>
        </w:rPr>
        <w:t xml:space="preserve"> ACCELERARE </w:t>
      </w:r>
      <w:r w:rsidR="00813AA9">
        <w:rPr>
          <w:b/>
          <w:sz w:val="23"/>
          <w:szCs w:val="23"/>
        </w:rPr>
        <w:t xml:space="preserve">ANCHE SUL </w:t>
      </w:r>
      <w:r w:rsidR="00813AA9" w:rsidRPr="00D43DF2">
        <w:rPr>
          <w:b/>
          <w:sz w:val="23"/>
          <w:szCs w:val="23"/>
        </w:rPr>
        <w:t>FRONTE DELLE SOMMINISTRAZIONI</w:t>
      </w:r>
      <w:r w:rsidR="00813AA9">
        <w:rPr>
          <w:b/>
          <w:sz w:val="23"/>
          <w:szCs w:val="23"/>
        </w:rPr>
        <w:t xml:space="preserve">. </w:t>
      </w:r>
      <w:r w:rsidR="00433B01">
        <w:rPr>
          <w:b/>
          <w:sz w:val="23"/>
          <w:szCs w:val="23"/>
        </w:rPr>
        <w:t xml:space="preserve">GOVERNO DRAGHI IMPONGA UN </w:t>
      </w:r>
      <w:r w:rsidR="00333902">
        <w:rPr>
          <w:b/>
          <w:sz w:val="23"/>
          <w:szCs w:val="23"/>
        </w:rPr>
        <w:t>N</w:t>
      </w:r>
      <w:r w:rsidR="00812409">
        <w:rPr>
          <w:b/>
          <w:sz w:val="23"/>
          <w:szCs w:val="23"/>
        </w:rPr>
        <w:t>ETTO</w:t>
      </w:r>
      <w:r w:rsidR="00813AA9">
        <w:rPr>
          <w:b/>
          <w:sz w:val="23"/>
          <w:szCs w:val="23"/>
        </w:rPr>
        <w:t xml:space="preserve"> CAMBIO PASSO</w:t>
      </w:r>
      <w:r w:rsidR="00812409">
        <w:rPr>
          <w:b/>
          <w:sz w:val="23"/>
          <w:szCs w:val="23"/>
        </w:rPr>
        <w:t>: PIÙ VACCINI,</w:t>
      </w:r>
      <w:r w:rsidR="00333902">
        <w:rPr>
          <w:b/>
          <w:sz w:val="23"/>
          <w:szCs w:val="23"/>
        </w:rPr>
        <w:t xml:space="preserve"> MAGGIORE SINTONIA CON LE REGIONI, </w:t>
      </w:r>
      <w:r w:rsidR="00812409">
        <w:rPr>
          <w:b/>
          <w:sz w:val="23"/>
          <w:szCs w:val="23"/>
        </w:rPr>
        <w:t xml:space="preserve">CHIUSURE </w:t>
      </w:r>
      <w:r w:rsidR="00433B01">
        <w:rPr>
          <w:b/>
          <w:sz w:val="23"/>
          <w:szCs w:val="23"/>
        </w:rPr>
        <w:t xml:space="preserve">TEMPESTIVE </w:t>
      </w:r>
      <w:r w:rsidR="00333902">
        <w:rPr>
          <w:b/>
          <w:sz w:val="23"/>
          <w:szCs w:val="23"/>
        </w:rPr>
        <w:t xml:space="preserve">E </w:t>
      </w:r>
      <w:r w:rsidR="00812409">
        <w:rPr>
          <w:b/>
          <w:sz w:val="23"/>
          <w:szCs w:val="23"/>
        </w:rPr>
        <w:t xml:space="preserve">UN REALISTICO PIANO DI </w:t>
      </w:r>
      <w:r w:rsidR="00433B01">
        <w:rPr>
          <w:b/>
          <w:sz w:val="23"/>
          <w:szCs w:val="23"/>
        </w:rPr>
        <w:t xml:space="preserve">GRADUALE </w:t>
      </w:r>
      <w:r w:rsidR="00812409">
        <w:rPr>
          <w:b/>
          <w:sz w:val="23"/>
          <w:szCs w:val="23"/>
        </w:rPr>
        <w:t>RITORNO ALLA NORMALITÀ</w:t>
      </w:r>
      <w:r w:rsidR="00333902">
        <w:rPr>
          <w:b/>
          <w:sz w:val="23"/>
          <w:szCs w:val="23"/>
        </w:rPr>
        <w:t xml:space="preserve"> DA CONDIVIDERE CON I CITTADINI</w:t>
      </w:r>
      <w:r w:rsidR="00F5371A">
        <w:rPr>
          <w:b/>
          <w:sz w:val="23"/>
          <w:szCs w:val="23"/>
        </w:rPr>
        <w:t xml:space="preserve">, </w:t>
      </w:r>
      <w:r w:rsidR="00F5371A" w:rsidRPr="00F5371A">
        <w:rPr>
          <w:b/>
          <w:sz w:val="23"/>
          <w:szCs w:val="23"/>
        </w:rPr>
        <w:t>EVITANDO DI FISSARE SCADENZE ILLUSORIE, PERCHÉ L’AGENDA DEL PA</w:t>
      </w:r>
      <w:r w:rsidR="00F5371A">
        <w:rPr>
          <w:b/>
          <w:sz w:val="23"/>
          <w:szCs w:val="23"/>
        </w:rPr>
        <w:t>ESE È ANCORA DETTATA DAL VIRUS.</w:t>
      </w:r>
    </w:p>
    <w:p w:rsidR="00115E64" w:rsidRPr="005E400E" w:rsidRDefault="005E400E" w:rsidP="000936E0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5E400E">
        <w:rPr>
          <w:rFonts w:ascii="Calibri" w:eastAsia="Calibri" w:hAnsi="Calibri" w:cs="Times New Roman"/>
          <w:b/>
          <w:bCs/>
          <w:sz w:val="24"/>
          <w:szCs w:val="24"/>
        </w:rPr>
        <w:t>25</w:t>
      </w:r>
      <w:r w:rsidR="008049E8" w:rsidRPr="005E400E">
        <w:rPr>
          <w:rFonts w:ascii="Calibri" w:eastAsia="Calibri" w:hAnsi="Calibri" w:cs="Times New Roman"/>
          <w:b/>
          <w:bCs/>
          <w:sz w:val="24"/>
          <w:szCs w:val="24"/>
        </w:rPr>
        <w:t xml:space="preserve"> febbraio </w:t>
      </w:r>
      <w:r w:rsidR="00115E64" w:rsidRPr="005E400E">
        <w:rPr>
          <w:rFonts w:ascii="Calibri" w:eastAsia="Calibri" w:hAnsi="Calibri" w:cs="Times New Roman"/>
          <w:b/>
          <w:bCs/>
          <w:sz w:val="24"/>
          <w:szCs w:val="24"/>
        </w:rPr>
        <w:t>2021 - Fondazione GIMBE, Bologna</w:t>
      </w:r>
    </w:p>
    <w:p w:rsidR="00115E64" w:rsidRPr="005E400E" w:rsidRDefault="00115E64" w:rsidP="00943563">
      <w:pPr>
        <w:spacing w:line="276" w:lineRule="auto"/>
        <w:jc w:val="both"/>
      </w:pPr>
      <w:r w:rsidRPr="005E400E">
        <w:t>Il monitoraggio indipendente della Fondazione GIMBE</w:t>
      </w:r>
      <w:r w:rsidR="00B57E54" w:rsidRPr="005E400E">
        <w:t xml:space="preserve"> </w:t>
      </w:r>
      <w:r w:rsidR="002A7736">
        <w:t>rileva</w:t>
      </w:r>
      <w:r w:rsidRPr="005E400E">
        <w:t xml:space="preserve"> nella settimana </w:t>
      </w:r>
      <w:r w:rsidR="006A04DC" w:rsidRPr="005E400E">
        <w:t>1</w:t>
      </w:r>
      <w:r w:rsidR="005E400E" w:rsidRPr="005E400E">
        <w:t>7</w:t>
      </w:r>
      <w:r w:rsidR="006A04DC" w:rsidRPr="005E400E">
        <w:t>-</w:t>
      </w:r>
      <w:r w:rsidR="005E400E" w:rsidRPr="005E400E">
        <w:t>23</w:t>
      </w:r>
      <w:r w:rsidR="008049E8" w:rsidRPr="005E400E">
        <w:t xml:space="preserve"> febbraio</w:t>
      </w:r>
      <w:r w:rsidRPr="005E400E">
        <w:t xml:space="preserve"> 2021, rispetto alla precedente, </w:t>
      </w:r>
      <w:r w:rsidR="00213C28" w:rsidRPr="005E400E">
        <w:t>un</w:t>
      </w:r>
      <w:r w:rsidR="005E400E" w:rsidRPr="005E400E">
        <w:t xml:space="preserve"> incremento </w:t>
      </w:r>
      <w:r w:rsidRPr="005E400E">
        <w:t>d</w:t>
      </w:r>
      <w:r w:rsidR="005E400E" w:rsidRPr="005E400E">
        <w:t>e</w:t>
      </w:r>
      <w:r w:rsidRPr="005E400E">
        <w:t>i nuovi casi (</w:t>
      </w:r>
      <w:r w:rsidR="005E400E" w:rsidRPr="005E400E">
        <w:t xml:space="preserve">92.571 vs </w:t>
      </w:r>
      <w:r w:rsidR="00E92B03" w:rsidRPr="005E400E">
        <w:t>84.272</w:t>
      </w:r>
      <w:r w:rsidRPr="005E400E">
        <w:t>)</w:t>
      </w:r>
      <w:r w:rsidR="001A0514" w:rsidRPr="005E400E">
        <w:t xml:space="preserve"> (</w:t>
      </w:r>
      <w:r w:rsidR="001A0514" w:rsidRPr="005E400E">
        <w:rPr>
          <w:highlight w:val="yellow"/>
        </w:rPr>
        <w:t>figura 1</w:t>
      </w:r>
      <w:r w:rsidR="001A0514" w:rsidRPr="005E400E">
        <w:t>)</w:t>
      </w:r>
      <w:r w:rsidR="008B6F3B">
        <w:t xml:space="preserve"> </w:t>
      </w:r>
      <w:r w:rsidR="007F1BAF">
        <w:t xml:space="preserve">a fronte di </w:t>
      </w:r>
      <w:r w:rsidR="008B6F3B">
        <w:t>un numero stabile d</w:t>
      </w:r>
      <w:r w:rsidR="008B6F3B" w:rsidRPr="005E400E">
        <w:t>i decessi (2.177 vs 2.169) (</w:t>
      </w:r>
      <w:r w:rsidR="008B6F3B">
        <w:rPr>
          <w:highlight w:val="yellow"/>
        </w:rPr>
        <w:t xml:space="preserve">figura </w:t>
      </w:r>
      <w:r w:rsidR="008B6F3B" w:rsidRPr="008B6F3B">
        <w:rPr>
          <w:highlight w:val="yellow"/>
        </w:rPr>
        <w:t>2</w:t>
      </w:r>
      <w:r w:rsidR="008B6F3B" w:rsidRPr="005E400E">
        <w:t>)</w:t>
      </w:r>
      <w:r w:rsidR="008B6F3B">
        <w:t xml:space="preserve">. </w:t>
      </w:r>
      <w:r w:rsidR="005E400E" w:rsidRPr="005E400E">
        <w:t xml:space="preserve">In lieve </w:t>
      </w:r>
      <w:r w:rsidR="008B6F3B">
        <w:t>riduzione</w:t>
      </w:r>
      <w:r w:rsidR="005E400E" w:rsidRPr="005E400E">
        <w:t xml:space="preserve"> </w:t>
      </w:r>
      <w:r w:rsidR="007919D2" w:rsidRPr="005E400E">
        <w:t>i</w:t>
      </w:r>
      <w:r w:rsidR="00855C4B" w:rsidRPr="005E400E">
        <w:t xml:space="preserve"> </w:t>
      </w:r>
      <w:r w:rsidRPr="005E400E">
        <w:t>casi attualmente positivi (</w:t>
      </w:r>
      <w:r w:rsidR="005E400E" w:rsidRPr="005E400E">
        <w:t xml:space="preserve">387.948 vs </w:t>
      </w:r>
      <w:r w:rsidR="00E92B03" w:rsidRPr="005E400E">
        <w:t>393.686</w:t>
      </w:r>
      <w:r w:rsidRPr="005E400E">
        <w:t>)</w:t>
      </w:r>
      <w:r w:rsidR="005E400E" w:rsidRPr="005E400E">
        <w:t xml:space="preserve">, </w:t>
      </w:r>
      <w:r w:rsidR="001A0514" w:rsidRPr="005E400E">
        <w:t>le persone in isolamento domiciliare (</w:t>
      </w:r>
      <w:r w:rsidR="005E400E" w:rsidRPr="005E400E">
        <w:t xml:space="preserve">367.507 vs </w:t>
      </w:r>
      <w:r w:rsidR="00E92B03" w:rsidRPr="005E400E">
        <w:t>373.149</w:t>
      </w:r>
      <w:r w:rsidR="00827B14" w:rsidRPr="005E400E">
        <w:t>)</w:t>
      </w:r>
      <w:r w:rsidR="008B6F3B">
        <w:t xml:space="preserve"> e</w:t>
      </w:r>
      <w:r w:rsidR="001A0514" w:rsidRPr="005E400E">
        <w:t xml:space="preserve"> </w:t>
      </w:r>
      <w:r w:rsidR="0085279C" w:rsidRPr="005E400E">
        <w:t xml:space="preserve">i </w:t>
      </w:r>
      <w:r w:rsidRPr="005E400E">
        <w:t>ricover</w:t>
      </w:r>
      <w:r w:rsidR="00900787" w:rsidRPr="005E400E">
        <w:t xml:space="preserve">i </w:t>
      </w:r>
      <w:r w:rsidRPr="005E400E">
        <w:t>con sintomi (</w:t>
      </w:r>
      <w:r w:rsidR="005E400E" w:rsidRPr="005E400E">
        <w:t xml:space="preserve">18.295 vs </w:t>
      </w:r>
      <w:r w:rsidR="00E92B03" w:rsidRPr="005E400E">
        <w:t>18.463</w:t>
      </w:r>
      <w:r w:rsidR="007919D2" w:rsidRPr="005E400E">
        <w:t>)</w:t>
      </w:r>
      <w:r w:rsidR="00B41BF2" w:rsidRPr="005E400E">
        <w:t xml:space="preserve">, </w:t>
      </w:r>
      <w:r w:rsidR="005E400E" w:rsidRPr="005E400E">
        <w:t xml:space="preserve">mentre </w:t>
      </w:r>
      <w:r w:rsidR="002A7736">
        <w:t xml:space="preserve">risalgono </w:t>
      </w:r>
      <w:r w:rsidR="0085279C" w:rsidRPr="005E400E">
        <w:t xml:space="preserve">le </w:t>
      </w:r>
      <w:r w:rsidRPr="005E400E">
        <w:t>terapie intensive (</w:t>
      </w:r>
      <w:r w:rsidR="005E400E" w:rsidRPr="005E400E">
        <w:t xml:space="preserve">2.146 vs </w:t>
      </w:r>
      <w:r w:rsidR="00E92B03" w:rsidRPr="005E400E">
        <w:t>2.074</w:t>
      </w:r>
      <w:r w:rsidR="007919D2" w:rsidRPr="005E400E">
        <w:t xml:space="preserve">) </w:t>
      </w:r>
      <w:r w:rsidR="001A0514" w:rsidRPr="005E400E">
        <w:t>(</w:t>
      </w:r>
      <w:r w:rsidR="008B6F3B">
        <w:rPr>
          <w:highlight w:val="yellow"/>
        </w:rPr>
        <w:t xml:space="preserve">figura </w:t>
      </w:r>
      <w:r w:rsidR="008B6F3B" w:rsidRPr="008B6F3B">
        <w:rPr>
          <w:highlight w:val="yellow"/>
        </w:rPr>
        <w:t>3</w:t>
      </w:r>
      <w:r w:rsidR="00B41BF2" w:rsidRPr="005E400E">
        <w:t>)</w:t>
      </w:r>
      <w:r w:rsidR="00B33749" w:rsidRPr="005E400E">
        <w:t xml:space="preserve">. </w:t>
      </w:r>
      <w:r w:rsidRPr="005E400E">
        <w:t>In dettaglio, rispetto alla settimana precedente, si registrano le seguenti variazioni:</w:t>
      </w:r>
    </w:p>
    <w:p w:rsidR="00115E64" w:rsidRPr="005E400E" w:rsidRDefault="007919D2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5E400E">
        <w:t>Decessi: 2</w:t>
      </w:r>
      <w:r w:rsidR="00115E64" w:rsidRPr="005E400E">
        <w:t>.</w:t>
      </w:r>
      <w:r w:rsidR="00E92B03" w:rsidRPr="005E400E">
        <w:t>1</w:t>
      </w:r>
      <w:r w:rsidR="005E400E" w:rsidRPr="005E400E">
        <w:t>77</w:t>
      </w:r>
      <w:r w:rsidR="00115E64" w:rsidRPr="005E400E">
        <w:t xml:space="preserve"> (</w:t>
      </w:r>
      <w:r w:rsidR="005E400E" w:rsidRPr="005E400E">
        <w:t>+0,4</w:t>
      </w:r>
      <w:r w:rsidR="00115E64" w:rsidRPr="005E400E">
        <w:t>%)</w:t>
      </w:r>
    </w:p>
    <w:p w:rsidR="00115E64" w:rsidRPr="005E400E" w:rsidRDefault="005E400E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5E400E">
        <w:t>Terapia intensiva: +72</w:t>
      </w:r>
      <w:r w:rsidR="00467211" w:rsidRPr="005E400E">
        <w:t xml:space="preserve"> </w:t>
      </w:r>
      <w:r w:rsidRPr="005E400E">
        <w:t>(+3</w:t>
      </w:r>
      <w:r w:rsidR="00115E64" w:rsidRPr="005E400E">
        <w:t>,</w:t>
      </w:r>
      <w:r w:rsidRPr="005E400E">
        <w:t>5</w:t>
      </w:r>
      <w:r w:rsidR="00115E64" w:rsidRPr="005E400E">
        <w:t>%)</w:t>
      </w:r>
    </w:p>
    <w:p w:rsidR="00115E64" w:rsidRPr="005E400E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5E400E">
        <w:t xml:space="preserve">Ricoverati con sintomi: </w:t>
      </w:r>
      <w:r w:rsidR="00467211" w:rsidRPr="005E400E">
        <w:t>-</w:t>
      </w:r>
      <w:r w:rsidR="005E400E" w:rsidRPr="005E400E">
        <w:t>168</w:t>
      </w:r>
      <w:r w:rsidRPr="005E400E">
        <w:t xml:space="preserve"> (-</w:t>
      </w:r>
      <w:r w:rsidR="005E400E" w:rsidRPr="005E400E">
        <w:t>0,9</w:t>
      </w:r>
      <w:r w:rsidRPr="005E400E">
        <w:t>%)</w:t>
      </w:r>
    </w:p>
    <w:p w:rsidR="001A0514" w:rsidRPr="005E400E" w:rsidRDefault="001A0514" w:rsidP="001A0514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5E400E">
        <w:t>Isolamento domiciliare: -</w:t>
      </w:r>
      <w:r w:rsidR="005E400E" w:rsidRPr="005E400E">
        <w:t>5.642</w:t>
      </w:r>
      <w:r w:rsidRPr="005E400E">
        <w:t xml:space="preserve"> (-</w:t>
      </w:r>
      <w:r w:rsidR="005E400E" w:rsidRPr="005E400E">
        <w:t>1</w:t>
      </w:r>
      <w:r w:rsidRPr="005E400E">
        <w:t>,</w:t>
      </w:r>
      <w:r w:rsidR="005E400E" w:rsidRPr="005E400E">
        <w:t>5</w:t>
      </w:r>
      <w:r w:rsidRPr="005E400E">
        <w:t>%)</w:t>
      </w:r>
    </w:p>
    <w:p w:rsidR="00115E64" w:rsidRPr="005E400E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5E400E">
        <w:t xml:space="preserve">Nuovi casi: </w:t>
      </w:r>
      <w:r w:rsidR="005E400E" w:rsidRPr="005E400E">
        <w:t>92.571</w:t>
      </w:r>
      <w:r w:rsidR="00E92B03" w:rsidRPr="005E400E">
        <w:t xml:space="preserve"> (</w:t>
      </w:r>
      <w:r w:rsidR="005E400E" w:rsidRPr="005E400E">
        <w:t>+9,8</w:t>
      </w:r>
      <w:r w:rsidR="007919D2" w:rsidRPr="005E400E">
        <w:t>%)</w:t>
      </w:r>
    </w:p>
    <w:p w:rsidR="00115E64" w:rsidRPr="005E400E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5E400E">
        <w:t>Casi attualmente positivi: -</w:t>
      </w:r>
      <w:r w:rsidR="005E400E" w:rsidRPr="005E400E">
        <w:t>5.738</w:t>
      </w:r>
      <w:r w:rsidRPr="005E400E">
        <w:t xml:space="preserve"> (-</w:t>
      </w:r>
      <w:r w:rsidR="005E400E" w:rsidRPr="005E400E">
        <w:t>1</w:t>
      </w:r>
      <w:r w:rsidR="00467211" w:rsidRPr="005E400E">
        <w:t>,</w:t>
      </w:r>
      <w:r w:rsidR="005E400E" w:rsidRPr="005E400E">
        <w:t>5</w:t>
      </w:r>
      <w:r w:rsidRPr="005E400E">
        <w:t>%)</w:t>
      </w:r>
    </w:p>
    <w:p w:rsidR="00D43760" w:rsidRDefault="00115E64" w:rsidP="00707A47">
      <w:pPr>
        <w:spacing w:line="276" w:lineRule="auto"/>
        <w:jc w:val="both"/>
      </w:pPr>
      <w:r w:rsidRPr="008B6F3B">
        <w:t>«</w:t>
      </w:r>
      <w:r w:rsidR="008B6F3B" w:rsidRPr="008B6F3B">
        <w:t xml:space="preserve">Dopo 4 settimane </w:t>
      </w:r>
      <w:r w:rsidR="008B6F3B">
        <w:t>d</w:t>
      </w:r>
      <w:r w:rsidR="008B6F3B" w:rsidRPr="008B6F3B">
        <w:t xml:space="preserve">i </w:t>
      </w:r>
      <w:r w:rsidR="008B6F3B">
        <w:t xml:space="preserve">stabilità </w:t>
      </w:r>
      <w:r w:rsidR="004C4E94">
        <w:t xml:space="preserve">nel numero dei </w:t>
      </w:r>
      <w:r w:rsidR="008B6F3B" w:rsidRPr="008B6F3B">
        <w:t>nuovi casi</w:t>
      </w:r>
      <w:r w:rsidR="008B6F3B">
        <w:t xml:space="preserve"> </w:t>
      </w:r>
      <w:r w:rsidR="00B74374" w:rsidRPr="008B6F3B">
        <w:t>– afferma Nino Cartabellotta, Presidente della Fondazione GIMBE –</w:t>
      </w:r>
      <w:r w:rsidR="008B6F3B" w:rsidRPr="008B6F3B">
        <w:t xml:space="preserve"> </w:t>
      </w:r>
      <w:r w:rsidR="008B6F3B">
        <w:t>si rileva un</w:t>
      </w:r>
      <w:r w:rsidR="007F1BAF">
        <w:t>’</w:t>
      </w:r>
      <w:r w:rsidR="008B6F3B">
        <w:t xml:space="preserve">inversione di tendenza con </w:t>
      </w:r>
      <w:r w:rsidR="007F1BAF">
        <w:t xml:space="preserve">un </w:t>
      </w:r>
      <w:r w:rsidR="008B6F3B">
        <w:t xml:space="preserve">incremento </w:t>
      </w:r>
      <w:r w:rsidR="003B3025">
        <w:t>che sfiora</w:t>
      </w:r>
      <w:r w:rsidR="008B6F3B">
        <w:t xml:space="preserve"> il 10%, </w:t>
      </w:r>
      <w:r w:rsidR="00F30605">
        <w:t>segno della</w:t>
      </w:r>
      <w:r w:rsidR="00D43760">
        <w:t xml:space="preserve"> rapida diffusione di varianti più contagiose</w:t>
      </w:r>
      <w:r w:rsidR="00B74374" w:rsidRPr="008B6F3B">
        <w:t>».</w:t>
      </w:r>
      <w:r w:rsidR="00151830" w:rsidRPr="008B6F3B">
        <w:t xml:space="preserve"> </w:t>
      </w:r>
      <w:r w:rsidR="004C4E94">
        <w:t>R</w:t>
      </w:r>
      <w:r w:rsidR="00A6659C" w:rsidRPr="008B6F3B">
        <w:t>ispetto alla settimana precedente</w:t>
      </w:r>
      <w:r w:rsidR="004C4E94">
        <w:t>, infatti,</w:t>
      </w:r>
      <w:r w:rsidR="00A6659C">
        <w:t xml:space="preserve"> </w:t>
      </w:r>
      <w:r w:rsidR="00A6659C" w:rsidRPr="008B6F3B">
        <w:t xml:space="preserve">in </w:t>
      </w:r>
      <w:r w:rsidR="00A6659C">
        <w:t>11</w:t>
      </w:r>
      <w:r w:rsidR="00A6659C" w:rsidRPr="008B6F3B">
        <w:t xml:space="preserve"> Regioni aumentano i casi attualmente positivi per 100.000 abitanti</w:t>
      </w:r>
      <w:r w:rsidR="00D43760">
        <w:t xml:space="preserve">, </w:t>
      </w:r>
      <w:r w:rsidR="00332B22">
        <w:t xml:space="preserve">e in </w:t>
      </w:r>
      <w:r w:rsidR="00A6659C">
        <w:t xml:space="preserve">10 </w:t>
      </w:r>
      <w:r w:rsidR="00D43760">
        <w:t xml:space="preserve">Regioni </w:t>
      </w:r>
      <w:r w:rsidR="00332B22">
        <w:t xml:space="preserve">sale </w:t>
      </w:r>
      <w:r w:rsidR="006F43E4" w:rsidRPr="008B6F3B">
        <w:t xml:space="preserve">l’incremento percentuale dei </w:t>
      </w:r>
      <w:r w:rsidR="008B6F3B">
        <w:t>casi</w:t>
      </w:r>
      <w:r w:rsidR="00814607">
        <w:t xml:space="preserve"> totali</w:t>
      </w:r>
      <w:r w:rsidR="004C4E94">
        <w:t xml:space="preserve"> </w:t>
      </w:r>
      <w:r w:rsidR="004C4E94" w:rsidRPr="008B6F3B">
        <w:t>(</w:t>
      </w:r>
      <w:r w:rsidR="004C4E94" w:rsidRPr="008B6F3B">
        <w:rPr>
          <w:highlight w:val="yellow"/>
        </w:rPr>
        <w:t>tabella 1</w:t>
      </w:r>
      <w:r w:rsidR="004C4E94" w:rsidRPr="008B6F3B">
        <w:t>)</w:t>
      </w:r>
      <w:r w:rsidR="00A6659C">
        <w:t xml:space="preserve">. </w:t>
      </w:r>
      <w:r w:rsidR="008C268D" w:rsidRPr="007A3A69">
        <w:t xml:space="preserve">Sul fronte ospedaliero, l’occupazione da parte di pazienti COVID supera in </w:t>
      </w:r>
      <w:r w:rsidR="00E9487B" w:rsidRPr="007A3A69">
        <w:t xml:space="preserve">4 </w:t>
      </w:r>
      <w:r w:rsidR="008C268D" w:rsidRPr="007A3A69">
        <w:t xml:space="preserve">Regioni la soglia del 40% in area medica e in </w:t>
      </w:r>
      <w:r w:rsidR="00E9487B" w:rsidRPr="007A3A69">
        <w:t xml:space="preserve">8 </w:t>
      </w:r>
      <w:r w:rsidR="008C268D" w:rsidRPr="007A3A69">
        <w:t xml:space="preserve">Regioni quella </w:t>
      </w:r>
      <w:r w:rsidR="00B41BF2" w:rsidRPr="007A3A69">
        <w:t>del 30% delle terapie intensive</w:t>
      </w:r>
      <w:r w:rsidR="00EA4534">
        <w:t>, che</w:t>
      </w:r>
      <w:r w:rsidR="00191C3B">
        <w:t>,</w:t>
      </w:r>
      <w:r w:rsidR="00EA4534">
        <w:t xml:space="preserve"> </w:t>
      </w:r>
      <w:r w:rsidR="00191C3B">
        <w:t xml:space="preserve">a livello nazionale, </w:t>
      </w:r>
      <w:r w:rsidR="00EA4534">
        <w:t>dopo 5</w:t>
      </w:r>
      <w:r w:rsidR="00227FF4">
        <w:t xml:space="preserve"> settimane di calo </w:t>
      </w:r>
      <w:r w:rsidR="00EA4534">
        <w:t xml:space="preserve">fanno registrare </w:t>
      </w:r>
      <w:r w:rsidR="00227FF4">
        <w:t>un’inversione di tendenza.</w:t>
      </w:r>
    </w:p>
    <w:p w:rsidR="00C3548D" w:rsidRPr="0018467E" w:rsidRDefault="00C3548D" w:rsidP="00800D3C">
      <w:pPr>
        <w:jc w:val="both"/>
      </w:pPr>
      <w:r>
        <w:rPr>
          <w:b/>
        </w:rPr>
        <w:t>Controllo delle varianti</w:t>
      </w:r>
      <w:r w:rsidR="007B5D05">
        <w:rPr>
          <w:b/>
        </w:rPr>
        <w:t>.</w:t>
      </w:r>
      <w:r w:rsidR="0018467E">
        <w:rPr>
          <w:b/>
        </w:rPr>
        <w:t xml:space="preserve"> </w:t>
      </w:r>
      <w:r w:rsidR="0018467E">
        <w:t xml:space="preserve">La </w:t>
      </w:r>
      <w:r w:rsidR="00C40648">
        <w:t>progressiva</w:t>
      </w:r>
      <w:r w:rsidR="0018467E">
        <w:t xml:space="preserve"> diffusione della variante inglese sta determinando impennate di casi che </w:t>
      </w:r>
      <w:r w:rsidR="007B5D05">
        <w:t xml:space="preserve">richiedono un attento monitoraggio </w:t>
      </w:r>
      <w:r w:rsidR="0018467E">
        <w:t xml:space="preserve">per </w:t>
      </w:r>
      <w:r w:rsidR="0018467E" w:rsidRPr="00800D3C">
        <w:t>identificare</w:t>
      </w:r>
      <w:r w:rsidR="00F51108" w:rsidRPr="00800D3C">
        <w:t xml:space="preserve"> tempestivamente</w:t>
      </w:r>
      <w:r w:rsidR="00217C04" w:rsidRPr="00800D3C">
        <w:t xml:space="preserve"> </w:t>
      </w:r>
      <w:r w:rsidR="00EA4534">
        <w:t xml:space="preserve">Comuni o Province </w:t>
      </w:r>
      <w:r w:rsidR="007B5D05" w:rsidRPr="00800D3C">
        <w:t xml:space="preserve">dove </w:t>
      </w:r>
      <w:r w:rsidR="0018467E" w:rsidRPr="00800D3C">
        <w:t>attuare le zone rosse.</w:t>
      </w:r>
      <w:r w:rsidR="00962DE6">
        <w:t xml:space="preserve"> </w:t>
      </w:r>
      <w:r w:rsidR="00DE1AC1" w:rsidRPr="008B6F3B">
        <w:t>«</w:t>
      </w:r>
      <w:r w:rsidR="0072336F">
        <w:t>Secondo l</w:t>
      </w:r>
      <w:r w:rsidR="00EA4534">
        <w:t>e nostre analisi</w:t>
      </w:r>
      <w:r w:rsidR="0072336F">
        <w:t xml:space="preserve"> </w:t>
      </w:r>
      <w:r w:rsidR="007F1BAF" w:rsidRPr="008B6F3B">
        <w:t>–</w:t>
      </w:r>
      <w:r w:rsidR="007F1BAF">
        <w:t xml:space="preserve"> spiega il Presidente </w:t>
      </w:r>
      <w:r w:rsidR="007F1BAF" w:rsidRPr="008B6F3B">
        <w:t>–</w:t>
      </w:r>
      <w:r w:rsidR="0072336F">
        <w:t xml:space="preserve"> </w:t>
      </w:r>
      <w:r w:rsidR="00DE1AC1">
        <w:t>l’incremento</w:t>
      </w:r>
      <w:r w:rsidR="007F1BAF">
        <w:t xml:space="preserve"> percentuale</w:t>
      </w:r>
      <w:r w:rsidR="00DE1AC1">
        <w:t xml:space="preserve"> dei nuovi casi rispetto alla settimana precedente </w:t>
      </w:r>
      <w:r w:rsidR="00EA4534">
        <w:t>è</w:t>
      </w:r>
      <w:r w:rsidR="00DE1AC1">
        <w:t xml:space="preserve"> l’indicatore più sensibile per identificare le numerose spie rosse che si accendono nelle diverse Regioni</w:t>
      </w:r>
      <w:r w:rsidR="00DE1AC1" w:rsidRPr="008B6F3B">
        <w:t>»</w:t>
      </w:r>
      <w:r w:rsidR="007F1BAF">
        <w:t>.</w:t>
      </w:r>
      <w:r w:rsidR="00DE1AC1">
        <w:t xml:space="preserve"> </w:t>
      </w:r>
      <w:r w:rsidR="0018467E" w:rsidRPr="00800D3C">
        <w:t>In particolare, nella settimana 1</w:t>
      </w:r>
      <w:r w:rsidR="00800D3C">
        <w:t>7-</w:t>
      </w:r>
      <w:r w:rsidR="0018467E" w:rsidRPr="00800D3C">
        <w:t>23 febbraio in</w:t>
      </w:r>
      <w:r w:rsidR="00C40648" w:rsidRPr="00800D3C">
        <w:t xml:space="preserve"> </w:t>
      </w:r>
      <w:r w:rsidR="00E33C69">
        <w:t xml:space="preserve">ben </w:t>
      </w:r>
      <w:r w:rsidR="00800D3C" w:rsidRPr="00800D3C">
        <w:t>74</w:t>
      </w:r>
      <w:r w:rsidR="00C40648" w:rsidRPr="00800D3C">
        <w:t>/10</w:t>
      </w:r>
      <w:r w:rsidR="00800D3C" w:rsidRPr="00800D3C">
        <w:t>7</w:t>
      </w:r>
      <w:r w:rsidR="001E2FDD" w:rsidRPr="00800D3C">
        <w:t xml:space="preserve"> </w:t>
      </w:r>
      <w:r w:rsidR="00C40648" w:rsidRPr="00C40648">
        <w:t>P</w:t>
      </w:r>
      <w:r w:rsidR="0018467E">
        <w:t>rovince (</w:t>
      </w:r>
      <w:r w:rsidR="00800D3C">
        <w:t>68,5</w:t>
      </w:r>
      <w:r w:rsidR="00C40648" w:rsidRPr="00C40648">
        <w:t>%</w:t>
      </w:r>
      <w:r w:rsidR="0018467E" w:rsidRPr="00C40648">
        <w:t xml:space="preserve">) </w:t>
      </w:r>
      <w:r w:rsidR="0018467E">
        <w:t>si registra un incremento percentuale dei nuovi casi rispetto alla settimana precedente</w:t>
      </w:r>
      <w:r w:rsidR="007F1BAF">
        <w:t xml:space="preserve">, con valori che superano </w:t>
      </w:r>
      <w:r w:rsidR="0018467E">
        <w:t>il 20% in 41 Province (</w:t>
      </w:r>
      <w:r w:rsidR="0018467E" w:rsidRPr="00800D3C">
        <w:rPr>
          <w:highlight w:val="yellow"/>
        </w:rPr>
        <w:t>tabella 2</w:t>
      </w:r>
      <w:r w:rsidR="0018467E">
        <w:t xml:space="preserve">). </w:t>
      </w:r>
      <w:r w:rsidR="003A227C" w:rsidRPr="008B6F3B">
        <w:t>«</w:t>
      </w:r>
      <w:r w:rsidR="0018467E">
        <w:t xml:space="preserve">Questi dati – </w:t>
      </w:r>
      <w:r w:rsidR="00DE1AC1">
        <w:t>commenta</w:t>
      </w:r>
      <w:r w:rsidR="0018467E">
        <w:t xml:space="preserve"> </w:t>
      </w:r>
      <w:r w:rsidR="00DE1AC1">
        <w:t xml:space="preserve">Renata Gili, Responsabile Ricerca sui Servizi Sanitari della Fondazione GIMBE </w:t>
      </w:r>
      <w:r w:rsidR="0018467E">
        <w:t xml:space="preserve">– confermano </w:t>
      </w:r>
      <w:r w:rsidR="00DE1AC1">
        <w:t>che</w:t>
      </w:r>
      <w:r w:rsidR="00EA4534">
        <w:t>,</w:t>
      </w:r>
      <w:r w:rsidR="00DE1AC1">
        <w:t xml:space="preserve"> p</w:t>
      </w:r>
      <w:r w:rsidR="0018467E">
        <w:t xml:space="preserve">er evitare lockdown </w:t>
      </w:r>
      <w:r w:rsidR="00DE1AC1">
        <w:t>più estesi</w:t>
      </w:r>
      <w:r w:rsidR="005419F5">
        <w:t>,</w:t>
      </w:r>
      <w:r w:rsidR="00DE1AC1">
        <w:t xml:space="preserve"> bisogna introdurre</w:t>
      </w:r>
      <w:r w:rsidR="0018467E">
        <w:t xml:space="preserve"> te</w:t>
      </w:r>
      <w:r w:rsidR="006246B8">
        <w:t>mpestivamente restrizioni</w:t>
      </w:r>
      <w:r w:rsidR="005419F5">
        <w:t xml:space="preserve"> rigorose</w:t>
      </w:r>
      <w:r w:rsidR="006246B8">
        <w:t xml:space="preserve"> nelle aree</w:t>
      </w:r>
      <w:r w:rsidR="0018467E">
        <w:t xml:space="preserve"> dove si verificano impennate repentine. </w:t>
      </w:r>
      <w:r w:rsidR="00DE1AC1">
        <w:lastRenderedPageBreak/>
        <w:t>Temporeggiare in attesa de</w:t>
      </w:r>
      <w:r w:rsidR="0018467E">
        <w:t>i risultati del sequenziamento o</w:t>
      </w:r>
      <w:r w:rsidR="005419F5">
        <w:t xml:space="preserve"> di</w:t>
      </w:r>
      <w:r w:rsidR="0018467E">
        <w:t xml:space="preserve"> un </w:t>
      </w:r>
      <w:r w:rsidR="00EA4534">
        <w:t xml:space="preserve">consistente </w:t>
      </w:r>
      <w:r w:rsidR="0018467E">
        <w:t>incremento dei nuovi casi è molto rischioso</w:t>
      </w:r>
      <w:r w:rsidR="00EA4534">
        <w:t xml:space="preserve"> perchè</w:t>
      </w:r>
      <w:r w:rsidR="005419F5">
        <w:t xml:space="preserve"> </w:t>
      </w:r>
      <w:r w:rsidR="0018467E">
        <w:t>la situazione rischia di sfuggire di mano</w:t>
      </w:r>
      <w:r w:rsidR="003A227C" w:rsidRPr="008B6F3B">
        <w:t>»</w:t>
      </w:r>
      <w:r w:rsidR="0018467E">
        <w:t>.</w:t>
      </w:r>
    </w:p>
    <w:p w:rsidR="006F43E4" w:rsidRPr="00BB27C9" w:rsidRDefault="006F43E4" w:rsidP="00707A47">
      <w:pPr>
        <w:spacing w:line="276" w:lineRule="auto"/>
        <w:jc w:val="both"/>
      </w:pPr>
      <w:r w:rsidRPr="00563F37">
        <w:rPr>
          <w:b/>
        </w:rPr>
        <w:t>Vaccini: forniture</w:t>
      </w:r>
      <w:r w:rsidRPr="00396280">
        <w:t xml:space="preserve">. </w:t>
      </w:r>
      <w:r w:rsidR="00396280" w:rsidRPr="00396280">
        <w:t>La cont</w:t>
      </w:r>
      <w:r w:rsidR="00396280">
        <w:t>inua revisione al ribasso</w:t>
      </w:r>
      <w:r w:rsidR="00E63723">
        <w:t>,</w:t>
      </w:r>
      <w:r w:rsidR="00396280">
        <w:t xml:space="preserve"> </w:t>
      </w:r>
      <w:r w:rsidR="0018467E">
        <w:t>documentat</w:t>
      </w:r>
      <w:r w:rsidR="00DA3A09">
        <w:t>a</w:t>
      </w:r>
      <w:r w:rsidR="00396280">
        <w:t xml:space="preserve"> </w:t>
      </w:r>
      <w:r w:rsidR="0018467E">
        <w:t>da</w:t>
      </w:r>
      <w:r w:rsidR="007B5D05">
        <w:t xml:space="preserve">i </w:t>
      </w:r>
      <w:r w:rsidR="00396280">
        <w:t xml:space="preserve">4 </w:t>
      </w:r>
      <w:r w:rsidR="007B5D05">
        <w:t>aggiornamenti</w:t>
      </w:r>
      <w:r w:rsidR="00DA3A09">
        <w:t xml:space="preserve"> </w:t>
      </w:r>
      <w:r w:rsidR="00396280">
        <w:t xml:space="preserve">ufficiali </w:t>
      </w:r>
      <w:r w:rsidR="007B5D05">
        <w:t xml:space="preserve">delle </w:t>
      </w:r>
      <w:r w:rsidR="00396280">
        <w:t>forniture attese</w:t>
      </w:r>
      <w:r w:rsidR="00E63723">
        <w:t>,</w:t>
      </w:r>
      <w:r w:rsidR="00396280">
        <w:t xml:space="preserve"> </w:t>
      </w:r>
      <w:r w:rsidR="0072336F">
        <w:t xml:space="preserve">in soli 2 mesi </w:t>
      </w:r>
      <w:r w:rsidR="00396280">
        <w:t xml:space="preserve">ha </w:t>
      </w:r>
      <w:r w:rsidR="0072336F">
        <w:t>quasi dimezzato le</w:t>
      </w:r>
      <w:r w:rsidR="001534EC">
        <w:t xml:space="preserve"> </w:t>
      </w:r>
      <w:r w:rsidR="00396280">
        <w:t>dosi previste per il primo trimestre 202</w:t>
      </w:r>
      <w:r w:rsidR="001534EC">
        <w:t>1</w:t>
      </w:r>
      <w:r w:rsidR="00E63723">
        <w:t xml:space="preserve"> </w:t>
      </w:r>
      <w:r w:rsidR="0072336F">
        <w:t xml:space="preserve">che sono precipitate da 28,3 a </w:t>
      </w:r>
      <w:r w:rsidR="00396280">
        <w:t>15,7 milioni</w:t>
      </w:r>
      <w:r w:rsidR="007B5D05">
        <w:t xml:space="preserve"> (</w:t>
      </w:r>
      <w:r w:rsidR="007B5D05" w:rsidRPr="00DF3889">
        <w:rPr>
          <w:highlight w:val="yellow"/>
        </w:rPr>
        <w:t xml:space="preserve">figura </w:t>
      </w:r>
      <w:r w:rsidR="001E2FDD" w:rsidRPr="001E2FDD">
        <w:rPr>
          <w:highlight w:val="yellow"/>
        </w:rPr>
        <w:t>4</w:t>
      </w:r>
      <w:r w:rsidR="007B5D05">
        <w:t>)</w:t>
      </w:r>
      <w:r w:rsidR="00396280">
        <w:t xml:space="preserve">. </w:t>
      </w:r>
      <w:r w:rsidR="005D5D64" w:rsidRPr="008B6F3B">
        <w:t>«</w:t>
      </w:r>
      <w:r w:rsidR="00383854">
        <w:t xml:space="preserve">Una riduzione di tale entità </w:t>
      </w:r>
      <w:r w:rsidR="005D5D64">
        <w:t xml:space="preserve">– commenta </w:t>
      </w:r>
      <w:r w:rsidR="00DE1AC1">
        <w:t xml:space="preserve">Cartabellotta </w:t>
      </w:r>
      <w:r w:rsidR="009D35F0">
        <w:t>–</w:t>
      </w:r>
      <w:r w:rsidR="005E0ECA">
        <w:t xml:space="preserve"> </w:t>
      </w:r>
      <w:r w:rsidR="002902AF">
        <w:t xml:space="preserve">se da un lato è </w:t>
      </w:r>
      <w:r w:rsidR="00396280">
        <w:t>imputabi</w:t>
      </w:r>
      <w:bookmarkStart w:id="0" w:name="_GoBack"/>
      <w:bookmarkEnd w:id="0"/>
      <w:r w:rsidR="00396280">
        <w:t xml:space="preserve">le ai ritardi </w:t>
      </w:r>
      <w:r w:rsidR="001534EC">
        <w:t xml:space="preserve">di </w:t>
      </w:r>
      <w:r w:rsidR="009D35F0">
        <w:t xml:space="preserve">produzione e </w:t>
      </w:r>
      <w:r w:rsidR="00B910F1">
        <w:t>consegna d</w:t>
      </w:r>
      <w:r w:rsidR="007F323C">
        <w:t>a parte d</w:t>
      </w:r>
      <w:r w:rsidR="00B910F1">
        <w:t xml:space="preserve">elle aziende, </w:t>
      </w:r>
      <w:r w:rsidR="002902AF">
        <w:t xml:space="preserve">dall’altro risente di </w:t>
      </w:r>
      <w:r w:rsidR="009D35F0">
        <w:t xml:space="preserve">irrealistiche stime di </w:t>
      </w:r>
      <w:r w:rsidR="00383854">
        <w:t xml:space="preserve">approvvigionamento </w:t>
      </w:r>
      <w:r w:rsidR="008E6D2D">
        <w:t xml:space="preserve">del </w:t>
      </w:r>
      <w:r w:rsidR="006246B8">
        <w:t>Piano vaccinale</w:t>
      </w:r>
      <w:r w:rsidR="00383854">
        <w:t xml:space="preserve"> originale</w:t>
      </w:r>
      <w:r w:rsidR="005D5D64" w:rsidRPr="008B6F3B">
        <w:t>»</w:t>
      </w:r>
      <w:r w:rsidR="001534EC">
        <w:t>.</w:t>
      </w:r>
      <w:r w:rsidR="007F323C">
        <w:t xml:space="preserve"> Inoltre, </w:t>
      </w:r>
      <w:r w:rsidR="00417A4E">
        <w:t>delle</w:t>
      </w:r>
      <w:r w:rsidR="00396280">
        <w:t xml:space="preserve"> dosi </w:t>
      </w:r>
      <w:r w:rsidR="00D502A3">
        <w:t>previste</w:t>
      </w:r>
      <w:r w:rsidR="00396280" w:rsidRPr="00563F37">
        <w:t xml:space="preserve"> per il primo trimestre 2021</w:t>
      </w:r>
      <w:r w:rsidR="00396280">
        <w:t>, al</w:t>
      </w:r>
      <w:r w:rsidR="00396280" w:rsidRPr="00563F37">
        <w:t xml:space="preserve"> 24 febbraio </w:t>
      </w:r>
      <w:r w:rsidR="00396280">
        <w:t xml:space="preserve">(aggiornamento </w:t>
      </w:r>
      <w:r w:rsidR="00396280" w:rsidRPr="00563F37">
        <w:t xml:space="preserve">ore 08.01) </w:t>
      </w:r>
      <w:r w:rsidR="00396280">
        <w:t>ne s</w:t>
      </w:r>
      <w:r w:rsidRPr="00563F37">
        <w:t xml:space="preserve">ono </w:t>
      </w:r>
      <w:r w:rsidR="00F530A0" w:rsidRPr="00563F37">
        <w:t xml:space="preserve">state consegnate </w:t>
      </w:r>
      <w:r w:rsidRPr="00563F37">
        <w:t xml:space="preserve">alle Regioni </w:t>
      </w:r>
      <w:r w:rsidR="00D43DF2">
        <w:t xml:space="preserve">solo </w:t>
      </w:r>
      <w:r w:rsidR="00D502A3">
        <w:t xml:space="preserve">un </w:t>
      </w:r>
      <w:r w:rsidR="00D43DF2">
        <w:t>terzo</w:t>
      </w:r>
      <w:r w:rsidR="00417A4E">
        <w:t>:</w:t>
      </w:r>
      <w:r w:rsidR="00D43DF2">
        <w:t xml:space="preserve"> per rispettare le scadenze </w:t>
      </w:r>
      <w:r w:rsidR="00417A4E">
        <w:t xml:space="preserve">nelle prossime 5 settimane </w:t>
      </w:r>
      <w:r w:rsidR="00D43DF2">
        <w:t xml:space="preserve">dovranno essere consegnate in media </w:t>
      </w:r>
      <w:r w:rsidR="00D43DF2" w:rsidRPr="0029362B">
        <w:t>2,3</w:t>
      </w:r>
      <w:r w:rsidR="00D43DF2">
        <w:rPr>
          <w:color w:val="FF0000"/>
        </w:rPr>
        <w:t xml:space="preserve"> </w:t>
      </w:r>
      <w:r w:rsidR="00D43DF2">
        <w:t>milioni di dosi/settimana</w:t>
      </w:r>
      <w:r w:rsidR="007F323C">
        <w:t>. In d</w:t>
      </w:r>
      <w:r w:rsidR="008C0895" w:rsidRPr="00563F37">
        <w:t>ettaglio</w:t>
      </w:r>
      <w:r w:rsidRPr="00563F37">
        <w:t>:</w:t>
      </w:r>
    </w:p>
    <w:tbl>
      <w:tblPr>
        <w:tblStyle w:val="Grigliatabella"/>
        <w:tblW w:w="0" w:type="auto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Look w:val="04A0" w:firstRow="1" w:lastRow="0" w:firstColumn="1" w:lastColumn="0" w:noHBand="0" w:noVBand="1"/>
      </w:tblPr>
      <w:tblGrid>
        <w:gridCol w:w="1528"/>
        <w:gridCol w:w="1241"/>
        <w:gridCol w:w="2252"/>
        <w:gridCol w:w="2252"/>
      </w:tblGrid>
      <w:tr w:rsidR="006246B8" w:rsidRPr="006246B8" w:rsidTr="006246B8">
        <w:trPr>
          <w:jc w:val="center"/>
        </w:trPr>
        <w:tc>
          <w:tcPr>
            <w:tcW w:w="7273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46B8" w:rsidRPr="006246B8" w:rsidRDefault="006246B8" w:rsidP="00E63723">
            <w:pPr>
              <w:jc w:val="center"/>
              <w:rPr>
                <w:b/>
                <w:color w:val="44546A" w:themeColor="text2"/>
                <w:sz w:val="20"/>
              </w:rPr>
            </w:pPr>
            <w:r w:rsidRPr="006246B8">
              <w:rPr>
                <w:b/>
                <w:color w:val="00457D"/>
                <w:sz w:val="20"/>
              </w:rPr>
              <w:t>Dosi di vaccino 1° trimestre 2021</w:t>
            </w:r>
          </w:p>
        </w:tc>
      </w:tr>
      <w:tr w:rsidR="00302C76" w:rsidRPr="00396280" w:rsidTr="00BB27C9">
        <w:trPr>
          <w:jc w:val="center"/>
        </w:trPr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302C76" w:rsidRPr="00396280" w:rsidRDefault="00DD70A4" w:rsidP="00563F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Vaccino</w:t>
            </w:r>
          </w:p>
        </w:tc>
        <w:tc>
          <w:tcPr>
            <w:tcW w:w="12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302C76" w:rsidRPr="00396280" w:rsidRDefault="00302C76" w:rsidP="00563F37">
            <w:pPr>
              <w:jc w:val="center"/>
              <w:rPr>
                <w:b/>
                <w:sz w:val="20"/>
              </w:rPr>
            </w:pPr>
            <w:r w:rsidRPr="00396280">
              <w:rPr>
                <w:b/>
                <w:sz w:val="20"/>
              </w:rPr>
              <w:t xml:space="preserve">Dosi </w:t>
            </w:r>
            <w:r>
              <w:rPr>
                <w:b/>
                <w:sz w:val="20"/>
              </w:rPr>
              <w:br/>
            </w:r>
            <w:r w:rsidRPr="00396280">
              <w:rPr>
                <w:b/>
                <w:sz w:val="20"/>
              </w:rPr>
              <w:t xml:space="preserve">previste 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302C76" w:rsidRPr="00396280" w:rsidRDefault="00302C76" w:rsidP="00E63723">
            <w:pPr>
              <w:jc w:val="center"/>
              <w:rPr>
                <w:b/>
                <w:sz w:val="20"/>
              </w:rPr>
            </w:pPr>
            <w:r w:rsidRPr="00396280">
              <w:rPr>
                <w:b/>
                <w:sz w:val="20"/>
              </w:rPr>
              <w:t>Dosi</w:t>
            </w:r>
            <w:r w:rsidR="00E63723">
              <w:rPr>
                <w:b/>
                <w:sz w:val="20"/>
              </w:rPr>
              <w:t xml:space="preserve"> </w:t>
            </w:r>
            <w:r w:rsidRPr="00396280">
              <w:rPr>
                <w:b/>
                <w:sz w:val="20"/>
              </w:rPr>
              <w:t>consegnate</w:t>
            </w:r>
            <w:r w:rsidR="00E63723">
              <w:rPr>
                <w:b/>
                <w:sz w:val="20"/>
              </w:rPr>
              <w:t xml:space="preserve"> </w:t>
            </w:r>
            <w:r w:rsidR="00C40648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(% su dosi previste)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</w:tcBorders>
            <w:shd w:val="clear" w:color="auto" w:fill="00457D"/>
            <w:vAlign w:val="center"/>
          </w:tcPr>
          <w:p w:rsidR="00302C76" w:rsidRPr="00396280" w:rsidRDefault="00302C76" w:rsidP="00E63723">
            <w:pPr>
              <w:jc w:val="center"/>
              <w:rPr>
                <w:b/>
                <w:sz w:val="20"/>
              </w:rPr>
            </w:pPr>
            <w:r w:rsidRPr="00396280">
              <w:rPr>
                <w:b/>
                <w:sz w:val="20"/>
              </w:rPr>
              <w:t>Dosi somministrate</w:t>
            </w:r>
            <w:r w:rsidR="00E63723">
              <w:rPr>
                <w:b/>
                <w:sz w:val="20"/>
              </w:rPr>
              <w:t xml:space="preserve"> </w:t>
            </w:r>
            <w:r w:rsidR="00C40648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(% su dosi consegnate)</w:t>
            </w:r>
          </w:p>
        </w:tc>
      </w:tr>
      <w:tr w:rsidR="00302C76" w:rsidRPr="00396280" w:rsidTr="00BB27C9">
        <w:trPr>
          <w:trHeight w:val="340"/>
          <w:jc w:val="center"/>
        </w:trPr>
        <w:tc>
          <w:tcPr>
            <w:tcW w:w="0" w:type="auto"/>
            <w:vAlign w:val="center"/>
          </w:tcPr>
          <w:p w:rsidR="00302C76" w:rsidRPr="00396280" w:rsidRDefault="00302C76" w:rsidP="00302C76">
            <w:pPr>
              <w:spacing w:line="276" w:lineRule="auto"/>
              <w:rPr>
                <w:sz w:val="20"/>
              </w:rPr>
            </w:pPr>
            <w:r w:rsidRPr="00396280">
              <w:rPr>
                <w:sz w:val="20"/>
              </w:rPr>
              <w:t>Pfizer/BioNTech</w:t>
            </w:r>
          </w:p>
        </w:tc>
        <w:tc>
          <w:tcPr>
            <w:tcW w:w="1241" w:type="dxa"/>
            <w:vAlign w:val="center"/>
          </w:tcPr>
          <w:p w:rsidR="00302C76" w:rsidRPr="00396280" w:rsidRDefault="00302C76" w:rsidP="00302C76">
            <w:pPr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396280">
              <w:rPr>
                <w:rFonts w:ascii="Calibri" w:hAnsi="Calibri" w:cs="Calibri"/>
                <w:color w:val="000000"/>
                <w:sz w:val="20"/>
              </w:rPr>
              <w:t>9.012.748</w:t>
            </w:r>
          </w:p>
        </w:tc>
        <w:tc>
          <w:tcPr>
            <w:tcW w:w="2252" w:type="dxa"/>
            <w:vAlign w:val="center"/>
          </w:tcPr>
          <w:p w:rsidR="00302C76" w:rsidRPr="00302C76" w:rsidRDefault="00302C76" w:rsidP="00302C76">
            <w:pPr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396280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3.905.460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 xml:space="preserve"> (43,3%)</w:t>
            </w:r>
          </w:p>
        </w:tc>
        <w:tc>
          <w:tcPr>
            <w:tcW w:w="2252" w:type="dxa"/>
            <w:vAlign w:val="center"/>
          </w:tcPr>
          <w:p w:rsidR="00302C76" w:rsidRPr="00396280" w:rsidRDefault="00302C76" w:rsidP="00302C7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396280">
              <w:rPr>
                <w:rFonts w:ascii="Calibri" w:hAnsi="Calibri" w:cs="Calibri"/>
                <w:color w:val="000000"/>
                <w:sz w:val="20"/>
              </w:rPr>
              <w:t>3.453.109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(88,4%)</w:t>
            </w:r>
          </w:p>
        </w:tc>
      </w:tr>
      <w:tr w:rsidR="00302C76" w:rsidRPr="00396280" w:rsidTr="00BB27C9">
        <w:trPr>
          <w:trHeight w:val="340"/>
          <w:jc w:val="center"/>
        </w:trPr>
        <w:tc>
          <w:tcPr>
            <w:tcW w:w="0" w:type="auto"/>
            <w:vAlign w:val="center"/>
          </w:tcPr>
          <w:p w:rsidR="00302C76" w:rsidRPr="00396280" w:rsidRDefault="00302C76" w:rsidP="00302C76">
            <w:pPr>
              <w:spacing w:line="276" w:lineRule="auto"/>
              <w:rPr>
                <w:sz w:val="20"/>
              </w:rPr>
            </w:pPr>
            <w:r w:rsidRPr="00396280">
              <w:rPr>
                <w:sz w:val="20"/>
              </w:rPr>
              <w:t>Moderna</w:t>
            </w:r>
          </w:p>
        </w:tc>
        <w:tc>
          <w:tcPr>
            <w:tcW w:w="1241" w:type="dxa"/>
            <w:vAlign w:val="center"/>
          </w:tcPr>
          <w:p w:rsidR="00302C76" w:rsidRPr="00396280" w:rsidRDefault="00302C76" w:rsidP="00302C76">
            <w:pPr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396280">
              <w:rPr>
                <w:rFonts w:ascii="Calibri" w:hAnsi="Calibri" w:cs="Calibri"/>
                <w:color w:val="000000"/>
                <w:sz w:val="20"/>
              </w:rPr>
              <w:t>1.330.000</w:t>
            </w:r>
          </w:p>
        </w:tc>
        <w:tc>
          <w:tcPr>
            <w:tcW w:w="2252" w:type="dxa"/>
            <w:vAlign w:val="center"/>
          </w:tcPr>
          <w:p w:rsidR="00302C76" w:rsidRPr="00302C76" w:rsidRDefault="00302C76" w:rsidP="00302C76">
            <w:pPr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396280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244.600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 xml:space="preserve"> (18,4%)</w:t>
            </w:r>
          </w:p>
        </w:tc>
        <w:tc>
          <w:tcPr>
            <w:tcW w:w="2252" w:type="dxa"/>
            <w:vAlign w:val="center"/>
          </w:tcPr>
          <w:p w:rsidR="00302C76" w:rsidRPr="00396280" w:rsidRDefault="00302C76" w:rsidP="00302C7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396280">
              <w:rPr>
                <w:rFonts w:ascii="Calibri" w:hAnsi="Calibri" w:cs="Calibri"/>
                <w:color w:val="000000"/>
                <w:sz w:val="20"/>
              </w:rPr>
              <w:t>101.778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(41,6%)</w:t>
            </w:r>
          </w:p>
        </w:tc>
      </w:tr>
      <w:tr w:rsidR="00302C76" w:rsidRPr="00396280" w:rsidTr="00BB27C9">
        <w:trPr>
          <w:trHeight w:val="340"/>
          <w:jc w:val="center"/>
        </w:trPr>
        <w:tc>
          <w:tcPr>
            <w:tcW w:w="0" w:type="auto"/>
            <w:tcBorders>
              <w:bottom w:val="single" w:sz="4" w:space="0" w:color="00457D"/>
            </w:tcBorders>
            <w:vAlign w:val="center"/>
          </w:tcPr>
          <w:p w:rsidR="00302C76" w:rsidRPr="00396280" w:rsidRDefault="00302C76" w:rsidP="00302C76">
            <w:pPr>
              <w:spacing w:line="276" w:lineRule="auto"/>
              <w:rPr>
                <w:sz w:val="20"/>
              </w:rPr>
            </w:pPr>
            <w:r w:rsidRPr="00396280">
              <w:rPr>
                <w:sz w:val="20"/>
              </w:rPr>
              <w:t>AstraZeneca</w:t>
            </w:r>
          </w:p>
        </w:tc>
        <w:tc>
          <w:tcPr>
            <w:tcW w:w="1241" w:type="dxa"/>
            <w:tcBorders>
              <w:bottom w:val="single" w:sz="4" w:space="0" w:color="00457D"/>
            </w:tcBorders>
            <w:vAlign w:val="center"/>
          </w:tcPr>
          <w:p w:rsidR="00302C76" w:rsidRPr="00396280" w:rsidRDefault="00302C76" w:rsidP="00302C76">
            <w:pPr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396280">
              <w:rPr>
                <w:rFonts w:ascii="Calibri" w:hAnsi="Calibri" w:cs="Calibri"/>
                <w:color w:val="000000"/>
                <w:sz w:val="20"/>
              </w:rPr>
              <w:t>5.352.250</w:t>
            </w:r>
          </w:p>
        </w:tc>
        <w:tc>
          <w:tcPr>
            <w:tcW w:w="2252" w:type="dxa"/>
            <w:tcBorders>
              <w:bottom w:val="single" w:sz="4" w:space="0" w:color="00457D"/>
            </w:tcBorders>
            <w:vAlign w:val="center"/>
          </w:tcPr>
          <w:p w:rsidR="00302C76" w:rsidRPr="00302C76" w:rsidRDefault="00302C76" w:rsidP="00302C76">
            <w:pPr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396280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>1.048.800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 xml:space="preserve"> (19,6%)</w:t>
            </w:r>
          </w:p>
        </w:tc>
        <w:tc>
          <w:tcPr>
            <w:tcW w:w="2252" w:type="dxa"/>
            <w:tcBorders>
              <w:bottom w:val="single" w:sz="4" w:space="0" w:color="00457D"/>
            </w:tcBorders>
            <w:vAlign w:val="center"/>
          </w:tcPr>
          <w:p w:rsidR="00302C76" w:rsidRPr="00396280" w:rsidRDefault="00302C76" w:rsidP="00302C76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396280">
              <w:rPr>
                <w:rFonts w:ascii="Calibri" w:hAnsi="Calibri" w:cs="Calibri"/>
                <w:color w:val="000000"/>
                <w:sz w:val="20"/>
              </w:rPr>
              <w:t>147.192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(14,0%)</w:t>
            </w:r>
          </w:p>
        </w:tc>
      </w:tr>
      <w:tr w:rsidR="00302C76" w:rsidRPr="00396280" w:rsidTr="00BB27C9">
        <w:trPr>
          <w:trHeight w:val="340"/>
          <w:jc w:val="center"/>
        </w:trPr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302C76" w:rsidRPr="00396280" w:rsidRDefault="00302C76" w:rsidP="00563F37">
            <w:pPr>
              <w:rPr>
                <w:b/>
                <w:color w:val="FFFFFF" w:themeColor="background1"/>
                <w:sz w:val="20"/>
              </w:rPr>
            </w:pPr>
            <w:r w:rsidRPr="00396280">
              <w:rPr>
                <w:b/>
                <w:color w:val="FFFFFF" w:themeColor="background1"/>
                <w:sz w:val="20"/>
              </w:rPr>
              <w:t>TOTALE</w:t>
            </w:r>
          </w:p>
        </w:tc>
        <w:tc>
          <w:tcPr>
            <w:tcW w:w="12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302C76" w:rsidRPr="00396280" w:rsidRDefault="00302C76" w:rsidP="00302C76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396280">
              <w:rPr>
                <w:b/>
                <w:color w:val="FFFFFF" w:themeColor="background1"/>
                <w:sz w:val="20"/>
              </w:rPr>
              <w:t>15.694.998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302C76" w:rsidRPr="00396280" w:rsidRDefault="00302C76" w:rsidP="00C40648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396280">
              <w:rPr>
                <w:rFonts w:ascii="Calibri" w:hAnsi="Calibri" w:cs="Calibri"/>
                <w:b/>
                <w:color w:val="FFFFFF" w:themeColor="background1"/>
                <w:sz w:val="20"/>
              </w:rPr>
              <w:t>5.198.860</w:t>
            </w:r>
            <w:r w:rsidR="00C40648">
              <w:rPr>
                <w:rFonts w:ascii="Calibri" w:hAnsi="Calibri" w:cs="Calibri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</w:rPr>
              <w:t>(33,1%)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</w:tcBorders>
            <w:shd w:val="clear" w:color="auto" w:fill="00457D"/>
            <w:vAlign w:val="center"/>
          </w:tcPr>
          <w:p w:rsidR="00302C76" w:rsidRPr="00396280" w:rsidRDefault="00302C76" w:rsidP="00C40648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396280">
              <w:rPr>
                <w:b/>
                <w:color w:val="FFFFFF" w:themeColor="background1"/>
                <w:sz w:val="20"/>
              </w:rPr>
              <w:t>3.702.079</w:t>
            </w:r>
            <w:r w:rsidR="00C40648">
              <w:rPr>
                <w:b/>
                <w:color w:val="FFFFFF" w:themeColor="background1"/>
                <w:sz w:val="20"/>
              </w:rPr>
              <w:t xml:space="preserve"> </w:t>
            </w:r>
            <w:r>
              <w:rPr>
                <w:b/>
                <w:color w:val="FFFFFF" w:themeColor="background1"/>
                <w:sz w:val="20"/>
              </w:rPr>
              <w:t>(71,2%)</w:t>
            </w:r>
          </w:p>
        </w:tc>
      </w:tr>
    </w:tbl>
    <w:p w:rsidR="00A5376B" w:rsidRDefault="00317E2A" w:rsidP="00F24CAB">
      <w:pPr>
        <w:spacing w:before="240" w:line="276" w:lineRule="auto"/>
        <w:jc w:val="both"/>
      </w:pPr>
      <w:r>
        <w:t>N</w:t>
      </w:r>
      <w:r w:rsidR="007C0034">
        <w:t>elle ultime</w:t>
      </w:r>
      <w:r w:rsidR="00F44B29">
        <w:t xml:space="preserve"> due settimane </w:t>
      </w:r>
      <w:r>
        <w:t xml:space="preserve">preoccupante </w:t>
      </w:r>
      <w:r w:rsidR="006246B8">
        <w:t xml:space="preserve">frenata anche </w:t>
      </w:r>
      <w:r w:rsidR="007C0034">
        <w:t>su</w:t>
      </w:r>
      <w:r w:rsidR="006246B8">
        <w:t xml:space="preserve">l fronte delle somministrazioni, per </w:t>
      </w:r>
      <w:r w:rsidR="00F44B29">
        <w:t xml:space="preserve">difficoltà </w:t>
      </w:r>
      <w:r w:rsidR="006246B8">
        <w:t xml:space="preserve">organizzative </w:t>
      </w:r>
      <w:r w:rsidR="00383854">
        <w:t>legate all’avvio della</w:t>
      </w:r>
      <w:r w:rsidR="00F44B29">
        <w:t xml:space="preserve"> </w:t>
      </w:r>
      <w:r w:rsidR="002902AF">
        <w:t xml:space="preserve">vaccinazione di </w:t>
      </w:r>
      <w:r w:rsidR="00383854">
        <w:t>massa</w:t>
      </w:r>
      <w:r w:rsidR="00DF0817">
        <w:t xml:space="preserve"> </w:t>
      </w:r>
      <w:r w:rsidR="00A642ED">
        <w:t>(</w:t>
      </w:r>
      <w:r w:rsidR="00A642ED" w:rsidRPr="00A642ED">
        <w:rPr>
          <w:highlight w:val="yellow"/>
        </w:rPr>
        <w:t>figura 5</w:t>
      </w:r>
      <w:r w:rsidR="00A642ED">
        <w:t>)</w:t>
      </w:r>
      <w:r w:rsidR="00F44B29">
        <w:t xml:space="preserve">. </w:t>
      </w:r>
      <w:r w:rsidR="007C0034" w:rsidRPr="008B6F3B">
        <w:t>«</w:t>
      </w:r>
      <w:r w:rsidR="006246B8">
        <w:t>Non a caso</w:t>
      </w:r>
      <w:r w:rsidR="00383854">
        <w:t xml:space="preserve"> </w:t>
      </w:r>
      <w:r w:rsidR="006246B8">
        <w:t>–</w:t>
      </w:r>
      <w:r w:rsidR="007C0034">
        <w:t xml:space="preserve"> </w:t>
      </w:r>
      <w:r w:rsidR="0088304C">
        <w:t>sottolinea</w:t>
      </w:r>
      <w:r w:rsidR="0029362B">
        <w:t xml:space="preserve"> Gili –</w:t>
      </w:r>
      <w:r w:rsidR="002902AF">
        <w:t xml:space="preserve"> è stato somministrato solo il 14% delle dosi di AstraZeneca, destinate </w:t>
      </w:r>
      <w:r w:rsidR="00F44B29">
        <w:t xml:space="preserve">a </w:t>
      </w:r>
      <w:r w:rsidR="002902AF">
        <w:t xml:space="preserve">persone </w:t>
      </w:r>
      <w:r w:rsidR="00F44B29">
        <w:t xml:space="preserve">“fuori” da ospedali e RSA come insegnanti e forze dell’ordine </w:t>
      </w:r>
      <w:r w:rsidR="007C0034">
        <w:t xml:space="preserve">di età </w:t>
      </w:r>
      <w:r w:rsidR="002902AF">
        <w:t>&lt;65 anni</w:t>
      </w:r>
      <w:r w:rsidR="007C0034" w:rsidRPr="008B6F3B">
        <w:t>»</w:t>
      </w:r>
      <w:r w:rsidR="00F44B29">
        <w:t>.</w:t>
      </w:r>
      <w:r w:rsidR="00824053">
        <w:t xml:space="preserve"> </w:t>
      </w:r>
      <w:r w:rsidR="00F24CAB">
        <w:t xml:space="preserve">Notevoli </w:t>
      </w:r>
      <w:r>
        <w:t xml:space="preserve">le </w:t>
      </w:r>
      <w:r w:rsidR="00824053" w:rsidRPr="00824053">
        <w:t xml:space="preserve">differenze </w:t>
      </w:r>
      <w:r w:rsidR="002902AF">
        <w:t>regionali</w:t>
      </w:r>
      <w:r w:rsidR="00824053" w:rsidRPr="00824053">
        <w:t xml:space="preserve">: </w:t>
      </w:r>
      <w:r w:rsidR="002902AF">
        <w:t xml:space="preserve">se </w:t>
      </w:r>
      <w:r w:rsidR="00824053" w:rsidRPr="00824053">
        <w:t xml:space="preserve">Toscana </w:t>
      </w:r>
      <w:r w:rsidR="00824053">
        <w:t>(64%), V</w:t>
      </w:r>
      <w:r w:rsidR="002902AF">
        <w:t>alle d’</w:t>
      </w:r>
      <w:r w:rsidR="006246B8">
        <w:t xml:space="preserve">Aosta </w:t>
      </w:r>
      <w:r w:rsidR="00383854">
        <w:t>(</w:t>
      </w:r>
      <w:r w:rsidR="006246B8">
        <w:t>41,2%</w:t>
      </w:r>
      <w:r w:rsidR="00383854">
        <w:t>)</w:t>
      </w:r>
      <w:r w:rsidR="006246B8">
        <w:t xml:space="preserve">, </w:t>
      </w:r>
      <w:r w:rsidR="00383854">
        <w:t>P.A. di</w:t>
      </w:r>
      <w:r w:rsidR="002902AF">
        <w:t xml:space="preserve"> Bolzano (37,6%) e</w:t>
      </w:r>
      <w:r w:rsidR="00824053">
        <w:t xml:space="preserve"> Lazio (25%) </w:t>
      </w:r>
      <w:r w:rsidR="002902AF">
        <w:t>hanno somministrato almeno un quarto delle dosi consegnat</w:t>
      </w:r>
      <w:r w:rsidR="007F323C">
        <w:t>e da AstraZeneca</w:t>
      </w:r>
      <w:r w:rsidR="002902AF">
        <w:t xml:space="preserve">, 5 </w:t>
      </w:r>
      <w:r w:rsidR="00824053" w:rsidRPr="00824053">
        <w:t xml:space="preserve">Regioni </w:t>
      </w:r>
      <w:r w:rsidR="002902AF">
        <w:t>non hanno nemmeno iniziato e 2 hanno somministrato meno dell’1% delle dosi consegnate</w:t>
      </w:r>
      <w:r w:rsidR="00824053" w:rsidRPr="00824053">
        <w:t>.</w:t>
      </w:r>
      <w:r w:rsidR="00F24CAB">
        <w:t xml:space="preserve"> </w:t>
      </w:r>
      <w:r w:rsidR="00333001" w:rsidRPr="00333001">
        <w:t>«</w:t>
      </w:r>
      <w:r w:rsidR="00C426AB">
        <w:t>Di conseguenza</w:t>
      </w:r>
      <w:r w:rsidR="00DF3889">
        <w:t xml:space="preserve"> </w:t>
      </w:r>
      <w:r w:rsidR="006D641C" w:rsidRPr="00333001">
        <w:t>– puntualizza Cartabellotta –</w:t>
      </w:r>
      <w:r w:rsidR="00DF3889">
        <w:t xml:space="preserve"> </w:t>
      </w:r>
      <w:r w:rsidR="003C6A9C">
        <w:t>d</w:t>
      </w:r>
      <w:r w:rsidR="00741440" w:rsidRPr="00333001">
        <w:t xml:space="preserve">ai </w:t>
      </w:r>
      <w:r w:rsidR="00741440">
        <w:t>primi posti in classifica tra i Paesi europei</w:t>
      </w:r>
      <w:r w:rsidR="007F323C">
        <w:t xml:space="preserve"> conquistati</w:t>
      </w:r>
      <w:r w:rsidR="00741440">
        <w:t xml:space="preserve"> nella prima fase della campagna vaccinale</w:t>
      </w:r>
      <w:r w:rsidR="00383854">
        <w:t>,</w:t>
      </w:r>
      <w:r w:rsidR="00741440" w:rsidRPr="00333001">
        <w:t xml:space="preserve"> </w:t>
      </w:r>
      <w:hyperlink r:id="rId8" w:history="1">
        <w:r w:rsidR="00A5376B" w:rsidRPr="00741440">
          <w:rPr>
            <w:rStyle w:val="Collegamentoipertestuale"/>
          </w:rPr>
          <w:t xml:space="preserve">l’Italia </w:t>
        </w:r>
        <w:r w:rsidR="002902AF">
          <w:rPr>
            <w:rStyle w:val="Collegamentoipertestuale"/>
          </w:rPr>
          <w:t>ha perso numerose posizioni</w:t>
        </w:r>
      </w:hyperlink>
      <w:r w:rsidR="00AC4A7F">
        <w:t xml:space="preserve"> perché</w:t>
      </w:r>
      <w:r w:rsidR="0044519B">
        <w:t xml:space="preserve"> </w:t>
      </w:r>
      <w:r w:rsidR="00D05630">
        <w:t xml:space="preserve">non tutte le Regioni </w:t>
      </w:r>
      <w:r w:rsidR="00333001">
        <w:t>erano</w:t>
      </w:r>
      <w:r w:rsidR="00D05630">
        <w:t xml:space="preserve"> pronte </w:t>
      </w:r>
      <w:r w:rsidR="00044062">
        <w:t>per</w:t>
      </w:r>
      <w:r w:rsidR="007F323C">
        <w:t xml:space="preserve"> la vaccinazione di massa</w:t>
      </w:r>
      <w:r w:rsidR="00333001" w:rsidRPr="006868F5">
        <w:t>»</w:t>
      </w:r>
      <w:r w:rsidR="006E30A8" w:rsidRPr="006868F5">
        <w:t xml:space="preserve">. </w:t>
      </w:r>
    </w:p>
    <w:p w:rsidR="00E73B56" w:rsidRPr="00D9363E" w:rsidRDefault="00707A47" w:rsidP="00985EAC">
      <w:pPr>
        <w:spacing w:line="276" w:lineRule="auto"/>
        <w:jc w:val="both"/>
        <w:rPr>
          <w:color w:val="FF0000"/>
        </w:rPr>
      </w:pPr>
      <w:r w:rsidRPr="00D9363E">
        <w:rPr>
          <w:b/>
        </w:rPr>
        <w:t>Vaccini: somministrazioni.</w:t>
      </w:r>
      <w:r w:rsidRPr="00D9363E">
        <w:t xml:space="preserve"> Al </w:t>
      </w:r>
      <w:r w:rsidR="00D9363E" w:rsidRPr="00D9363E">
        <w:t>24</w:t>
      </w:r>
      <w:r w:rsidRPr="00D9363E">
        <w:t xml:space="preserve"> febbraio (aggiornamento ore </w:t>
      </w:r>
      <w:r w:rsidR="007A3A69">
        <w:t>08.01</w:t>
      </w:r>
      <w:r w:rsidRPr="00D9363E">
        <w:t xml:space="preserve">) hanno completato il ciclo vaccinale con la seconda dose </w:t>
      </w:r>
      <w:r w:rsidR="00C426AB">
        <w:t>oltre 1,34 milioni di</w:t>
      </w:r>
      <w:r w:rsidR="00AA58B2" w:rsidRPr="00D9363E">
        <w:t xml:space="preserve"> </w:t>
      </w:r>
      <w:r w:rsidRPr="00D9363E">
        <w:t>persone (</w:t>
      </w:r>
      <w:r w:rsidR="007A3A69">
        <w:t>2,25%</w:t>
      </w:r>
      <w:r w:rsidRPr="00D9363E">
        <w:t xml:space="preserve"> della popolazione), con marcate differenze regionali: dal </w:t>
      </w:r>
      <w:r w:rsidR="007A3A69">
        <w:t>1,58</w:t>
      </w:r>
      <w:r w:rsidR="00D9363E" w:rsidRPr="00D9363E">
        <w:t>%</w:t>
      </w:r>
      <w:r w:rsidR="007A3A69">
        <w:t xml:space="preserve"> dell’Abruzzo</w:t>
      </w:r>
      <w:r w:rsidR="009505CA" w:rsidRPr="00D9363E">
        <w:t xml:space="preserve"> al </w:t>
      </w:r>
      <w:r w:rsidR="007A3A69">
        <w:t>4,17</w:t>
      </w:r>
      <w:r w:rsidR="009505CA" w:rsidRPr="00D9363E">
        <w:t xml:space="preserve">% della </w:t>
      </w:r>
      <w:r w:rsidR="007243CB">
        <w:t>P.A.</w:t>
      </w:r>
      <w:r w:rsidR="007A3A69">
        <w:t xml:space="preserve"> di Bolzano</w:t>
      </w:r>
      <w:r w:rsidR="009505CA" w:rsidRPr="00D9363E">
        <w:t xml:space="preserve"> </w:t>
      </w:r>
      <w:r w:rsidRPr="00D9363E">
        <w:t>(</w:t>
      </w:r>
      <w:r w:rsidRPr="00D9363E">
        <w:rPr>
          <w:highlight w:val="yellow"/>
        </w:rPr>
        <w:t xml:space="preserve">figura </w:t>
      </w:r>
      <w:r w:rsidR="00800D3C" w:rsidRPr="00800D3C">
        <w:rPr>
          <w:highlight w:val="yellow"/>
        </w:rPr>
        <w:t>6</w:t>
      </w:r>
      <w:r w:rsidR="00D03ABB" w:rsidRPr="00D9363E">
        <w:t>)</w:t>
      </w:r>
      <w:r w:rsidR="004C33D3" w:rsidRPr="00D9363E">
        <w:t>.</w:t>
      </w:r>
      <w:r w:rsidR="00F607DD">
        <w:t xml:space="preserve"> </w:t>
      </w:r>
      <w:r w:rsidR="00333001" w:rsidRPr="00333001">
        <w:t>«</w:t>
      </w:r>
      <w:r w:rsidR="006E30A8">
        <w:t>S</w:t>
      </w:r>
      <w:r w:rsidR="00333001">
        <w:t>e l</w:t>
      </w:r>
      <w:r w:rsidR="00C426AB">
        <w:t xml:space="preserve">’obiettivo della </w:t>
      </w:r>
      <w:r w:rsidR="00333001">
        <w:t>prima fase della campagna vaccinale</w:t>
      </w:r>
      <w:r w:rsidR="006E30A8">
        <w:t xml:space="preserve"> </w:t>
      </w:r>
      <w:r w:rsidR="006E30A8" w:rsidRPr="00333001">
        <w:t xml:space="preserve">– </w:t>
      </w:r>
      <w:r w:rsidR="006E30A8">
        <w:t xml:space="preserve">spiega il Presidente </w:t>
      </w:r>
      <w:r w:rsidR="006E30A8" w:rsidRPr="00333001">
        <w:t xml:space="preserve">– </w:t>
      </w:r>
      <w:r w:rsidR="00C426AB">
        <w:t xml:space="preserve">era </w:t>
      </w:r>
      <w:r w:rsidR="00333001">
        <w:t>proteggere, oltre al personale sanitario e socio-sanitario, le persone più fragili (ospiti RSA e over 80)</w:t>
      </w:r>
      <w:r w:rsidR="00A2359B">
        <w:t>, aver somministrato oltre 655</w:t>
      </w:r>
      <w:r w:rsidR="00C3548D">
        <w:t xml:space="preserve"> </w:t>
      </w:r>
      <w:r w:rsidR="00A2359B">
        <w:t>mila dosi (</w:t>
      </w:r>
      <w:r w:rsidR="007A3A69">
        <w:t>17,7</w:t>
      </w:r>
      <w:r w:rsidR="00333001">
        <w:t>%</w:t>
      </w:r>
      <w:r w:rsidR="00A2359B">
        <w:t>)</w:t>
      </w:r>
      <w:r w:rsidR="00333001">
        <w:t xml:space="preserve"> </w:t>
      </w:r>
      <w:r w:rsidR="00F607DD">
        <w:t>a</w:t>
      </w:r>
      <w:r w:rsidR="00F24CAB">
        <w:t>l</w:t>
      </w:r>
      <w:r w:rsidR="00F607DD">
        <w:t xml:space="preserve"> personale non sanitario</w:t>
      </w:r>
      <w:r w:rsidR="00E510C2">
        <w:t xml:space="preserve"> (</w:t>
      </w:r>
      <w:r w:rsidR="00E510C2" w:rsidRPr="00E510C2">
        <w:rPr>
          <w:highlight w:val="yellow"/>
        </w:rPr>
        <w:t>figura</w:t>
      </w:r>
      <w:r w:rsidR="00E510C2" w:rsidRPr="00A2359B">
        <w:rPr>
          <w:highlight w:val="yellow"/>
        </w:rPr>
        <w:t xml:space="preserve"> </w:t>
      </w:r>
      <w:r w:rsidR="00800D3C" w:rsidRPr="00800D3C">
        <w:rPr>
          <w:highlight w:val="yellow"/>
        </w:rPr>
        <w:t>7</w:t>
      </w:r>
      <w:r w:rsidR="00E510C2">
        <w:t>)</w:t>
      </w:r>
      <w:r w:rsidR="00F607DD">
        <w:t xml:space="preserve"> </w:t>
      </w:r>
      <w:r w:rsidR="006E30A8">
        <w:t xml:space="preserve">stride </w:t>
      </w:r>
      <w:r w:rsidR="00C426AB">
        <w:t xml:space="preserve">con l’esigua copertura degli over 80: </w:t>
      </w:r>
      <w:r w:rsidR="007F323C">
        <w:t xml:space="preserve">su oltre 4,4 milioni </w:t>
      </w:r>
      <w:r w:rsidR="00C426AB">
        <w:t xml:space="preserve">solo </w:t>
      </w:r>
      <w:r w:rsidR="00841125" w:rsidRPr="00841125">
        <w:t>3</w:t>
      </w:r>
      <w:r w:rsidR="007F323C">
        <w:t>80 mila</w:t>
      </w:r>
      <w:r w:rsidR="00841125" w:rsidRPr="00841125">
        <w:t xml:space="preserve"> (8,6</w:t>
      </w:r>
      <w:r w:rsidR="00F607DD" w:rsidRPr="00841125">
        <w:t>%</w:t>
      </w:r>
      <w:r w:rsidR="00841125" w:rsidRPr="00841125">
        <w:t>)</w:t>
      </w:r>
      <w:r w:rsidR="00F607DD" w:rsidRPr="00841125">
        <w:t xml:space="preserve"> ha</w:t>
      </w:r>
      <w:r w:rsidR="007243CB">
        <w:t>nno</w:t>
      </w:r>
      <w:r w:rsidR="00F607DD" w:rsidRPr="00841125">
        <w:t xml:space="preserve"> ricevuto </w:t>
      </w:r>
      <w:r w:rsidR="00841125" w:rsidRPr="00841125">
        <w:t>la prima dose</w:t>
      </w:r>
      <w:r w:rsidR="00F607DD" w:rsidRPr="00841125">
        <w:t xml:space="preserve"> di vaccino e </w:t>
      </w:r>
      <w:r w:rsidR="007F323C">
        <w:t xml:space="preserve">circa 127 mila </w:t>
      </w:r>
      <w:r w:rsidR="00841125" w:rsidRPr="00841125">
        <w:t>(2,9</w:t>
      </w:r>
      <w:r w:rsidR="00F607DD" w:rsidRPr="00841125">
        <w:t>%</w:t>
      </w:r>
      <w:r w:rsidR="00841125" w:rsidRPr="00841125">
        <w:t>)</w:t>
      </w:r>
      <w:r w:rsidR="00F607DD" w:rsidRPr="00841125">
        <w:t xml:space="preserve"> </w:t>
      </w:r>
      <w:r w:rsidR="007243CB">
        <w:t xml:space="preserve">hanno </w:t>
      </w:r>
      <w:r w:rsidR="00F607DD" w:rsidRPr="00841125">
        <w:t>completato il ciclo vaccinale</w:t>
      </w:r>
      <w:r w:rsidR="00E510C2" w:rsidRPr="00841125">
        <w:t xml:space="preserve"> (</w:t>
      </w:r>
      <w:r w:rsidR="00E510C2" w:rsidRPr="00841125">
        <w:rPr>
          <w:highlight w:val="yellow"/>
        </w:rPr>
        <w:t xml:space="preserve">figura </w:t>
      </w:r>
      <w:r w:rsidR="00800D3C" w:rsidRPr="00800D3C">
        <w:rPr>
          <w:highlight w:val="yellow"/>
        </w:rPr>
        <w:t>8</w:t>
      </w:r>
      <w:r w:rsidR="00C3548D">
        <w:t>). U</w:t>
      </w:r>
      <w:r w:rsidR="006E30A8" w:rsidRPr="00841125">
        <w:t>n</w:t>
      </w:r>
      <w:r w:rsidR="00DF3889">
        <w:t>’</w:t>
      </w:r>
      <w:r w:rsidR="00376F7D" w:rsidRPr="00841125">
        <w:t xml:space="preserve">inversione </w:t>
      </w:r>
      <w:r w:rsidR="00C426AB">
        <w:t xml:space="preserve">di priorità, </w:t>
      </w:r>
      <w:r w:rsidR="00376F7D">
        <w:t>no</w:t>
      </w:r>
      <w:r w:rsidR="00C426AB">
        <w:t xml:space="preserve">n prevista dal piano vaccinale, </w:t>
      </w:r>
      <w:r w:rsidR="00376F7D">
        <w:t xml:space="preserve">che </w:t>
      </w:r>
      <w:r w:rsidR="00C426AB">
        <w:t xml:space="preserve">sta </w:t>
      </w:r>
      <w:r w:rsidR="00F24CAB">
        <w:t>ritarda</w:t>
      </w:r>
      <w:r w:rsidR="00C426AB">
        <w:t>ndo</w:t>
      </w:r>
      <w:r w:rsidR="00376F7D">
        <w:t xml:space="preserve"> la </w:t>
      </w:r>
      <w:r w:rsidR="00F607DD">
        <w:t xml:space="preserve">protezione </w:t>
      </w:r>
      <w:r w:rsidR="00E15711">
        <w:t>della categoria</w:t>
      </w:r>
      <w:r w:rsidR="00F607DD">
        <w:t xml:space="preserve"> </w:t>
      </w:r>
      <w:r w:rsidR="00C902FA">
        <w:t>che</w:t>
      </w:r>
      <w:r w:rsidR="00F607DD">
        <w:t xml:space="preserve"> </w:t>
      </w:r>
      <w:r w:rsidR="00E15711">
        <w:t xml:space="preserve">ha </w:t>
      </w:r>
      <w:r w:rsidR="00F65097">
        <w:t>pagato il tributo più alto</w:t>
      </w:r>
      <w:r w:rsidR="00F24CAB">
        <w:t xml:space="preserve"> in termini di vite umane</w:t>
      </w:r>
      <w:r w:rsidR="00F65097" w:rsidRPr="00DE19CB">
        <w:t>».</w:t>
      </w:r>
    </w:p>
    <w:p w:rsidR="00C426AB" w:rsidRDefault="00C426AB" w:rsidP="00772119">
      <w:pPr>
        <w:spacing w:after="120" w:line="276" w:lineRule="auto"/>
        <w:jc w:val="both"/>
      </w:pPr>
      <w:r w:rsidRPr="00C426AB">
        <w:t>«Per uscire dalla pandemia – conclude Cartabellotta –</w:t>
      </w:r>
      <w:r w:rsidR="00F2476D">
        <w:t xml:space="preserve"> </w:t>
      </w:r>
      <w:r w:rsidRPr="00C426AB">
        <w:t xml:space="preserve">è necessario </w:t>
      </w:r>
      <w:r w:rsidR="00F5371A">
        <w:t xml:space="preserve">un netto cambio di passo del </w:t>
      </w:r>
      <w:r w:rsidRPr="00C426AB">
        <w:t xml:space="preserve">Governo Draghi. Innanzitutto, </w:t>
      </w:r>
      <w:r w:rsidR="00AC4A7F">
        <w:t>incrementare</w:t>
      </w:r>
      <w:r w:rsidRPr="00C426AB">
        <w:t xml:space="preserve"> </w:t>
      </w:r>
      <w:r w:rsidR="00F2476D">
        <w:t>le</w:t>
      </w:r>
      <w:r w:rsidR="00F2476D" w:rsidRPr="00C426AB">
        <w:t xml:space="preserve"> </w:t>
      </w:r>
      <w:r w:rsidRPr="00C426AB">
        <w:t xml:space="preserve">forniture </w:t>
      </w:r>
      <w:r w:rsidR="00455B33">
        <w:t xml:space="preserve">lavorando ad </w:t>
      </w:r>
      <w:r w:rsidRPr="00C426AB">
        <w:t>accordi vincolanti tra Europa e aziende produttrici ed eventuale produzione conto terzi in Italia</w:t>
      </w:r>
      <w:r w:rsidR="00F2476D">
        <w:t xml:space="preserve">, oltre </w:t>
      </w:r>
      <w:r w:rsidR="00F5371A">
        <w:t>ad accelerare</w:t>
      </w:r>
      <w:r w:rsidRPr="00C426AB">
        <w:t xml:space="preserve"> le somministrazioni attraverso uno stretto monitoraggio regionale per ident</w:t>
      </w:r>
      <w:r w:rsidR="00AC4A7F">
        <w:t>ificare eventuali criticità. I</w:t>
      </w:r>
      <w:r w:rsidRPr="00C426AB">
        <w:t xml:space="preserve">n secondo luogo, le Regioni devono applicare con massima tempestività e rigore le </w:t>
      </w:r>
      <w:r w:rsidR="00204374">
        <w:t xml:space="preserve">zone rosse locali </w:t>
      </w:r>
      <w:r w:rsidRPr="00C426AB">
        <w:t>per evitare lockdown più estesi e arginare</w:t>
      </w:r>
      <w:r w:rsidR="00AC4A7F">
        <w:t xml:space="preserve"> gli effetti della terza ondata. I</w:t>
      </w:r>
      <w:r w:rsidRPr="00C426AB">
        <w:t xml:space="preserve">nfine, Governo e Regioni devono </w:t>
      </w:r>
      <w:r w:rsidR="0015074D">
        <w:t>concertare</w:t>
      </w:r>
      <w:r w:rsidR="0015074D" w:rsidRPr="00C426AB">
        <w:t xml:space="preserve"> </w:t>
      </w:r>
      <w:r w:rsidRPr="00C426AB">
        <w:t xml:space="preserve">una programmazione </w:t>
      </w:r>
      <w:r w:rsidR="00433B01">
        <w:t xml:space="preserve">di riaperture a </w:t>
      </w:r>
      <w:r w:rsidRPr="00C426AB">
        <w:t>medio-lungo periodo</w:t>
      </w:r>
      <w:r w:rsidR="0015074D">
        <w:t>,</w:t>
      </w:r>
      <w:r w:rsidRPr="00C426AB">
        <w:t xml:space="preserve"> condividendo con la popolazione obiettivi realistici per un graduale ritorno alla normalità</w:t>
      </w:r>
      <w:r w:rsidR="00AC4A7F">
        <w:t xml:space="preserve">, evitando </w:t>
      </w:r>
      <w:r w:rsidR="00F5371A">
        <w:t xml:space="preserve">di fissare </w:t>
      </w:r>
      <w:r w:rsidR="00AC4A7F">
        <w:t>scadenze illusorie, perché l’agenda del Paese è ancora dettata dal virus</w:t>
      </w:r>
      <w:r w:rsidRPr="00C426AB">
        <w:t>».</w:t>
      </w:r>
    </w:p>
    <w:p w:rsidR="00333902" w:rsidRDefault="00333902" w:rsidP="00943563">
      <w:pPr>
        <w:spacing w:after="120" w:line="276" w:lineRule="auto"/>
        <w:rPr>
          <w:rFonts w:cstheme="minorHAnsi"/>
          <w:i/>
        </w:rPr>
      </w:pPr>
    </w:p>
    <w:p w:rsidR="00115E64" w:rsidRPr="00625E38" w:rsidRDefault="00115E64" w:rsidP="00943563">
      <w:pPr>
        <w:spacing w:after="120" w:line="276" w:lineRule="auto"/>
        <w:rPr>
          <w:rFonts w:cstheme="minorHAnsi"/>
          <w:i/>
          <w:u w:val="single"/>
        </w:rPr>
      </w:pPr>
      <w:r w:rsidRPr="00497C09">
        <w:rPr>
          <w:rFonts w:cstheme="minorHAnsi"/>
          <w:i/>
        </w:rPr>
        <w:lastRenderedPageBreak/>
        <w:t xml:space="preserve">Il monitoraggio GIMBE dell'epidemia di COVID-19 è disponibile a: </w:t>
      </w:r>
      <w:hyperlink r:id="rId9" w:history="1">
        <w:r w:rsidRPr="00497C09">
          <w:rPr>
            <w:rStyle w:val="Collegamentoipertestuale"/>
            <w:rFonts w:cstheme="minorHAnsi"/>
            <w:i/>
          </w:rPr>
          <w:t>https://coronavirus.gimbe.org</w:t>
        </w:r>
      </w:hyperlink>
    </w:p>
    <w:p w:rsidR="006E51B3" w:rsidRPr="00435365" w:rsidRDefault="00115E64" w:rsidP="00435365">
      <w:pPr>
        <w:spacing w:after="120"/>
        <w:rPr>
          <w:rFonts w:ascii="Calibri" w:eastAsia="Calibri" w:hAnsi="Calibri" w:cs="Times New Roman"/>
          <w:color w:val="0563C1" w:themeColor="hyperlink"/>
          <w:sz w:val="20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</w:rPr>
        <w:br/>
      </w:r>
      <w:r w:rsidRPr="00A24080">
        <w:rPr>
          <w:b/>
        </w:rPr>
        <w:t>Fondazione GIMBE</w:t>
      </w:r>
      <w:r>
        <w:rPr>
          <w:rFonts w:cstheme="minorHAnsi"/>
          <w:i/>
          <w:color w:val="0563C1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0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F24CAB" w:rsidRDefault="00F24CAB" w:rsidP="00E51205">
      <w:pPr>
        <w:jc w:val="center"/>
        <w:rPr>
          <w:b/>
          <w:color w:val="00457D"/>
          <w:sz w:val="24"/>
        </w:rPr>
      </w:pPr>
    </w:p>
    <w:p w:rsidR="00E51205" w:rsidRDefault="00D86DE6" w:rsidP="00E51205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1</w:t>
      </w:r>
    </w:p>
    <w:p w:rsidR="00E51205" w:rsidRDefault="00E51205" w:rsidP="00E51205">
      <w:pPr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 wp14:anchorId="6601494A" wp14:editId="5A659650">
            <wp:extent cx="5760000" cy="31457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14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DE6" w:rsidRDefault="00D86DE6" w:rsidP="00891F25">
      <w:pPr>
        <w:rPr>
          <w:b/>
          <w:color w:val="00457D"/>
          <w:sz w:val="24"/>
        </w:rPr>
      </w:pPr>
    </w:p>
    <w:p w:rsidR="0029362B" w:rsidRDefault="00DE19CB" w:rsidP="008B6F3B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2</w:t>
      </w:r>
    </w:p>
    <w:p w:rsidR="008B6F3B" w:rsidRDefault="00E51205" w:rsidP="00333902">
      <w:pPr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 wp14:anchorId="064473A0" wp14:editId="0B147E92">
            <wp:extent cx="5760000" cy="3036183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036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6F3B">
        <w:rPr>
          <w:b/>
          <w:color w:val="00457D"/>
          <w:sz w:val="24"/>
        </w:rPr>
        <w:br/>
      </w:r>
    </w:p>
    <w:p w:rsidR="003F2406" w:rsidRDefault="003F2406" w:rsidP="003F2406">
      <w:pPr>
        <w:jc w:val="center"/>
        <w:rPr>
          <w:b/>
          <w:color w:val="00457D"/>
          <w:sz w:val="24"/>
        </w:rPr>
        <w:sectPr w:rsidR="003F2406" w:rsidSect="00115E64">
          <w:footnotePr>
            <w:numFmt w:val="chicago"/>
          </w:footnotePr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  <w:r>
        <w:rPr>
          <w:b/>
          <w:color w:val="00457D"/>
          <w:sz w:val="24"/>
        </w:rPr>
        <w:br/>
      </w:r>
    </w:p>
    <w:p w:rsidR="001A0514" w:rsidRDefault="00BF6DF7" w:rsidP="00891F25">
      <w:pPr>
        <w:spacing w:after="0" w:line="36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 xml:space="preserve">Figura </w:t>
      </w:r>
      <w:r w:rsidR="00DE19CB">
        <w:rPr>
          <w:b/>
          <w:color w:val="00457D"/>
          <w:sz w:val="24"/>
        </w:rPr>
        <w:t>3</w:t>
      </w:r>
    </w:p>
    <w:p w:rsidR="00E92B03" w:rsidRPr="00891F25" w:rsidRDefault="00E51205" w:rsidP="00891F25">
      <w:pPr>
        <w:spacing w:after="0" w:line="360" w:lineRule="auto"/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 wp14:anchorId="2C48586B" wp14:editId="6E74CF3E">
            <wp:extent cx="9360000" cy="4842229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842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F25" w:rsidRPr="00080306" w:rsidRDefault="00891F25" w:rsidP="00080306">
      <w:pPr>
        <w:spacing w:after="0" w:line="360" w:lineRule="auto"/>
        <w:jc w:val="center"/>
        <w:rPr>
          <w:b/>
          <w:color w:val="FF0000"/>
          <w:sz w:val="24"/>
        </w:rPr>
        <w:sectPr w:rsidR="00891F25" w:rsidRPr="00080306" w:rsidSect="00B76C0E">
          <w:footnotePr>
            <w:numFmt w:val="chicago"/>
          </w:footnotePr>
          <w:pgSz w:w="16838" w:h="11906" w:orient="landscape"/>
          <w:pgMar w:top="1134" w:right="709" w:bottom="1134" w:left="992" w:header="709" w:footer="833" w:gutter="0"/>
          <w:cols w:space="708"/>
          <w:docGrid w:linePitch="360"/>
        </w:sectPr>
      </w:pPr>
    </w:p>
    <w:p w:rsidR="001E2FDD" w:rsidRPr="00E51205" w:rsidRDefault="001E2FDD" w:rsidP="00326B4D">
      <w:pPr>
        <w:spacing w:after="0" w:line="240" w:lineRule="auto"/>
        <w:jc w:val="center"/>
        <w:rPr>
          <w:b/>
          <w:noProof/>
          <w:color w:val="00457D"/>
          <w:sz w:val="24"/>
          <w:lang w:eastAsia="it-IT"/>
        </w:rPr>
      </w:pPr>
      <w:r w:rsidRPr="00E51205">
        <w:rPr>
          <w:b/>
          <w:noProof/>
          <w:color w:val="00457D"/>
          <w:sz w:val="24"/>
          <w:lang w:eastAsia="it-IT"/>
        </w:rPr>
        <w:lastRenderedPageBreak/>
        <w:t>Figura 4</w:t>
      </w:r>
    </w:p>
    <w:p w:rsidR="00DF3889" w:rsidRDefault="00A642ED" w:rsidP="00326B4D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 wp14:anchorId="123F7D94" wp14:editId="28C15A94">
            <wp:extent cx="5760000" cy="3188417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188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FDD" w:rsidRDefault="001E2FDD" w:rsidP="00326B4D">
      <w:pPr>
        <w:spacing w:after="0" w:line="240" w:lineRule="auto"/>
        <w:jc w:val="center"/>
        <w:rPr>
          <w:b/>
          <w:color w:val="00457D"/>
          <w:sz w:val="24"/>
        </w:rPr>
      </w:pPr>
    </w:p>
    <w:p w:rsidR="00DF3889" w:rsidRDefault="00DF3889" w:rsidP="00326B4D">
      <w:pPr>
        <w:spacing w:after="0" w:line="240" w:lineRule="auto"/>
        <w:jc w:val="center"/>
        <w:rPr>
          <w:b/>
          <w:color w:val="00457D"/>
          <w:sz w:val="24"/>
        </w:rPr>
      </w:pPr>
    </w:p>
    <w:p w:rsidR="00DF3889" w:rsidRDefault="00DF3889" w:rsidP="00326B4D">
      <w:pPr>
        <w:spacing w:after="0" w:line="240" w:lineRule="auto"/>
        <w:jc w:val="center"/>
        <w:rPr>
          <w:b/>
          <w:color w:val="00457D"/>
          <w:sz w:val="24"/>
        </w:rPr>
      </w:pPr>
    </w:p>
    <w:p w:rsidR="00F530A0" w:rsidRDefault="00F530A0" w:rsidP="00326B4D">
      <w:pPr>
        <w:spacing w:after="0" w:line="240" w:lineRule="auto"/>
        <w:jc w:val="center"/>
        <w:rPr>
          <w:b/>
          <w:color w:val="00457D"/>
          <w:sz w:val="24"/>
        </w:rPr>
      </w:pPr>
      <w:r w:rsidRPr="00C55820">
        <w:rPr>
          <w:b/>
          <w:color w:val="00457D"/>
          <w:sz w:val="24"/>
        </w:rPr>
        <w:t xml:space="preserve">Figura </w:t>
      </w:r>
      <w:r w:rsidR="0029362B">
        <w:rPr>
          <w:b/>
          <w:color w:val="00457D"/>
          <w:sz w:val="24"/>
        </w:rPr>
        <w:t>5</w:t>
      </w:r>
    </w:p>
    <w:p w:rsidR="00F530A0" w:rsidRDefault="00A642ED" w:rsidP="0065595A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 wp14:anchorId="1CBCA201" wp14:editId="0B9FC9B9">
            <wp:extent cx="5760000" cy="2960253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60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0A0" w:rsidRPr="00461566" w:rsidRDefault="00F530A0" w:rsidP="0065595A">
      <w:pPr>
        <w:spacing w:after="0" w:line="240" w:lineRule="auto"/>
        <w:jc w:val="center"/>
        <w:rPr>
          <w:b/>
          <w:color w:val="FF0000"/>
          <w:sz w:val="24"/>
        </w:rPr>
      </w:pPr>
    </w:p>
    <w:p w:rsidR="00F530A0" w:rsidRDefault="00F530A0" w:rsidP="0065595A">
      <w:pPr>
        <w:spacing w:after="0" w:line="240" w:lineRule="auto"/>
        <w:jc w:val="center"/>
        <w:rPr>
          <w:b/>
          <w:color w:val="00457D"/>
          <w:sz w:val="24"/>
        </w:rPr>
      </w:pPr>
    </w:p>
    <w:p w:rsidR="00F530A0" w:rsidRDefault="00F530A0" w:rsidP="0065595A">
      <w:pPr>
        <w:spacing w:after="0" w:line="240" w:lineRule="auto"/>
        <w:jc w:val="center"/>
        <w:rPr>
          <w:b/>
          <w:color w:val="00457D"/>
          <w:sz w:val="24"/>
        </w:rPr>
      </w:pPr>
    </w:p>
    <w:p w:rsidR="001A0514" w:rsidRDefault="001A0514" w:rsidP="0065595A">
      <w:pPr>
        <w:spacing w:after="0" w:line="240" w:lineRule="auto"/>
        <w:jc w:val="center"/>
        <w:rPr>
          <w:b/>
          <w:color w:val="00457D"/>
          <w:sz w:val="24"/>
        </w:rPr>
      </w:pPr>
      <w:r w:rsidRPr="00C55820">
        <w:rPr>
          <w:b/>
          <w:color w:val="00457D"/>
          <w:sz w:val="24"/>
        </w:rPr>
        <w:lastRenderedPageBreak/>
        <w:t xml:space="preserve">Figura </w:t>
      </w:r>
      <w:r w:rsidR="00A642ED">
        <w:rPr>
          <w:b/>
          <w:color w:val="00457D"/>
          <w:sz w:val="24"/>
        </w:rPr>
        <w:t>6</w:t>
      </w:r>
      <w:r w:rsidR="0065595A" w:rsidRPr="00C55820">
        <w:rPr>
          <w:b/>
          <w:color w:val="00457D"/>
          <w:sz w:val="24"/>
        </w:rPr>
        <w:br/>
      </w:r>
      <w:r w:rsidR="0029362B">
        <w:rPr>
          <w:b/>
          <w:noProof/>
          <w:color w:val="00457D"/>
          <w:sz w:val="24"/>
          <w:lang w:eastAsia="it-IT"/>
        </w:rPr>
        <w:drawing>
          <wp:inline distT="0" distB="0" distL="0" distR="0" wp14:anchorId="0C0A6B05" wp14:editId="06B843C3">
            <wp:extent cx="5760000" cy="474943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749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59B" w:rsidRDefault="00A2359B" w:rsidP="0065595A">
      <w:pPr>
        <w:spacing w:after="0" w:line="240" w:lineRule="auto"/>
        <w:jc w:val="center"/>
        <w:rPr>
          <w:b/>
          <w:color w:val="00457D"/>
          <w:sz w:val="24"/>
        </w:rPr>
      </w:pPr>
    </w:p>
    <w:p w:rsidR="00A2359B" w:rsidRDefault="00A2359B">
      <w:pPr>
        <w:rPr>
          <w:b/>
          <w:color w:val="00457D"/>
          <w:sz w:val="24"/>
        </w:rPr>
      </w:pPr>
      <w:r>
        <w:rPr>
          <w:b/>
          <w:color w:val="00457D"/>
          <w:sz w:val="24"/>
        </w:rPr>
        <w:br w:type="page"/>
      </w:r>
    </w:p>
    <w:p w:rsidR="00A2359B" w:rsidRDefault="00A2359B" w:rsidP="0065595A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 xml:space="preserve">Figura </w:t>
      </w:r>
      <w:r w:rsidR="00CB4848">
        <w:rPr>
          <w:b/>
          <w:color w:val="00457D"/>
          <w:sz w:val="24"/>
        </w:rPr>
        <w:t>7</w:t>
      </w:r>
    </w:p>
    <w:p w:rsidR="00A2359B" w:rsidRDefault="00E51205" w:rsidP="0065595A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 wp14:anchorId="660C3201" wp14:editId="7CE749F8">
            <wp:extent cx="5760000" cy="3765717"/>
            <wp:effectExtent l="0" t="0" r="0" b="635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65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59B" w:rsidRDefault="00A2359B" w:rsidP="0065595A">
      <w:pPr>
        <w:spacing w:after="0" w:line="240" w:lineRule="auto"/>
        <w:jc w:val="center"/>
        <w:rPr>
          <w:b/>
          <w:color w:val="00457D"/>
          <w:sz w:val="24"/>
        </w:rPr>
      </w:pPr>
    </w:p>
    <w:p w:rsidR="00A2359B" w:rsidRDefault="00A2359B" w:rsidP="00A2359B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 xml:space="preserve">Figura </w:t>
      </w:r>
      <w:r w:rsidR="00CB4848">
        <w:rPr>
          <w:b/>
          <w:color w:val="00457D"/>
          <w:sz w:val="24"/>
        </w:rPr>
        <w:t>8</w:t>
      </w:r>
    </w:p>
    <w:p w:rsidR="00A2359B" w:rsidRDefault="00E51205" w:rsidP="0065595A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 wp14:anchorId="500DA7BA" wp14:editId="36E8757E">
            <wp:extent cx="5760000" cy="4665387"/>
            <wp:effectExtent l="0" t="0" r="0" b="190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665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514" w:rsidRPr="00010725" w:rsidRDefault="001A0514">
      <w:pPr>
        <w:rPr>
          <w:b/>
          <w:color w:val="00457D"/>
          <w:sz w:val="24"/>
        </w:rPr>
        <w:sectPr w:rsidR="001A0514" w:rsidRPr="00010725" w:rsidSect="001A0514">
          <w:footnotePr>
            <w:numFmt w:val="chicago"/>
          </w:footnotePr>
          <w:pgSz w:w="11906" w:h="16838"/>
          <w:pgMar w:top="709" w:right="1134" w:bottom="992" w:left="1134" w:header="709" w:footer="833" w:gutter="0"/>
          <w:cols w:space="708"/>
          <w:docGrid w:linePitch="360"/>
        </w:sectPr>
      </w:pPr>
    </w:p>
    <w:p w:rsidR="0099708D" w:rsidRPr="00D54A93" w:rsidRDefault="001A0514" w:rsidP="0099708D">
      <w:pPr>
        <w:spacing w:after="0" w:line="276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>T</w:t>
      </w:r>
      <w:r w:rsidR="0099708D" w:rsidRPr="00D54A93">
        <w:rPr>
          <w:b/>
          <w:color w:val="00457D"/>
          <w:sz w:val="24"/>
        </w:rPr>
        <w:t>abella</w:t>
      </w:r>
      <w:r w:rsidR="00080306">
        <w:rPr>
          <w:b/>
          <w:color w:val="00457D"/>
          <w:sz w:val="24"/>
        </w:rPr>
        <w:t xml:space="preserve"> 1</w:t>
      </w:r>
      <w:r w:rsidR="0099708D" w:rsidRPr="00D54A93">
        <w:rPr>
          <w:b/>
          <w:color w:val="00457D"/>
          <w:sz w:val="24"/>
        </w:rPr>
        <w:t xml:space="preserve">. Indicatori regionali: settimana </w:t>
      </w:r>
      <w:r w:rsidR="00E92B03">
        <w:rPr>
          <w:b/>
          <w:color w:val="00457D"/>
          <w:sz w:val="24"/>
        </w:rPr>
        <w:t>1</w:t>
      </w:r>
      <w:r w:rsidR="00DC769F">
        <w:rPr>
          <w:b/>
          <w:color w:val="00457D"/>
          <w:sz w:val="24"/>
        </w:rPr>
        <w:t>7-23</w:t>
      </w:r>
      <w:r w:rsidR="00C55820">
        <w:rPr>
          <w:b/>
          <w:color w:val="00457D"/>
          <w:sz w:val="24"/>
        </w:rPr>
        <w:t xml:space="preserve"> febbraio 2021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2515"/>
        <w:gridCol w:w="1971"/>
        <w:gridCol w:w="2365"/>
        <w:gridCol w:w="2698"/>
        <w:gridCol w:w="2698"/>
      </w:tblGrid>
      <w:tr w:rsidR="00DC769F" w:rsidRPr="005E400E" w:rsidTr="00DC769F">
        <w:trPr>
          <w:trHeight w:val="850"/>
        </w:trPr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457D"/>
            <w:vAlign w:val="center"/>
            <w:hideMark/>
          </w:tcPr>
          <w:p w:rsidR="00DC769F" w:rsidRDefault="00DC769F" w:rsidP="00DC769F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</w:t>
            </w:r>
            <w:r w:rsidRPr="008462D0">
              <w:rPr>
                <w:rFonts w:ascii="Calibri" w:eastAsia="Times New Roman" w:hAnsi="Calibri" w:cs="Calibri"/>
                <w:b/>
                <w:bCs/>
                <w:color w:val="FFFFFF"/>
              </w:rPr>
              <w:t>egione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DC769F" w:rsidRDefault="00DC769F" w:rsidP="00DC76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FFFFFF"/>
                <w:sz w:val="21"/>
                <w:szCs w:val="21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Casi attualmente positivi per 100.000 abitanti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DC769F" w:rsidRDefault="00DC769F" w:rsidP="00DC76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Incremento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% casi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DC769F" w:rsidRDefault="00DC769F" w:rsidP="00DC76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Persone testate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>per 100.000 abitanti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DC769F" w:rsidRDefault="00DC769F" w:rsidP="00DC76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osti letto in area medica occupati da pazienti COVID−19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DC769F" w:rsidRDefault="00DC769F" w:rsidP="00DC769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osti letto in terapia intensiva occupati da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pazienti COVID−19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991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6,5%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2.697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39%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38%</w:t>
            </w:r>
          </w:p>
        </w:tc>
      </w:tr>
      <w:tr w:rsidR="007A3A69" w:rsidRPr="005E400E" w:rsidTr="00FE7F34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667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FE7F34">
              <w:rPr>
                <w:rFonts w:ascii="Calibri" w:eastAsia="Times New Roman" w:hAnsi="Calibri" w:cs="Calibri"/>
                <w:color w:val="9C6500"/>
                <w:lang w:eastAsia="it-IT"/>
              </w:rPr>
              <w:t>4,2%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932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19%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6%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327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3,2%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693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20%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13%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1.235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4,3%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1.320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32%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21%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823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4,5%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823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33%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26%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760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2,7%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1.250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28%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33%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607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3,0%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1.896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29%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24%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319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2,6%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1.161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28%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25%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546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3,0%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777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38%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33%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603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4,8%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1.649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47%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33%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573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6,6%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2.045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48%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38%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304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2,5%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945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33%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23%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Prov. Aut. Bolzano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1.334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6,1%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697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47%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33%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Prov. Aut. Trento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549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5,6%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426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30%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36%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821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3,9%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653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35%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29%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812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1,2%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725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15%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12%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588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2,3%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727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21%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16%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409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4,1%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1.914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16%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28%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978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4,9%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756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56%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56%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109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9C"/>
            <w:noWrap/>
            <w:vAlign w:val="center"/>
            <w:hideMark/>
          </w:tcPr>
          <w:p w:rsidR="007A3A69" w:rsidRPr="00FE7F34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it-IT"/>
              </w:rPr>
            </w:pPr>
            <w:r w:rsidRPr="00FE7F34">
              <w:rPr>
                <w:rFonts w:ascii="Calibri" w:eastAsia="Times New Roman" w:hAnsi="Calibri" w:cs="Calibri"/>
                <w:color w:val="9C6500"/>
                <w:lang w:eastAsia="it-IT"/>
              </w:rPr>
              <w:t>0,8%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625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3%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0%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E400E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457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9C0006"/>
                <w:lang w:eastAsia="it-IT"/>
              </w:rPr>
              <w:t>1,6%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color w:val="006100"/>
                <w:lang w:eastAsia="it-IT"/>
              </w:rPr>
              <w:t>395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13%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11%</w:t>
            </w:r>
          </w:p>
        </w:tc>
      </w:tr>
      <w:tr w:rsidR="007A3A69" w:rsidRPr="005E400E" w:rsidTr="007A3A69">
        <w:trPr>
          <w:trHeight w:val="32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457D"/>
            <w:noWrap/>
            <w:vAlign w:val="center"/>
            <w:hideMark/>
          </w:tcPr>
          <w:p w:rsidR="007A3A69" w:rsidRPr="005E400E" w:rsidRDefault="007A3A69" w:rsidP="007A3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ITALIA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650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3,3%</w:t>
            </w:r>
          </w:p>
        </w:tc>
        <w:tc>
          <w:tcPr>
            <w:tcW w:w="7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7A3A69" w:rsidRPr="00DC769F" w:rsidRDefault="007A3A69" w:rsidP="007A3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</w:pPr>
            <w:r w:rsidRPr="00DC769F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1.062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29%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7A3A69" w:rsidRDefault="007A3A69" w:rsidP="007A3A6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24%</w:t>
            </w:r>
          </w:p>
        </w:tc>
      </w:tr>
      <w:tr w:rsidR="00DC769F" w:rsidRPr="00F240C0" w:rsidTr="00DC769F">
        <w:tblPrEx>
          <w:tblBorders>
            <w:top w:val="single" w:sz="8" w:space="0" w:color="00457D"/>
            <w:left w:val="single" w:sz="8" w:space="0" w:color="00457D"/>
            <w:bottom w:val="single" w:sz="8" w:space="0" w:color="00457D"/>
            <w:right w:val="single" w:sz="8" w:space="0" w:color="00457D"/>
            <w:insideH w:val="single" w:sz="8" w:space="0" w:color="00457D"/>
            <w:insideV w:val="single" w:sz="8" w:space="0" w:color="00457D"/>
          </w:tblBorders>
        </w:tblPrEx>
        <w:trPr>
          <w:trHeight w:val="624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DC769F" w:rsidRDefault="00DC769F" w:rsidP="00DA3A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</w:rPr>
            </w:pP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 xml:space="preserve">Nota: nelle prime 4 colonne rosso e verde indicano rispettivamente una performance regionale in peggioramento, o in miglioramento, rispetto alla settimana precedente; </w:t>
            </w:r>
          </w:p>
          <w:p w:rsidR="00DC769F" w:rsidRPr="00F240C0" w:rsidRDefault="00DC769F" w:rsidP="00DA3A09">
            <w:pPr>
              <w:spacing w:after="0" w:line="240" w:lineRule="auto"/>
              <w:rPr>
                <w:rFonts w:ascii="Calibri" w:eastAsia="Times New Roman" w:hAnsi="Calibri" w:cs="Calibri"/>
                <w:b/>
                <w:color w:val="9C000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i</w:t>
            </w:r>
            <w:r w:rsidRPr="00B934D9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l giallo indica una performance regionale invariata rispetto alla settimana precedente.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br/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N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elle ultime 2 colonne rosso e verde indicano il superamento, o meno, della soglia di saturazione del 40% per l’area medica e del 30% per le terapie intensive (dati Agenas).</w:t>
            </w:r>
          </w:p>
        </w:tc>
      </w:tr>
    </w:tbl>
    <w:p w:rsidR="00E92B03" w:rsidRPr="00E51205" w:rsidRDefault="00E92B03" w:rsidP="007623CD">
      <w:pPr>
        <w:spacing w:after="0" w:line="240" w:lineRule="auto"/>
        <w:rPr>
          <w:b/>
          <w:sz w:val="4"/>
          <w:szCs w:val="10"/>
        </w:rPr>
      </w:pPr>
      <w:r w:rsidRPr="00E51205">
        <w:rPr>
          <w:b/>
          <w:sz w:val="4"/>
          <w:szCs w:val="10"/>
        </w:rPr>
        <w:br w:type="page"/>
      </w:r>
    </w:p>
    <w:p w:rsidR="007919D2" w:rsidRPr="00E51205" w:rsidRDefault="007919D2" w:rsidP="007623CD">
      <w:pPr>
        <w:spacing w:after="0" w:line="240" w:lineRule="auto"/>
        <w:rPr>
          <w:b/>
          <w:sz w:val="4"/>
          <w:szCs w:val="10"/>
        </w:rPr>
        <w:sectPr w:rsidR="007919D2" w:rsidRPr="00E51205" w:rsidSect="001A0514">
          <w:footnotePr>
            <w:numFmt w:val="chicago"/>
          </w:footnotePr>
          <w:pgSz w:w="16838" w:h="11906" w:orient="landscape"/>
          <w:pgMar w:top="1134" w:right="709" w:bottom="1134" w:left="992" w:header="709" w:footer="833" w:gutter="0"/>
          <w:cols w:space="708"/>
          <w:docGrid w:linePitch="360"/>
        </w:sectPr>
      </w:pPr>
    </w:p>
    <w:p w:rsidR="0018467E" w:rsidRPr="0018467E" w:rsidRDefault="007C0280" w:rsidP="00E51205">
      <w:pPr>
        <w:spacing w:after="100" w:line="240" w:lineRule="auto"/>
        <w:jc w:val="center"/>
        <w:rPr>
          <w:b/>
          <w:color w:val="00457D"/>
          <w:spacing w:val="-4"/>
          <w:sz w:val="24"/>
        </w:rPr>
      </w:pPr>
      <w:r w:rsidRPr="006868F5">
        <w:rPr>
          <w:b/>
          <w:color w:val="00457D"/>
          <w:spacing w:val="-4"/>
          <w:sz w:val="24"/>
        </w:rPr>
        <w:lastRenderedPageBreak/>
        <w:t>Tabella 2</w:t>
      </w:r>
      <w:r w:rsidR="00315C07" w:rsidRPr="006868F5">
        <w:rPr>
          <w:b/>
          <w:color w:val="00457D"/>
          <w:spacing w:val="-4"/>
          <w:sz w:val="24"/>
        </w:rPr>
        <w:t xml:space="preserve">. </w:t>
      </w:r>
      <w:r w:rsidR="00FB7BF6" w:rsidRPr="006868F5">
        <w:rPr>
          <w:b/>
          <w:color w:val="00457D"/>
          <w:spacing w:val="-4"/>
          <w:sz w:val="24"/>
        </w:rPr>
        <w:t xml:space="preserve">Province </w:t>
      </w:r>
      <w:r w:rsidR="00DC769F" w:rsidRPr="006868F5">
        <w:rPr>
          <w:b/>
          <w:color w:val="00457D"/>
          <w:spacing w:val="-4"/>
          <w:sz w:val="24"/>
        </w:rPr>
        <w:t>con incremento percentuale dei nuovi c</w:t>
      </w:r>
      <w:r w:rsidR="00FB7BF6" w:rsidRPr="006868F5">
        <w:rPr>
          <w:b/>
          <w:color w:val="00457D"/>
          <w:spacing w:val="-4"/>
          <w:sz w:val="24"/>
        </w:rPr>
        <w:t>asi &gt;</w:t>
      </w:r>
      <w:r w:rsidR="00DC769F" w:rsidRPr="006868F5">
        <w:rPr>
          <w:b/>
          <w:color w:val="00457D"/>
          <w:spacing w:val="-4"/>
          <w:sz w:val="24"/>
        </w:rPr>
        <w:t>20% nella settimana 17-23</w:t>
      </w:r>
      <w:r w:rsidR="00FB7BF6" w:rsidRPr="006868F5">
        <w:rPr>
          <w:b/>
          <w:color w:val="00457D"/>
          <w:spacing w:val="-4"/>
          <w:sz w:val="24"/>
        </w:rPr>
        <w:t xml:space="preserve"> febbraio</w:t>
      </w:r>
    </w:p>
    <w:tbl>
      <w:tblPr>
        <w:tblW w:w="5000" w:type="pct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2233"/>
        <w:gridCol w:w="1561"/>
        <w:gridCol w:w="1561"/>
        <w:gridCol w:w="1909"/>
      </w:tblGrid>
      <w:tr w:rsidR="00800D3C" w:rsidRPr="0009282F" w:rsidTr="00E51205">
        <w:trPr>
          <w:trHeight w:val="850"/>
        </w:trPr>
        <w:tc>
          <w:tcPr>
            <w:tcW w:w="1286" w:type="pct"/>
            <w:tcBorders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114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Provincia</w:t>
            </w:r>
          </w:p>
        </w:tc>
        <w:tc>
          <w:tcPr>
            <w:tcW w:w="79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Variazione % nuovi casi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  <w:t>10-16</w:t>
            </w:r>
            <w:r w:rsidRPr="0009282F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 feb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braio</w:t>
            </w:r>
          </w:p>
        </w:tc>
        <w:tc>
          <w:tcPr>
            <w:tcW w:w="79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Variazione % nuovi casi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</w:r>
            <w:r w:rsidRPr="0009282F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7</w:t>
            </w:r>
            <w:r w:rsidRPr="0009282F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-23 feb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braio</w:t>
            </w:r>
          </w:p>
        </w:tc>
        <w:tc>
          <w:tcPr>
            <w:tcW w:w="977" w:type="pct"/>
            <w:tcBorders>
              <w:left w:val="single" w:sz="4" w:space="0" w:color="FFFFFF" w:themeColor="background1"/>
            </w:tcBorders>
            <w:shd w:val="clear" w:color="000000" w:fill="00457D"/>
            <w:vAlign w:val="center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Incidenza per 100.000 abitanti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</w:r>
            <w:r w:rsidRPr="0009282F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7</w:t>
            </w:r>
            <w:r w:rsidRPr="0009282F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-23 feb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braio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Frosinone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2,2%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95,1%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243,14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Fermo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-51,7%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83,8%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118,79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Arezzo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-7,5%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83,1%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185,75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Enna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-1,9%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74,5%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55,57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Siena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20,7%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64,7%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246,63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Avellino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-27,9%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63,9%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109,41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Biella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-14,1%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63,6%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131,48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Reggio nell'Emilia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-15,9%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62,2%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220,16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Vercelli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-6,1%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60,9%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131,06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Prato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-0,6%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56,7%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209,67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Rieti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-32,6%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56,6%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125,25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Pistoia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0,5%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54,5%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292,43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-3,3%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54,4%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176,18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-12,0%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53,4%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155,30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Isernia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-1,7%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50,0%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104,63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15,9%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49,4%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382,48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Verbano-Cusio-Ossola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14,1%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45,5%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218,78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Como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-8,3%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45,5%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202,30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Teramo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-16,0%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43,6%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163,54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Grosseto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-6,7%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40,8%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80,11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Lucca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24,7%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38,1%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175,14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Cuneo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0,6%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37,8%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118,75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Vicenza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-20,2%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36,1%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111,54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Milano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13,5%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32,0%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139,74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16,8%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31,4%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219,09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11,4%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31,4%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350,41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Monza e della Brianza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19,7%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31,1%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160,88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3,2%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28,0%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117,46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-8,0%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27,4%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89,97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Bergamo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47,8%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26,3%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115,60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Cremona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26,0%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25,5%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128,40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Vibo Valentia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-0,6%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25,3%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140,90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Firenze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6,4%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25,0%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151,28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Potenza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-6,5%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23,1%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108,54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Belluno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41,9%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21,9%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127,17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P.A. Trento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Trento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2,0%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21,8%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315,72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Matera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45,9%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21,1%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144,21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8,4%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20,9%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114,79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31,5%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20,2%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328,97</w:t>
            </w:r>
          </w:p>
        </w:tc>
      </w:tr>
      <w:tr w:rsidR="00800D3C" w:rsidRPr="0009282F" w:rsidTr="00E51205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-2,9%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20,1%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109,67</w:t>
            </w:r>
          </w:p>
        </w:tc>
      </w:tr>
      <w:tr w:rsidR="00800D3C" w:rsidRPr="0009282F" w:rsidTr="00FD7E13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Livorno</w:t>
            </w:r>
          </w:p>
        </w:tc>
        <w:tc>
          <w:tcPr>
            <w:tcW w:w="798" w:type="pct"/>
            <w:shd w:val="clear" w:color="000000" w:fill="C6EF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6100"/>
                <w:lang w:eastAsia="it-IT"/>
              </w:rPr>
              <w:t>-9,3%</w:t>
            </w:r>
          </w:p>
        </w:tc>
        <w:tc>
          <w:tcPr>
            <w:tcW w:w="798" w:type="pct"/>
            <w:shd w:val="clear" w:color="000000" w:fill="FFC7CE"/>
            <w:noWrap/>
            <w:vAlign w:val="bottom"/>
            <w:hideMark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9C0006"/>
                <w:lang w:eastAsia="it-IT"/>
              </w:rPr>
              <w:t>20,1%</w:t>
            </w:r>
          </w:p>
        </w:tc>
        <w:tc>
          <w:tcPr>
            <w:tcW w:w="977" w:type="pct"/>
            <w:shd w:val="clear" w:color="auto" w:fill="auto"/>
            <w:vAlign w:val="bottom"/>
          </w:tcPr>
          <w:p w:rsidR="00800D3C" w:rsidRPr="0009282F" w:rsidRDefault="00800D3C" w:rsidP="0080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09282F">
              <w:rPr>
                <w:rFonts w:ascii="Calibri" w:eastAsia="Times New Roman" w:hAnsi="Calibri" w:cs="Calibri"/>
                <w:color w:val="000000"/>
                <w:lang w:eastAsia="it-IT"/>
              </w:rPr>
              <w:t>129,87</w:t>
            </w:r>
          </w:p>
        </w:tc>
      </w:tr>
    </w:tbl>
    <w:p w:rsidR="0018467E" w:rsidRPr="00E51205" w:rsidRDefault="0018467E" w:rsidP="00E51205">
      <w:pPr>
        <w:spacing w:after="0" w:line="240" w:lineRule="auto"/>
        <w:rPr>
          <w:sz w:val="10"/>
          <w:szCs w:val="10"/>
        </w:rPr>
      </w:pPr>
    </w:p>
    <w:sectPr w:rsidR="0018467E" w:rsidRPr="00E51205" w:rsidSect="0096163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69" w:rsidRDefault="00646E69">
      <w:pPr>
        <w:spacing w:after="0" w:line="240" w:lineRule="auto"/>
      </w:pPr>
      <w:r>
        <w:separator/>
      </w:r>
    </w:p>
  </w:endnote>
  <w:endnote w:type="continuationSeparator" w:id="0">
    <w:p w:rsidR="00646E69" w:rsidRDefault="0064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69" w:rsidRDefault="00646E69">
      <w:pPr>
        <w:spacing w:after="0" w:line="240" w:lineRule="auto"/>
      </w:pPr>
      <w:r>
        <w:separator/>
      </w:r>
    </w:p>
  </w:footnote>
  <w:footnote w:type="continuationSeparator" w:id="0">
    <w:p w:rsidR="00646E69" w:rsidRDefault="0064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13F"/>
    <w:multiLevelType w:val="hybridMultilevel"/>
    <w:tmpl w:val="6FBA9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11F2"/>
    <w:multiLevelType w:val="hybridMultilevel"/>
    <w:tmpl w:val="36A6CC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D28AB"/>
    <w:multiLevelType w:val="hybridMultilevel"/>
    <w:tmpl w:val="CDD4D6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13AB3"/>
    <w:multiLevelType w:val="hybridMultilevel"/>
    <w:tmpl w:val="16E0E5BE"/>
    <w:lvl w:ilvl="0" w:tplc="BA0E2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F45FF"/>
    <w:multiLevelType w:val="hybridMultilevel"/>
    <w:tmpl w:val="6F84A354"/>
    <w:lvl w:ilvl="0" w:tplc="3A3EC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3F44"/>
    <w:multiLevelType w:val="hybridMultilevel"/>
    <w:tmpl w:val="9D9C0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1119EF"/>
    <w:multiLevelType w:val="hybridMultilevel"/>
    <w:tmpl w:val="580C5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D23CF"/>
    <w:multiLevelType w:val="hybridMultilevel"/>
    <w:tmpl w:val="EFDC4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5987"/>
    <w:multiLevelType w:val="hybridMultilevel"/>
    <w:tmpl w:val="D79637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C0E7D"/>
    <w:multiLevelType w:val="hybridMultilevel"/>
    <w:tmpl w:val="F5C08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84CFA"/>
    <w:multiLevelType w:val="hybridMultilevel"/>
    <w:tmpl w:val="A85683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7BDE"/>
    <w:multiLevelType w:val="hybridMultilevel"/>
    <w:tmpl w:val="9C54C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D4DC0"/>
    <w:multiLevelType w:val="multilevel"/>
    <w:tmpl w:val="F08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C01F8F"/>
    <w:multiLevelType w:val="hybridMultilevel"/>
    <w:tmpl w:val="AC084D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6F346F"/>
    <w:multiLevelType w:val="hybridMultilevel"/>
    <w:tmpl w:val="FFB6875A"/>
    <w:lvl w:ilvl="0" w:tplc="C242D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13898"/>
    <w:multiLevelType w:val="hybridMultilevel"/>
    <w:tmpl w:val="8E00214E"/>
    <w:lvl w:ilvl="0" w:tplc="A6EEA2B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B7EAA"/>
    <w:multiLevelType w:val="hybridMultilevel"/>
    <w:tmpl w:val="3DC2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715"/>
    <w:multiLevelType w:val="hybridMultilevel"/>
    <w:tmpl w:val="51B04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8"/>
  </w:num>
  <w:num w:numId="6">
    <w:abstractNumId w:val="9"/>
  </w:num>
  <w:num w:numId="7">
    <w:abstractNumId w:val="0"/>
  </w:num>
  <w:num w:numId="8">
    <w:abstractNumId w:val="16"/>
  </w:num>
  <w:num w:numId="9">
    <w:abstractNumId w:val="6"/>
  </w:num>
  <w:num w:numId="10">
    <w:abstractNumId w:val="10"/>
  </w:num>
  <w:num w:numId="11">
    <w:abstractNumId w:val="5"/>
  </w:num>
  <w:num w:numId="12">
    <w:abstractNumId w:val="13"/>
  </w:num>
  <w:num w:numId="13">
    <w:abstractNumId w:val="17"/>
  </w:num>
  <w:num w:numId="14">
    <w:abstractNumId w:val="11"/>
  </w:num>
  <w:num w:numId="15">
    <w:abstractNumId w:val="7"/>
  </w:num>
  <w:num w:numId="16">
    <w:abstractNumId w:val="12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F4"/>
    <w:rsid w:val="00002087"/>
    <w:rsid w:val="0000219C"/>
    <w:rsid w:val="0000329A"/>
    <w:rsid w:val="0000481E"/>
    <w:rsid w:val="0000756B"/>
    <w:rsid w:val="00010725"/>
    <w:rsid w:val="00014416"/>
    <w:rsid w:val="000149BF"/>
    <w:rsid w:val="00014DD9"/>
    <w:rsid w:val="00015381"/>
    <w:rsid w:val="00015FA4"/>
    <w:rsid w:val="00016A93"/>
    <w:rsid w:val="000215A2"/>
    <w:rsid w:val="0002277E"/>
    <w:rsid w:val="000244BD"/>
    <w:rsid w:val="000265B1"/>
    <w:rsid w:val="00027266"/>
    <w:rsid w:val="00030315"/>
    <w:rsid w:val="00030E3E"/>
    <w:rsid w:val="0003110F"/>
    <w:rsid w:val="00037345"/>
    <w:rsid w:val="0004012A"/>
    <w:rsid w:val="000414F2"/>
    <w:rsid w:val="00042777"/>
    <w:rsid w:val="00042F53"/>
    <w:rsid w:val="00044062"/>
    <w:rsid w:val="00044EEF"/>
    <w:rsid w:val="00050361"/>
    <w:rsid w:val="00051608"/>
    <w:rsid w:val="00056307"/>
    <w:rsid w:val="00062A06"/>
    <w:rsid w:val="000702BE"/>
    <w:rsid w:val="00074190"/>
    <w:rsid w:val="000751E0"/>
    <w:rsid w:val="00077F18"/>
    <w:rsid w:val="00080306"/>
    <w:rsid w:val="000847A3"/>
    <w:rsid w:val="00090386"/>
    <w:rsid w:val="0009326E"/>
    <w:rsid w:val="000936E0"/>
    <w:rsid w:val="000A3147"/>
    <w:rsid w:val="000A3435"/>
    <w:rsid w:val="000A3B30"/>
    <w:rsid w:val="000A3B5F"/>
    <w:rsid w:val="000A4599"/>
    <w:rsid w:val="000A6134"/>
    <w:rsid w:val="000B00A6"/>
    <w:rsid w:val="000B0D4B"/>
    <w:rsid w:val="000B0FF3"/>
    <w:rsid w:val="000B178F"/>
    <w:rsid w:val="000B1EE4"/>
    <w:rsid w:val="000B4627"/>
    <w:rsid w:val="000B5683"/>
    <w:rsid w:val="000C1E61"/>
    <w:rsid w:val="000C1F3E"/>
    <w:rsid w:val="000C2099"/>
    <w:rsid w:val="000C26B7"/>
    <w:rsid w:val="000C27FD"/>
    <w:rsid w:val="000C4771"/>
    <w:rsid w:val="000C646F"/>
    <w:rsid w:val="000C6FC9"/>
    <w:rsid w:val="000C7991"/>
    <w:rsid w:val="000D3317"/>
    <w:rsid w:val="000E29C4"/>
    <w:rsid w:val="000E3ED7"/>
    <w:rsid w:val="000E41E9"/>
    <w:rsid w:val="000E5BCB"/>
    <w:rsid w:val="000F0F04"/>
    <w:rsid w:val="000F27A9"/>
    <w:rsid w:val="000F6D92"/>
    <w:rsid w:val="000F76E4"/>
    <w:rsid w:val="001019D5"/>
    <w:rsid w:val="001023EE"/>
    <w:rsid w:val="00104433"/>
    <w:rsid w:val="00112674"/>
    <w:rsid w:val="00112B21"/>
    <w:rsid w:val="00115E64"/>
    <w:rsid w:val="0011670E"/>
    <w:rsid w:val="00121465"/>
    <w:rsid w:val="0012269C"/>
    <w:rsid w:val="0012563F"/>
    <w:rsid w:val="00125DF9"/>
    <w:rsid w:val="001264C0"/>
    <w:rsid w:val="001332F1"/>
    <w:rsid w:val="00136B5E"/>
    <w:rsid w:val="00143250"/>
    <w:rsid w:val="00146E5B"/>
    <w:rsid w:val="0015074D"/>
    <w:rsid w:val="00151830"/>
    <w:rsid w:val="00152CEF"/>
    <w:rsid w:val="001534EC"/>
    <w:rsid w:val="00157C36"/>
    <w:rsid w:val="00164885"/>
    <w:rsid w:val="0016690B"/>
    <w:rsid w:val="0017044E"/>
    <w:rsid w:val="00171513"/>
    <w:rsid w:val="001719D3"/>
    <w:rsid w:val="001719F9"/>
    <w:rsid w:val="00171BE9"/>
    <w:rsid w:val="00171F91"/>
    <w:rsid w:val="00172E8A"/>
    <w:rsid w:val="00182A0F"/>
    <w:rsid w:val="0018467E"/>
    <w:rsid w:val="0018536B"/>
    <w:rsid w:val="00185C94"/>
    <w:rsid w:val="001861AD"/>
    <w:rsid w:val="00186BD2"/>
    <w:rsid w:val="00190DBF"/>
    <w:rsid w:val="00191C3B"/>
    <w:rsid w:val="0019296A"/>
    <w:rsid w:val="001A0514"/>
    <w:rsid w:val="001A0EAB"/>
    <w:rsid w:val="001A54DB"/>
    <w:rsid w:val="001A6875"/>
    <w:rsid w:val="001B05A8"/>
    <w:rsid w:val="001B114E"/>
    <w:rsid w:val="001B3B86"/>
    <w:rsid w:val="001B724F"/>
    <w:rsid w:val="001C22D9"/>
    <w:rsid w:val="001C4EB4"/>
    <w:rsid w:val="001C7BDC"/>
    <w:rsid w:val="001D0F3D"/>
    <w:rsid w:val="001D1CBC"/>
    <w:rsid w:val="001D225C"/>
    <w:rsid w:val="001D32D2"/>
    <w:rsid w:val="001D5CA7"/>
    <w:rsid w:val="001D7EEB"/>
    <w:rsid w:val="001E053F"/>
    <w:rsid w:val="001E1552"/>
    <w:rsid w:val="001E1E0B"/>
    <w:rsid w:val="001E2B2E"/>
    <w:rsid w:val="001E2FDD"/>
    <w:rsid w:val="001E3154"/>
    <w:rsid w:val="001E5B81"/>
    <w:rsid w:val="001F0B30"/>
    <w:rsid w:val="001F0EED"/>
    <w:rsid w:val="001F1EA0"/>
    <w:rsid w:val="001F44B5"/>
    <w:rsid w:val="001F583F"/>
    <w:rsid w:val="001F5B4B"/>
    <w:rsid w:val="0020023F"/>
    <w:rsid w:val="00202C99"/>
    <w:rsid w:val="00204374"/>
    <w:rsid w:val="00207C8C"/>
    <w:rsid w:val="002107F1"/>
    <w:rsid w:val="0021161E"/>
    <w:rsid w:val="002123FE"/>
    <w:rsid w:val="00213C28"/>
    <w:rsid w:val="00217C04"/>
    <w:rsid w:val="00222503"/>
    <w:rsid w:val="0022493F"/>
    <w:rsid w:val="00225D6F"/>
    <w:rsid w:val="002274EF"/>
    <w:rsid w:val="00227FF4"/>
    <w:rsid w:val="002336AE"/>
    <w:rsid w:val="002337E8"/>
    <w:rsid w:val="002377AB"/>
    <w:rsid w:val="002405B2"/>
    <w:rsid w:val="00244408"/>
    <w:rsid w:val="00244ADB"/>
    <w:rsid w:val="0024541B"/>
    <w:rsid w:val="00246D6A"/>
    <w:rsid w:val="00246F91"/>
    <w:rsid w:val="002479F5"/>
    <w:rsid w:val="00250514"/>
    <w:rsid w:val="00252C1E"/>
    <w:rsid w:val="0025377F"/>
    <w:rsid w:val="00256270"/>
    <w:rsid w:val="002720C2"/>
    <w:rsid w:val="00277F11"/>
    <w:rsid w:val="002806D4"/>
    <w:rsid w:val="0028108C"/>
    <w:rsid w:val="0028299B"/>
    <w:rsid w:val="00282B9A"/>
    <w:rsid w:val="00284459"/>
    <w:rsid w:val="002902AF"/>
    <w:rsid w:val="00291B4A"/>
    <w:rsid w:val="0029239B"/>
    <w:rsid w:val="0029362B"/>
    <w:rsid w:val="00297818"/>
    <w:rsid w:val="002A05A1"/>
    <w:rsid w:val="002A0983"/>
    <w:rsid w:val="002A1295"/>
    <w:rsid w:val="002A64A7"/>
    <w:rsid w:val="002A6E9D"/>
    <w:rsid w:val="002A7736"/>
    <w:rsid w:val="002B1493"/>
    <w:rsid w:val="002B26D7"/>
    <w:rsid w:val="002B3E89"/>
    <w:rsid w:val="002B4579"/>
    <w:rsid w:val="002B461E"/>
    <w:rsid w:val="002B491F"/>
    <w:rsid w:val="002B4D30"/>
    <w:rsid w:val="002B6906"/>
    <w:rsid w:val="002B6BDD"/>
    <w:rsid w:val="002B6F24"/>
    <w:rsid w:val="002C3478"/>
    <w:rsid w:val="002C435F"/>
    <w:rsid w:val="002C43EA"/>
    <w:rsid w:val="002C4EC3"/>
    <w:rsid w:val="002C55AE"/>
    <w:rsid w:val="002D0E17"/>
    <w:rsid w:val="002D13C3"/>
    <w:rsid w:val="002D16D8"/>
    <w:rsid w:val="002D208F"/>
    <w:rsid w:val="002D3E5C"/>
    <w:rsid w:val="002D477A"/>
    <w:rsid w:val="002D79E7"/>
    <w:rsid w:val="002E101F"/>
    <w:rsid w:val="002E4784"/>
    <w:rsid w:val="002E4E66"/>
    <w:rsid w:val="002E4F15"/>
    <w:rsid w:val="002E63C4"/>
    <w:rsid w:val="002E66BD"/>
    <w:rsid w:val="002E7EA4"/>
    <w:rsid w:val="002F1115"/>
    <w:rsid w:val="002F2004"/>
    <w:rsid w:val="002F2889"/>
    <w:rsid w:val="002F4912"/>
    <w:rsid w:val="002F59ED"/>
    <w:rsid w:val="002F68CB"/>
    <w:rsid w:val="003026F8"/>
    <w:rsid w:val="00302764"/>
    <w:rsid w:val="00302C76"/>
    <w:rsid w:val="00305CBE"/>
    <w:rsid w:val="00312D4A"/>
    <w:rsid w:val="00315C07"/>
    <w:rsid w:val="00317E2A"/>
    <w:rsid w:val="00320D88"/>
    <w:rsid w:val="00322977"/>
    <w:rsid w:val="00322C4E"/>
    <w:rsid w:val="00324D4D"/>
    <w:rsid w:val="00325E11"/>
    <w:rsid w:val="00326B4D"/>
    <w:rsid w:val="0033163F"/>
    <w:rsid w:val="00332B22"/>
    <w:rsid w:val="00333001"/>
    <w:rsid w:val="00333902"/>
    <w:rsid w:val="00345891"/>
    <w:rsid w:val="003460F8"/>
    <w:rsid w:val="003479DA"/>
    <w:rsid w:val="003526D2"/>
    <w:rsid w:val="003614DE"/>
    <w:rsid w:val="003616D7"/>
    <w:rsid w:val="00363717"/>
    <w:rsid w:val="003658BF"/>
    <w:rsid w:val="00365B9F"/>
    <w:rsid w:val="0037110D"/>
    <w:rsid w:val="00372037"/>
    <w:rsid w:val="00372416"/>
    <w:rsid w:val="0037525D"/>
    <w:rsid w:val="00376F7D"/>
    <w:rsid w:val="00377C28"/>
    <w:rsid w:val="00380880"/>
    <w:rsid w:val="00380E8F"/>
    <w:rsid w:val="0038317C"/>
    <w:rsid w:val="00383627"/>
    <w:rsid w:val="00383854"/>
    <w:rsid w:val="00384F5E"/>
    <w:rsid w:val="003850E9"/>
    <w:rsid w:val="00391963"/>
    <w:rsid w:val="00393475"/>
    <w:rsid w:val="00394A3D"/>
    <w:rsid w:val="0039571D"/>
    <w:rsid w:val="00395926"/>
    <w:rsid w:val="00395C32"/>
    <w:rsid w:val="00396280"/>
    <w:rsid w:val="003A1196"/>
    <w:rsid w:val="003A1EC2"/>
    <w:rsid w:val="003A227C"/>
    <w:rsid w:val="003A22CB"/>
    <w:rsid w:val="003A6723"/>
    <w:rsid w:val="003A67B3"/>
    <w:rsid w:val="003A7C0B"/>
    <w:rsid w:val="003B2DD0"/>
    <w:rsid w:val="003B3025"/>
    <w:rsid w:val="003B3399"/>
    <w:rsid w:val="003C022C"/>
    <w:rsid w:val="003C3FCF"/>
    <w:rsid w:val="003C6A9C"/>
    <w:rsid w:val="003C7E31"/>
    <w:rsid w:val="003D00E4"/>
    <w:rsid w:val="003D28BD"/>
    <w:rsid w:val="003D5FD9"/>
    <w:rsid w:val="003D6D1E"/>
    <w:rsid w:val="003E2FDF"/>
    <w:rsid w:val="003F2406"/>
    <w:rsid w:val="0040065C"/>
    <w:rsid w:val="004033F4"/>
    <w:rsid w:val="00403B01"/>
    <w:rsid w:val="00404F0C"/>
    <w:rsid w:val="0041287E"/>
    <w:rsid w:val="0041299C"/>
    <w:rsid w:val="0041465A"/>
    <w:rsid w:val="00414C67"/>
    <w:rsid w:val="00417A4E"/>
    <w:rsid w:val="00421966"/>
    <w:rsid w:val="004225D1"/>
    <w:rsid w:val="00422F0E"/>
    <w:rsid w:val="004268AE"/>
    <w:rsid w:val="00433B01"/>
    <w:rsid w:val="00433F24"/>
    <w:rsid w:val="00434436"/>
    <w:rsid w:val="00434F8A"/>
    <w:rsid w:val="00435365"/>
    <w:rsid w:val="0044116C"/>
    <w:rsid w:val="0044406E"/>
    <w:rsid w:val="00444F16"/>
    <w:rsid w:val="0044519B"/>
    <w:rsid w:val="004465B8"/>
    <w:rsid w:val="00447160"/>
    <w:rsid w:val="004475DF"/>
    <w:rsid w:val="0045033A"/>
    <w:rsid w:val="004504DB"/>
    <w:rsid w:val="00451CFC"/>
    <w:rsid w:val="004548A4"/>
    <w:rsid w:val="004557A4"/>
    <w:rsid w:val="00455B33"/>
    <w:rsid w:val="00460BA5"/>
    <w:rsid w:val="00461566"/>
    <w:rsid w:val="004633A2"/>
    <w:rsid w:val="00464713"/>
    <w:rsid w:val="00464A4C"/>
    <w:rsid w:val="004671F7"/>
    <w:rsid w:val="00467211"/>
    <w:rsid w:val="004714E5"/>
    <w:rsid w:val="00473644"/>
    <w:rsid w:val="00473D7C"/>
    <w:rsid w:val="0047605F"/>
    <w:rsid w:val="0047675C"/>
    <w:rsid w:val="00481B3A"/>
    <w:rsid w:val="004852ED"/>
    <w:rsid w:val="004877CE"/>
    <w:rsid w:val="00490150"/>
    <w:rsid w:val="00492777"/>
    <w:rsid w:val="00494474"/>
    <w:rsid w:val="0049641D"/>
    <w:rsid w:val="004974B5"/>
    <w:rsid w:val="004977C2"/>
    <w:rsid w:val="004A097F"/>
    <w:rsid w:val="004A0EAB"/>
    <w:rsid w:val="004A25EE"/>
    <w:rsid w:val="004A4A67"/>
    <w:rsid w:val="004B0F5C"/>
    <w:rsid w:val="004B25B3"/>
    <w:rsid w:val="004B2760"/>
    <w:rsid w:val="004B51A2"/>
    <w:rsid w:val="004B5575"/>
    <w:rsid w:val="004B6C4E"/>
    <w:rsid w:val="004B794E"/>
    <w:rsid w:val="004C14FC"/>
    <w:rsid w:val="004C17D9"/>
    <w:rsid w:val="004C2A48"/>
    <w:rsid w:val="004C33D3"/>
    <w:rsid w:val="004C374A"/>
    <w:rsid w:val="004C4E94"/>
    <w:rsid w:val="004D45D4"/>
    <w:rsid w:val="004D5541"/>
    <w:rsid w:val="004D5F43"/>
    <w:rsid w:val="004E1DF3"/>
    <w:rsid w:val="004E2D62"/>
    <w:rsid w:val="004E3B9A"/>
    <w:rsid w:val="004E494D"/>
    <w:rsid w:val="004E6116"/>
    <w:rsid w:val="004F08CA"/>
    <w:rsid w:val="004F34CC"/>
    <w:rsid w:val="004F4B00"/>
    <w:rsid w:val="004F6026"/>
    <w:rsid w:val="004F651C"/>
    <w:rsid w:val="00501BAB"/>
    <w:rsid w:val="00502656"/>
    <w:rsid w:val="00502A36"/>
    <w:rsid w:val="00503A30"/>
    <w:rsid w:val="00510B45"/>
    <w:rsid w:val="00512389"/>
    <w:rsid w:val="00514010"/>
    <w:rsid w:val="005171B5"/>
    <w:rsid w:val="00520B96"/>
    <w:rsid w:val="00522A69"/>
    <w:rsid w:val="00530D1B"/>
    <w:rsid w:val="0053593D"/>
    <w:rsid w:val="00535C52"/>
    <w:rsid w:val="005419F5"/>
    <w:rsid w:val="00541B2E"/>
    <w:rsid w:val="00542950"/>
    <w:rsid w:val="00544E3F"/>
    <w:rsid w:val="00545801"/>
    <w:rsid w:val="00546DBB"/>
    <w:rsid w:val="005475BC"/>
    <w:rsid w:val="00551058"/>
    <w:rsid w:val="0055213D"/>
    <w:rsid w:val="00553D46"/>
    <w:rsid w:val="0055490E"/>
    <w:rsid w:val="005561C3"/>
    <w:rsid w:val="005606E0"/>
    <w:rsid w:val="00560894"/>
    <w:rsid w:val="00563E25"/>
    <w:rsid w:val="00563F37"/>
    <w:rsid w:val="0056772D"/>
    <w:rsid w:val="00576D1E"/>
    <w:rsid w:val="00576FD6"/>
    <w:rsid w:val="005826AA"/>
    <w:rsid w:val="00584859"/>
    <w:rsid w:val="00585010"/>
    <w:rsid w:val="00587789"/>
    <w:rsid w:val="00587992"/>
    <w:rsid w:val="005924B8"/>
    <w:rsid w:val="005960FD"/>
    <w:rsid w:val="005969D5"/>
    <w:rsid w:val="005A0B2B"/>
    <w:rsid w:val="005A1D1C"/>
    <w:rsid w:val="005A590D"/>
    <w:rsid w:val="005A6508"/>
    <w:rsid w:val="005B3931"/>
    <w:rsid w:val="005B4B6D"/>
    <w:rsid w:val="005B7A59"/>
    <w:rsid w:val="005C0B33"/>
    <w:rsid w:val="005C0BA8"/>
    <w:rsid w:val="005C15C2"/>
    <w:rsid w:val="005C3A01"/>
    <w:rsid w:val="005C3ED7"/>
    <w:rsid w:val="005C4301"/>
    <w:rsid w:val="005C745E"/>
    <w:rsid w:val="005C7641"/>
    <w:rsid w:val="005C7C7D"/>
    <w:rsid w:val="005D2DA6"/>
    <w:rsid w:val="005D37C7"/>
    <w:rsid w:val="005D5D64"/>
    <w:rsid w:val="005D7ACF"/>
    <w:rsid w:val="005E0ECA"/>
    <w:rsid w:val="005E3640"/>
    <w:rsid w:val="005E400E"/>
    <w:rsid w:val="005E63FE"/>
    <w:rsid w:val="005F039B"/>
    <w:rsid w:val="005F21F2"/>
    <w:rsid w:val="00600306"/>
    <w:rsid w:val="0060580B"/>
    <w:rsid w:val="0061156D"/>
    <w:rsid w:val="00614B6A"/>
    <w:rsid w:val="006175B2"/>
    <w:rsid w:val="006175C3"/>
    <w:rsid w:val="006222F6"/>
    <w:rsid w:val="006246B8"/>
    <w:rsid w:val="00624752"/>
    <w:rsid w:val="006272E8"/>
    <w:rsid w:val="00631FFD"/>
    <w:rsid w:val="00632E17"/>
    <w:rsid w:val="006346C9"/>
    <w:rsid w:val="00640AA2"/>
    <w:rsid w:val="006420E1"/>
    <w:rsid w:val="0064353A"/>
    <w:rsid w:val="00645B6C"/>
    <w:rsid w:val="00646E69"/>
    <w:rsid w:val="0065183A"/>
    <w:rsid w:val="0065201B"/>
    <w:rsid w:val="0065204D"/>
    <w:rsid w:val="00652384"/>
    <w:rsid w:val="006553CF"/>
    <w:rsid w:val="0065595A"/>
    <w:rsid w:val="00655E95"/>
    <w:rsid w:val="00656359"/>
    <w:rsid w:val="00660864"/>
    <w:rsid w:val="00661A34"/>
    <w:rsid w:val="00662090"/>
    <w:rsid w:val="00662B0B"/>
    <w:rsid w:val="00664B80"/>
    <w:rsid w:val="00665201"/>
    <w:rsid w:val="00667AFA"/>
    <w:rsid w:val="00671BDA"/>
    <w:rsid w:val="00673282"/>
    <w:rsid w:val="00676890"/>
    <w:rsid w:val="00676CA2"/>
    <w:rsid w:val="0067739A"/>
    <w:rsid w:val="006800DF"/>
    <w:rsid w:val="00680605"/>
    <w:rsid w:val="00683296"/>
    <w:rsid w:val="0068582D"/>
    <w:rsid w:val="006868F5"/>
    <w:rsid w:val="00691FD4"/>
    <w:rsid w:val="006A04DC"/>
    <w:rsid w:val="006A0C4B"/>
    <w:rsid w:val="006A42BE"/>
    <w:rsid w:val="006A48C8"/>
    <w:rsid w:val="006A4D37"/>
    <w:rsid w:val="006A7064"/>
    <w:rsid w:val="006B2EF2"/>
    <w:rsid w:val="006B499B"/>
    <w:rsid w:val="006B6251"/>
    <w:rsid w:val="006C208A"/>
    <w:rsid w:val="006C413A"/>
    <w:rsid w:val="006D09A9"/>
    <w:rsid w:val="006D138E"/>
    <w:rsid w:val="006D284B"/>
    <w:rsid w:val="006D37D5"/>
    <w:rsid w:val="006D641C"/>
    <w:rsid w:val="006D64ED"/>
    <w:rsid w:val="006D6999"/>
    <w:rsid w:val="006D69BF"/>
    <w:rsid w:val="006E30A8"/>
    <w:rsid w:val="006E3EE0"/>
    <w:rsid w:val="006E51B3"/>
    <w:rsid w:val="006E5825"/>
    <w:rsid w:val="006F03EA"/>
    <w:rsid w:val="006F17C1"/>
    <w:rsid w:val="006F2324"/>
    <w:rsid w:val="006F385D"/>
    <w:rsid w:val="006F43E4"/>
    <w:rsid w:val="006F6C3C"/>
    <w:rsid w:val="007000C2"/>
    <w:rsid w:val="00700F4A"/>
    <w:rsid w:val="0070462C"/>
    <w:rsid w:val="00706D0C"/>
    <w:rsid w:val="00707A47"/>
    <w:rsid w:val="007114CD"/>
    <w:rsid w:val="00714791"/>
    <w:rsid w:val="0071584F"/>
    <w:rsid w:val="00717E0A"/>
    <w:rsid w:val="00720648"/>
    <w:rsid w:val="00722B56"/>
    <w:rsid w:val="0072336F"/>
    <w:rsid w:val="007243CB"/>
    <w:rsid w:val="00724582"/>
    <w:rsid w:val="0072508E"/>
    <w:rsid w:val="00726A50"/>
    <w:rsid w:val="00726C66"/>
    <w:rsid w:val="007275BA"/>
    <w:rsid w:val="007328C0"/>
    <w:rsid w:val="00740AE2"/>
    <w:rsid w:val="0074108E"/>
    <w:rsid w:val="007410FC"/>
    <w:rsid w:val="00741440"/>
    <w:rsid w:val="00742994"/>
    <w:rsid w:val="00755FD2"/>
    <w:rsid w:val="007623CD"/>
    <w:rsid w:val="00762BD6"/>
    <w:rsid w:val="00763E2F"/>
    <w:rsid w:val="00764154"/>
    <w:rsid w:val="007657E7"/>
    <w:rsid w:val="0076690C"/>
    <w:rsid w:val="007669D6"/>
    <w:rsid w:val="00772119"/>
    <w:rsid w:val="00774CEB"/>
    <w:rsid w:val="00777EFD"/>
    <w:rsid w:val="007805E4"/>
    <w:rsid w:val="007810F4"/>
    <w:rsid w:val="0078235D"/>
    <w:rsid w:val="00791028"/>
    <w:rsid w:val="007919D2"/>
    <w:rsid w:val="007A0C8D"/>
    <w:rsid w:val="007A3A69"/>
    <w:rsid w:val="007A46FF"/>
    <w:rsid w:val="007B0F7C"/>
    <w:rsid w:val="007B2AFA"/>
    <w:rsid w:val="007B4631"/>
    <w:rsid w:val="007B5D05"/>
    <w:rsid w:val="007B7159"/>
    <w:rsid w:val="007B7C93"/>
    <w:rsid w:val="007C0034"/>
    <w:rsid w:val="007C0280"/>
    <w:rsid w:val="007C5E0A"/>
    <w:rsid w:val="007C6B20"/>
    <w:rsid w:val="007D1484"/>
    <w:rsid w:val="007D1821"/>
    <w:rsid w:val="007D4088"/>
    <w:rsid w:val="007D478D"/>
    <w:rsid w:val="007D5213"/>
    <w:rsid w:val="007D6C08"/>
    <w:rsid w:val="007D719B"/>
    <w:rsid w:val="007D7A65"/>
    <w:rsid w:val="007E2BC9"/>
    <w:rsid w:val="007E3126"/>
    <w:rsid w:val="007E3CDD"/>
    <w:rsid w:val="007E3E1D"/>
    <w:rsid w:val="007E44D5"/>
    <w:rsid w:val="007E778C"/>
    <w:rsid w:val="007F16E1"/>
    <w:rsid w:val="007F1BAF"/>
    <w:rsid w:val="007F323C"/>
    <w:rsid w:val="007F352C"/>
    <w:rsid w:val="007F356B"/>
    <w:rsid w:val="007F38A0"/>
    <w:rsid w:val="007F4250"/>
    <w:rsid w:val="007F5E48"/>
    <w:rsid w:val="007F7064"/>
    <w:rsid w:val="007F7694"/>
    <w:rsid w:val="007F7ECD"/>
    <w:rsid w:val="00800D3C"/>
    <w:rsid w:val="008010D0"/>
    <w:rsid w:val="00803B55"/>
    <w:rsid w:val="008049E8"/>
    <w:rsid w:val="008062DC"/>
    <w:rsid w:val="00810B31"/>
    <w:rsid w:val="00810D75"/>
    <w:rsid w:val="00812409"/>
    <w:rsid w:val="0081358E"/>
    <w:rsid w:val="00813AA9"/>
    <w:rsid w:val="00814607"/>
    <w:rsid w:val="008164C5"/>
    <w:rsid w:val="0081707B"/>
    <w:rsid w:val="008208C4"/>
    <w:rsid w:val="00820A63"/>
    <w:rsid w:val="00821778"/>
    <w:rsid w:val="00824053"/>
    <w:rsid w:val="008254C0"/>
    <w:rsid w:val="0082729C"/>
    <w:rsid w:val="00827B14"/>
    <w:rsid w:val="00834942"/>
    <w:rsid w:val="008363F9"/>
    <w:rsid w:val="00841125"/>
    <w:rsid w:val="0084235D"/>
    <w:rsid w:val="00842B0C"/>
    <w:rsid w:val="008449E6"/>
    <w:rsid w:val="008468ED"/>
    <w:rsid w:val="00846B3A"/>
    <w:rsid w:val="00851D72"/>
    <w:rsid w:val="0085279C"/>
    <w:rsid w:val="00855C4B"/>
    <w:rsid w:val="00856349"/>
    <w:rsid w:val="00856537"/>
    <w:rsid w:val="00856EB0"/>
    <w:rsid w:val="0085762E"/>
    <w:rsid w:val="00860E57"/>
    <w:rsid w:val="00861EDC"/>
    <w:rsid w:val="00863776"/>
    <w:rsid w:val="00864360"/>
    <w:rsid w:val="00865051"/>
    <w:rsid w:val="00880E0F"/>
    <w:rsid w:val="0088105A"/>
    <w:rsid w:val="0088304C"/>
    <w:rsid w:val="0088378C"/>
    <w:rsid w:val="008859D4"/>
    <w:rsid w:val="008868CF"/>
    <w:rsid w:val="00890C22"/>
    <w:rsid w:val="00891920"/>
    <w:rsid w:val="00891F25"/>
    <w:rsid w:val="008923F9"/>
    <w:rsid w:val="00895F6B"/>
    <w:rsid w:val="008962C0"/>
    <w:rsid w:val="0089679F"/>
    <w:rsid w:val="0089761A"/>
    <w:rsid w:val="008A0F94"/>
    <w:rsid w:val="008A49DB"/>
    <w:rsid w:val="008A7867"/>
    <w:rsid w:val="008A7D99"/>
    <w:rsid w:val="008B1E0C"/>
    <w:rsid w:val="008B2ADA"/>
    <w:rsid w:val="008B2BF2"/>
    <w:rsid w:val="008B65D5"/>
    <w:rsid w:val="008B6F3B"/>
    <w:rsid w:val="008B7559"/>
    <w:rsid w:val="008B777E"/>
    <w:rsid w:val="008C0895"/>
    <w:rsid w:val="008C18F8"/>
    <w:rsid w:val="008C268D"/>
    <w:rsid w:val="008C4B89"/>
    <w:rsid w:val="008D0F92"/>
    <w:rsid w:val="008D1428"/>
    <w:rsid w:val="008D2A81"/>
    <w:rsid w:val="008D40AD"/>
    <w:rsid w:val="008D7D40"/>
    <w:rsid w:val="008E5395"/>
    <w:rsid w:val="008E6D2D"/>
    <w:rsid w:val="008E7D1D"/>
    <w:rsid w:val="008F1086"/>
    <w:rsid w:val="008F1189"/>
    <w:rsid w:val="008F1E86"/>
    <w:rsid w:val="008F4ECB"/>
    <w:rsid w:val="008F7E11"/>
    <w:rsid w:val="00900787"/>
    <w:rsid w:val="00901CED"/>
    <w:rsid w:val="00902F18"/>
    <w:rsid w:val="00910D83"/>
    <w:rsid w:val="00912BE2"/>
    <w:rsid w:val="00914624"/>
    <w:rsid w:val="00914E7C"/>
    <w:rsid w:val="0091502A"/>
    <w:rsid w:val="00916D33"/>
    <w:rsid w:val="0091701B"/>
    <w:rsid w:val="009177D4"/>
    <w:rsid w:val="0091786E"/>
    <w:rsid w:val="00921CF0"/>
    <w:rsid w:val="00921EF3"/>
    <w:rsid w:val="00923BF6"/>
    <w:rsid w:val="00930490"/>
    <w:rsid w:val="00930A07"/>
    <w:rsid w:val="00930FAE"/>
    <w:rsid w:val="009322CA"/>
    <w:rsid w:val="00937AC4"/>
    <w:rsid w:val="00937CEC"/>
    <w:rsid w:val="00937F52"/>
    <w:rsid w:val="00937FEE"/>
    <w:rsid w:val="00943563"/>
    <w:rsid w:val="0094547C"/>
    <w:rsid w:val="009456F6"/>
    <w:rsid w:val="00947FE2"/>
    <w:rsid w:val="009505CA"/>
    <w:rsid w:val="00953132"/>
    <w:rsid w:val="009549DB"/>
    <w:rsid w:val="00956566"/>
    <w:rsid w:val="009607B9"/>
    <w:rsid w:val="00961639"/>
    <w:rsid w:val="00962DE6"/>
    <w:rsid w:val="009641E5"/>
    <w:rsid w:val="0096617D"/>
    <w:rsid w:val="00967303"/>
    <w:rsid w:val="00967586"/>
    <w:rsid w:val="00967599"/>
    <w:rsid w:val="00970677"/>
    <w:rsid w:val="00972DD8"/>
    <w:rsid w:val="00972F58"/>
    <w:rsid w:val="00973AD2"/>
    <w:rsid w:val="00975324"/>
    <w:rsid w:val="009757B8"/>
    <w:rsid w:val="0097722F"/>
    <w:rsid w:val="00982042"/>
    <w:rsid w:val="00984D23"/>
    <w:rsid w:val="00985EAC"/>
    <w:rsid w:val="00987FCD"/>
    <w:rsid w:val="00991147"/>
    <w:rsid w:val="00995EA7"/>
    <w:rsid w:val="0099708D"/>
    <w:rsid w:val="00997463"/>
    <w:rsid w:val="00997C35"/>
    <w:rsid w:val="009A1531"/>
    <w:rsid w:val="009A26D0"/>
    <w:rsid w:val="009A2CBE"/>
    <w:rsid w:val="009A4536"/>
    <w:rsid w:val="009A5FA4"/>
    <w:rsid w:val="009B04FA"/>
    <w:rsid w:val="009B5503"/>
    <w:rsid w:val="009C33AE"/>
    <w:rsid w:val="009C6060"/>
    <w:rsid w:val="009C7DD5"/>
    <w:rsid w:val="009D18C8"/>
    <w:rsid w:val="009D20E6"/>
    <w:rsid w:val="009D28B1"/>
    <w:rsid w:val="009D35F0"/>
    <w:rsid w:val="009D4C48"/>
    <w:rsid w:val="009D502B"/>
    <w:rsid w:val="009D6E34"/>
    <w:rsid w:val="009D6F7A"/>
    <w:rsid w:val="009E1F7B"/>
    <w:rsid w:val="009E2267"/>
    <w:rsid w:val="009E52ED"/>
    <w:rsid w:val="009F1173"/>
    <w:rsid w:val="009F46EE"/>
    <w:rsid w:val="009F6E41"/>
    <w:rsid w:val="009F741A"/>
    <w:rsid w:val="00A01924"/>
    <w:rsid w:val="00A01B3D"/>
    <w:rsid w:val="00A01DC5"/>
    <w:rsid w:val="00A0374B"/>
    <w:rsid w:val="00A04D71"/>
    <w:rsid w:val="00A05641"/>
    <w:rsid w:val="00A06B19"/>
    <w:rsid w:val="00A1093F"/>
    <w:rsid w:val="00A11BE1"/>
    <w:rsid w:val="00A14A01"/>
    <w:rsid w:val="00A20837"/>
    <w:rsid w:val="00A20B18"/>
    <w:rsid w:val="00A2359B"/>
    <w:rsid w:val="00A23FB4"/>
    <w:rsid w:val="00A24D2A"/>
    <w:rsid w:val="00A27B61"/>
    <w:rsid w:val="00A3023B"/>
    <w:rsid w:val="00A30388"/>
    <w:rsid w:val="00A34964"/>
    <w:rsid w:val="00A34AAC"/>
    <w:rsid w:val="00A41A3A"/>
    <w:rsid w:val="00A41F64"/>
    <w:rsid w:val="00A426F1"/>
    <w:rsid w:val="00A42E47"/>
    <w:rsid w:val="00A4621C"/>
    <w:rsid w:val="00A46397"/>
    <w:rsid w:val="00A47649"/>
    <w:rsid w:val="00A504EC"/>
    <w:rsid w:val="00A5376B"/>
    <w:rsid w:val="00A537B5"/>
    <w:rsid w:val="00A53D93"/>
    <w:rsid w:val="00A54D11"/>
    <w:rsid w:val="00A55F06"/>
    <w:rsid w:val="00A5768D"/>
    <w:rsid w:val="00A624FA"/>
    <w:rsid w:val="00A63877"/>
    <w:rsid w:val="00A63BF3"/>
    <w:rsid w:val="00A642ED"/>
    <w:rsid w:val="00A664F6"/>
    <w:rsid w:val="00A6659C"/>
    <w:rsid w:val="00A72A02"/>
    <w:rsid w:val="00A74534"/>
    <w:rsid w:val="00A752A8"/>
    <w:rsid w:val="00A77CA5"/>
    <w:rsid w:val="00A8355F"/>
    <w:rsid w:val="00A84C9C"/>
    <w:rsid w:val="00A86C0D"/>
    <w:rsid w:val="00A87EDC"/>
    <w:rsid w:val="00A943D5"/>
    <w:rsid w:val="00A961DF"/>
    <w:rsid w:val="00AA06EC"/>
    <w:rsid w:val="00AA0925"/>
    <w:rsid w:val="00AA0CD5"/>
    <w:rsid w:val="00AA42AF"/>
    <w:rsid w:val="00AA58B2"/>
    <w:rsid w:val="00AB2A21"/>
    <w:rsid w:val="00AB4771"/>
    <w:rsid w:val="00AB5F4A"/>
    <w:rsid w:val="00AB6578"/>
    <w:rsid w:val="00AB6ED5"/>
    <w:rsid w:val="00AB7C3C"/>
    <w:rsid w:val="00AB7F31"/>
    <w:rsid w:val="00AC16F6"/>
    <w:rsid w:val="00AC23F7"/>
    <w:rsid w:val="00AC3512"/>
    <w:rsid w:val="00AC4A7F"/>
    <w:rsid w:val="00AC4DAA"/>
    <w:rsid w:val="00AD0D60"/>
    <w:rsid w:val="00AD0D70"/>
    <w:rsid w:val="00AD3FE4"/>
    <w:rsid w:val="00AD7AF9"/>
    <w:rsid w:val="00AE1466"/>
    <w:rsid w:val="00AE2551"/>
    <w:rsid w:val="00AE2BFD"/>
    <w:rsid w:val="00AE57BD"/>
    <w:rsid w:val="00AE6F3F"/>
    <w:rsid w:val="00AF2E22"/>
    <w:rsid w:val="00AF36AE"/>
    <w:rsid w:val="00AF5E7F"/>
    <w:rsid w:val="00AF737C"/>
    <w:rsid w:val="00B00EB8"/>
    <w:rsid w:val="00B0266C"/>
    <w:rsid w:val="00B07900"/>
    <w:rsid w:val="00B07B64"/>
    <w:rsid w:val="00B1040A"/>
    <w:rsid w:val="00B104B9"/>
    <w:rsid w:val="00B130AB"/>
    <w:rsid w:val="00B17BF2"/>
    <w:rsid w:val="00B17ECA"/>
    <w:rsid w:val="00B306EF"/>
    <w:rsid w:val="00B30802"/>
    <w:rsid w:val="00B32191"/>
    <w:rsid w:val="00B322F1"/>
    <w:rsid w:val="00B33749"/>
    <w:rsid w:val="00B3587D"/>
    <w:rsid w:val="00B36E29"/>
    <w:rsid w:val="00B37F01"/>
    <w:rsid w:val="00B41BF2"/>
    <w:rsid w:val="00B42707"/>
    <w:rsid w:val="00B447D9"/>
    <w:rsid w:val="00B47E22"/>
    <w:rsid w:val="00B47F0C"/>
    <w:rsid w:val="00B50EE2"/>
    <w:rsid w:val="00B57E54"/>
    <w:rsid w:val="00B6049D"/>
    <w:rsid w:val="00B61B2B"/>
    <w:rsid w:val="00B622A2"/>
    <w:rsid w:val="00B62631"/>
    <w:rsid w:val="00B63331"/>
    <w:rsid w:val="00B638CD"/>
    <w:rsid w:val="00B66B9C"/>
    <w:rsid w:val="00B72729"/>
    <w:rsid w:val="00B72F58"/>
    <w:rsid w:val="00B73FB6"/>
    <w:rsid w:val="00B74374"/>
    <w:rsid w:val="00B75CC0"/>
    <w:rsid w:val="00B76C0E"/>
    <w:rsid w:val="00B85C7D"/>
    <w:rsid w:val="00B85F90"/>
    <w:rsid w:val="00B90999"/>
    <w:rsid w:val="00B910F1"/>
    <w:rsid w:val="00B919AE"/>
    <w:rsid w:val="00B93ECC"/>
    <w:rsid w:val="00B9420B"/>
    <w:rsid w:val="00B94ECD"/>
    <w:rsid w:val="00BA087E"/>
    <w:rsid w:val="00BA3057"/>
    <w:rsid w:val="00BA345A"/>
    <w:rsid w:val="00BA65F0"/>
    <w:rsid w:val="00BB03DA"/>
    <w:rsid w:val="00BB27C9"/>
    <w:rsid w:val="00BB4E0D"/>
    <w:rsid w:val="00BB5A09"/>
    <w:rsid w:val="00BB70C9"/>
    <w:rsid w:val="00BC1DF4"/>
    <w:rsid w:val="00BC2336"/>
    <w:rsid w:val="00BC2961"/>
    <w:rsid w:val="00BC5BE1"/>
    <w:rsid w:val="00BC5C13"/>
    <w:rsid w:val="00BC5C81"/>
    <w:rsid w:val="00BC640E"/>
    <w:rsid w:val="00BD020A"/>
    <w:rsid w:val="00BD085B"/>
    <w:rsid w:val="00BD0873"/>
    <w:rsid w:val="00BD30FF"/>
    <w:rsid w:val="00BD325C"/>
    <w:rsid w:val="00BD6107"/>
    <w:rsid w:val="00BE06AB"/>
    <w:rsid w:val="00BE372C"/>
    <w:rsid w:val="00BE473C"/>
    <w:rsid w:val="00BE672E"/>
    <w:rsid w:val="00BF06D4"/>
    <w:rsid w:val="00BF0F19"/>
    <w:rsid w:val="00BF6DF7"/>
    <w:rsid w:val="00C068EB"/>
    <w:rsid w:val="00C11B2E"/>
    <w:rsid w:val="00C12E35"/>
    <w:rsid w:val="00C21406"/>
    <w:rsid w:val="00C2348A"/>
    <w:rsid w:val="00C25015"/>
    <w:rsid w:val="00C25572"/>
    <w:rsid w:val="00C258FD"/>
    <w:rsid w:val="00C3224E"/>
    <w:rsid w:val="00C34BE2"/>
    <w:rsid w:val="00C353BD"/>
    <w:rsid w:val="00C3548D"/>
    <w:rsid w:val="00C36F95"/>
    <w:rsid w:val="00C37637"/>
    <w:rsid w:val="00C40648"/>
    <w:rsid w:val="00C40B1D"/>
    <w:rsid w:val="00C40B5B"/>
    <w:rsid w:val="00C426AB"/>
    <w:rsid w:val="00C44E61"/>
    <w:rsid w:val="00C4562E"/>
    <w:rsid w:val="00C45C0F"/>
    <w:rsid w:val="00C46733"/>
    <w:rsid w:val="00C51D73"/>
    <w:rsid w:val="00C54B34"/>
    <w:rsid w:val="00C55820"/>
    <w:rsid w:val="00C5668C"/>
    <w:rsid w:val="00C57176"/>
    <w:rsid w:val="00C60F41"/>
    <w:rsid w:val="00C638A0"/>
    <w:rsid w:val="00C65ED7"/>
    <w:rsid w:val="00C702FB"/>
    <w:rsid w:val="00C70B26"/>
    <w:rsid w:val="00C714E4"/>
    <w:rsid w:val="00C719A4"/>
    <w:rsid w:val="00C73FB5"/>
    <w:rsid w:val="00C74555"/>
    <w:rsid w:val="00C75DD0"/>
    <w:rsid w:val="00C7709B"/>
    <w:rsid w:val="00C836EE"/>
    <w:rsid w:val="00C83903"/>
    <w:rsid w:val="00C848E3"/>
    <w:rsid w:val="00C84DBD"/>
    <w:rsid w:val="00C902FA"/>
    <w:rsid w:val="00C92671"/>
    <w:rsid w:val="00C93D4C"/>
    <w:rsid w:val="00C9436D"/>
    <w:rsid w:val="00C96AC2"/>
    <w:rsid w:val="00CA111B"/>
    <w:rsid w:val="00CA49A2"/>
    <w:rsid w:val="00CB27DE"/>
    <w:rsid w:val="00CB3114"/>
    <w:rsid w:val="00CB4848"/>
    <w:rsid w:val="00CC1730"/>
    <w:rsid w:val="00CC237C"/>
    <w:rsid w:val="00CC4F46"/>
    <w:rsid w:val="00CC5620"/>
    <w:rsid w:val="00CC7F3C"/>
    <w:rsid w:val="00CE0EEB"/>
    <w:rsid w:val="00CE3AF1"/>
    <w:rsid w:val="00CF09B0"/>
    <w:rsid w:val="00CF25F1"/>
    <w:rsid w:val="00CF4C2E"/>
    <w:rsid w:val="00CF56E7"/>
    <w:rsid w:val="00CF572C"/>
    <w:rsid w:val="00CF5C65"/>
    <w:rsid w:val="00CF744D"/>
    <w:rsid w:val="00CF7D97"/>
    <w:rsid w:val="00D010B9"/>
    <w:rsid w:val="00D024D6"/>
    <w:rsid w:val="00D03ABB"/>
    <w:rsid w:val="00D03B3E"/>
    <w:rsid w:val="00D0444B"/>
    <w:rsid w:val="00D046E8"/>
    <w:rsid w:val="00D05630"/>
    <w:rsid w:val="00D05D1A"/>
    <w:rsid w:val="00D069DA"/>
    <w:rsid w:val="00D07D4C"/>
    <w:rsid w:val="00D1095E"/>
    <w:rsid w:val="00D113B9"/>
    <w:rsid w:val="00D11FE1"/>
    <w:rsid w:val="00D12520"/>
    <w:rsid w:val="00D13522"/>
    <w:rsid w:val="00D13DD9"/>
    <w:rsid w:val="00D153C5"/>
    <w:rsid w:val="00D200D1"/>
    <w:rsid w:val="00D2275A"/>
    <w:rsid w:val="00D22FF2"/>
    <w:rsid w:val="00D235F5"/>
    <w:rsid w:val="00D31C1D"/>
    <w:rsid w:val="00D32F0B"/>
    <w:rsid w:val="00D34EE3"/>
    <w:rsid w:val="00D4145C"/>
    <w:rsid w:val="00D43760"/>
    <w:rsid w:val="00D43DF2"/>
    <w:rsid w:val="00D4576B"/>
    <w:rsid w:val="00D47ACC"/>
    <w:rsid w:val="00D502A3"/>
    <w:rsid w:val="00D50606"/>
    <w:rsid w:val="00D50A8D"/>
    <w:rsid w:val="00D5113F"/>
    <w:rsid w:val="00D52BB6"/>
    <w:rsid w:val="00D544E7"/>
    <w:rsid w:val="00D558BD"/>
    <w:rsid w:val="00D61815"/>
    <w:rsid w:val="00D64061"/>
    <w:rsid w:val="00D65131"/>
    <w:rsid w:val="00D665DE"/>
    <w:rsid w:val="00D66A73"/>
    <w:rsid w:val="00D74C4B"/>
    <w:rsid w:val="00D75C76"/>
    <w:rsid w:val="00D82AF4"/>
    <w:rsid w:val="00D83A79"/>
    <w:rsid w:val="00D86DE6"/>
    <w:rsid w:val="00D901E0"/>
    <w:rsid w:val="00D9266D"/>
    <w:rsid w:val="00D9305A"/>
    <w:rsid w:val="00D9363E"/>
    <w:rsid w:val="00D94A71"/>
    <w:rsid w:val="00D9740E"/>
    <w:rsid w:val="00DA0FEC"/>
    <w:rsid w:val="00DA1148"/>
    <w:rsid w:val="00DA3A09"/>
    <w:rsid w:val="00DA5834"/>
    <w:rsid w:val="00DB0B67"/>
    <w:rsid w:val="00DB1C2A"/>
    <w:rsid w:val="00DB21D0"/>
    <w:rsid w:val="00DB35D1"/>
    <w:rsid w:val="00DC16E6"/>
    <w:rsid w:val="00DC2605"/>
    <w:rsid w:val="00DC667A"/>
    <w:rsid w:val="00DC769F"/>
    <w:rsid w:val="00DD10FA"/>
    <w:rsid w:val="00DD2BC5"/>
    <w:rsid w:val="00DD2C89"/>
    <w:rsid w:val="00DD2CA2"/>
    <w:rsid w:val="00DD475B"/>
    <w:rsid w:val="00DD4DA8"/>
    <w:rsid w:val="00DD70A4"/>
    <w:rsid w:val="00DD78E4"/>
    <w:rsid w:val="00DE03E4"/>
    <w:rsid w:val="00DE0778"/>
    <w:rsid w:val="00DE19CB"/>
    <w:rsid w:val="00DE1AC1"/>
    <w:rsid w:val="00DE28FA"/>
    <w:rsid w:val="00DE5203"/>
    <w:rsid w:val="00DE5F57"/>
    <w:rsid w:val="00DE605D"/>
    <w:rsid w:val="00DF03F8"/>
    <w:rsid w:val="00DF0817"/>
    <w:rsid w:val="00DF3835"/>
    <w:rsid w:val="00DF3889"/>
    <w:rsid w:val="00DF4FE3"/>
    <w:rsid w:val="00DF53EB"/>
    <w:rsid w:val="00DF638B"/>
    <w:rsid w:val="00E029E6"/>
    <w:rsid w:val="00E10CFF"/>
    <w:rsid w:val="00E12150"/>
    <w:rsid w:val="00E15711"/>
    <w:rsid w:val="00E15715"/>
    <w:rsid w:val="00E159E2"/>
    <w:rsid w:val="00E15F7A"/>
    <w:rsid w:val="00E17B9E"/>
    <w:rsid w:val="00E20F46"/>
    <w:rsid w:val="00E272EE"/>
    <w:rsid w:val="00E27586"/>
    <w:rsid w:val="00E31390"/>
    <w:rsid w:val="00E33C69"/>
    <w:rsid w:val="00E33E15"/>
    <w:rsid w:val="00E42262"/>
    <w:rsid w:val="00E428DA"/>
    <w:rsid w:val="00E4312E"/>
    <w:rsid w:val="00E43640"/>
    <w:rsid w:val="00E43CEF"/>
    <w:rsid w:val="00E44A15"/>
    <w:rsid w:val="00E459D8"/>
    <w:rsid w:val="00E45B36"/>
    <w:rsid w:val="00E50120"/>
    <w:rsid w:val="00E510C2"/>
    <w:rsid w:val="00E51205"/>
    <w:rsid w:val="00E5414B"/>
    <w:rsid w:val="00E54F6B"/>
    <w:rsid w:val="00E55508"/>
    <w:rsid w:val="00E56489"/>
    <w:rsid w:val="00E57F9E"/>
    <w:rsid w:val="00E63723"/>
    <w:rsid w:val="00E669F2"/>
    <w:rsid w:val="00E731D1"/>
    <w:rsid w:val="00E73B56"/>
    <w:rsid w:val="00E76775"/>
    <w:rsid w:val="00E805E4"/>
    <w:rsid w:val="00E80F5B"/>
    <w:rsid w:val="00E824EA"/>
    <w:rsid w:val="00E847F5"/>
    <w:rsid w:val="00E85F44"/>
    <w:rsid w:val="00E902FA"/>
    <w:rsid w:val="00E91FCC"/>
    <w:rsid w:val="00E92276"/>
    <w:rsid w:val="00E9245E"/>
    <w:rsid w:val="00E92A4C"/>
    <w:rsid w:val="00E92B03"/>
    <w:rsid w:val="00E9487B"/>
    <w:rsid w:val="00E968AB"/>
    <w:rsid w:val="00EA42E5"/>
    <w:rsid w:val="00EA4534"/>
    <w:rsid w:val="00EA72B7"/>
    <w:rsid w:val="00EB2F07"/>
    <w:rsid w:val="00EB2F44"/>
    <w:rsid w:val="00EB3EAD"/>
    <w:rsid w:val="00EB58FA"/>
    <w:rsid w:val="00EB71F0"/>
    <w:rsid w:val="00EB74BD"/>
    <w:rsid w:val="00EC3D9F"/>
    <w:rsid w:val="00EC5180"/>
    <w:rsid w:val="00EC5313"/>
    <w:rsid w:val="00EC7592"/>
    <w:rsid w:val="00EC7BA5"/>
    <w:rsid w:val="00ED1184"/>
    <w:rsid w:val="00ED21FB"/>
    <w:rsid w:val="00ED2B69"/>
    <w:rsid w:val="00ED39CE"/>
    <w:rsid w:val="00ED3A59"/>
    <w:rsid w:val="00ED6EEA"/>
    <w:rsid w:val="00ED7273"/>
    <w:rsid w:val="00EE04AB"/>
    <w:rsid w:val="00EE242C"/>
    <w:rsid w:val="00EE2A97"/>
    <w:rsid w:val="00EE56AE"/>
    <w:rsid w:val="00EF0ADC"/>
    <w:rsid w:val="00EF2B20"/>
    <w:rsid w:val="00F00843"/>
    <w:rsid w:val="00F019A8"/>
    <w:rsid w:val="00F063A9"/>
    <w:rsid w:val="00F0717D"/>
    <w:rsid w:val="00F11380"/>
    <w:rsid w:val="00F1269E"/>
    <w:rsid w:val="00F146E9"/>
    <w:rsid w:val="00F14F02"/>
    <w:rsid w:val="00F14F07"/>
    <w:rsid w:val="00F15A96"/>
    <w:rsid w:val="00F165A1"/>
    <w:rsid w:val="00F17853"/>
    <w:rsid w:val="00F17B77"/>
    <w:rsid w:val="00F21DC7"/>
    <w:rsid w:val="00F2476D"/>
    <w:rsid w:val="00F24CAB"/>
    <w:rsid w:val="00F27ABA"/>
    <w:rsid w:val="00F30354"/>
    <w:rsid w:val="00F30605"/>
    <w:rsid w:val="00F33270"/>
    <w:rsid w:val="00F365DB"/>
    <w:rsid w:val="00F4158A"/>
    <w:rsid w:val="00F437CC"/>
    <w:rsid w:val="00F442EE"/>
    <w:rsid w:val="00F44550"/>
    <w:rsid w:val="00F44B29"/>
    <w:rsid w:val="00F45B7D"/>
    <w:rsid w:val="00F45DA9"/>
    <w:rsid w:val="00F51108"/>
    <w:rsid w:val="00F530A0"/>
    <w:rsid w:val="00F5371A"/>
    <w:rsid w:val="00F545E4"/>
    <w:rsid w:val="00F54C87"/>
    <w:rsid w:val="00F607DD"/>
    <w:rsid w:val="00F61218"/>
    <w:rsid w:val="00F62820"/>
    <w:rsid w:val="00F62E90"/>
    <w:rsid w:val="00F63D92"/>
    <w:rsid w:val="00F643C6"/>
    <w:rsid w:val="00F65097"/>
    <w:rsid w:val="00F6760C"/>
    <w:rsid w:val="00F67A73"/>
    <w:rsid w:val="00F70189"/>
    <w:rsid w:val="00F727FC"/>
    <w:rsid w:val="00F7292C"/>
    <w:rsid w:val="00F73BE8"/>
    <w:rsid w:val="00F7492A"/>
    <w:rsid w:val="00F91DF0"/>
    <w:rsid w:val="00F92802"/>
    <w:rsid w:val="00F94BB5"/>
    <w:rsid w:val="00F95E29"/>
    <w:rsid w:val="00FA0E1D"/>
    <w:rsid w:val="00FA1864"/>
    <w:rsid w:val="00FA2FF3"/>
    <w:rsid w:val="00FA3CD2"/>
    <w:rsid w:val="00FA5200"/>
    <w:rsid w:val="00FA678D"/>
    <w:rsid w:val="00FA77D6"/>
    <w:rsid w:val="00FB0974"/>
    <w:rsid w:val="00FB1A70"/>
    <w:rsid w:val="00FB4000"/>
    <w:rsid w:val="00FB4D5D"/>
    <w:rsid w:val="00FB6FBC"/>
    <w:rsid w:val="00FB7BF6"/>
    <w:rsid w:val="00FC3FE2"/>
    <w:rsid w:val="00FC4E6E"/>
    <w:rsid w:val="00FC510D"/>
    <w:rsid w:val="00FC5F1F"/>
    <w:rsid w:val="00FC6958"/>
    <w:rsid w:val="00FD1B14"/>
    <w:rsid w:val="00FD1D3E"/>
    <w:rsid w:val="00FD4367"/>
    <w:rsid w:val="00FD7E13"/>
    <w:rsid w:val="00FE422B"/>
    <w:rsid w:val="00FE7212"/>
    <w:rsid w:val="00FE7E95"/>
    <w:rsid w:val="00FE7F34"/>
    <w:rsid w:val="00FF3D28"/>
    <w:rsid w:val="00FF5B09"/>
    <w:rsid w:val="00FF5B51"/>
    <w:rsid w:val="00FF5F4C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0ECD6-61DB-4066-B5F1-A2DA3627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B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BE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0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40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40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0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08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15E6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15E6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E64"/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3B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2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FF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35C5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2BF2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D64ED"/>
    <w:rPr>
      <w:color w:val="605E5C"/>
      <w:shd w:val="clear" w:color="auto" w:fill="E1DFDD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57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4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463"/>
    <w:rPr>
      <w:sz w:val="20"/>
      <w:szCs w:val="20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7B7159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F62E90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019D5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019D5"/>
    <w:rPr>
      <w:rFonts w:ascii="Calibri" w:hAnsi="Calibri"/>
      <w:color w:val="00457D"/>
      <w:szCs w:val="21"/>
    </w:rPr>
  </w:style>
  <w:style w:type="paragraph" w:styleId="Revisione">
    <w:name w:val="Revision"/>
    <w:hidden/>
    <w:uiPriority w:val="99"/>
    <w:semiHidden/>
    <w:rsid w:val="001019D5"/>
    <w:pPr>
      <w:spacing w:after="0" w:line="240" w:lineRule="auto"/>
    </w:p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5D2DA6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D05630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74144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6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86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55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6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6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4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69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9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8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22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55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05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5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60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0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8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5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70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55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41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06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6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1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5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59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7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9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3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1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4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75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58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4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5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9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23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35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14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45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40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87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18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6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78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5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48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9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65895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9" w:color="DFE1E5"/>
                <w:right w:val="none" w:sz="0" w:space="0" w:color="auto"/>
              </w:divBdr>
              <w:divsChild>
                <w:div w:id="15067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604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worldindata.org/covid-vaccinations?country=~ITA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ufficio.stampa@gimbe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onavirus.gimbe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95A5-DDCD-4060-BC1C-BE8408F0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Gili</dc:creator>
  <cp:lastModifiedBy>Roberto Luceri</cp:lastModifiedBy>
  <cp:revision>7</cp:revision>
  <cp:lastPrinted>2021-02-16T16:57:00Z</cp:lastPrinted>
  <dcterms:created xsi:type="dcterms:W3CDTF">2021-02-25T07:26:00Z</dcterms:created>
  <dcterms:modified xsi:type="dcterms:W3CDTF">2021-02-25T07:54:00Z</dcterms:modified>
</cp:coreProperties>
</file>