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F544A5" w:rsidRDefault="00124E32" w:rsidP="00AA7482">
      <w:pPr>
        <w:jc w:val="center"/>
        <w:rPr>
          <w:b/>
          <w:bCs/>
          <w:sz w:val="32"/>
        </w:rPr>
      </w:pPr>
      <w:bookmarkStart w:id="0" w:name="_GoBack"/>
      <w:r w:rsidRPr="00F544A5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  <w:r w:rsidR="003F4964" w:rsidRPr="00F544A5">
        <w:rPr>
          <w:rFonts w:ascii="Calibri" w:eastAsia="Calibri" w:hAnsi="Calibri" w:cs="Times New Roman"/>
          <w:b/>
          <w:bCs/>
          <w:sz w:val="32"/>
          <w:szCs w:val="32"/>
        </w:rPr>
        <w:br/>
      </w:r>
      <w:r w:rsidR="00332C5E" w:rsidRPr="00F544A5">
        <w:rPr>
          <w:b/>
          <w:bCs/>
          <w:sz w:val="32"/>
        </w:rPr>
        <w:t>CORONAVIRUS: LA GIUNGLA DEI TAMPONI.</w:t>
      </w:r>
      <w:r w:rsidR="00332C5E" w:rsidRPr="00F544A5">
        <w:rPr>
          <w:b/>
          <w:bCs/>
          <w:sz w:val="32"/>
        </w:rPr>
        <w:br/>
        <w:t xml:space="preserve">IN ALCUNE REGIONI TEST CON IL CONTAGOCCE </w:t>
      </w:r>
      <w:r w:rsidR="00332C5E">
        <w:rPr>
          <w:b/>
          <w:bCs/>
          <w:sz w:val="32"/>
        </w:rPr>
        <w:br/>
      </w:r>
      <w:r w:rsidR="00332C5E" w:rsidRPr="00F544A5">
        <w:rPr>
          <w:b/>
          <w:bCs/>
          <w:sz w:val="32"/>
        </w:rPr>
        <w:t>PER</w:t>
      </w:r>
      <w:r w:rsidR="00332C5E">
        <w:rPr>
          <w:b/>
          <w:bCs/>
          <w:sz w:val="32"/>
        </w:rPr>
        <w:t xml:space="preserve"> PAURA</w:t>
      </w:r>
      <w:r w:rsidR="00332C5E" w:rsidRPr="00F544A5">
        <w:rPr>
          <w:b/>
          <w:bCs/>
          <w:sz w:val="32"/>
        </w:rPr>
        <w:t xml:space="preserve"> DI NUOVI LOCKDOWN?</w:t>
      </w:r>
    </w:p>
    <w:p w:rsidR="00C64990" w:rsidRDefault="003F5E91" w:rsidP="003E62A0">
      <w:pPr>
        <w:spacing w:after="120"/>
        <w:jc w:val="both"/>
        <w:rPr>
          <w:b/>
          <w:sz w:val="23"/>
          <w:szCs w:val="23"/>
          <w:lang w:eastAsia="it-IT"/>
        </w:rPr>
      </w:pPr>
      <w:r w:rsidRPr="003F5E91">
        <w:rPr>
          <w:b/>
          <w:sz w:val="23"/>
          <w:szCs w:val="23"/>
          <w:lang w:eastAsia="it-IT"/>
        </w:rPr>
        <w:t xml:space="preserve">RACCOMANDAZIONI INTERNAZIONALI, EVIDENZE SCIENTIFICHE E DISPONIBILITÀ DI REAGENTI </w:t>
      </w:r>
      <w:r>
        <w:rPr>
          <w:b/>
          <w:sz w:val="23"/>
          <w:szCs w:val="23"/>
          <w:lang w:eastAsia="it-IT"/>
        </w:rPr>
        <w:t xml:space="preserve">CONFERMANO CHE NELLA FASE 2 </w:t>
      </w:r>
      <w:r w:rsidR="005721B6">
        <w:rPr>
          <w:b/>
          <w:sz w:val="23"/>
          <w:szCs w:val="23"/>
          <w:lang w:eastAsia="it-IT"/>
        </w:rPr>
        <w:t>SERVE</w:t>
      </w:r>
      <w:r>
        <w:rPr>
          <w:b/>
          <w:sz w:val="23"/>
          <w:szCs w:val="23"/>
          <w:lang w:eastAsia="it-IT"/>
        </w:rPr>
        <w:t xml:space="preserve"> UNA STRATEGIA DI </w:t>
      </w:r>
      <w:r w:rsidR="001305E0">
        <w:rPr>
          <w:b/>
          <w:sz w:val="23"/>
          <w:szCs w:val="23"/>
          <w:lang w:eastAsia="it-IT"/>
        </w:rPr>
        <w:t>TESTING</w:t>
      </w:r>
      <w:r w:rsidR="00AA7482">
        <w:rPr>
          <w:b/>
          <w:sz w:val="23"/>
          <w:szCs w:val="23"/>
          <w:lang w:eastAsia="it-IT"/>
        </w:rPr>
        <w:t xml:space="preserve"> </w:t>
      </w:r>
      <w:r w:rsidR="00412031">
        <w:rPr>
          <w:b/>
          <w:sz w:val="23"/>
          <w:szCs w:val="23"/>
          <w:lang w:eastAsia="it-IT"/>
        </w:rPr>
        <w:t>ESTESO</w:t>
      </w:r>
      <w:r>
        <w:rPr>
          <w:b/>
          <w:sz w:val="23"/>
          <w:szCs w:val="23"/>
          <w:lang w:eastAsia="it-IT"/>
        </w:rPr>
        <w:t xml:space="preserve">. </w:t>
      </w:r>
      <w:r w:rsidR="00494885">
        <w:rPr>
          <w:b/>
          <w:sz w:val="23"/>
          <w:szCs w:val="23"/>
          <w:lang w:eastAsia="it-IT"/>
        </w:rPr>
        <w:t xml:space="preserve">TUTTAVIA </w:t>
      </w:r>
      <w:r w:rsidR="005721B6">
        <w:rPr>
          <w:b/>
          <w:sz w:val="23"/>
          <w:szCs w:val="23"/>
          <w:lang w:eastAsia="it-IT"/>
        </w:rPr>
        <w:t xml:space="preserve">AD OGGI </w:t>
      </w:r>
      <w:r w:rsidR="001305E0">
        <w:rPr>
          <w:b/>
          <w:sz w:val="23"/>
          <w:szCs w:val="23"/>
          <w:lang w:eastAsia="it-IT"/>
        </w:rPr>
        <w:t>1</w:t>
      </w:r>
      <w:r w:rsidR="00F432D2">
        <w:rPr>
          <w:b/>
          <w:sz w:val="23"/>
          <w:szCs w:val="23"/>
          <w:lang w:eastAsia="it-IT"/>
        </w:rPr>
        <w:t>/3 D</w:t>
      </w:r>
      <w:r w:rsidR="008A7176">
        <w:rPr>
          <w:b/>
          <w:sz w:val="23"/>
          <w:szCs w:val="23"/>
          <w:lang w:eastAsia="it-IT"/>
        </w:rPr>
        <w:t>E</w:t>
      </w:r>
      <w:r w:rsidR="00F432D2">
        <w:rPr>
          <w:b/>
          <w:sz w:val="23"/>
          <w:szCs w:val="23"/>
          <w:lang w:eastAsia="it-IT"/>
        </w:rPr>
        <w:t>I</w:t>
      </w:r>
      <w:r w:rsidR="00C64990">
        <w:rPr>
          <w:b/>
          <w:sz w:val="23"/>
          <w:szCs w:val="23"/>
          <w:lang w:eastAsia="it-IT"/>
        </w:rPr>
        <w:t xml:space="preserve"> TAMPONI </w:t>
      </w:r>
      <w:r w:rsidR="00AA7482">
        <w:rPr>
          <w:b/>
          <w:sz w:val="23"/>
          <w:szCs w:val="23"/>
          <w:lang w:eastAsia="it-IT"/>
        </w:rPr>
        <w:t xml:space="preserve">SONO DI CONTROLLO E </w:t>
      </w:r>
      <w:r w:rsidR="00C64990">
        <w:rPr>
          <w:b/>
          <w:sz w:val="23"/>
          <w:szCs w:val="23"/>
          <w:lang w:eastAsia="it-IT"/>
        </w:rPr>
        <w:t>NE</w:t>
      </w:r>
      <w:r w:rsidR="00E1162E">
        <w:rPr>
          <w:b/>
          <w:sz w:val="23"/>
          <w:szCs w:val="23"/>
          <w:lang w:eastAsia="it-IT"/>
        </w:rPr>
        <w:t xml:space="preserve">LLE ULTIME DUE SETTIMANE </w:t>
      </w:r>
      <w:r>
        <w:rPr>
          <w:b/>
          <w:sz w:val="23"/>
          <w:szCs w:val="23"/>
          <w:lang w:eastAsia="it-IT"/>
        </w:rPr>
        <w:t>SONO STATI EFFETTUATI</w:t>
      </w:r>
      <w:r w:rsidR="00E1162E">
        <w:rPr>
          <w:b/>
          <w:sz w:val="23"/>
          <w:szCs w:val="23"/>
          <w:lang w:eastAsia="it-IT"/>
        </w:rPr>
        <w:t xml:space="preserve"> IN MEDIA</w:t>
      </w:r>
      <w:r w:rsidR="00EB3915">
        <w:rPr>
          <w:b/>
          <w:sz w:val="23"/>
          <w:szCs w:val="23"/>
          <w:lang w:eastAsia="it-IT"/>
        </w:rPr>
        <w:t xml:space="preserve"> 59</w:t>
      </w:r>
      <w:r w:rsidR="00E1162E" w:rsidRPr="00E1162E">
        <w:rPr>
          <w:b/>
          <w:color w:val="FF0000"/>
          <w:sz w:val="23"/>
          <w:szCs w:val="23"/>
          <w:lang w:eastAsia="it-IT"/>
        </w:rPr>
        <w:t xml:space="preserve"> </w:t>
      </w:r>
      <w:r w:rsidR="005721B6">
        <w:rPr>
          <w:b/>
          <w:sz w:val="23"/>
          <w:szCs w:val="23"/>
          <w:lang w:eastAsia="it-IT"/>
        </w:rPr>
        <w:t>TEST</w:t>
      </w:r>
      <w:r w:rsidR="00F432D2">
        <w:rPr>
          <w:b/>
          <w:sz w:val="23"/>
          <w:szCs w:val="23"/>
          <w:lang w:eastAsia="it-IT"/>
        </w:rPr>
        <w:t xml:space="preserve"> </w:t>
      </w:r>
      <w:r w:rsidR="00C64990">
        <w:rPr>
          <w:b/>
          <w:sz w:val="23"/>
          <w:szCs w:val="23"/>
          <w:lang w:eastAsia="it-IT"/>
        </w:rPr>
        <w:t>PER 100.000 ABITANTI</w:t>
      </w:r>
      <w:r w:rsidR="005721B6">
        <w:rPr>
          <w:b/>
          <w:sz w:val="23"/>
          <w:szCs w:val="23"/>
          <w:lang w:eastAsia="it-IT"/>
        </w:rPr>
        <w:t xml:space="preserve"> AL GIORNO</w:t>
      </w:r>
      <w:r w:rsidR="00E1162E">
        <w:rPr>
          <w:b/>
          <w:sz w:val="23"/>
          <w:szCs w:val="23"/>
          <w:lang w:eastAsia="it-IT"/>
        </w:rPr>
        <w:t xml:space="preserve">, </w:t>
      </w:r>
      <w:r w:rsidR="00C64990">
        <w:rPr>
          <w:b/>
          <w:sz w:val="23"/>
          <w:szCs w:val="23"/>
          <w:lang w:eastAsia="it-IT"/>
        </w:rPr>
        <w:t xml:space="preserve">CON </w:t>
      </w:r>
      <w:r w:rsidR="00C01B35">
        <w:rPr>
          <w:b/>
          <w:sz w:val="23"/>
          <w:szCs w:val="23"/>
          <w:lang w:eastAsia="it-IT"/>
        </w:rPr>
        <w:t xml:space="preserve">NOTEVOLI </w:t>
      </w:r>
      <w:r w:rsidR="00C64990">
        <w:rPr>
          <w:b/>
          <w:sz w:val="23"/>
          <w:szCs w:val="23"/>
          <w:lang w:eastAsia="it-IT"/>
        </w:rPr>
        <w:t>VARIABILITÀ REGIONALI: DAI</w:t>
      </w:r>
      <w:r w:rsidR="00EB3915">
        <w:rPr>
          <w:b/>
          <w:sz w:val="23"/>
          <w:szCs w:val="23"/>
          <w:lang w:eastAsia="it-IT"/>
        </w:rPr>
        <w:t xml:space="preserve"> 12 DELLA CAMPANIA AI 130</w:t>
      </w:r>
      <w:r w:rsidR="00C64990" w:rsidRPr="00C64990">
        <w:rPr>
          <w:b/>
          <w:color w:val="FF0000"/>
          <w:sz w:val="23"/>
          <w:szCs w:val="23"/>
          <w:lang w:eastAsia="it-IT"/>
        </w:rPr>
        <w:t xml:space="preserve"> </w:t>
      </w:r>
      <w:r w:rsidR="00C64990">
        <w:rPr>
          <w:b/>
          <w:sz w:val="23"/>
          <w:szCs w:val="23"/>
          <w:lang w:eastAsia="it-IT"/>
        </w:rPr>
        <w:t xml:space="preserve">DELLA VALLE D’AOSTA. </w:t>
      </w:r>
      <w:r w:rsidR="005721B6">
        <w:rPr>
          <w:b/>
          <w:sz w:val="23"/>
          <w:szCs w:val="23"/>
          <w:lang w:eastAsia="it-IT"/>
        </w:rPr>
        <w:t xml:space="preserve">LA FONDAZIONE </w:t>
      </w:r>
      <w:r>
        <w:rPr>
          <w:b/>
          <w:sz w:val="23"/>
          <w:szCs w:val="23"/>
          <w:lang w:eastAsia="it-IT"/>
        </w:rPr>
        <w:t xml:space="preserve">GIMBE RICHIAMA LE REGIONI A ESTENDERE IL NUMERO DEI TAMPONI E </w:t>
      </w:r>
      <w:r w:rsidR="00D53A14">
        <w:rPr>
          <w:b/>
          <w:sz w:val="23"/>
          <w:szCs w:val="23"/>
          <w:lang w:eastAsia="it-IT"/>
        </w:rPr>
        <w:t xml:space="preserve">CHIEDE AL GOVERNO DI DEFINIRE </w:t>
      </w:r>
      <w:r w:rsidR="00F544A5">
        <w:rPr>
          <w:b/>
          <w:sz w:val="23"/>
          <w:szCs w:val="23"/>
          <w:lang w:eastAsia="it-IT"/>
        </w:rPr>
        <w:t>UNA</w:t>
      </w:r>
      <w:r>
        <w:rPr>
          <w:b/>
          <w:sz w:val="23"/>
          <w:szCs w:val="23"/>
          <w:lang w:eastAsia="it-IT"/>
        </w:rPr>
        <w:t xml:space="preserve"> SOGLIA MINIMA </w:t>
      </w:r>
      <w:r w:rsidR="005721B6">
        <w:rPr>
          <w:b/>
          <w:sz w:val="23"/>
          <w:szCs w:val="23"/>
          <w:lang w:eastAsia="it-IT"/>
        </w:rPr>
        <w:t xml:space="preserve">GIORNALIERA </w:t>
      </w:r>
      <w:r>
        <w:rPr>
          <w:b/>
          <w:sz w:val="23"/>
          <w:szCs w:val="23"/>
          <w:lang w:eastAsia="it-IT"/>
        </w:rPr>
        <w:t xml:space="preserve">DI </w:t>
      </w:r>
      <w:r w:rsidR="00D53A14">
        <w:rPr>
          <w:b/>
          <w:sz w:val="23"/>
          <w:szCs w:val="23"/>
          <w:lang w:eastAsia="it-IT"/>
        </w:rPr>
        <w:t xml:space="preserve">250 </w:t>
      </w:r>
      <w:r w:rsidR="005721B6">
        <w:rPr>
          <w:b/>
          <w:sz w:val="23"/>
          <w:szCs w:val="23"/>
          <w:lang w:eastAsia="it-IT"/>
        </w:rPr>
        <w:t>TEST</w:t>
      </w:r>
      <w:r>
        <w:rPr>
          <w:b/>
          <w:sz w:val="23"/>
          <w:szCs w:val="23"/>
          <w:lang w:eastAsia="it-IT"/>
        </w:rPr>
        <w:t xml:space="preserve"> PER 100.000 ABITANTI</w:t>
      </w:r>
      <w:r w:rsidR="00F544A5">
        <w:rPr>
          <w:b/>
          <w:sz w:val="23"/>
          <w:szCs w:val="23"/>
          <w:lang w:eastAsia="it-IT"/>
        </w:rPr>
        <w:t xml:space="preserve"> PER EVITARE COMPORTAMENTI OPPORTUNISTICI.</w:t>
      </w:r>
    </w:p>
    <w:p w:rsidR="00B443D8" w:rsidRDefault="006D0D40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maggio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2020 -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6E5D20" w:rsidRDefault="006E5D20" w:rsidP="00CD173C">
      <w:pPr>
        <w:spacing w:after="120"/>
        <w:jc w:val="both"/>
      </w:pPr>
      <w:r w:rsidRPr="006E5D20">
        <w:t xml:space="preserve">Il Decreto del Ministero della Salute del 30 aprile </w:t>
      </w:r>
      <w:r w:rsidR="003E228A">
        <w:t xml:space="preserve">scorso </w:t>
      </w:r>
      <w:r w:rsidRPr="006E5D20">
        <w:t xml:space="preserve">ha definito 21 indicatori </w:t>
      </w:r>
      <w:r w:rsidR="00412031">
        <w:t xml:space="preserve">che le </w:t>
      </w:r>
      <w:r w:rsidRPr="006E5D20">
        <w:t xml:space="preserve">Regioni </w:t>
      </w:r>
      <w:r w:rsidR="00412031">
        <w:t>dovranno fornire per</w:t>
      </w:r>
      <w:r w:rsidR="003E228A" w:rsidRPr="006E5D20">
        <w:t xml:space="preserve"> </w:t>
      </w:r>
      <w:r w:rsidRPr="006E5D20">
        <w:t>monitorare l’evoluzione dell’epidemia</w:t>
      </w:r>
      <w:r w:rsidR="00412031">
        <w:t xml:space="preserve"> e gli </w:t>
      </w:r>
      <w:r w:rsidRPr="006E5D20">
        <w:t xml:space="preserve">algoritmi per valutare </w:t>
      </w:r>
      <w:r w:rsidR="00E1162E">
        <w:t xml:space="preserve">probabilità e </w:t>
      </w:r>
      <w:r w:rsidRPr="006E5D20">
        <w:t xml:space="preserve">impatto del </w:t>
      </w:r>
      <w:r w:rsidR="00E1162E">
        <w:t xml:space="preserve">rischio sanitario. La combinazione di questi due parametri </w:t>
      </w:r>
      <w:r w:rsidRPr="006E5D20">
        <w:t>permetterà al Governo di identificare le criticità regionali e rivalu</w:t>
      </w:r>
      <w:r w:rsidR="00E1162E">
        <w:t xml:space="preserve">tare </w:t>
      </w:r>
      <w:r w:rsidR="005721B6">
        <w:t xml:space="preserve">eventuali </w:t>
      </w:r>
      <w:r w:rsidR="00E1162E">
        <w:t>nuove chiusure durante questa fase dell’epidemia</w:t>
      </w:r>
      <w:r w:rsidRPr="006E5D20">
        <w:t>.</w:t>
      </w:r>
    </w:p>
    <w:p w:rsidR="00CD173C" w:rsidRDefault="00CD173C" w:rsidP="00CD173C">
      <w:pPr>
        <w:spacing w:after="120"/>
        <w:jc w:val="both"/>
        <w:rPr>
          <w:lang w:eastAsia="it-IT"/>
        </w:rPr>
      </w:pPr>
      <w:r w:rsidRPr="00A24080">
        <w:t>«</w:t>
      </w:r>
      <w:r w:rsidR="00854B36">
        <w:rPr>
          <w:lang w:eastAsia="it-IT"/>
        </w:rPr>
        <w:t xml:space="preserve">Il monitoraggio indipendente della Fondazione GIMBE </w:t>
      </w:r>
      <w:r w:rsidRPr="00A24080">
        <w:rPr>
          <w:lang w:eastAsia="it-IT"/>
        </w:rPr>
        <w:t xml:space="preserve">– </w:t>
      </w:r>
      <w:r>
        <w:rPr>
          <w:lang w:eastAsia="it-IT"/>
        </w:rPr>
        <w:t xml:space="preserve">afferma </w:t>
      </w:r>
      <w:r w:rsidR="00854B36">
        <w:rPr>
          <w:lang w:eastAsia="it-IT"/>
        </w:rPr>
        <w:t xml:space="preserve">il Presidente </w:t>
      </w:r>
      <w:r>
        <w:rPr>
          <w:lang w:eastAsia="it-IT"/>
        </w:rPr>
        <w:t xml:space="preserve">Nino Cartabellotta </w:t>
      </w:r>
      <w:r w:rsidRPr="00A24080">
        <w:rPr>
          <w:lang w:eastAsia="it-IT"/>
        </w:rPr>
        <w:t>–</w:t>
      </w:r>
      <w:r w:rsidR="00854B36">
        <w:rPr>
          <w:lang w:eastAsia="it-IT"/>
        </w:rPr>
        <w:t xml:space="preserve"> </w:t>
      </w:r>
      <w:r w:rsidR="00C01B35">
        <w:rPr>
          <w:lang w:eastAsia="it-IT"/>
        </w:rPr>
        <w:t>rileva sia il costante</w:t>
      </w:r>
      <w:r w:rsidR="006E2575">
        <w:rPr>
          <w:lang w:eastAsia="it-IT"/>
        </w:rPr>
        <w:t xml:space="preserve"> </w:t>
      </w:r>
      <w:r w:rsidR="00C01B35">
        <w:rPr>
          <w:lang w:eastAsia="it-IT"/>
        </w:rPr>
        <w:t xml:space="preserve">e </w:t>
      </w:r>
      <w:r w:rsidR="005721B6" w:rsidRPr="00A63180">
        <w:rPr>
          <w:lang w:eastAsia="it-IT"/>
        </w:rPr>
        <w:t xml:space="preserve">notevole </w:t>
      </w:r>
      <w:r w:rsidR="003E62A0">
        <w:rPr>
          <w:lang w:eastAsia="it-IT"/>
        </w:rPr>
        <w:t>alleggerimento</w:t>
      </w:r>
      <w:r w:rsidR="00E025AE">
        <w:rPr>
          <w:lang w:eastAsia="it-IT"/>
        </w:rPr>
        <w:t xml:space="preserve"> </w:t>
      </w:r>
      <w:r w:rsidR="004E1AC9">
        <w:rPr>
          <w:lang w:eastAsia="it-IT"/>
        </w:rPr>
        <w:t xml:space="preserve">del carico </w:t>
      </w:r>
      <w:r w:rsidR="00E1162E">
        <w:rPr>
          <w:lang w:eastAsia="it-IT"/>
        </w:rPr>
        <w:t xml:space="preserve">su </w:t>
      </w:r>
      <w:r w:rsidR="00E025AE">
        <w:rPr>
          <w:lang w:eastAsia="it-IT"/>
        </w:rPr>
        <w:t xml:space="preserve">ospedali e </w:t>
      </w:r>
      <w:r>
        <w:rPr>
          <w:lang w:eastAsia="it-IT"/>
        </w:rPr>
        <w:t>terapie intensive</w:t>
      </w:r>
      <w:r w:rsidR="00C01B35">
        <w:rPr>
          <w:lang w:eastAsia="it-IT"/>
        </w:rPr>
        <w:t xml:space="preserve">, sia </w:t>
      </w:r>
      <w:r w:rsidR="00854B36">
        <w:rPr>
          <w:lang w:eastAsia="it-IT"/>
        </w:rPr>
        <w:t xml:space="preserve">il </w:t>
      </w:r>
      <w:r w:rsidR="00E1162E">
        <w:rPr>
          <w:lang w:eastAsia="it-IT"/>
        </w:rPr>
        <w:t>rallentamento s</w:t>
      </w:r>
      <w:r>
        <w:rPr>
          <w:lang w:eastAsia="it-IT"/>
        </w:rPr>
        <w:t xml:space="preserve">ul </w:t>
      </w:r>
      <w:r w:rsidR="00557FAC">
        <w:rPr>
          <w:lang w:eastAsia="it-IT"/>
        </w:rPr>
        <w:t xml:space="preserve">fronte </w:t>
      </w:r>
      <w:r>
        <w:rPr>
          <w:lang w:eastAsia="it-IT"/>
        </w:rPr>
        <w:t>di contagi e decessi</w:t>
      </w:r>
      <w:r w:rsidR="00C01B35">
        <w:rPr>
          <w:lang w:eastAsia="it-IT"/>
        </w:rPr>
        <w:t>, tuttavia non ancora stabilizzati</w:t>
      </w:r>
      <w:r w:rsidRPr="00A24080">
        <w:rPr>
          <w:rFonts w:cstheme="minorHAnsi"/>
        </w:rPr>
        <w:t>»</w:t>
      </w:r>
      <w:r>
        <w:rPr>
          <w:lang w:eastAsia="it-IT"/>
        </w:rPr>
        <w:t>.</w:t>
      </w:r>
      <w:r w:rsidR="00B812D1">
        <w:rPr>
          <w:lang w:eastAsia="it-IT"/>
        </w:rPr>
        <w:t xml:space="preserve"> </w:t>
      </w:r>
      <w:r>
        <w:rPr>
          <w:lang w:eastAsia="it-IT"/>
        </w:rPr>
        <w:t>In si</w:t>
      </w:r>
      <w:r w:rsidR="00F4306A">
        <w:rPr>
          <w:lang w:eastAsia="it-IT"/>
        </w:rPr>
        <w:t xml:space="preserve">ntesi, nella settimana 30 </w:t>
      </w:r>
      <w:r>
        <w:rPr>
          <w:lang w:eastAsia="it-IT"/>
        </w:rPr>
        <w:t>aprile</w:t>
      </w:r>
      <w:r w:rsidR="00F4306A">
        <w:rPr>
          <w:lang w:eastAsia="it-IT"/>
        </w:rPr>
        <w:t xml:space="preserve"> – 6 maggio</w:t>
      </w:r>
      <w:r>
        <w:rPr>
          <w:lang w:eastAsia="it-IT"/>
        </w:rPr>
        <w:t>:</w:t>
      </w:r>
    </w:p>
    <w:p w:rsidR="00DE42BF" w:rsidRPr="00EB3915" w:rsidRDefault="00DE42BF" w:rsidP="00DE42BF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EB3915">
        <w:t>Casi totali: +</w:t>
      </w:r>
      <w:r w:rsidR="006E2575" w:rsidRPr="00EB3915">
        <w:t>10</w:t>
      </w:r>
      <w:r w:rsidRPr="00EB3915">
        <w:t>.</w:t>
      </w:r>
      <w:r w:rsidR="006E2575" w:rsidRPr="00EB3915">
        <w:t>866</w:t>
      </w:r>
      <w:r w:rsidRPr="00EB3915">
        <w:t xml:space="preserve"> (+5,</w:t>
      </w:r>
      <w:r w:rsidR="006E2575" w:rsidRPr="00EB3915">
        <w:t>3</w:t>
      </w:r>
      <w:r w:rsidRPr="00EB3915">
        <w:t>%)</w:t>
      </w:r>
    </w:p>
    <w:p w:rsidR="00DE42BF" w:rsidRDefault="00854B36" w:rsidP="00DE42BF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Decessi: +2.002</w:t>
      </w:r>
      <w:r w:rsidR="00DE42BF">
        <w:t xml:space="preserve"> (+7,</w:t>
      </w:r>
      <w:r>
        <w:t>2</w:t>
      </w:r>
      <w:r w:rsidR="00DE42BF">
        <w:t>%)</w:t>
      </w:r>
    </w:p>
    <w:p w:rsidR="00DE42BF" w:rsidRDefault="00854B36" w:rsidP="00DE42BF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Ricoverati con sintomi: -3.441 (-17,9</w:t>
      </w:r>
      <w:r w:rsidR="00DE42BF">
        <w:t>%)</w:t>
      </w:r>
    </w:p>
    <w:p w:rsidR="003624F9" w:rsidRPr="00780B5E" w:rsidRDefault="00854B36" w:rsidP="006E5D20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Terapia intensiva: -4</w:t>
      </w:r>
      <w:r w:rsidR="00DE42BF">
        <w:t>6</w:t>
      </w:r>
      <w:r>
        <w:t>2 (-25,7</w:t>
      </w:r>
      <w:r w:rsidR="00DE42BF">
        <w:t>%)</w:t>
      </w:r>
    </w:p>
    <w:p w:rsidR="00327D6B" w:rsidRDefault="00862990" w:rsidP="006E5D20">
      <w:pPr>
        <w:spacing w:after="120"/>
        <w:jc w:val="both"/>
      </w:pPr>
      <w:r w:rsidRPr="00E51040">
        <w:t>«</w:t>
      </w:r>
      <w:r w:rsidR="003D2181">
        <w:rPr>
          <w:lang w:eastAsia="it-IT"/>
        </w:rPr>
        <w:t>Rispetto alla ridotta pressione sugli ospedali</w:t>
      </w:r>
      <w:r w:rsidR="009B314F">
        <w:rPr>
          <w:lang w:eastAsia="it-IT"/>
        </w:rPr>
        <w:t>,</w:t>
      </w:r>
      <w:r w:rsidR="003D2181">
        <w:rPr>
          <w:lang w:eastAsia="it-IT"/>
        </w:rPr>
        <w:t xml:space="preserve"> </w:t>
      </w:r>
      <w:r w:rsidR="009B314F">
        <w:rPr>
          <w:lang w:eastAsia="it-IT"/>
        </w:rPr>
        <w:t xml:space="preserve">tuttavia </w:t>
      </w:r>
      <w:r w:rsidR="00924455" w:rsidRPr="00E51040">
        <w:rPr>
          <w:lang w:eastAsia="it-IT"/>
        </w:rPr>
        <w:t xml:space="preserve">– continua </w:t>
      </w:r>
      <w:r w:rsidR="00924455">
        <w:rPr>
          <w:lang w:eastAsia="it-IT"/>
        </w:rPr>
        <w:t>il Presidente</w:t>
      </w:r>
      <w:r w:rsidR="00924455" w:rsidRPr="00E51040">
        <w:rPr>
          <w:lang w:eastAsia="it-IT"/>
        </w:rPr>
        <w:t xml:space="preserve"> –</w:t>
      </w:r>
      <w:r w:rsidR="003D2181">
        <w:t xml:space="preserve"> </w:t>
      </w:r>
      <w:r w:rsidR="003D2181">
        <w:rPr>
          <w:lang w:eastAsia="it-IT"/>
        </w:rPr>
        <w:t>il numero dei nuovi casi è</w:t>
      </w:r>
      <w:r w:rsidR="00632682">
        <w:rPr>
          <w:lang w:eastAsia="it-IT"/>
        </w:rPr>
        <w:t xml:space="preserve"> </w:t>
      </w:r>
      <w:r w:rsidR="003D2181">
        <w:rPr>
          <w:lang w:eastAsia="it-IT"/>
        </w:rPr>
        <w:t>influenzato d</w:t>
      </w:r>
      <w:r w:rsidR="00632682">
        <w:rPr>
          <w:lang w:eastAsia="it-IT"/>
        </w:rPr>
        <w:t>al</w:t>
      </w:r>
      <w:r w:rsidR="00AA7482">
        <w:rPr>
          <w:lang w:eastAsia="it-IT"/>
        </w:rPr>
        <w:t xml:space="preserve"> numero dei tamponi eseguiti dalle Regioni</w:t>
      </w:r>
      <w:r w:rsidR="003D2181">
        <w:rPr>
          <w:lang w:eastAsia="it-IT"/>
        </w:rPr>
        <w:t xml:space="preserve"> e pertanto soggetto a possibili distorsioni</w:t>
      </w:r>
      <w:r w:rsidRPr="00E51040">
        <w:t>»</w:t>
      </w:r>
      <w:r w:rsidR="00455F70" w:rsidRPr="00E51040">
        <w:t xml:space="preserve">. </w:t>
      </w:r>
      <w:r w:rsidR="00632682">
        <w:t>Per tali ragioni la Fondazione GIMBE ha condotto un’analisi indipendente</w:t>
      </w:r>
      <w:r w:rsidR="00327D6B">
        <w:t xml:space="preserve"> sui dati della Protezione Civile che dal 19 aprile, oltre al numero totale dei tamponi, riporta </w:t>
      </w:r>
      <w:r w:rsidR="00DE42BF">
        <w:t>per ciascuna Regione</w:t>
      </w:r>
      <w:r w:rsidR="00327D6B">
        <w:t xml:space="preserve"> il numero dei </w:t>
      </w:r>
      <w:r w:rsidR="006E5D20">
        <w:t>“</w:t>
      </w:r>
      <w:r w:rsidR="00327D6B">
        <w:t>casi testati</w:t>
      </w:r>
      <w:r w:rsidR="006E5D20">
        <w:t xml:space="preserve">” </w:t>
      </w:r>
      <w:r w:rsidR="00327D6B">
        <w:t>definiti come</w:t>
      </w:r>
      <w:r w:rsidR="004640C3">
        <w:t xml:space="preserve"> il</w:t>
      </w:r>
      <w:r w:rsidR="00327D6B">
        <w:t xml:space="preserve"> “totale dei soggetti sottoposti al test”</w:t>
      </w:r>
      <w:r w:rsidR="006E5D20">
        <w:t>. In sintesi:</w:t>
      </w:r>
      <w:r w:rsidR="00327D6B">
        <w:t xml:space="preserve"> </w:t>
      </w:r>
    </w:p>
    <w:p w:rsidR="00612F59" w:rsidRDefault="004640C3" w:rsidP="00612F59">
      <w:pPr>
        <w:pStyle w:val="Paragrafoelenco"/>
        <w:numPr>
          <w:ilvl w:val="0"/>
          <w:numId w:val="20"/>
        </w:numPr>
        <w:spacing w:line="276" w:lineRule="auto"/>
      </w:pPr>
      <w:r>
        <w:t>I</w:t>
      </w:r>
      <w:r w:rsidR="00AA7482">
        <w:t xml:space="preserve"> </w:t>
      </w:r>
      <w:r w:rsidR="00C83CAC">
        <w:t>“casi testati” identificano i “tamponi diagnostici”</w:t>
      </w:r>
      <w:r>
        <w:t xml:space="preserve"> </w:t>
      </w:r>
      <w:r w:rsidR="008F1612">
        <w:t xml:space="preserve">e </w:t>
      </w:r>
      <w:r w:rsidR="00C83CAC">
        <w:t xml:space="preserve">la </w:t>
      </w:r>
      <w:r w:rsidR="00327D6B">
        <w:t xml:space="preserve">differenza tra </w:t>
      </w:r>
      <w:r w:rsidR="00C83CAC">
        <w:t>“t</w:t>
      </w:r>
      <w:r w:rsidR="00327D6B">
        <w:t xml:space="preserve">amponi totali” </w:t>
      </w:r>
      <w:proofErr w:type="gramStart"/>
      <w:r w:rsidR="00327D6B">
        <w:t>e “</w:t>
      </w:r>
      <w:proofErr w:type="gramEnd"/>
      <w:r w:rsidR="00327D6B">
        <w:t xml:space="preserve">casi testati” </w:t>
      </w:r>
      <w:r w:rsidR="00AA7482">
        <w:t xml:space="preserve">corrisponde ai </w:t>
      </w:r>
      <w:r w:rsidR="00327D6B">
        <w:t>“tamponi di controllo”, effettuati sullo stesso soggetto per conferma</w:t>
      </w:r>
      <w:r w:rsidR="006E5D20">
        <w:t xml:space="preserve">re </w:t>
      </w:r>
      <w:r w:rsidR="00327D6B">
        <w:t xml:space="preserve">la guarigione virologica o per </w:t>
      </w:r>
      <w:r w:rsidR="00BA7AE5">
        <w:t>altre</w:t>
      </w:r>
      <w:r w:rsidR="000B2A0D">
        <w:t xml:space="preserve"> </w:t>
      </w:r>
      <w:r w:rsidR="006E5D20">
        <w:t>necessità di ripetere</w:t>
      </w:r>
      <w:r w:rsidR="00327D6B">
        <w:t xml:space="preserve"> </w:t>
      </w:r>
      <w:r w:rsidR="006E5D20">
        <w:t xml:space="preserve">il </w:t>
      </w:r>
      <w:r w:rsidR="00327D6B">
        <w:t>test</w:t>
      </w:r>
      <w:r w:rsidR="006E5D20">
        <w:t>.</w:t>
      </w:r>
      <w:r w:rsidR="00612F59">
        <w:t xml:space="preserve"> D</w:t>
      </w:r>
      <w:r w:rsidR="00612F59" w:rsidRPr="00612F59">
        <w:t>all’inizio dell’epidemia sono stati effettuati in Italia 2.310.9</w:t>
      </w:r>
      <w:r w:rsidR="00E84F30">
        <w:t>2</w:t>
      </w:r>
      <w:r w:rsidR="00612F59" w:rsidRPr="00612F59">
        <w:t xml:space="preserve">9 tamponi di cui il 67,1% </w:t>
      </w:r>
      <w:r w:rsidR="008F1612">
        <w:t>“diagnostici”</w:t>
      </w:r>
      <w:r w:rsidR="00612F59" w:rsidRPr="00612F59">
        <w:t xml:space="preserve"> e il 32,9% </w:t>
      </w:r>
      <w:r w:rsidR="008F1612">
        <w:t>“di</w:t>
      </w:r>
      <w:r w:rsidR="00612F59" w:rsidRPr="00612F59">
        <w:t xml:space="preserve"> controllo</w:t>
      </w:r>
      <w:r w:rsidR="008F1612">
        <w:t>”</w:t>
      </w:r>
      <w:r w:rsidR="00612F59">
        <w:t>.</w:t>
      </w:r>
    </w:p>
    <w:p w:rsidR="00BF0218" w:rsidRDefault="009B314F" w:rsidP="00BF0218">
      <w:pPr>
        <w:pStyle w:val="Paragrafoelenco"/>
        <w:numPr>
          <w:ilvl w:val="0"/>
          <w:numId w:val="20"/>
        </w:numPr>
        <w:spacing w:after="120" w:line="276" w:lineRule="auto"/>
      </w:pPr>
      <w:r>
        <w:t>Sulla base della</w:t>
      </w:r>
      <w:r w:rsidR="00327D6B">
        <w:t xml:space="preserve"> popolazione residente </w:t>
      </w:r>
      <w:r w:rsidR="008F1612">
        <w:t xml:space="preserve">il numero di tamponi, sia totali che diagnostici, è stato parametrato a </w:t>
      </w:r>
      <w:r w:rsidR="00AA7482">
        <w:t xml:space="preserve">100.000 abitanti/die, un indicatore </w:t>
      </w:r>
      <w:r w:rsidR="00612F59">
        <w:t>più affidabile per i confronti regionali</w:t>
      </w:r>
      <w:r w:rsidR="00AA7482">
        <w:t>.</w:t>
      </w:r>
    </w:p>
    <w:p w:rsidR="00BF0218" w:rsidRDefault="00E51FB7" w:rsidP="00BF0218">
      <w:pPr>
        <w:pStyle w:val="Paragrafoelenco"/>
        <w:numPr>
          <w:ilvl w:val="0"/>
          <w:numId w:val="20"/>
        </w:numPr>
        <w:spacing w:after="120" w:line="276" w:lineRule="auto"/>
      </w:pPr>
      <w:r>
        <w:t xml:space="preserve">Le Regioni sono state </w:t>
      </w:r>
      <w:r w:rsidR="009B314F" w:rsidRPr="00D53A14">
        <w:t xml:space="preserve">suddivise </w:t>
      </w:r>
      <w:r>
        <w:t xml:space="preserve">secondo </w:t>
      </w:r>
      <w:r w:rsidR="00BD12F3">
        <w:t xml:space="preserve">le 5 classi di propensione all’esecuzione dei tamponi di una </w:t>
      </w:r>
      <w:hyperlink r:id="rId8" w:history="1">
        <w:r w:rsidR="00BD12F3">
          <w:rPr>
            <w:rStyle w:val="Collegamentoipertestuale"/>
          </w:rPr>
          <w:t xml:space="preserve">recente analisi </w:t>
        </w:r>
        <w:r w:rsidR="00BD12F3" w:rsidRPr="00911CAF">
          <w:rPr>
            <w:rStyle w:val="Collegamentoipertestuale"/>
          </w:rPr>
          <w:t>della Fondazione Hume</w:t>
        </w:r>
      </w:hyperlink>
      <w:r w:rsidR="008F1612">
        <w:t xml:space="preserve">, in relazione al numero di tamponi per 100.000 abitanti/die che </w:t>
      </w:r>
      <w:r w:rsidR="009B314F">
        <w:t xml:space="preserve">risulta </w:t>
      </w:r>
      <w:r w:rsidR="008F1612">
        <w:t>inversamente correlato alla mortalità.</w:t>
      </w:r>
    </w:p>
    <w:p w:rsidR="00612F59" w:rsidRPr="00612F59" w:rsidRDefault="00612F59" w:rsidP="00612F59">
      <w:pPr>
        <w:pStyle w:val="Paragrafoelenco"/>
        <w:numPr>
          <w:ilvl w:val="0"/>
          <w:numId w:val="20"/>
        </w:numPr>
        <w:spacing w:after="120" w:line="276" w:lineRule="auto"/>
        <w:rPr>
          <w:color w:val="FF0000"/>
        </w:rPr>
      </w:pPr>
      <w:r w:rsidRPr="00023F18">
        <w:t xml:space="preserve">Poiché </w:t>
      </w:r>
      <w:r>
        <w:t>i</w:t>
      </w:r>
      <w:r w:rsidR="006E2575">
        <w:t>l dato sui</w:t>
      </w:r>
      <w:r>
        <w:t xml:space="preserve"> “casi testati” </w:t>
      </w:r>
      <w:r w:rsidR="006E2575">
        <w:t xml:space="preserve">è stato </w:t>
      </w:r>
      <w:r w:rsidRPr="00023F18">
        <w:t xml:space="preserve">oggetto di </w:t>
      </w:r>
      <w:r>
        <w:t xml:space="preserve">ricalcolo </w:t>
      </w:r>
      <w:r w:rsidR="006E2575">
        <w:t xml:space="preserve">da parte di </w:t>
      </w:r>
      <w:r>
        <w:t>alcune R</w:t>
      </w:r>
      <w:r w:rsidRPr="00023F18">
        <w:t>egioni</w:t>
      </w:r>
      <w:r w:rsidR="006E2575">
        <w:t xml:space="preserve"> fino al 21 aprile</w:t>
      </w:r>
      <w:r w:rsidRPr="00023F18">
        <w:t xml:space="preserve">, </w:t>
      </w:r>
      <w:r>
        <w:t xml:space="preserve">il periodo di osservazione è </w:t>
      </w:r>
      <w:r w:rsidR="006E2575">
        <w:t xml:space="preserve">stato fissato </w:t>
      </w:r>
      <w:r>
        <w:t xml:space="preserve">dal </w:t>
      </w:r>
      <w:r w:rsidRPr="00B92D75">
        <w:t>22 aprile</w:t>
      </w:r>
      <w:r>
        <w:t xml:space="preserve"> al 6 maggio.</w:t>
      </w:r>
    </w:p>
    <w:p w:rsidR="009C113E" w:rsidRDefault="00304BC8" w:rsidP="009C113E">
      <w:pPr>
        <w:spacing w:after="120"/>
        <w:jc w:val="both"/>
      </w:pPr>
      <w:r w:rsidRPr="00E51040">
        <w:lastRenderedPageBreak/>
        <w:t>«</w:t>
      </w:r>
      <w:r w:rsidR="008F1612">
        <w:t xml:space="preserve">Le </w:t>
      </w:r>
      <w:r w:rsidR="00C83CAC">
        <w:t xml:space="preserve">nostre analisi </w:t>
      </w:r>
      <w:r w:rsidR="009B314F">
        <w:t xml:space="preserve">effettuate sugli ultimi 14 giorni </w:t>
      </w:r>
      <w:r w:rsidRPr="00E51040">
        <w:t xml:space="preserve">– </w:t>
      </w:r>
      <w:r w:rsidR="008F1612">
        <w:t>spiega</w:t>
      </w:r>
      <w:r w:rsidR="00C83CAC">
        <w:t xml:space="preserve"> </w:t>
      </w:r>
      <w:r>
        <w:t xml:space="preserve">il Presidente </w:t>
      </w:r>
      <w:r w:rsidRPr="00E51040">
        <w:t>–</w:t>
      </w:r>
      <w:r w:rsidR="008F1612">
        <w:t>forniscono tre incontrovertibili evidenze</w:t>
      </w:r>
      <w:r w:rsidR="00C83CAC">
        <w:t xml:space="preserve">: innanzitutto, </w:t>
      </w:r>
      <w:r w:rsidR="00612F59">
        <w:t xml:space="preserve">si conferma </w:t>
      </w:r>
      <w:r w:rsidR="00C83CAC">
        <w:t xml:space="preserve">che </w:t>
      </w:r>
      <w:r w:rsidR="00E1162E">
        <w:t>circa 1</w:t>
      </w:r>
      <w:r w:rsidR="001E66B3">
        <w:t xml:space="preserve">/3 </w:t>
      </w:r>
      <w:r w:rsidR="00E1162E">
        <w:t>dei</w:t>
      </w:r>
      <w:r w:rsidR="00023F18">
        <w:t xml:space="preserve"> </w:t>
      </w:r>
      <w:r w:rsidR="00C83CAC">
        <w:t xml:space="preserve">tamponi </w:t>
      </w:r>
      <w:r w:rsidR="008F1612">
        <w:t>sono “di controllo”</w:t>
      </w:r>
      <w:r w:rsidR="00C83CAC">
        <w:t>; in secondo luogo i</w:t>
      </w:r>
      <w:r w:rsidR="005D38E6">
        <w:t xml:space="preserve">l </w:t>
      </w:r>
      <w:r w:rsidR="00C83CAC">
        <w:rPr>
          <w:rFonts w:cstheme="minorHAnsi"/>
        </w:rPr>
        <w:t xml:space="preserve">numero </w:t>
      </w:r>
      <w:r w:rsidR="00075811">
        <w:rPr>
          <w:rFonts w:cstheme="minorHAnsi"/>
        </w:rPr>
        <w:t xml:space="preserve">di tamponi </w:t>
      </w:r>
      <w:r w:rsidR="008F1612">
        <w:rPr>
          <w:rFonts w:cstheme="minorHAnsi"/>
        </w:rPr>
        <w:t xml:space="preserve">per 100.000 abitanti/die </w:t>
      </w:r>
      <w:r w:rsidR="005D38E6">
        <w:rPr>
          <w:rFonts w:cstheme="minorHAnsi"/>
        </w:rPr>
        <w:t xml:space="preserve">è </w:t>
      </w:r>
      <w:r w:rsidR="005721B6">
        <w:rPr>
          <w:rFonts w:cstheme="minorHAnsi"/>
        </w:rPr>
        <w:t xml:space="preserve">molto </w:t>
      </w:r>
      <w:r w:rsidR="005D38E6">
        <w:rPr>
          <w:rFonts w:cstheme="minorHAnsi"/>
        </w:rPr>
        <w:t xml:space="preserve">esiguo </w:t>
      </w:r>
      <w:r w:rsidR="005721B6">
        <w:rPr>
          <w:rFonts w:cstheme="minorHAnsi"/>
        </w:rPr>
        <w:t>rispetto alla</w:t>
      </w:r>
      <w:r w:rsidR="00D81C78">
        <w:rPr>
          <w:rFonts w:cstheme="minorHAnsi"/>
        </w:rPr>
        <w:t xml:space="preserve"> </w:t>
      </w:r>
      <w:r w:rsidR="00E1162E">
        <w:rPr>
          <w:rFonts w:cstheme="minorHAnsi"/>
        </w:rPr>
        <w:t xml:space="preserve">massiccia </w:t>
      </w:r>
      <w:r w:rsidR="00C83CAC">
        <w:rPr>
          <w:rFonts w:cstheme="minorHAnsi"/>
        </w:rPr>
        <w:t xml:space="preserve">attività di testing </w:t>
      </w:r>
      <w:r w:rsidR="00B24821">
        <w:rPr>
          <w:rFonts w:cstheme="minorHAnsi"/>
        </w:rPr>
        <w:t xml:space="preserve">necessaria nella </w:t>
      </w:r>
      <w:r w:rsidR="00C83CAC">
        <w:rPr>
          <w:rFonts w:cstheme="minorHAnsi"/>
        </w:rPr>
        <w:t>fase 2</w:t>
      </w:r>
      <w:r w:rsidR="00075811">
        <w:rPr>
          <w:rFonts w:cstheme="minorHAnsi"/>
        </w:rPr>
        <w:t>; i</w:t>
      </w:r>
      <w:r w:rsidR="00C83CAC">
        <w:rPr>
          <w:rFonts w:cstheme="minorHAnsi"/>
        </w:rPr>
        <w:t xml:space="preserve">nfine, </w:t>
      </w:r>
      <w:r w:rsidR="00B812D1">
        <w:rPr>
          <w:rFonts w:cstheme="minorHAnsi"/>
        </w:rPr>
        <w:t xml:space="preserve">esistono </w:t>
      </w:r>
      <w:r w:rsidR="008F1612">
        <w:rPr>
          <w:rFonts w:cstheme="minorHAnsi"/>
        </w:rPr>
        <w:t xml:space="preserve">notevoli </w:t>
      </w:r>
      <w:r w:rsidR="00C83CAC">
        <w:rPr>
          <w:rFonts w:cstheme="minorHAnsi"/>
        </w:rPr>
        <w:t>variabilità regionali</w:t>
      </w:r>
      <w:r w:rsidR="005D38E6">
        <w:rPr>
          <w:rFonts w:cstheme="minorHAnsi"/>
        </w:rPr>
        <w:t xml:space="preserve"> </w:t>
      </w:r>
      <w:r w:rsidR="008F1612">
        <w:rPr>
          <w:rFonts w:cstheme="minorHAnsi"/>
        </w:rPr>
        <w:t>sia sulla propensione all’esecuzione dei tamponi, sia rispetto alla percentuale di tamponi “diagnostici”</w:t>
      </w:r>
      <w:r w:rsidRPr="00304BC8">
        <w:rPr>
          <w:rFonts w:cstheme="minorHAnsi"/>
        </w:rPr>
        <w:t>»</w:t>
      </w:r>
      <w:r>
        <w:t>.</w:t>
      </w:r>
      <w:r w:rsidR="00C83CAC">
        <w:t xml:space="preserve"> In dettaglio</w:t>
      </w:r>
      <w:r w:rsidR="00E861DE">
        <w:t>, n</w:t>
      </w:r>
      <w:r w:rsidR="00E861DE" w:rsidRPr="00967957">
        <w:t>el</w:t>
      </w:r>
      <w:r w:rsidR="00E861DE">
        <w:t xml:space="preserve"> periodo di analisi </w:t>
      </w:r>
      <w:r w:rsidR="00E861DE" w:rsidRPr="00967957">
        <w:t>22 aprile</w:t>
      </w:r>
      <w:r w:rsidR="00E861DE">
        <w:t xml:space="preserve"> - 6 maggio</w:t>
      </w:r>
      <w:r w:rsidR="008F1612">
        <w:t xml:space="preserve"> (tabella</w:t>
      </w:r>
      <w:r w:rsidR="008F1612" w:rsidRPr="006D4E98">
        <w:t>)</w:t>
      </w:r>
      <w:r w:rsidR="00E861DE">
        <w:t>:</w:t>
      </w:r>
    </w:p>
    <w:p w:rsidR="00BF0218" w:rsidRPr="006D4E98" w:rsidRDefault="00BF0218" w:rsidP="00BF0218">
      <w:pPr>
        <w:pStyle w:val="Paragrafoelenco"/>
        <w:numPr>
          <w:ilvl w:val="0"/>
          <w:numId w:val="24"/>
        </w:numPr>
        <w:spacing w:after="120" w:line="276" w:lineRule="auto"/>
        <w:jc w:val="both"/>
      </w:pPr>
      <w:r w:rsidRPr="00EB3915">
        <w:rPr>
          <w:b/>
        </w:rPr>
        <w:t>Tamponi totali</w:t>
      </w:r>
      <w:r>
        <w:t xml:space="preserve">: </w:t>
      </w:r>
      <w:r w:rsidR="006602C7" w:rsidRPr="006D4E98">
        <w:t xml:space="preserve">la </w:t>
      </w:r>
      <w:r w:rsidR="00E861DE" w:rsidRPr="006D4E98">
        <w:t xml:space="preserve">media nazionale </w:t>
      </w:r>
      <w:r w:rsidR="006D4E98" w:rsidRPr="006D4E98">
        <w:t xml:space="preserve">di 88 tamponi </w:t>
      </w:r>
      <w:r w:rsidR="00E861DE" w:rsidRPr="006D4E98">
        <w:t>per 100.000 abitanti</w:t>
      </w:r>
      <w:r w:rsidRPr="006D4E98">
        <w:t>/die</w:t>
      </w:r>
      <w:r w:rsidR="00E861DE" w:rsidRPr="006D4E98">
        <w:t xml:space="preserve"> </w:t>
      </w:r>
      <w:r w:rsidR="006602C7" w:rsidRPr="006D4E98">
        <w:t xml:space="preserve">colloca l’Italia nella classe di propensione </w:t>
      </w:r>
      <w:r w:rsidR="006D4E98" w:rsidRPr="006D4E98">
        <w:t>4</w:t>
      </w:r>
      <w:r w:rsidR="006D4E98">
        <w:t xml:space="preserve"> </w:t>
      </w:r>
      <w:r w:rsidRPr="006D4E98">
        <w:t>con notevoli differenze regionali:</w:t>
      </w:r>
    </w:p>
    <w:p w:rsidR="00BD12F3" w:rsidRDefault="00BD12F3" w:rsidP="00BF0218">
      <w:pPr>
        <w:pStyle w:val="Paragrafoelenco"/>
        <w:numPr>
          <w:ilvl w:val="1"/>
          <w:numId w:val="24"/>
        </w:numPr>
        <w:spacing w:after="120" w:line="276" w:lineRule="auto"/>
        <w:jc w:val="both"/>
      </w:pPr>
      <w:r>
        <w:t>Classe 1 (&gt;250): nessuna regione</w:t>
      </w:r>
    </w:p>
    <w:p w:rsidR="00BF0218" w:rsidRDefault="006D4E98" w:rsidP="00BF0218">
      <w:pPr>
        <w:pStyle w:val="Paragrafoelenco"/>
        <w:numPr>
          <w:ilvl w:val="1"/>
          <w:numId w:val="24"/>
        </w:numPr>
        <w:spacing w:after="120" w:line="276" w:lineRule="auto"/>
        <w:jc w:val="both"/>
      </w:pPr>
      <w:r>
        <w:t>Classe 2 (13</w:t>
      </w:r>
      <w:r w:rsidR="00BD12F3">
        <w:t>0-250):</w:t>
      </w:r>
      <w:r w:rsidR="00BF0218">
        <w:t xml:space="preserve"> Provinc</w:t>
      </w:r>
      <w:r>
        <w:t>ia</w:t>
      </w:r>
      <w:r w:rsidR="00BF0218">
        <w:t xml:space="preserve"> autonom</w:t>
      </w:r>
      <w:r>
        <w:t>a</w:t>
      </w:r>
      <w:r w:rsidR="00BF0218">
        <w:t xml:space="preserve"> di Trento</w:t>
      </w:r>
      <w:r>
        <w:t>, Valle D’Aosta, Provincia autonoma di Bolzano,</w:t>
      </w:r>
      <w:r w:rsidRPr="006D4E98">
        <w:t xml:space="preserve"> </w:t>
      </w:r>
      <w:r>
        <w:t xml:space="preserve">Veneto, </w:t>
      </w:r>
      <w:r w:rsidR="005721B6">
        <w:t>Friuli-Venezia Giulia</w:t>
      </w:r>
    </w:p>
    <w:p w:rsidR="00BF0218" w:rsidRDefault="00BD12F3" w:rsidP="00BF0218">
      <w:pPr>
        <w:pStyle w:val="Paragrafoelenco"/>
        <w:numPr>
          <w:ilvl w:val="1"/>
          <w:numId w:val="24"/>
        </w:numPr>
        <w:spacing w:after="120" w:line="276" w:lineRule="auto"/>
        <w:jc w:val="both"/>
      </w:pPr>
      <w:r>
        <w:t>Classe 3 (10</w:t>
      </w:r>
      <w:r w:rsidR="006D4E98">
        <w:t>0-129</w:t>
      </w:r>
      <w:r>
        <w:t>)</w:t>
      </w:r>
      <w:r w:rsidR="006602C7">
        <w:t xml:space="preserve">: </w:t>
      </w:r>
      <w:r w:rsidR="006D4E98">
        <w:t xml:space="preserve">Piemonte, </w:t>
      </w:r>
      <w:r w:rsidR="005721B6">
        <w:t>Emilia-Romagna</w:t>
      </w:r>
      <w:r w:rsidR="006D4E98">
        <w:t xml:space="preserve">, </w:t>
      </w:r>
      <w:r w:rsidR="00BF0218">
        <w:t>Umbria</w:t>
      </w:r>
      <w:r w:rsidR="006D4E98">
        <w:t>, Liguria</w:t>
      </w:r>
    </w:p>
    <w:p w:rsidR="00BF0218" w:rsidRDefault="00BD12F3" w:rsidP="00BF0218">
      <w:pPr>
        <w:pStyle w:val="Paragrafoelenco"/>
        <w:numPr>
          <w:ilvl w:val="1"/>
          <w:numId w:val="24"/>
        </w:numPr>
        <w:spacing w:after="120" w:line="276" w:lineRule="auto"/>
        <w:jc w:val="both"/>
      </w:pPr>
      <w:r>
        <w:t xml:space="preserve">Classe 4 (60-99): </w:t>
      </w:r>
      <w:r w:rsidR="00BF0218">
        <w:t xml:space="preserve">Lombardia, </w:t>
      </w:r>
      <w:r w:rsidR="006D4E98">
        <w:t>Marche, Basilicata,</w:t>
      </w:r>
      <w:r w:rsidR="00BF0218">
        <w:t xml:space="preserve"> Toscana, </w:t>
      </w:r>
      <w:r w:rsidR="006D4E98">
        <w:t>Molise, Abruzzo, Lazio</w:t>
      </w:r>
    </w:p>
    <w:p w:rsidR="00BF0218" w:rsidRDefault="00BD12F3" w:rsidP="00BF0218">
      <w:pPr>
        <w:pStyle w:val="Paragrafoelenco"/>
        <w:numPr>
          <w:ilvl w:val="1"/>
          <w:numId w:val="24"/>
        </w:numPr>
        <w:spacing w:after="120" w:line="276" w:lineRule="auto"/>
        <w:jc w:val="both"/>
      </w:pPr>
      <w:r>
        <w:t xml:space="preserve">Classe 5 (&lt;60): </w:t>
      </w:r>
      <w:r w:rsidR="00BF0218">
        <w:t>Sardegna</w:t>
      </w:r>
      <w:r w:rsidR="006D4E98">
        <w:t>, Calabria, Campania, Sicilia, Puglia</w:t>
      </w:r>
    </w:p>
    <w:p w:rsidR="00BF0218" w:rsidRPr="00EB3915" w:rsidRDefault="00BF0218" w:rsidP="00E861DE">
      <w:pPr>
        <w:pStyle w:val="Paragrafoelenco"/>
        <w:numPr>
          <w:ilvl w:val="0"/>
          <w:numId w:val="24"/>
        </w:numPr>
        <w:spacing w:after="120" w:line="276" w:lineRule="auto"/>
        <w:jc w:val="both"/>
        <w:rPr>
          <w:b/>
        </w:rPr>
      </w:pPr>
      <w:r w:rsidRPr="00EB3915">
        <w:rPr>
          <w:b/>
        </w:rPr>
        <w:t>T</w:t>
      </w:r>
      <w:r w:rsidR="009C113E" w:rsidRPr="00EB3915">
        <w:rPr>
          <w:b/>
        </w:rPr>
        <w:t>amponi di</w:t>
      </w:r>
      <w:r w:rsidR="00967957" w:rsidRPr="00EB3915">
        <w:rPr>
          <w:b/>
        </w:rPr>
        <w:t xml:space="preserve">agnostici </w:t>
      </w:r>
    </w:p>
    <w:p w:rsidR="00BF0218" w:rsidRDefault="009B314F" w:rsidP="00BF0218">
      <w:pPr>
        <w:pStyle w:val="Paragrafoelenco"/>
        <w:numPr>
          <w:ilvl w:val="1"/>
          <w:numId w:val="24"/>
        </w:numPr>
        <w:spacing w:after="120" w:line="276" w:lineRule="auto"/>
        <w:jc w:val="both"/>
      </w:pPr>
      <w:r>
        <w:t xml:space="preserve">A </w:t>
      </w:r>
      <w:r w:rsidR="006D4E98">
        <w:t xml:space="preserve">livello nazionale rappresentano il </w:t>
      </w:r>
      <w:r w:rsidR="00812008">
        <w:t>67,1</w:t>
      </w:r>
      <w:r w:rsidR="009C113E" w:rsidRPr="00967957">
        <w:t>%</w:t>
      </w:r>
      <w:r w:rsidR="00612F59">
        <w:t xml:space="preserve"> </w:t>
      </w:r>
      <w:r w:rsidR="006D4E98">
        <w:t xml:space="preserve">dei tamponi totali, </w:t>
      </w:r>
      <w:r w:rsidR="00967957">
        <w:t>con ampie variabilità regionali</w:t>
      </w:r>
      <w:r w:rsidR="009C113E" w:rsidRPr="00967957">
        <w:t>: da</w:t>
      </w:r>
      <w:r w:rsidR="00812008">
        <w:t>l 25,3% della Campania al 98</w:t>
      </w:r>
      <w:r w:rsidR="00A125C6">
        <w:t xml:space="preserve">% </w:t>
      </w:r>
      <w:r w:rsidR="009C113E" w:rsidRPr="00967957">
        <w:t>della Puglia</w:t>
      </w:r>
      <w:r w:rsidR="00612F59">
        <w:t xml:space="preserve"> </w:t>
      </w:r>
    </w:p>
    <w:p w:rsidR="00E861DE" w:rsidRPr="00967957" w:rsidRDefault="009B314F" w:rsidP="00E861DE">
      <w:pPr>
        <w:pStyle w:val="Paragrafoelenco"/>
        <w:numPr>
          <w:ilvl w:val="1"/>
          <w:numId w:val="24"/>
        </w:numPr>
        <w:spacing w:after="120" w:line="276" w:lineRule="auto"/>
        <w:jc w:val="both"/>
      </w:pPr>
      <w:r>
        <w:t xml:space="preserve">La </w:t>
      </w:r>
      <w:r w:rsidR="00B92D75">
        <w:t xml:space="preserve">media </w:t>
      </w:r>
      <w:r w:rsidR="00B812D1">
        <w:t xml:space="preserve">nazionale </w:t>
      </w:r>
      <w:r w:rsidR="00780B5E">
        <w:t>per 100.000 abitanti</w:t>
      </w:r>
      <w:r w:rsidR="00B812D1">
        <w:t>/die</w:t>
      </w:r>
      <w:r w:rsidR="00780B5E">
        <w:t xml:space="preserve"> </w:t>
      </w:r>
      <w:r w:rsidR="00B812D1">
        <w:t>è di</w:t>
      </w:r>
      <w:r w:rsidR="00EB3915">
        <w:t xml:space="preserve"> 59</w:t>
      </w:r>
      <w:r w:rsidR="00B812D1">
        <w:t xml:space="preserve">, </w:t>
      </w:r>
      <w:r w:rsidR="00780B5E">
        <w:t>c</w:t>
      </w:r>
      <w:r w:rsidR="009C113E" w:rsidRPr="00967957">
        <w:t xml:space="preserve">on </w:t>
      </w:r>
      <w:r w:rsidR="00A125C6">
        <w:t>notevoli</w:t>
      </w:r>
      <w:r w:rsidR="00873E22" w:rsidRPr="00967957">
        <w:t xml:space="preserve"> </w:t>
      </w:r>
      <w:r w:rsidR="009C113E" w:rsidRPr="00967957">
        <w:t xml:space="preserve">variabilità regionali: </w:t>
      </w:r>
      <w:r w:rsidR="00967957" w:rsidRPr="00967957">
        <w:t>da</w:t>
      </w:r>
      <w:r w:rsidR="004640C3">
        <w:t>i</w:t>
      </w:r>
      <w:r w:rsidR="007456CB">
        <w:t xml:space="preserve"> 1</w:t>
      </w:r>
      <w:r w:rsidR="00EB3915">
        <w:t>2</w:t>
      </w:r>
      <w:r w:rsidR="00967957" w:rsidRPr="00967957">
        <w:t xml:space="preserve"> della Campania a</w:t>
      </w:r>
      <w:r w:rsidR="004640C3">
        <w:t>i</w:t>
      </w:r>
      <w:r w:rsidR="00967957" w:rsidRPr="00967957">
        <w:t> </w:t>
      </w:r>
      <w:r w:rsidR="00EB3915">
        <w:t>130</w:t>
      </w:r>
      <w:r w:rsidR="009C113E" w:rsidRPr="00967957">
        <w:t xml:space="preserve"> della </w:t>
      </w:r>
      <w:r w:rsidR="00EB3915">
        <w:t>Valle D’Aosta</w:t>
      </w:r>
    </w:p>
    <w:p w:rsidR="00F839F8" w:rsidRDefault="00B812D1" w:rsidP="009C113E">
      <w:pPr>
        <w:spacing w:after="120"/>
      </w:pPr>
      <w:r>
        <w:t>I</w:t>
      </w:r>
      <w:r w:rsidR="00F839F8">
        <w:t xml:space="preserve"> dati</w:t>
      </w:r>
      <w:r w:rsidR="009C113E">
        <w:t xml:space="preserve"> </w:t>
      </w:r>
      <w:r w:rsidR="00F839F8">
        <w:t xml:space="preserve">confermano </w:t>
      </w:r>
      <w:r>
        <w:t>l</w:t>
      </w:r>
      <w:r w:rsidR="00AA7482">
        <w:t xml:space="preserve">a </w:t>
      </w:r>
      <w:r w:rsidR="009C113E">
        <w:t>resistenza</w:t>
      </w:r>
      <w:r w:rsidR="00B24821">
        <w:t xml:space="preserve"> d</w:t>
      </w:r>
      <w:r>
        <w:t xml:space="preserve">i alcune </w:t>
      </w:r>
      <w:r w:rsidR="00B24821">
        <w:t>Regioni</w:t>
      </w:r>
      <w:r w:rsidR="00F839F8">
        <w:t xml:space="preserve"> ad estendere</w:t>
      </w:r>
      <w:r w:rsidR="009C113E">
        <w:t xml:space="preserve"> </w:t>
      </w:r>
      <w:r w:rsidR="004F29CC">
        <w:t xml:space="preserve">massivamente </w:t>
      </w:r>
      <w:r w:rsidR="00F839F8">
        <w:t>il numero di tamponi</w:t>
      </w:r>
      <w:r w:rsidR="00911CAF">
        <w:t>, in contrasto</w:t>
      </w:r>
      <w:r>
        <w:t xml:space="preserve"> </w:t>
      </w:r>
      <w:r w:rsidR="00B24821">
        <w:t>con raccomandazioni internazionali, evidenze scientifiche e disponibilità di reagenti</w:t>
      </w:r>
      <w:r w:rsidR="00911CAF">
        <w:t>. I</w:t>
      </w:r>
      <w:r w:rsidR="00B24821">
        <w:t>nfatti:</w:t>
      </w:r>
    </w:p>
    <w:p w:rsidR="009C113E" w:rsidRDefault="009C113E" w:rsidP="009C113E">
      <w:pPr>
        <w:pStyle w:val="Paragrafoelenco"/>
        <w:numPr>
          <w:ilvl w:val="0"/>
          <w:numId w:val="23"/>
        </w:numPr>
        <w:spacing w:after="120" w:line="276" w:lineRule="auto"/>
      </w:pPr>
      <w:r>
        <w:t>L’Organ</w:t>
      </w:r>
      <w:r w:rsidR="004F29CC">
        <w:t xml:space="preserve">izzazione Mondiale della Sanità </w:t>
      </w:r>
      <w:r>
        <w:t>incoraggi</w:t>
      </w:r>
      <w:r w:rsidR="00B24821">
        <w:t>a</w:t>
      </w:r>
      <w:r>
        <w:t xml:space="preserve"> l’estensione dei tamponi</w:t>
      </w:r>
      <w:r w:rsidR="00146588">
        <w:t>.</w:t>
      </w:r>
    </w:p>
    <w:p w:rsidR="009C113E" w:rsidRDefault="0023571B" w:rsidP="009C113E">
      <w:pPr>
        <w:pStyle w:val="Paragrafoelenco"/>
        <w:numPr>
          <w:ilvl w:val="0"/>
          <w:numId w:val="23"/>
        </w:numPr>
        <w:spacing w:after="120" w:line="276" w:lineRule="auto"/>
      </w:pPr>
      <w:r>
        <w:t>L</w:t>
      </w:r>
      <w:r w:rsidR="00EB3915">
        <w:t>a</w:t>
      </w:r>
      <w:r w:rsidR="009C113E" w:rsidRPr="009C113E">
        <w:t xml:space="preserve"> </w:t>
      </w:r>
      <w:r>
        <w:t xml:space="preserve">già citata </w:t>
      </w:r>
      <w:r w:rsidR="00EB3915" w:rsidRPr="0023571B">
        <w:t xml:space="preserve">analisi </w:t>
      </w:r>
      <w:r w:rsidR="00911CAF" w:rsidRPr="0023571B">
        <w:t>della Fondazione Hume</w:t>
      </w:r>
      <w:r w:rsidR="00911CAF">
        <w:t xml:space="preserve"> </w:t>
      </w:r>
      <w:r w:rsidR="00B24821">
        <w:t>ha</w:t>
      </w:r>
      <w:r w:rsidR="009F7BF1">
        <w:t xml:space="preserve"> </w:t>
      </w:r>
      <w:r w:rsidR="009C113E">
        <w:t>di</w:t>
      </w:r>
      <w:r w:rsidR="009C113E" w:rsidRPr="009C113E">
        <w:t>mostra</w:t>
      </w:r>
      <w:r w:rsidR="00967957">
        <w:t>to</w:t>
      </w:r>
      <w:r w:rsidR="009C113E" w:rsidRPr="009C113E">
        <w:t xml:space="preserve"> </w:t>
      </w:r>
      <w:r w:rsidR="009C113E">
        <w:t xml:space="preserve">una </w:t>
      </w:r>
      <w:r w:rsidR="009F7BF1">
        <w:t>cor</w:t>
      </w:r>
      <w:r w:rsidR="009C113E">
        <w:t>relazione inversa tra tamponi e mortalità: ovvero “più tamponi, meno morti”</w:t>
      </w:r>
      <w:r w:rsidR="00146588">
        <w:t>.</w:t>
      </w:r>
    </w:p>
    <w:p w:rsidR="00967957" w:rsidRDefault="001E15A7" w:rsidP="001E15A7">
      <w:pPr>
        <w:pStyle w:val="Paragrafoelenco"/>
        <w:numPr>
          <w:ilvl w:val="0"/>
          <w:numId w:val="23"/>
        </w:numPr>
        <w:spacing w:after="120" w:line="276" w:lineRule="auto"/>
      </w:pPr>
      <w:r w:rsidRPr="001E15A7">
        <w:t>150 docenti sostenitor</w:t>
      </w:r>
      <w:r>
        <w:t>i della riapertura in sicurezza</w:t>
      </w:r>
      <w:r w:rsidR="00B24821">
        <w:t xml:space="preserve"> hanno lanciato un </w:t>
      </w:r>
      <w:r w:rsidR="00967957">
        <w:t>appello in 11 punti: “</w:t>
      </w:r>
      <w:r w:rsidR="00967957" w:rsidRPr="009C113E">
        <w:t>più tamponi per salvare la Fase 2</w:t>
      </w:r>
      <w:r w:rsidR="00967957">
        <w:t>”</w:t>
      </w:r>
      <w:r w:rsidR="00146588">
        <w:t>.</w:t>
      </w:r>
    </w:p>
    <w:p w:rsidR="009C113E" w:rsidRDefault="009C113E" w:rsidP="009C113E">
      <w:pPr>
        <w:pStyle w:val="Paragrafoelenco"/>
        <w:numPr>
          <w:ilvl w:val="0"/>
          <w:numId w:val="23"/>
        </w:numPr>
        <w:spacing w:after="120" w:line="276" w:lineRule="auto"/>
      </w:pPr>
      <w:r>
        <w:t>I</w:t>
      </w:r>
      <w:r w:rsidR="00967957">
        <w:t>l c</w:t>
      </w:r>
      <w:r>
        <w:t xml:space="preserve">ommissario Arcuri </w:t>
      </w:r>
      <w:r w:rsidR="00B24821">
        <w:t>ha</w:t>
      </w:r>
      <w:r w:rsidR="009F7BF1">
        <w:t xml:space="preserve"> </w:t>
      </w:r>
      <w:r>
        <w:t>confermato che sono già stati distribuiti 3,7 milioni di tamponi alle Regioni</w:t>
      </w:r>
      <w:r w:rsidR="009F7BF1">
        <w:t xml:space="preserve">, </w:t>
      </w:r>
      <w:r>
        <w:t xml:space="preserve">che nelle prossime settimane ne riceveranno altri 5 milioni già acquisiti. </w:t>
      </w:r>
    </w:p>
    <w:p w:rsidR="00145AFE" w:rsidRDefault="00145AFE" w:rsidP="00E74431">
      <w:pPr>
        <w:spacing w:after="120"/>
        <w:jc w:val="both"/>
      </w:pPr>
      <w:r w:rsidRPr="00145AFE">
        <w:t>«</w:t>
      </w:r>
      <w:r w:rsidR="0023571B">
        <w:t xml:space="preserve">Alla luce di questi dati </w:t>
      </w:r>
      <w:r w:rsidR="005721B6">
        <w:t>l</w:t>
      </w:r>
      <w:r w:rsidR="005721B6" w:rsidRPr="00145AFE">
        <w:t xml:space="preserve">a Fondazione GIMBE </w:t>
      </w:r>
      <w:r w:rsidRPr="00145AFE">
        <w:t>– conclude Cartabellotta –</w:t>
      </w:r>
      <w:r w:rsidR="009B314F">
        <w:t xml:space="preserve"> </w:t>
      </w:r>
      <w:r w:rsidRPr="00145AFE">
        <w:t xml:space="preserve">da un lato richiama </w:t>
      </w:r>
      <w:r w:rsidR="003F5E91">
        <w:t xml:space="preserve">tutte </w:t>
      </w:r>
      <w:r w:rsidRPr="00145AFE">
        <w:t xml:space="preserve">le Regioni a implementare </w:t>
      </w:r>
      <w:r w:rsidR="003F5E91">
        <w:t>l’estensione mirata de</w:t>
      </w:r>
      <w:r w:rsidRPr="00145AFE">
        <w:t>i tamponi diagnostici, dall’altro chiede al Ministero della Salute di</w:t>
      </w:r>
      <w:r w:rsidR="003F5E91">
        <w:t xml:space="preserve"> inserire tra gli indicatori di monitoraggio della fase 2</w:t>
      </w:r>
      <w:r w:rsidRPr="00145AFE">
        <w:t xml:space="preserve"> uno standard minimo di almeno</w:t>
      </w:r>
      <w:r w:rsidR="003F5E91">
        <w:t xml:space="preserve"> </w:t>
      </w:r>
      <w:r w:rsidR="003F5E91" w:rsidRPr="00D53A14">
        <w:t>250</w:t>
      </w:r>
      <w:r w:rsidRPr="00D53A14">
        <w:t xml:space="preserve"> </w:t>
      </w:r>
      <w:r w:rsidRPr="00145AFE">
        <w:t xml:space="preserve">tamponi diagnostici </w:t>
      </w:r>
      <w:r w:rsidR="00885C9E">
        <w:t xml:space="preserve">al giorno </w:t>
      </w:r>
      <w:r w:rsidRPr="00145AFE">
        <w:t>per 100.000 abitanti</w:t>
      </w:r>
      <w:r w:rsidR="003F5E91">
        <w:t xml:space="preserve">. Il Governo infatti, oltre a favorire le strategie di testing, </w:t>
      </w:r>
      <w:r w:rsidRPr="00145AFE">
        <w:t xml:space="preserve">deve </w:t>
      </w:r>
      <w:r w:rsidR="00885C9E">
        <w:t>neutralizzare</w:t>
      </w:r>
      <w:r w:rsidR="00885C9E" w:rsidRPr="00145AFE">
        <w:t xml:space="preserve"> </w:t>
      </w:r>
      <w:r w:rsidRPr="00145AFE">
        <w:t>comportamenti opportunistici</w:t>
      </w:r>
      <w:r w:rsidR="003F5E91">
        <w:t xml:space="preserve"> delle Regioni </w:t>
      </w:r>
      <w:r w:rsidR="00146588">
        <w:t xml:space="preserve">finalizzati </w:t>
      </w:r>
      <w:r w:rsidRPr="00145AFE">
        <w:t>a</w:t>
      </w:r>
      <w:r w:rsidR="003F5E91">
        <w:t xml:space="preserve"> ridurre</w:t>
      </w:r>
      <w:r w:rsidRPr="00145AFE">
        <w:t xml:space="preserve"> l</w:t>
      </w:r>
      <w:r w:rsidR="003F5E91">
        <w:t xml:space="preserve">a diagnosi di </w:t>
      </w:r>
      <w:r w:rsidR="00885C9E">
        <w:t xml:space="preserve">un numero troppo elevato di </w:t>
      </w:r>
      <w:r w:rsidR="003F5E91">
        <w:t xml:space="preserve">nuovi casi </w:t>
      </w:r>
      <w:r w:rsidRPr="00145AFE">
        <w:t>che</w:t>
      </w:r>
      <w:r w:rsidR="00146588">
        <w:t>,</w:t>
      </w:r>
      <w:r w:rsidRPr="00145AFE">
        <w:t xml:space="preserve"> in base agli </w:t>
      </w:r>
      <w:r w:rsidR="003F5E91" w:rsidRPr="00145AFE">
        <w:t xml:space="preserve">algoritmi </w:t>
      </w:r>
      <w:r w:rsidRPr="00145AFE">
        <w:t>attuali</w:t>
      </w:r>
      <w:r w:rsidR="00146588">
        <w:t>,</w:t>
      </w:r>
      <w:r w:rsidRPr="00145AFE">
        <w:t xml:space="preserve"> </w:t>
      </w:r>
      <w:r w:rsidR="005165ED">
        <w:t xml:space="preserve">aumenterebbe </w:t>
      </w:r>
      <w:r w:rsidRPr="00145AFE">
        <w:t>il rischio di nuovi lockdown».</w:t>
      </w:r>
    </w:p>
    <w:p w:rsidR="00B82B20" w:rsidRDefault="00B443D8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  <w:r w:rsidRPr="00A24080">
        <w:rPr>
          <w:rFonts w:cstheme="minorHAnsi"/>
          <w:i/>
        </w:rPr>
        <w:t xml:space="preserve">Il monitoraggio </w:t>
      </w:r>
      <w:r w:rsidR="00891E62" w:rsidRPr="00A24080">
        <w:rPr>
          <w:rFonts w:cstheme="minorHAnsi"/>
          <w:i/>
        </w:rPr>
        <w:t xml:space="preserve">GIMBE </w:t>
      </w:r>
      <w:r w:rsidRPr="00A24080">
        <w:rPr>
          <w:rFonts w:cstheme="minorHAnsi"/>
          <w:i/>
        </w:rPr>
        <w:t xml:space="preserve">dell'epidemia </w:t>
      </w:r>
      <w:r w:rsidR="00F072AF" w:rsidRPr="00A24080">
        <w:rPr>
          <w:rFonts w:cstheme="minorHAnsi"/>
          <w:i/>
        </w:rPr>
        <w:t xml:space="preserve">di </w:t>
      </w:r>
      <w:r w:rsidRPr="00A24080">
        <w:rPr>
          <w:rFonts w:cstheme="minorHAnsi"/>
          <w:i/>
        </w:rPr>
        <w:t>COVID-19</w:t>
      </w:r>
      <w:r w:rsidR="00D40DE5" w:rsidRPr="00A24080">
        <w:rPr>
          <w:rFonts w:cstheme="minorHAnsi"/>
          <w:i/>
        </w:rPr>
        <w:t xml:space="preserve"> è disponibile a</w:t>
      </w:r>
      <w:r w:rsidR="00423ED3" w:rsidRPr="00A24080">
        <w:rPr>
          <w:rFonts w:cstheme="minorHAnsi"/>
          <w:i/>
        </w:rPr>
        <w:t xml:space="preserve">: </w:t>
      </w:r>
      <w:hyperlink r:id="rId9" w:history="1">
        <w:r w:rsidR="00423ED3"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="00423ED3" w:rsidRPr="00A24080">
        <w:rPr>
          <w:rFonts w:cstheme="minorHAnsi"/>
          <w:i/>
        </w:rPr>
        <w:t xml:space="preserve"> </w:t>
      </w:r>
    </w:p>
    <w:p w:rsidR="00124E32" w:rsidRPr="00B82B20" w:rsidRDefault="00124E32" w:rsidP="00E74431">
      <w:pPr>
        <w:spacing w:after="120"/>
        <w:jc w:val="both"/>
        <w:rPr>
          <w:i/>
          <w:lang w:eastAsia="it-IT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</w:p>
    <w:p w:rsidR="00B45494" w:rsidRDefault="00124E32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b/>
        </w:rPr>
        <w:t>Fondazione GIMBE</w:t>
      </w:r>
      <w:r w:rsidRPr="00A24080">
        <w:rPr>
          <w:rFonts w:ascii="Trebuchet MS" w:eastAsia="Calibri" w:hAnsi="Trebuchet MS" w:cs="Times New Roman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0" w:history="1">
        <w:r w:rsidR="005E6366"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bookmarkEnd w:id="0"/>
    <w:p w:rsidR="00166D9E" w:rsidRDefault="00166D9E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>
        <w:rPr>
          <w:noProof/>
          <w:lang w:eastAsia="it-IT"/>
        </w:rPr>
        <w:lastRenderedPageBreak/>
        <w:drawing>
          <wp:inline distT="0" distB="0" distL="0" distR="0" wp14:anchorId="37658C7E" wp14:editId="12DB1DDF">
            <wp:extent cx="6120130" cy="5713226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1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D9E" w:rsidSect="00940309">
      <w:headerReference w:type="default" r:id="rId12"/>
      <w:footerReference w:type="defaul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19" w:rsidRDefault="00565219">
      <w:pPr>
        <w:spacing w:after="0" w:line="240" w:lineRule="auto"/>
      </w:pPr>
      <w:r>
        <w:separator/>
      </w:r>
    </w:p>
  </w:endnote>
  <w:endnote w:type="continuationSeparator" w:id="0">
    <w:p w:rsidR="00565219" w:rsidRDefault="0056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EB" w:rsidRDefault="00565219">
    <w:pPr>
      <w:pStyle w:val="Pidipagina"/>
    </w:pPr>
  </w:p>
  <w:p w:rsidR="00B039EB" w:rsidRDefault="00565219">
    <w:pPr>
      <w:pStyle w:val="Pidipagina"/>
    </w:pPr>
  </w:p>
  <w:p w:rsidR="00B039EB" w:rsidRDefault="005652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19" w:rsidRDefault="00565219">
      <w:pPr>
        <w:spacing w:after="0" w:line="240" w:lineRule="auto"/>
      </w:pPr>
      <w:r>
        <w:separator/>
      </w:r>
    </w:p>
  </w:footnote>
  <w:footnote w:type="continuationSeparator" w:id="0">
    <w:p w:rsidR="00565219" w:rsidRDefault="0056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EB" w:rsidRPr="007F63C2" w:rsidRDefault="00565219" w:rsidP="005F6D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771EB7"/>
    <w:multiLevelType w:val="hybridMultilevel"/>
    <w:tmpl w:val="110C43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8"/>
  </w:num>
  <w:num w:numId="5">
    <w:abstractNumId w:val="21"/>
  </w:num>
  <w:num w:numId="6">
    <w:abstractNumId w:val="3"/>
  </w:num>
  <w:num w:numId="7">
    <w:abstractNumId w:val="7"/>
  </w:num>
  <w:num w:numId="8">
    <w:abstractNumId w:val="17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  <w:num w:numId="17">
    <w:abstractNumId w:val="16"/>
  </w:num>
  <w:num w:numId="18">
    <w:abstractNumId w:val="6"/>
  </w:num>
  <w:num w:numId="19">
    <w:abstractNumId w:val="20"/>
  </w:num>
  <w:num w:numId="20">
    <w:abstractNumId w:val="4"/>
  </w:num>
  <w:num w:numId="21">
    <w:abstractNumId w:val="19"/>
  </w:num>
  <w:num w:numId="22">
    <w:abstractNumId w:val="22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7E2D"/>
    <w:rsid w:val="00010AEF"/>
    <w:rsid w:val="000171CE"/>
    <w:rsid w:val="000177CD"/>
    <w:rsid w:val="000179EC"/>
    <w:rsid w:val="000200E1"/>
    <w:rsid w:val="00023F18"/>
    <w:rsid w:val="00026DC0"/>
    <w:rsid w:val="000548AC"/>
    <w:rsid w:val="0005649A"/>
    <w:rsid w:val="000648AF"/>
    <w:rsid w:val="000713E0"/>
    <w:rsid w:val="00071F3F"/>
    <w:rsid w:val="00075811"/>
    <w:rsid w:val="0007670E"/>
    <w:rsid w:val="00090BE2"/>
    <w:rsid w:val="00091C99"/>
    <w:rsid w:val="00092A9D"/>
    <w:rsid w:val="00093477"/>
    <w:rsid w:val="000943CF"/>
    <w:rsid w:val="00094EF2"/>
    <w:rsid w:val="000A7474"/>
    <w:rsid w:val="000B0330"/>
    <w:rsid w:val="000B2A0D"/>
    <w:rsid w:val="000B6E50"/>
    <w:rsid w:val="000C1EDD"/>
    <w:rsid w:val="000C22C6"/>
    <w:rsid w:val="000D1769"/>
    <w:rsid w:val="000E2B65"/>
    <w:rsid w:val="000F23C9"/>
    <w:rsid w:val="000F2E5C"/>
    <w:rsid w:val="000F41B1"/>
    <w:rsid w:val="000F4E69"/>
    <w:rsid w:val="000F655E"/>
    <w:rsid w:val="000F7D28"/>
    <w:rsid w:val="000F7EE8"/>
    <w:rsid w:val="001059AD"/>
    <w:rsid w:val="00113053"/>
    <w:rsid w:val="00123005"/>
    <w:rsid w:val="0012440D"/>
    <w:rsid w:val="00124E32"/>
    <w:rsid w:val="00126676"/>
    <w:rsid w:val="001305E0"/>
    <w:rsid w:val="001320B9"/>
    <w:rsid w:val="001341D8"/>
    <w:rsid w:val="001408D2"/>
    <w:rsid w:val="00143BB8"/>
    <w:rsid w:val="00145AFE"/>
    <w:rsid w:val="00146588"/>
    <w:rsid w:val="00153115"/>
    <w:rsid w:val="00156186"/>
    <w:rsid w:val="00166D9E"/>
    <w:rsid w:val="00183566"/>
    <w:rsid w:val="00186CF1"/>
    <w:rsid w:val="001A0964"/>
    <w:rsid w:val="001A25A5"/>
    <w:rsid w:val="001A3EC6"/>
    <w:rsid w:val="001A642A"/>
    <w:rsid w:val="001C07D8"/>
    <w:rsid w:val="001C3871"/>
    <w:rsid w:val="001D0755"/>
    <w:rsid w:val="001D1D83"/>
    <w:rsid w:val="001D59FE"/>
    <w:rsid w:val="001D6D39"/>
    <w:rsid w:val="001D7BC3"/>
    <w:rsid w:val="001E06CF"/>
    <w:rsid w:val="001E15A7"/>
    <w:rsid w:val="001E235C"/>
    <w:rsid w:val="001E456C"/>
    <w:rsid w:val="001E6000"/>
    <w:rsid w:val="001E66B3"/>
    <w:rsid w:val="001F06CD"/>
    <w:rsid w:val="001F2345"/>
    <w:rsid w:val="001F69E0"/>
    <w:rsid w:val="00210F6C"/>
    <w:rsid w:val="00213097"/>
    <w:rsid w:val="002149D9"/>
    <w:rsid w:val="00217534"/>
    <w:rsid w:val="002205C9"/>
    <w:rsid w:val="00223CBF"/>
    <w:rsid w:val="002273E1"/>
    <w:rsid w:val="0023571B"/>
    <w:rsid w:val="002419BE"/>
    <w:rsid w:val="002442BE"/>
    <w:rsid w:val="0025387F"/>
    <w:rsid w:val="00255F11"/>
    <w:rsid w:val="0025799B"/>
    <w:rsid w:val="00260A99"/>
    <w:rsid w:val="002666F4"/>
    <w:rsid w:val="002813A7"/>
    <w:rsid w:val="002815AC"/>
    <w:rsid w:val="0028323F"/>
    <w:rsid w:val="002837E8"/>
    <w:rsid w:val="00284702"/>
    <w:rsid w:val="00287EB2"/>
    <w:rsid w:val="002A4E8D"/>
    <w:rsid w:val="002A59D9"/>
    <w:rsid w:val="002A5FA2"/>
    <w:rsid w:val="002B2BF2"/>
    <w:rsid w:val="002D559D"/>
    <w:rsid w:val="002D63E0"/>
    <w:rsid w:val="002D76E0"/>
    <w:rsid w:val="002E182B"/>
    <w:rsid w:val="002F1137"/>
    <w:rsid w:val="00304BC8"/>
    <w:rsid w:val="00306D88"/>
    <w:rsid w:val="00317538"/>
    <w:rsid w:val="00326A22"/>
    <w:rsid w:val="00327AF6"/>
    <w:rsid w:val="00327D55"/>
    <w:rsid w:val="00327D6B"/>
    <w:rsid w:val="00330B57"/>
    <w:rsid w:val="00332C5E"/>
    <w:rsid w:val="0033740A"/>
    <w:rsid w:val="00343D23"/>
    <w:rsid w:val="0034652C"/>
    <w:rsid w:val="003522D4"/>
    <w:rsid w:val="00352733"/>
    <w:rsid w:val="00355D9B"/>
    <w:rsid w:val="003624F9"/>
    <w:rsid w:val="00363CCA"/>
    <w:rsid w:val="00375555"/>
    <w:rsid w:val="00376B13"/>
    <w:rsid w:val="00384F8E"/>
    <w:rsid w:val="00387426"/>
    <w:rsid w:val="0039540D"/>
    <w:rsid w:val="003A0175"/>
    <w:rsid w:val="003B4B8E"/>
    <w:rsid w:val="003B7ED5"/>
    <w:rsid w:val="003C3A9A"/>
    <w:rsid w:val="003C6EB4"/>
    <w:rsid w:val="003D1749"/>
    <w:rsid w:val="003D2181"/>
    <w:rsid w:val="003D5C6D"/>
    <w:rsid w:val="003E228A"/>
    <w:rsid w:val="003E318E"/>
    <w:rsid w:val="003E62A0"/>
    <w:rsid w:val="003F4964"/>
    <w:rsid w:val="003F5E91"/>
    <w:rsid w:val="003F66ED"/>
    <w:rsid w:val="00400B49"/>
    <w:rsid w:val="00410301"/>
    <w:rsid w:val="00412031"/>
    <w:rsid w:val="0041302D"/>
    <w:rsid w:val="004173E1"/>
    <w:rsid w:val="00417C1C"/>
    <w:rsid w:val="00420CC8"/>
    <w:rsid w:val="004214E3"/>
    <w:rsid w:val="00423ED3"/>
    <w:rsid w:val="00425C3A"/>
    <w:rsid w:val="00435198"/>
    <w:rsid w:val="00437BB8"/>
    <w:rsid w:val="004421F3"/>
    <w:rsid w:val="004534C0"/>
    <w:rsid w:val="004549CB"/>
    <w:rsid w:val="00455F70"/>
    <w:rsid w:val="00456FB9"/>
    <w:rsid w:val="004640C3"/>
    <w:rsid w:val="00467C46"/>
    <w:rsid w:val="004703BD"/>
    <w:rsid w:val="0047278C"/>
    <w:rsid w:val="00476F10"/>
    <w:rsid w:val="004805BB"/>
    <w:rsid w:val="00490381"/>
    <w:rsid w:val="00494885"/>
    <w:rsid w:val="004A0133"/>
    <w:rsid w:val="004A574D"/>
    <w:rsid w:val="004C12A9"/>
    <w:rsid w:val="004C41A8"/>
    <w:rsid w:val="004D26DF"/>
    <w:rsid w:val="004D3455"/>
    <w:rsid w:val="004E1A67"/>
    <w:rsid w:val="004E1AC9"/>
    <w:rsid w:val="004E7D1A"/>
    <w:rsid w:val="004F173B"/>
    <w:rsid w:val="004F2759"/>
    <w:rsid w:val="004F29CC"/>
    <w:rsid w:val="004F61AA"/>
    <w:rsid w:val="00503976"/>
    <w:rsid w:val="005052B2"/>
    <w:rsid w:val="005165ED"/>
    <w:rsid w:val="00521CAE"/>
    <w:rsid w:val="00523087"/>
    <w:rsid w:val="0052545F"/>
    <w:rsid w:val="00546091"/>
    <w:rsid w:val="00547577"/>
    <w:rsid w:val="005531F6"/>
    <w:rsid w:val="00557FAC"/>
    <w:rsid w:val="00565219"/>
    <w:rsid w:val="00565896"/>
    <w:rsid w:val="005721B6"/>
    <w:rsid w:val="00572631"/>
    <w:rsid w:val="00582B47"/>
    <w:rsid w:val="005879F9"/>
    <w:rsid w:val="00596FA8"/>
    <w:rsid w:val="005A69DC"/>
    <w:rsid w:val="005B1EBE"/>
    <w:rsid w:val="005B67AE"/>
    <w:rsid w:val="005C08B9"/>
    <w:rsid w:val="005C092C"/>
    <w:rsid w:val="005D08B3"/>
    <w:rsid w:val="005D2F9E"/>
    <w:rsid w:val="005D38E6"/>
    <w:rsid w:val="005E053F"/>
    <w:rsid w:val="005E3CCE"/>
    <w:rsid w:val="005E6366"/>
    <w:rsid w:val="005E6C0B"/>
    <w:rsid w:val="005F5D57"/>
    <w:rsid w:val="005F6212"/>
    <w:rsid w:val="005F7A93"/>
    <w:rsid w:val="00604DAE"/>
    <w:rsid w:val="00612F59"/>
    <w:rsid w:val="00615B1C"/>
    <w:rsid w:val="0062113D"/>
    <w:rsid w:val="00632682"/>
    <w:rsid w:val="006344FF"/>
    <w:rsid w:val="006347C6"/>
    <w:rsid w:val="006477D2"/>
    <w:rsid w:val="00652253"/>
    <w:rsid w:val="00652364"/>
    <w:rsid w:val="00652B1A"/>
    <w:rsid w:val="00653022"/>
    <w:rsid w:val="006532E3"/>
    <w:rsid w:val="00656B65"/>
    <w:rsid w:val="006602C7"/>
    <w:rsid w:val="006A3B33"/>
    <w:rsid w:val="006B2769"/>
    <w:rsid w:val="006B6C0F"/>
    <w:rsid w:val="006C22E4"/>
    <w:rsid w:val="006C458D"/>
    <w:rsid w:val="006C61CF"/>
    <w:rsid w:val="006D0D40"/>
    <w:rsid w:val="006D127C"/>
    <w:rsid w:val="006D4E98"/>
    <w:rsid w:val="006D696D"/>
    <w:rsid w:val="006E2575"/>
    <w:rsid w:val="006E5D20"/>
    <w:rsid w:val="006F6445"/>
    <w:rsid w:val="00706AE0"/>
    <w:rsid w:val="00711A1B"/>
    <w:rsid w:val="00716D6F"/>
    <w:rsid w:val="00716E9B"/>
    <w:rsid w:val="00723A22"/>
    <w:rsid w:val="0072783E"/>
    <w:rsid w:val="00732E2F"/>
    <w:rsid w:val="00742B69"/>
    <w:rsid w:val="00743648"/>
    <w:rsid w:val="007456CB"/>
    <w:rsid w:val="007476C5"/>
    <w:rsid w:val="00753608"/>
    <w:rsid w:val="0075480B"/>
    <w:rsid w:val="00757AB3"/>
    <w:rsid w:val="007606A9"/>
    <w:rsid w:val="007607AB"/>
    <w:rsid w:val="007626CA"/>
    <w:rsid w:val="0076281B"/>
    <w:rsid w:val="0076336E"/>
    <w:rsid w:val="007762D0"/>
    <w:rsid w:val="00777568"/>
    <w:rsid w:val="00780B5E"/>
    <w:rsid w:val="00780B6B"/>
    <w:rsid w:val="00780CCA"/>
    <w:rsid w:val="007836E4"/>
    <w:rsid w:val="00787430"/>
    <w:rsid w:val="00797683"/>
    <w:rsid w:val="007A5918"/>
    <w:rsid w:val="007A5CE7"/>
    <w:rsid w:val="007A70DF"/>
    <w:rsid w:val="007B16AC"/>
    <w:rsid w:val="007B2B63"/>
    <w:rsid w:val="007C2BCE"/>
    <w:rsid w:val="007C3065"/>
    <w:rsid w:val="007D0C94"/>
    <w:rsid w:val="007D1284"/>
    <w:rsid w:val="007D7805"/>
    <w:rsid w:val="007E2BA6"/>
    <w:rsid w:val="007E2C64"/>
    <w:rsid w:val="007E6483"/>
    <w:rsid w:val="00801134"/>
    <w:rsid w:val="00805F05"/>
    <w:rsid w:val="00807B71"/>
    <w:rsid w:val="00812008"/>
    <w:rsid w:val="00813DA2"/>
    <w:rsid w:val="00813FAA"/>
    <w:rsid w:val="00815132"/>
    <w:rsid w:val="00822659"/>
    <w:rsid w:val="0082682D"/>
    <w:rsid w:val="0083016D"/>
    <w:rsid w:val="00834413"/>
    <w:rsid w:val="00835264"/>
    <w:rsid w:val="008376AC"/>
    <w:rsid w:val="0084002B"/>
    <w:rsid w:val="00840E9B"/>
    <w:rsid w:val="0084133F"/>
    <w:rsid w:val="008505F6"/>
    <w:rsid w:val="00852832"/>
    <w:rsid w:val="00854B36"/>
    <w:rsid w:val="00855916"/>
    <w:rsid w:val="008613A9"/>
    <w:rsid w:val="00862990"/>
    <w:rsid w:val="00873715"/>
    <w:rsid w:val="00873E22"/>
    <w:rsid w:val="008822E7"/>
    <w:rsid w:val="00882A5C"/>
    <w:rsid w:val="00885C9E"/>
    <w:rsid w:val="00886B2E"/>
    <w:rsid w:val="00891E62"/>
    <w:rsid w:val="00893D88"/>
    <w:rsid w:val="00893E02"/>
    <w:rsid w:val="008A55F7"/>
    <w:rsid w:val="008A5BA9"/>
    <w:rsid w:val="008A6587"/>
    <w:rsid w:val="008A7176"/>
    <w:rsid w:val="008A7D9C"/>
    <w:rsid w:val="008B1878"/>
    <w:rsid w:val="008D2AAD"/>
    <w:rsid w:val="008E5187"/>
    <w:rsid w:val="008E6971"/>
    <w:rsid w:val="008F1612"/>
    <w:rsid w:val="008F4115"/>
    <w:rsid w:val="00900D84"/>
    <w:rsid w:val="00901A6B"/>
    <w:rsid w:val="0090383F"/>
    <w:rsid w:val="009049BC"/>
    <w:rsid w:val="00911CAF"/>
    <w:rsid w:val="00911D2E"/>
    <w:rsid w:val="00913C78"/>
    <w:rsid w:val="00921D60"/>
    <w:rsid w:val="00924455"/>
    <w:rsid w:val="009249AB"/>
    <w:rsid w:val="00925D82"/>
    <w:rsid w:val="00932B6D"/>
    <w:rsid w:val="0093426F"/>
    <w:rsid w:val="00936453"/>
    <w:rsid w:val="00940309"/>
    <w:rsid w:val="00941121"/>
    <w:rsid w:val="009435DE"/>
    <w:rsid w:val="00943DE0"/>
    <w:rsid w:val="00945A20"/>
    <w:rsid w:val="00945E9B"/>
    <w:rsid w:val="00946221"/>
    <w:rsid w:val="009475F0"/>
    <w:rsid w:val="00954287"/>
    <w:rsid w:val="00955E2A"/>
    <w:rsid w:val="00967957"/>
    <w:rsid w:val="00974EC8"/>
    <w:rsid w:val="00975612"/>
    <w:rsid w:val="00984DF6"/>
    <w:rsid w:val="009956AF"/>
    <w:rsid w:val="009A33DB"/>
    <w:rsid w:val="009A64A5"/>
    <w:rsid w:val="009B0507"/>
    <w:rsid w:val="009B314F"/>
    <w:rsid w:val="009B7B66"/>
    <w:rsid w:val="009C113E"/>
    <w:rsid w:val="009D5834"/>
    <w:rsid w:val="009E0E19"/>
    <w:rsid w:val="009E1E52"/>
    <w:rsid w:val="009E6748"/>
    <w:rsid w:val="009F2B01"/>
    <w:rsid w:val="009F7BF1"/>
    <w:rsid w:val="00A05149"/>
    <w:rsid w:val="00A05DA4"/>
    <w:rsid w:val="00A10324"/>
    <w:rsid w:val="00A125C6"/>
    <w:rsid w:val="00A148E1"/>
    <w:rsid w:val="00A208E0"/>
    <w:rsid w:val="00A24080"/>
    <w:rsid w:val="00A245F6"/>
    <w:rsid w:val="00A26E17"/>
    <w:rsid w:val="00A32A97"/>
    <w:rsid w:val="00A33EF5"/>
    <w:rsid w:val="00A4525F"/>
    <w:rsid w:val="00A4555F"/>
    <w:rsid w:val="00A45A8E"/>
    <w:rsid w:val="00A46BA1"/>
    <w:rsid w:val="00A60230"/>
    <w:rsid w:val="00A63180"/>
    <w:rsid w:val="00A651A2"/>
    <w:rsid w:val="00A6607A"/>
    <w:rsid w:val="00A67218"/>
    <w:rsid w:val="00A67B4E"/>
    <w:rsid w:val="00A8160A"/>
    <w:rsid w:val="00A833AA"/>
    <w:rsid w:val="00A86612"/>
    <w:rsid w:val="00A8692E"/>
    <w:rsid w:val="00AA1769"/>
    <w:rsid w:val="00AA3B9C"/>
    <w:rsid w:val="00AA7482"/>
    <w:rsid w:val="00AB3B81"/>
    <w:rsid w:val="00AB7A6D"/>
    <w:rsid w:val="00AC2A51"/>
    <w:rsid w:val="00AD4714"/>
    <w:rsid w:val="00AD510C"/>
    <w:rsid w:val="00AD7137"/>
    <w:rsid w:val="00AE3EA3"/>
    <w:rsid w:val="00AF55DD"/>
    <w:rsid w:val="00AF71E2"/>
    <w:rsid w:val="00B01615"/>
    <w:rsid w:val="00B04792"/>
    <w:rsid w:val="00B050EF"/>
    <w:rsid w:val="00B17140"/>
    <w:rsid w:val="00B23F66"/>
    <w:rsid w:val="00B24821"/>
    <w:rsid w:val="00B27A9C"/>
    <w:rsid w:val="00B3670B"/>
    <w:rsid w:val="00B443D8"/>
    <w:rsid w:val="00B45494"/>
    <w:rsid w:val="00B552B6"/>
    <w:rsid w:val="00B639F9"/>
    <w:rsid w:val="00B661A5"/>
    <w:rsid w:val="00B73CBB"/>
    <w:rsid w:val="00B76857"/>
    <w:rsid w:val="00B812D1"/>
    <w:rsid w:val="00B82B20"/>
    <w:rsid w:val="00B8711E"/>
    <w:rsid w:val="00B92D75"/>
    <w:rsid w:val="00B95C5D"/>
    <w:rsid w:val="00BA08BE"/>
    <w:rsid w:val="00BA095D"/>
    <w:rsid w:val="00BA3DDE"/>
    <w:rsid w:val="00BA7AE5"/>
    <w:rsid w:val="00BB0200"/>
    <w:rsid w:val="00BB1A7D"/>
    <w:rsid w:val="00BC1400"/>
    <w:rsid w:val="00BC29E2"/>
    <w:rsid w:val="00BD12F3"/>
    <w:rsid w:val="00BD2441"/>
    <w:rsid w:val="00BD618E"/>
    <w:rsid w:val="00BD689A"/>
    <w:rsid w:val="00BE2807"/>
    <w:rsid w:val="00BF0218"/>
    <w:rsid w:val="00BF22E3"/>
    <w:rsid w:val="00BF55EA"/>
    <w:rsid w:val="00BF656A"/>
    <w:rsid w:val="00C01B35"/>
    <w:rsid w:val="00C024D8"/>
    <w:rsid w:val="00C1065A"/>
    <w:rsid w:val="00C12018"/>
    <w:rsid w:val="00C15FCE"/>
    <w:rsid w:val="00C249E7"/>
    <w:rsid w:val="00C276DD"/>
    <w:rsid w:val="00C44FA0"/>
    <w:rsid w:val="00C4623F"/>
    <w:rsid w:val="00C6226B"/>
    <w:rsid w:val="00C64990"/>
    <w:rsid w:val="00C71643"/>
    <w:rsid w:val="00C7252C"/>
    <w:rsid w:val="00C83CAC"/>
    <w:rsid w:val="00C91496"/>
    <w:rsid w:val="00C9165C"/>
    <w:rsid w:val="00C97145"/>
    <w:rsid w:val="00CA461A"/>
    <w:rsid w:val="00CA71BA"/>
    <w:rsid w:val="00CB5127"/>
    <w:rsid w:val="00CC6930"/>
    <w:rsid w:val="00CC76C8"/>
    <w:rsid w:val="00CD173C"/>
    <w:rsid w:val="00CE10AB"/>
    <w:rsid w:val="00CE6335"/>
    <w:rsid w:val="00CE71FC"/>
    <w:rsid w:val="00CF4849"/>
    <w:rsid w:val="00CF77FD"/>
    <w:rsid w:val="00D06D81"/>
    <w:rsid w:val="00D10DBB"/>
    <w:rsid w:val="00D152EE"/>
    <w:rsid w:val="00D17AA3"/>
    <w:rsid w:val="00D218D6"/>
    <w:rsid w:val="00D23C21"/>
    <w:rsid w:val="00D31C5A"/>
    <w:rsid w:val="00D332DE"/>
    <w:rsid w:val="00D40BC4"/>
    <w:rsid w:val="00D40DE5"/>
    <w:rsid w:val="00D41B85"/>
    <w:rsid w:val="00D44392"/>
    <w:rsid w:val="00D53A14"/>
    <w:rsid w:val="00D648FE"/>
    <w:rsid w:val="00D67259"/>
    <w:rsid w:val="00D70181"/>
    <w:rsid w:val="00D7556D"/>
    <w:rsid w:val="00D75B91"/>
    <w:rsid w:val="00D77456"/>
    <w:rsid w:val="00D80343"/>
    <w:rsid w:val="00D81C78"/>
    <w:rsid w:val="00D8774A"/>
    <w:rsid w:val="00D90AB3"/>
    <w:rsid w:val="00D914F7"/>
    <w:rsid w:val="00D932BA"/>
    <w:rsid w:val="00D96620"/>
    <w:rsid w:val="00DC0E4B"/>
    <w:rsid w:val="00DC3221"/>
    <w:rsid w:val="00DC4DE7"/>
    <w:rsid w:val="00DD0598"/>
    <w:rsid w:val="00DD24D5"/>
    <w:rsid w:val="00DE1482"/>
    <w:rsid w:val="00DE42BF"/>
    <w:rsid w:val="00DE6438"/>
    <w:rsid w:val="00DF33AF"/>
    <w:rsid w:val="00DF7EF2"/>
    <w:rsid w:val="00E0214D"/>
    <w:rsid w:val="00E025AE"/>
    <w:rsid w:val="00E02ACD"/>
    <w:rsid w:val="00E04696"/>
    <w:rsid w:val="00E1162E"/>
    <w:rsid w:val="00E15139"/>
    <w:rsid w:val="00E23B0B"/>
    <w:rsid w:val="00E23DCC"/>
    <w:rsid w:val="00E243CC"/>
    <w:rsid w:val="00E244E2"/>
    <w:rsid w:val="00E25F3D"/>
    <w:rsid w:val="00E33E7F"/>
    <w:rsid w:val="00E34B7A"/>
    <w:rsid w:val="00E36F43"/>
    <w:rsid w:val="00E37F8D"/>
    <w:rsid w:val="00E4211E"/>
    <w:rsid w:val="00E4322D"/>
    <w:rsid w:val="00E45DC4"/>
    <w:rsid w:val="00E46C79"/>
    <w:rsid w:val="00E474D3"/>
    <w:rsid w:val="00E51040"/>
    <w:rsid w:val="00E51A21"/>
    <w:rsid w:val="00E51FB7"/>
    <w:rsid w:val="00E53E33"/>
    <w:rsid w:val="00E74431"/>
    <w:rsid w:val="00E766DD"/>
    <w:rsid w:val="00E84F30"/>
    <w:rsid w:val="00E861DE"/>
    <w:rsid w:val="00E92498"/>
    <w:rsid w:val="00E92D33"/>
    <w:rsid w:val="00EA2F90"/>
    <w:rsid w:val="00EA4E3A"/>
    <w:rsid w:val="00EB3915"/>
    <w:rsid w:val="00EC3C73"/>
    <w:rsid w:val="00EC7463"/>
    <w:rsid w:val="00ED3D3F"/>
    <w:rsid w:val="00ED6961"/>
    <w:rsid w:val="00EE2B8E"/>
    <w:rsid w:val="00EE3BD8"/>
    <w:rsid w:val="00EE4E87"/>
    <w:rsid w:val="00EF50D7"/>
    <w:rsid w:val="00EF6DF5"/>
    <w:rsid w:val="00F072AF"/>
    <w:rsid w:val="00F10001"/>
    <w:rsid w:val="00F16223"/>
    <w:rsid w:val="00F25F97"/>
    <w:rsid w:val="00F348D4"/>
    <w:rsid w:val="00F37E81"/>
    <w:rsid w:val="00F4306A"/>
    <w:rsid w:val="00F432D2"/>
    <w:rsid w:val="00F544A5"/>
    <w:rsid w:val="00F60151"/>
    <w:rsid w:val="00F66FD8"/>
    <w:rsid w:val="00F70C6F"/>
    <w:rsid w:val="00F71726"/>
    <w:rsid w:val="00F769EE"/>
    <w:rsid w:val="00F839F8"/>
    <w:rsid w:val="00F84B69"/>
    <w:rsid w:val="00F8519A"/>
    <w:rsid w:val="00F876F6"/>
    <w:rsid w:val="00F90BF9"/>
    <w:rsid w:val="00F94702"/>
    <w:rsid w:val="00F95A9B"/>
    <w:rsid w:val="00FA2E46"/>
    <w:rsid w:val="00FA5125"/>
    <w:rsid w:val="00FB3E94"/>
    <w:rsid w:val="00FB5DBA"/>
    <w:rsid w:val="00FC4217"/>
    <w:rsid w:val="00FC5603"/>
    <w:rsid w:val="00FC7925"/>
    <w:rsid w:val="00FD2C21"/>
    <w:rsid w:val="00FE25D1"/>
    <w:rsid w:val="00FE3A84"/>
    <w:rsid w:val="00FE4936"/>
    <w:rsid w:val="00FE6830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770C0-7713-451B-B951-D7A995D6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hume.it/societa/piu-tamponi-meno-mort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06C3-53E6-4152-91A7-6A5928E5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4</cp:revision>
  <dcterms:created xsi:type="dcterms:W3CDTF">2020-05-07T07:41:00Z</dcterms:created>
  <dcterms:modified xsi:type="dcterms:W3CDTF">2020-05-07T07:50:00Z</dcterms:modified>
</cp:coreProperties>
</file>