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C313" w14:textId="28AC7E1C" w:rsidR="00B62644" w:rsidRDefault="00526E14" w:rsidP="00B62644">
      <w:pPr>
        <w:spacing w:after="0" w:line="276" w:lineRule="auto"/>
        <w:jc w:val="center"/>
        <w:rPr>
          <w:rFonts w:cs="Calibri"/>
          <w:b/>
          <w:bCs/>
          <w:color w:val="auto"/>
          <w:sz w:val="36"/>
          <w:szCs w:val="36"/>
        </w:rPr>
      </w:pPr>
      <w:r w:rsidRPr="00992CD0">
        <w:rPr>
          <w:rFonts w:cs="Calibri"/>
          <w:b/>
          <w:bCs/>
          <w:color w:val="auto"/>
          <w:sz w:val="36"/>
          <w:szCs w:val="36"/>
        </w:rPr>
        <w:t>COMUNICATO STAMPA</w:t>
      </w:r>
      <w:bookmarkStart w:id="0" w:name="_Hlk140065885"/>
    </w:p>
    <w:p w14:paraId="4E52F5CE" w14:textId="522753CC" w:rsidR="00622BE0" w:rsidRPr="00622BE0" w:rsidRDefault="00CF5DF7" w:rsidP="0068312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Calibri"/>
          <w:b/>
          <w:bCs/>
          <w:color w:val="auto"/>
        </w:rPr>
      </w:pPr>
      <w:bookmarkStart w:id="1" w:name="_Hlk214874885"/>
      <w:r w:rsidRPr="00B017CC">
        <w:rPr>
          <w:rFonts w:cs="Calibri"/>
          <w:b/>
          <w:bCs/>
          <w:color w:val="auto"/>
          <w:sz w:val="34"/>
          <w:szCs w:val="34"/>
        </w:rPr>
        <w:t xml:space="preserve">SANITÀ: IL PUBBLICO ARRETRA, I PRIVATI OCCUPANO GLI SPAZI </w:t>
      </w:r>
      <w:bookmarkStart w:id="2" w:name="_GoBack"/>
      <w:bookmarkEnd w:id="2"/>
      <w:r w:rsidRPr="00B017CC">
        <w:rPr>
          <w:rFonts w:cs="Calibri"/>
          <w:b/>
          <w:bCs/>
          <w:color w:val="auto"/>
          <w:sz w:val="34"/>
          <w:szCs w:val="34"/>
        </w:rPr>
        <w:t>VUOTI</w:t>
      </w:r>
      <w:bookmarkStart w:id="3" w:name="_Hlk144476879"/>
      <w:r w:rsidR="00683123">
        <w:rPr>
          <w:rFonts w:cs="Calibri"/>
          <w:b/>
          <w:bCs/>
          <w:color w:val="auto"/>
          <w:sz w:val="34"/>
          <w:szCs w:val="34"/>
        </w:rPr>
        <w:t>.</w:t>
      </w:r>
      <w:r w:rsidR="008C1AE2" w:rsidRPr="00B017CC">
        <w:rPr>
          <w:rFonts w:eastAsia="Times New Roman" w:cs="Calibri"/>
          <w:b/>
          <w:bCs/>
          <w:color w:val="auto"/>
          <w:sz w:val="34"/>
          <w:szCs w:val="34"/>
          <w:bdr w:val="none" w:sz="0" w:space="0" w:color="auto" w:frame="1"/>
        </w:rPr>
        <w:br/>
      </w:r>
      <w:r w:rsidR="00E878E7" w:rsidRPr="00B017CC">
        <w:rPr>
          <w:rFonts w:eastAsia="Times New Roman" w:cs="Calibri"/>
          <w:b/>
          <w:bCs/>
          <w:color w:val="auto"/>
          <w:sz w:val="34"/>
          <w:szCs w:val="34"/>
          <w:bdr w:val="none" w:sz="0" w:space="0" w:color="auto" w:frame="1"/>
        </w:rPr>
        <w:t xml:space="preserve">SPESA DELLE FAMIGLIE </w:t>
      </w:r>
      <w:r w:rsidR="008C1AE2" w:rsidRPr="00B017CC">
        <w:rPr>
          <w:rFonts w:eastAsia="Times New Roman" w:cs="Calibri"/>
          <w:b/>
          <w:bCs/>
          <w:color w:val="auto"/>
          <w:sz w:val="34"/>
          <w:szCs w:val="34"/>
          <w:bdr w:val="none" w:sz="0" w:space="0" w:color="auto" w:frame="1"/>
        </w:rPr>
        <w:t xml:space="preserve">OLTRE I </w:t>
      </w:r>
      <w:r w:rsidR="00683123">
        <w:rPr>
          <w:rFonts w:eastAsia="Times New Roman" w:cs="Calibri"/>
          <w:b/>
          <w:bCs/>
          <w:color w:val="auto"/>
          <w:sz w:val="34"/>
          <w:szCs w:val="34"/>
          <w:bdr w:val="none" w:sz="0" w:space="0" w:color="auto" w:frame="1"/>
        </w:rPr>
        <w:t xml:space="preserve">€ </w:t>
      </w:r>
      <w:r w:rsidR="008C1AE2" w:rsidRPr="00B017CC">
        <w:rPr>
          <w:rFonts w:eastAsia="Times New Roman" w:cs="Calibri"/>
          <w:b/>
          <w:bCs/>
          <w:color w:val="auto"/>
          <w:sz w:val="34"/>
          <w:szCs w:val="34"/>
          <w:bdr w:val="none" w:sz="0" w:space="0" w:color="auto" w:frame="1"/>
        </w:rPr>
        <w:t>41 MILIARDI</w:t>
      </w:r>
      <w:r w:rsidR="00C63AC6" w:rsidRPr="00B017CC">
        <w:rPr>
          <w:rFonts w:eastAsia="Times New Roman" w:cs="Calibri"/>
          <w:b/>
          <w:bCs/>
          <w:color w:val="auto"/>
          <w:sz w:val="34"/>
          <w:szCs w:val="34"/>
          <w:bdr w:val="none" w:sz="0" w:space="0" w:color="auto" w:frame="1"/>
        </w:rPr>
        <w:t xml:space="preserve"> E</w:t>
      </w:r>
      <w:r w:rsidR="00901ABE" w:rsidRPr="00B017CC">
        <w:rPr>
          <w:rFonts w:eastAsia="Times New Roman" w:cs="Calibri"/>
          <w:b/>
          <w:bCs/>
          <w:color w:val="auto"/>
          <w:sz w:val="34"/>
          <w:szCs w:val="34"/>
          <w:bdr w:val="none" w:sz="0" w:space="0" w:color="auto" w:frame="1"/>
        </w:rPr>
        <w:t xml:space="preserve"> </w:t>
      </w:r>
      <w:r w:rsidR="008C1AE2" w:rsidRPr="00B017CC">
        <w:rPr>
          <w:rFonts w:eastAsia="Times New Roman" w:cs="Calibri"/>
          <w:b/>
          <w:bCs/>
          <w:color w:val="auto"/>
          <w:sz w:val="34"/>
          <w:szCs w:val="34"/>
          <w:bdr w:val="none" w:sz="0" w:space="0" w:color="auto" w:frame="1"/>
        </w:rPr>
        <w:t xml:space="preserve">DAL 2022 AL 2024 +1,7 MILIONI </w:t>
      </w:r>
      <w:r w:rsidR="00B017CC" w:rsidRPr="00B017CC">
        <w:rPr>
          <w:rFonts w:eastAsia="Times New Roman" w:cs="Calibri"/>
          <w:b/>
          <w:bCs/>
          <w:color w:val="auto"/>
          <w:sz w:val="34"/>
          <w:szCs w:val="34"/>
          <w:bdr w:val="none" w:sz="0" w:space="0" w:color="auto" w:frame="1"/>
        </w:rPr>
        <w:t xml:space="preserve">DI PERSONE </w:t>
      </w:r>
      <w:r w:rsidR="00BA1E82" w:rsidRPr="00B017CC">
        <w:rPr>
          <w:rFonts w:eastAsia="Times New Roman" w:cs="Calibri"/>
          <w:b/>
          <w:bCs/>
          <w:color w:val="auto"/>
          <w:sz w:val="34"/>
          <w:szCs w:val="34"/>
          <w:bdr w:val="none" w:sz="0" w:space="0" w:color="auto" w:frame="1"/>
        </w:rPr>
        <w:t>RINUNC</w:t>
      </w:r>
      <w:r w:rsidR="00B017CC" w:rsidRPr="00B017CC">
        <w:rPr>
          <w:rFonts w:eastAsia="Times New Roman" w:cs="Calibri"/>
          <w:b/>
          <w:bCs/>
          <w:color w:val="auto"/>
          <w:sz w:val="34"/>
          <w:szCs w:val="34"/>
          <w:bdr w:val="none" w:sz="0" w:space="0" w:color="auto" w:frame="1"/>
        </w:rPr>
        <w:t xml:space="preserve">IANO </w:t>
      </w:r>
      <w:r w:rsidR="00FD1384" w:rsidRPr="00B017CC">
        <w:rPr>
          <w:rFonts w:eastAsia="Times New Roman" w:cs="Calibri"/>
          <w:b/>
          <w:bCs/>
          <w:color w:val="auto"/>
          <w:sz w:val="34"/>
          <w:szCs w:val="34"/>
          <w:bdr w:val="none" w:sz="0" w:space="0" w:color="auto" w:frame="1"/>
        </w:rPr>
        <w:t>A PRESTAZIONI SANITARIE</w:t>
      </w:r>
      <w:r w:rsidR="00B017CC" w:rsidRPr="00B017CC">
        <w:rPr>
          <w:rFonts w:eastAsia="Times New Roman" w:cs="Calibri"/>
          <w:b/>
          <w:bCs/>
          <w:color w:val="auto"/>
          <w:sz w:val="34"/>
          <w:szCs w:val="34"/>
          <w:bdr w:val="none" w:sz="0" w:space="0" w:color="auto" w:frame="1"/>
        </w:rPr>
        <w:t>.</w:t>
      </w:r>
      <w:r w:rsidR="008C1AE2" w:rsidRPr="00B017CC">
        <w:rPr>
          <w:rFonts w:eastAsia="Times New Roman" w:cs="Calibri"/>
          <w:b/>
          <w:bCs/>
          <w:color w:val="auto"/>
          <w:sz w:val="34"/>
          <w:szCs w:val="34"/>
          <w:bdr w:val="none" w:sz="0" w:space="0" w:color="auto" w:frame="1"/>
        </w:rPr>
        <w:br/>
        <w:t xml:space="preserve">IL PRIVATO </w:t>
      </w:r>
      <w:r w:rsidR="004067C7" w:rsidRPr="00B017CC">
        <w:rPr>
          <w:rFonts w:eastAsia="Times New Roman" w:cs="Calibri"/>
          <w:b/>
          <w:bCs/>
          <w:color w:val="auto"/>
          <w:sz w:val="34"/>
          <w:szCs w:val="34"/>
          <w:bdr w:val="none" w:sz="0" w:space="0" w:color="auto" w:frame="1"/>
        </w:rPr>
        <w:t>CONVENZIONATO</w:t>
      </w:r>
      <w:r w:rsidR="008C1AE2" w:rsidRPr="00B017CC">
        <w:rPr>
          <w:rFonts w:eastAsia="Times New Roman" w:cs="Calibri"/>
          <w:b/>
          <w:bCs/>
          <w:color w:val="auto"/>
          <w:sz w:val="34"/>
          <w:szCs w:val="34"/>
          <w:bdr w:val="none" w:sz="0" w:space="0" w:color="auto" w:frame="1"/>
        </w:rPr>
        <w:t xml:space="preserve"> DOMINA</w:t>
      </w:r>
      <w:r w:rsidR="00BD3EB4" w:rsidRPr="00B017CC">
        <w:rPr>
          <w:rFonts w:eastAsia="Times New Roman" w:cs="Calibri"/>
          <w:b/>
          <w:bCs/>
          <w:color w:val="auto"/>
          <w:sz w:val="34"/>
          <w:szCs w:val="34"/>
          <w:bdr w:val="none" w:sz="0" w:space="0" w:color="auto" w:frame="1"/>
        </w:rPr>
        <w:t xml:space="preserve"> </w:t>
      </w:r>
      <w:r w:rsidR="00856744" w:rsidRPr="00B017CC">
        <w:rPr>
          <w:rFonts w:eastAsia="Times New Roman" w:cs="Calibri"/>
          <w:b/>
          <w:bCs/>
          <w:color w:val="auto"/>
          <w:sz w:val="34"/>
          <w:szCs w:val="34"/>
          <w:bdr w:val="none" w:sz="0" w:space="0" w:color="auto" w:frame="1"/>
        </w:rPr>
        <w:t xml:space="preserve">RSA </w:t>
      </w:r>
      <w:r w:rsidR="00F95286" w:rsidRPr="00B017CC">
        <w:rPr>
          <w:rFonts w:eastAsia="Times New Roman" w:cs="Calibri"/>
          <w:b/>
          <w:bCs/>
          <w:color w:val="auto"/>
          <w:sz w:val="34"/>
          <w:szCs w:val="34"/>
          <w:bdr w:val="none" w:sz="0" w:space="0" w:color="auto" w:frame="1"/>
        </w:rPr>
        <w:t>E RIABILITAZIONE</w:t>
      </w:r>
      <w:r w:rsidR="008C1AE2" w:rsidRPr="00B017CC">
        <w:rPr>
          <w:rFonts w:eastAsia="Times New Roman" w:cs="Calibri"/>
          <w:b/>
          <w:bCs/>
          <w:color w:val="auto"/>
          <w:sz w:val="34"/>
          <w:szCs w:val="34"/>
          <w:bdr w:val="none" w:sz="0" w:space="0" w:color="auto" w:frame="1"/>
        </w:rPr>
        <w:t>, MA MOSTRA SEGNI DI CRISI.</w:t>
      </w:r>
      <w:r w:rsidR="008C1AE2" w:rsidRPr="00B017CC">
        <w:rPr>
          <w:rFonts w:eastAsia="Times New Roman" w:cs="Calibri"/>
          <w:b/>
          <w:bCs/>
          <w:color w:val="auto"/>
          <w:sz w:val="34"/>
          <w:szCs w:val="34"/>
          <w:bdr w:val="none" w:sz="0" w:space="0" w:color="auto" w:frame="1"/>
        </w:rPr>
        <w:br/>
      </w:r>
      <w:r w:rsidRPr="00B017CC">
        <w:rPr>
          <w:rFonts w:eastAsia="Times New Roman" w:cs="Calibri"/>
          <w:b/>
          <w:bCs/>
          <w:color w:val="auto"/>
          <w:sz w:val="34"/>
          <w:szCs w:val="34"/>
          <w:bdr w:val="none" w:sz="0" w:space="0" w:color="auto" w:frame="1"/>
        </w:rPr>
        <w:t>BOOM DEL PRIVATO PURO: IN 7</w:t>
      </w:r>
      <w:r w:rsidR="00BD3EB4" w:rsidRPr="00B017CC">
        <w:rPr>
          <w:rFonts w:eastAsia="Times New Roman" w:cs="Calibri"/>
          <w:b/>
          <w:bCs/>
          <w:color w:val="auto"/>
          <w:sz w:val="34"/>
          <w:szCs w:val="34"/>
          <w:bdr w:val="none" w:sz="0" w:space="0" w:color="auto" w:frame="1"/>
        </w:rPr>
        <w:t xml:space="preserve"> ANNI</w:t>
      </w:r>
      <w:r w:rsidRPr="00B017CC">
        <w:rPr>
          <w:rFonts w:eastAsia="Times New Roman" w:cs="Calibri"/>
          <w:b/>
          <w:bCs/>
          <w:color w:val="auto"/>
          <w:sz w:val="34"/>
          <w:szCs w:val="34"/>
          <w:bdr w:val="none" w:sz="0" w:space="0" w:color="auto" w:frame="1"/>
        </w:rPr>
        <w:t xml:space="preserve"> </w:t>
      </w:r>
      <w:r w:rsidR="00FD1384" w:rsidRPr="00B017CC">
        <w:rPr>
          <w:rFonts w:eastAsia="Times New Roman" w:cs="Calibri"/>
          <w:b/>
          <w:bCs/>
          <w:color w:val="auto"/>
          <w:sz w:val="34"/>
          <w:szCs w:val="34"/>
          <w:bdr w:val="none" w:sz="0" w:space="0" w:color="auto" w:frame="1"/>
        </w:rPr>
        <w:t>+137% DI SPESA OUT-OF-POCKET</w:t>
      </w:r>
      <w:r w:rsidR="00DA7837" w:rsidRPr="00B017CC">
        <w:rPr>
          <w:rFonts w:eastAsia="Times New Roman" w:cs="Calibri"/>
          <w:b/>
          <w:bCs/>
          <w:color w:val="auto"/>
          <w:sz w:val="34"/>
          <w:szCs w:val="34"/>
          <w:bdr w:val="none" w:sz="0" w:space="0" w:color="auto" w:frame="1"/>
        </w:rPr>
        <w:t>.</w:t>
      </w:r>
      <w:r w:rsidR="00FD1384" w:rsidRPr="00B017CC">
        <w:rPr>
          <w:rFonts w:eastAsia="Times New Roman" w:cs="Calibri"/>
          <w:b/>
          <w:bCs/>
          <w:color w:val="auto"/>
          <w:sz w:val="34"/>
          <w:szCs w:val="34"/>
          <w:bdr w:val="none" w:sz="0" w:space="0" w:color="auto" w:frame="1"/>
        </w:rPr>
        <w:t xml:space="preserve"> </w:t>
      </w:r>
      <w:r w:rsidRPr="00B017CC">
        <w:rPr>
          <w:rFonts w:eastAsia="Times New Roman" w:cs="Calibri"/>
          <w:b/>
          <w:bCs/>
          <w:color w:val="auto"/>
          <w:sz w:val="34"/>
          <w:szCs w:val="34"/>
          <w:bdr w:val="none" w:sz="0" w:space="0" w:color="auto" w:frame="1"/>
        </w:rPr>
        <w:br/>
      </w:r>
      <w:r w:rsidR="00856744" w:rsidRPr="00B017CC">
        <w:rPr>
          <w:rFonts w:eastAsia="Times New Roman" w:cs="Calibri"/>
          <w:b/>
          <w:bCs/>
          <w:color w:val="auto"/>
          <w:sz w:val="34"/>
          <w:szCs w:val="34"/>
          <w:bdr w:val="none" w:sz="0" w:space="0" w:color="auto" w:frame="1"/>
        </w:rPr>
        <w:t xml:space="preserve">GIMBE: SERVE UN RIFINANZIAMENTO STABILE PER NON SCIVOLARE IN UNA SANITÀ A DOPPIO BINARIO </w:t>
      </w:r>
      <w:bookmarkEnd w:id="0"/>
      <w:bookmarkEnd w:id="1"/>
      <w:bookmarkEnd w:id="3"/>
      <w:r w:rsidR="00622BE0">
        <w:rPr>
          <w:rFonts w:cs="Calibri"/>
          <w:b/>
          <w:bCs/>
          <w:color w:val="auto"/>
          <w:sz w:val="24"/>
          <w:szCs w:val="24"/>
        </w:rPr>
        <w:tab/>
      </w:r>
    </w:p>
    <w:p w14:paraId="798BB194" w14:textId="39BBA4D6" w:rsidR="00622BE0" w:rsidRPr="00622BE0" w:rsidRDefault="00B27631" w:rsidP="0068312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iCs/>
        </w:rPr>
      </w:pPr>
      <w:r>
        <w:rPr>
          <w:rFonts w:cs="Calibri"/>
          <w:b/>
          <w:bCs/>
          <w:color w:val="auto"/>
          <w:sz w:val="24"/>
          <w:szCs w:val="24"/>
        </w:rPr>
        <w:t>2</w:t>
      </w:r>
      <w:r w:rsidR="004E200C">
        <w:rPr>
          <w:rFonts w:cs="Calibri"/>
          <w:b/>
          <w:bCs/>
          <w:color w:val="auto"/>
          <w:sz w:val="24"/>
          <w:szCs w:val="24"/>
        </w:rPr>
        <w:t>6</w:t>
      </w:r>
      <w:r w:rsidR="005D09C5" w:rsidRPr="00AD7CEF">
        <w:rPr>
          <w:rFonts w:cs="Calibri"/>
          <w:b/>
          <w:bCs/>
          <w:color w:val="auto"/>
          <w:sz w:val="24"/>
          <w:szCs w:val="24"/>
        </w:rPr>
        <w:t xml:space="preserve"> </w:t>
      </w:r>
      <w:r>
        <w:rPr>
          <w:rFonts w:cs="Calibri"/>
          <w:b/>
          <w:bCs/>
          <w:color w:val="auto"/>
          <w:sz w:val="24"/>
          <w:szCs w:val="24"/>
        </w:rPr>
        <w:t>novembre</w:t>
      </w:r>
      <w:r w:rsidR="005D09C5" w:rsidRPr="00AD7CEF">
        <w:rPr>
          <w:rFonts w:cs="Calibri"/>
          <w:b/>
          <w:bCs/>
          <w:color w:val="auto"/>
          <w:sz w:val="24"/>
          <w:szCs w:val="24"/>
        </w:rPr>
        <w:t xml:space="preserve"> 2025 </w:t>
      </w:r>
      <w:r w:rsidR="00526E14" w:rsidRPr="00AD7CEF">
        <w:rPr>
          <w:rFonts w:cs="Calibri"/>
          <w:b/>
          <w:bCs/>
          <w:color w:val="auto"/>
          <w:sz w:val="24"/>
          <w:szCs w:val="24"/>
        </w:rPr>
        <w:t>- Fondazione GIMBE</w:t>
      </w:r>
      <w:r w:rsidR="005C1010">
        <w:rPr>
          <w:rFonts w:cs="Calibri"/>
          <w:b/>
          <w:bCs/>
          <w:color w:val="auto"/>
          <w:sz w:val="24"/>
          <w:szCs w:val="24"/>
        </w:rPr>
        <w:t>, Arezzo</w:t>
      </w:r>
    </w:p>
    <w:p w14:paraId="62F62B0B" w14:textId="4F598D3E" w:rsidR="0084210F" w:rsidRDefault="00174551" w:rsidP="00184AE6">
      <w:pPr>
        <w:pStyle w:val="Testocommento"/>
        <w:spacing w:line="276" w:lineRule="auto"/>
        <w:jc w:val="both"/>
        <w:rPr>
          <w:iCs/>
          <w:sz w:val="22"/>
          <w:szCs w:val="22"/>
        </w:rPr>
      </w:pPr>
      <w:r w:rsidRPr="00184AE6">
        <w:rPr>
          <w:iCs/>
          <w:sz w:val="22"/>
          <w:szCs w:val="22"/>
        </w:rPr>
        <w:t xml:space="preserve">«Non serve cercare un piano </w:t>
      </w:r>
      <w:r w:rsidR="00184AE6" w:rsidRPr="00184AE6">
        <w:rPr>
          <w:iCs/>
          <w:sz w:val="22"/>
          <w:szCs w:val="22"/>
        </w:rPr>
        <w:t xml:space="preserve">occulto </w:t>
      </w:r>
      <w:r w:rsidRPr="00184AE6">
        <w:rPr>
          <w:iCs/>
          <w:sz w:val="22"/>
          <w:szCs w:val="22"/>
        </w:rPr>
        <w:t xml:space="preserve">di smantellamento </w:t>
      </w:r>
      <w:r w:rsidRPr="00184AE6">
        <w:rPr>
          <w:rFonts w:cs="Calibri"/>
          <w:iCs/>
          <w:color w:val="auto"/>
          <w:sz w:val="22"/>
          <w:szCs w:val="22"/>
        </w:rPr>
        <w:t>del Servizio Sanitario Nazionale (SSN)</w:t>
      </w:r>
      <w:r w:rsidRPr="00184AE6">
        <w:rPr>
          <w:iCs/>
          <w:sz w:val="22"/>
          <w:szCs w:val="22"/>
        </w:rPr>
        <w:t xml:space="preserve">: basta leggere i numeri per capire che la privatizzazione della sanità pubblica è già </w:t>
      </w:r>
      <w:r w:rsidR="00FC1B6C">
        <w:rPr>
          <w:iCs/>
          <w:sz w:val="22"/>
          <w:szCs w:val="22"/>
        </w:rPr>
        <w:t>una triste realtà</w:t>
      </w:r>
      <w:r w:rsidRPr="00184AE6">
        <w:rPr>
          <w:iCs/>
          <w:sz w:val="22"/>
          <w:szCs w:val="22"/>
        </w:rPr>
        <w:t xml:space="preserve">». Con queste parole Nino Cartabellotta, </w:t>
      </w:r>
      <w:r w:rsidR="001A6C96" w:rsidRPr="00184AE6">
        <w:rPr>
          <w:iCs/>
          <w:sz w:val="22"/>
          <w:szCs w:val="22"/>
        </w:rPr>
        <w:t xml:space="preserve">Presidente </w:t>
      </w:r>
      <w:r w:rsidRPr="00184AE6">
        <w:rPr>
          <w:iCs/>
          <w:sz w:val="22"/>
          <w:szCs w:val="22"/>
        </w:rPr>
        <w:t>della Fondazione GIMBE, ap</w:t>
      </w:r>
      <w:r w:rsidR="00FC1B6C">
        <w:rPr>
          <w:iCs/>
          <w:sz w:val="22"/>
          <w:szCs w:val="22"/>
        </w:rPr>
        <w:t>re</w:t>
      </w:r>
      <w:r w:rsidRPr="00184AE6">
        <w:rPr>
          <w:iCs/>
          <w:sz w:val="22"/>
          <w:szCs w:val="22"/>
        </w:rPr>
        <w:t xml:space="preserve"> la sua relazione al 20° Forum Risk Management di Arezzo, presentando un’analisi indipendente </w:t>
      </w:r>
      <w:r w:rsidRPr="002D44A2">
        <w:rPr>
          <w:iCs/>
          <w:color w:val="auto"/>
          <w:sz w:val="22"/>
          <w:szCs w:val="22"/>
        </w:rPr>
        <w:t xml:space="preserve">sull’ecosistema dei soggetti privati in sanità </w:t>
      </w:r>
      <w:r w:rsidRPr="00184AE6">
        <w:rPr>
          <w:iCs/>
          <w:sz w:val="22"/>
          <w:szCs w:val="22"/>
        </w:rPr>
        <w:t xml:space="preserve">e </w:t>
      </w:r>
      <w:r w:rsidR="001A6C96" w:rsidRPr="00184AE6">
        <w:rPr>
          <w:iCs/>
          <w:sz w:val="22"/>
          <w:szCs w:val="22"/>
        </w:rPr>
        <w:t>su</w:t>
      </w:r>
      <w:r w:rsidR="00E370EB">
        <w:rPr>
          <w:iCs/>
          <w:sz w:val="22"/>
          <w:szCs w:val="22"/>
        </w:rPr>
        <w:t xml:space="preserve">lla </w:t>
      </w:r>
      <w:r w:rsidRPr="00184AE6">
        <w:rPr>
          <w:iCs/>
          <w:sz w:val="22"/>
          <w:szCs w:val="22"/>
        </w:rPr>
        <w:t xml:space="preserve">privatizzazione </w:t>
      </w:r>
      <w:r w:rsidR="00B73793">
        <w:rPr>
          <w:iCs/>
          <w:sz w:val="22"/>
          <w:szCs w:val="22"/>
        </w:rPr>
        <w:t xml:space="preserve">strisciante </w:t>
      </w:r>
      <w:r w:rsidRPr="00184AE6">
        <w:rPr>
          <w:iCs/>
          <w:sz w:val="22"/>
          <w:szCs w:val="22"/>
        </w:rPr>
        <w:t xml:space="preserve">del SSN. </w:t>
      </w:r>
      <w:r w:rsidR="00BF5464">
        <w:rPr>
          <w:iCs/>
          <w:sz w:val="22"/>
          <w:szCs w:val="22"/>
        </w:rPr>
        <w:t>L’analisi documenta</w:t>
      </w:r>
      <w:r w:rsidR="00BF5464" w:rsidRPr="00184AE6">
        <w:rPr>
          <w:iCs/>
          <w:sz w:val="22"/>
          <w:szCs w:val="22"/>
        </w:rPr>
        <w:t xml:space="preserve"> </w:t>
      </w:r>
      <w:r w:rsidR="00B73793">
        <w:rPr>
          <w:iCs/>
          <w:sz w:val="22"/>
          <w:szCs w:val="22"/>
        </w:rPr>
        <w:t>che</w:t>
      </w:r>
      <w:r w:rsidR="00184AE6">
        <w:rPr>
          <w:iCs/>
          <w:sz w:val="22"/>
          <w:szCs w:val="22"/>
        </w:rPr>
        <w:t xml:space="preserve"> </w:t>
      </w:r>
      <w:r w:rsidRPr="00184AE6">
        <w:rPr>
          <w:iCs/>
          <w:sz w:val="22"/>
          <w:szCs w:val="22"/>
        </w:rPr>
        <w:t xml:space="preserve">il </w:t>
      </w:r>
      <w:r w:rsidR="00184AE6" w:rsidRPr="00184AE6">
        <w:rPr>
          <w:iCs/>
          <w:sz w:val="22"/>
          <w:szCs w:val="22"/>
        </w:rPr>
        <w:t xml:space="preserve">progressivo indebolimento </w:t>
      </w:r>
      <w:r w:rsidR="0084210F">
        <w:rPr>
          <w:iCs/>
          <w:sz w:val="22"/>
          <w:szCs w:val="22"/>
        </w:rPr>
        <w:t>della sanità pubblica</w:t>
      </w:r>
      <w:r w:rsidRPr="00184AE6">
        <w:rPr>
          <w:iCs/>
          <w:sz w:val="22"/>
          <w:szCs w:val="22"/>
        </w:rPr>
        <w:t xml:space="preserve"> </w:t>
      </w:r>
      <w:r w:rsidR="00BF5464">
        <w:rPr>
          <w:iCs/>
          <w:sz w:val="22"/>
          <w:szCs w:val="22"/>
        </w:rPr>
        <w:t>lascia</w:t>
      </w:r>
      <w:r w:rsidR="00184AE6" w:rsidRPr="00184AE6">
        <w:rPr>
          <w:iCs/>
          <w:sz w:val="22"/>
          <w:szCs w:val="22"/>
        </w:rPr>
        <w:t xml:space="preserve"> sempre più spazio </w:t>
      </w:r>
      <w:r w:rsidR="00D67C0E">
        <w:rPr>
          <w:iCs/>
          <w:sz w:val="22"/>
          <w:szCs w:val="22"/>
        </w:rPr>
        <w:t>a</w:t>
      </w:r>
      <w:r w:rsidR="00B73793">
        <w:rPr>
          <w:iCs/>
          <w:sz w:val="22"/>
          <w:szCs w:val="22"/>
        </w:rPr>
        <w:t>ll’</w:t>
      </w:r>
      <w:r w:rsidR="00BF5464">
        <w:rPr>
          <w:iCs/>
          <w:sz w:val="22"/>
          <w:szCs w:val="22"/>
        </w:rPr>
        <w:t xml:space="preserve">espansione </w:t>
      </w:r>
      <w:r w:rsidRPr="00184AE6">
        <w:rPr>
          <w:iCs/>
          <w:sz w:val="22"/>
          <w:szCs w:val="22"/>
        </w:rPr>
        <w:t xml:space="preserve">silenziosa </w:t>
      </w:r>
      <w:r w:rsidR="00BF5464">
        <w:rPr>
          <w:iCs/>
          <w:sz w:val="22"/>
          <w:szCs w:val="22"/>
        </w:rPr>
        <w:t>d</w:t>
      </w:r>
      <w:r w:rsidR="00FC1B6C">
        <w:rPr>
          <w:iCs/>
          <w:sz w:val="22"/>
          <w:szCs w:val="22"/>
        </w:rPr>
        <w:t xml:space="preserve">i una </w:t>
      </w:r>
      <w:r w:rsidR="002D44A2">
        <w:rPr>
          <w:iCs/>
          <w:sz w:val="22"/>
          <w:szCs w:val="22"/>
        </w:rPr>
        <w:t xml:space="preserve">moltitudine </w:t>
      </w:r>
      <w:r w:rsidR="00FC1B6C">
        <w:rPr>
          <w:iCs/>
          <w:sz w:val="22"/>
          <w:szCs w:val="22"/>
        </w:rPr>
        <w:t xml:space="preserve">di </w:t>
      </w:r>
      <w:r w:rsidR="009259F3">
        <w:rPr>
          <w:iCs/>
          <w:color w:val="auto"/>
          <w:sz w:val="22"/>
          <w:szCs w:val="22"/>
        </w:rPr>
        <w:t>attori</w:t>
      </w:r>
      <w:r w:rsidR="009259F3" w:rsidRPr="002D44A2">
        <w:rPr>
          <w:iCs/>
          <w:color w:val="auto"/>
          <w:sz w:val="22"/>
          <w:szCs w:val="22"/>
        </w:rPr>
        <w:t xml:space="preserve"> </w:t>
      </w:r>
      <w:r w:rsidR="00BF5464">
        <w:rPr>
          <w:iCs/>
          <w:sz w:val="22"/>
          <w:szCs w:val="22"/>
        </w:rPr>
        <w:t>privat</w:t>
      </w:r>
      <w:r w:rsidR="00FC1B6C">
        <w:rPr>
          <w:iCs/>
          <w:sz w:val="22"/>
          <w:szCs w:val="22"/>
        </w:rPr>
        <w:t>i</w:t>
      </w:r>
      <w:r w:rsidR="00262E81">
        <w:rPr>
          <w:iCs/>
          <w:sz w:val="22"/>
          <w:szCs w:val="22"/>
        </w:rPr>
        <w:t xml:space="preserve">, </w:t>
      </w:r>
      <w:r w:rsidR="00FC1B6C">
        <w:rPr>
          <w:iCs/>
          <w:sz w:val="22"/>
          <w:szCs w:val="22"/>
        </w:rPr>
        <w:t xml:space="preserve">spesso </w:t>
      </w:r>
      <w:r w:rsidR="00BF5464">
        <w:rPr>
          <w:iCs/>
          <w:sz w:val="22"/>
          <w:szCs w:val="22"/>
        </w:rPr>
        <w:t>identificat</w:t>
      </w:r>
      <w:r w:rsidR="00FC1B6C">
        <w:rPr>
          <w:iCs/>
          <w:sz w:val="22"/>
          <w:szCs w:val="22"/>
        </w:rPr>
        <w:t>i</w:t>
      </w:r>
      <w:r w:rsidR="00BF5464">
        <w:rPr>
          <w:iCs/>
          <w:sz w:val="22"/>
          <w:szCs w:val="22"/>
        </w:rPr>
        <w:t xml:space="preserve"> </w:t>
      </w:r>
      <w:r w:rsidR="004D2BB2">
        <w:rPr>
          <w:iCs/>
          <w:sz w:val="22"/>
          <w:szCs w:val="22"/>
        </w:rPr>
        <w:t xml:space="preserve">erroneamente </w:t>
      </w:r>
      <w:r w:rsidR="00262E81">
        <w:rPr>
          <w:iCs/>
          <w:sz w:val="22"/>
          <w:szCs w:val="22"/>
        </w:rPr>
        <w:t>con le</w:t>
      </w:r>
      <w:r w:rsidR="00BF5464">
        <w:rPr>
          <w:iCs/>
          <w:sz w:val="22"/>
          <w:szCs w:val="22"/>
        </w:rPr>
        <w:t xml:space="preserve"> </w:t>
      </w:r>
      <w:r w:rsidR="00377CFE">
        <w:rPr>
          <w:iCs/>
          <w:sz w:val="22"/>
          <w:szCs w:val="22"/>
        </w:rPr>
        <w:t xml:space="preserve">sole </w:t>
      </w:r>
      <w:r w:rsidR="00262E81">
        <w:rPr>
          <w:iCs/>
          <w:sz w:val="22"/>
          <w:szCs w:val="22"/>
        </w:rPr>
        <w:t>strutture private accreditate.</w:t>
      </w:r>
    </w:p>
    <w:p w14:paraId="6C23A183" w14:textId="3F73F7ED" w:rsidR="006161D2" w:rsidRPr="00B1439F" w:rsidRDefault="0015187E" w:rsidP="00D21B11">
      <w:pPr>
        <w:pStyle w:val="Testocommento"/>
        <w:spacing w:line="276" w:lineRule="auto"/>
        <w:jc w:val="both"/>
        <w:rPr>
          <w:iCs/>
          <w:sz w:val="22"/>
          <w:szCs w:val="22"/>
        </w:rPr>
      </w:pPr>
      <w:r w:rsidRPr="00CF5DF7">
        <w:rPr>
          <w:iCs/>
          <w:sz w:val="22"/>
          <w:szCs w:val="22"/>
        </w:rPr>
        <w:t>«</w:t>
      </w:r>
      <w:r w:rsidR="009259F3">
        <w:rPr>
          <w:iCs/>
          <w:sz w:val="22"/>
          <w:szCs w:val="22"/>
        </w:rPr>
        <w:t>I</w:t>
      </w:r>
      <w:r w:rsidR="00B1439F" w:rsidRPr="00CF5DF7">
        <w:rPr>
          <w:iCs/>
          <w:sz w:val="22"/>
          <w:szCs w:val="22"/>
        </w:rPr>
        <w:t xml:space="preserve">l termine “privato” in sanità </w:t>
      </w:r>
      <w:r w:rsidRPr="00CF5DF7">
        <w:rPr>
          <w:iCs/>
          <w:sz w:val="22"/>
          <w:szCs w:val="22"/>
        </w:rPr>
        <w:t xml:space="preserve">– spiega Cartabellotta – </w:t>
      </w:r>
      <w:r w:rsidR="00B1439F" w:rsidRPr="00CF5DF7">
        <w:rPr>
          <w:iCs/>
          <w:sz w:val="22"/>
          <w:szCs w:val="22"/>
        </w:rPr>
        <w:t xml:space="preserve">viene </w:t>
      </w:r>
      <w:r w:rsidR="006161D2" w:rsidRPr="00CF5DF7">
        <w:rPr>
          <w:iCs/>
          <w:sz w:val="22"/>
          <w:szCs w:val="22"/>
        </w:rPr>
        <w:t>utilizzato per indicare tutti</w:t>
      </w:r>
      <w:r w:rsidR="00B1439F" w:rsidRPr="00CF5DF7">
        <w:rPr>
          <w:iCs/>
          <w:sz w:val="22"/>
          <w:szCs w:val="22"/>
        </w:rPr>
        <w:t xml:space="preserve"> gli </w:t>
      </w:r>
      <w:r w:rsidR="004D2BB2" w:rsidRPr="00CF5DF7">
        <w:rPr>
          <w:iCs/>
          <w:color w:val="auto"/>
          <w:sz w:val="22"/>
          <w:szCs w:val="22"/>
        </w:rPr>
        <w:t xml:space="preserve">attori </w:t>
      </w:r>
      <w:r w:rsidRPr="00CF5DF7">
        <w:rPr>
          <w:iCs/>
          <w:color w:val="auto"/>
          <w:sz w:val="22"/>
          <w:szCs w:val="22"/>
        </w:rPr>
        <w:t xml:space="preserve">coinvolti </w:t>
      </w:r>
      <w:r w:rsidRPr="00CF5DF7">
        <w:rPr>
          <w:iCs/>
          <w:sz w:val="22"/>
          <w:szCs w:val="22"/>
        </w:rPr>
        <w:t>nel finanziamento, rimborso, programmazione ed erogazione di servizi e prestazioni sanitarie e socio-sanitarie</w:t>
      </w:r>
      <w:r w:rsidR="00B1439F" w:rsidRPr="00CF5DF7">
        <w:rPr>
          <w:iCs/>
          <w:sz w:val="22"/>
          <w:szCs w:val="22"/>
        </w:rPr>
        <w:t xml:space="preserve">. </w:t>
      </w:r>
      <w:r w:rsidRPr="00CF5DF7">
        <w:rPr>
          <w:iCs/>
          <w:sz w:val="22"/>
          <w:szCs w:val="22"/>
        </w:rPr>
        <w:t xml:space="preserve"> </w:t>
      </w:r>
      <w:r w:rsidR="00B1439F" w:rsidRPr="00CF5DF7">
        <w:rPr>
          <w:iCs/>
          <w:sz w:val="22"/>
          <w:szCs w:val="22"/>
        </w:rPr>
        <w:t>Ma</w:t>
      </w:r>
      <w:r w:rsidR="009259F3">
        <w:rPr>
          <w:iCs/>
          <w:sz w:val="22"/>
          <w:szCs w:val="22"/>
        </w:rPr>
        <w:t xml:space="preserve"> oggi,</w:t>
      </w:r>
      <w:r w:rsidR="00B1439F" w:rsidRPr="00CF5DF7">
        <w:rPr>
          <w:iCs/>
          <w:sz w:val="22"/>
          <w:szCs w:val="22"/>
        </w:rPr>
        <w:t xml:space="preserve"> </w:t>
      </w:r>
      <w:r w:rsidR="006161D2" w:rsidRPr="00CF5DF7">
        <w:rPr>
          <w:iCs/>
          <w:sz w:val="22"/>
          <w:szCs w:val="22"/>
        </w:rPr>
        <w:t>sotto un’unica etichetta</w:t>
      </w:r>
      <w:r w:rsidR="009259F3">
        <w:rPr>
          <w:iCs/>
          <w:sz w:val="22"/>
          <w:szCs w:val="22"/>
        </w:rPr>
        <w:t>,</w:t>
      </w:r>
      <w:r w:rsidR="006161D2" w:rsidRPr="00CF5DF7">
        <w:rPr>
          <w:iCs/>
          <w:sz w:val="22"/>
          <w:szCs w:val="22"/>
        </w:rPr>
        <w:t xml:space="preserve"> convivono realtà molto </w:t>
      </w:r>
      <w:r w:rsidR="009259F3">
        <w:rPr>
          <w:iCs/>
          <w:sz w:val="22"/>
          <w:szCs w:val="22"/>
        </w:rPr>
        <w:t>differenti</w:t>
      </w:r>
      <w:r w:rsidR="006161D2" w:rsidRPr="00CF5DF7">
        <w:rPr>
          <w:iCs/>
          <w:sz w:val="22"/>
          <w:szCs w:val="22"/>
        </w:rPr>
        <w:t xml:space="preserve">, con </w:t>
      </w:r>
      <w:r w:rsidR="00532767" w:rsidRPr="00CF5DF7">
        <w:rPr>
          <w:iCs/>
          <w:sz w:val="22"/>
          <w:szCs w:val="22"/>
        </w:rPr>
        <w:t xml:space="preserve">attitudini </w:t>
      </w:r>
      <w:r w:rsidR="006161D2" w:rsidRPr="00CF5DF7">
        <w:rPr>
          <w:iCs/>
          <w:sz w:val="22"/>
          <w:szCs w:val="22"/>
        </w:rPr>
        <w:t xml:space="preserve">altrettanto </w:t>
      </w:r>
      <w:r w:rsidR="00532767" w:rsidRPr="00CF5DF7">
        <w:rPr>
          <w:iCs/>
          <w:sz w:val="22"/>
          <w:szCs w:val="22"/>
        </w:rPr>
        <w:t>diverse nel</w:t>
      </w:r>
      <w:r w:rsidR="00CF5DF7" w:rsidRPr="00CF5DF7">
        <w:rPr>
          <w:iCs/>
          <w:sz w:val="22"/>
          <w:szCs w:val="22"/>
        </w:rPr>
        <w:t xml:space="preserve"> mantenere l’equilibrio tra </w:t>
      </w:r>
      <w:r w:rsidR="00D21B11" w:rsidRPr="00CF5DF7">
        <w:rPr>
          <w:iCs/>
          <w:sz w:val="22"/>
          <w:szCs w:val="22"/>
        </w:rPr>
        <w:t xml:space="preserve">generazione di </w:t>
      </w:r>
      <w:r w:rsidRPr="00CF5DF7">
        <w:rPr>
          <w:iCs/>
          <w:sz w:val="22"/>
          <w:szCs w:val="22"/>
        </w:rPr>
        <w:t>profitti</w:t>
      </w:r>
      <w:r w:rsidR="00CF5DF7" w:rsidRPr="00CF5DF7">
        <w:rPr>
          <w:iCs/>
          <w:sz w:val="22"/>
          <w:szCs w:val="22"/>
        </w:rPr>
        <w:t xml:space="preserve"> e </w:t>
      </w:r>
      <w:r w:rsidR="00532767" w:rsidRPr="00CF5DF7">
        <w:rPr>
          <w:iCs/>
          <w:sz w:val="22"/>
          <w:szCs w:val="22"/>
        </w:rPr>
        <w:t>tutela della salute</w:t>
      </w:r>
      <w:r w:rsidRPr="00CF5DF7">
        <w:rPr>
          <w:iCs/>
          <w:sz w:val="22"/>
          <w:szCs w:val="22"/>
        </w:rPr>
        <w:t>».</w:t>
      </w:r>
      <w:r w:rsidRPr="0015187E">
        <w:rPr>
          <w:iCs/>
          <w:sz w:val="22"/>
          <w:szCs w:val="22"/>
        </w:rPr>
        <w:t xml:space="preserve"> </w:t>
      </w:r>
      <w:r>
        <w:rPr>
          <w:iCs/>
          <w:sz w:val="22"/>
          <w:szCs w:val="22"/>
        </w:rPr>
        <w:t xml:space="preserve">La Fondazione GIMBE </w:t>
      </w:r>
      <w:r w:rsidR="00463698">
        <w:rPr>
          <w:iCs/>
          <w:sz w:val="22"/>
          <w:szCs w:val="22"/>
        </w:rPr>
        <w:t>indica</w:t>
      </w:r>
      <w:r>
        <w:rPr>
          <w:iCs/>
          <w:sz w:val="22"/>
          <w:szCs w:val="22"/>
        </w:rPr>
        <w:t xml:space="preserve"> </w:t>
      </w:r>
      <w:r w:rsidRPr="0015187E">
        <w:rPr>
          <w:iCs/>
          <w:sz w:val="22"/>
          <w:szCs w:val="22"/>
        </w:rPr>
        <w:t xml:space="preserve">quattro </w:t>
      </w:r>
      <w:r w:rsidR="006B1D23">
        <w:rPr>
          <w:iCs/>
          <w:sz w:val="22"/>
          <w:szCs w:val="22"/>
        </w:rPr>
        <w:t>macro-</w:t>
      </w:r>
      <w:r w:rsidRPr="0015187E">
        <w:rPr>
          <w:iCs/>
          <w:sz w:val="22"/>
          <w:szCs w:val="22"/>
        </w:rPr>
        <w:t xml:space="preserve">categorie di </w:t>
      </w:r>
      <w:r w:rsidRPr="002D44A2">
        <w:rPr>
          <w:iCs/>
          <w:color w:val="auto"/>
          <w:sz w:val="22"/>
          <w:szCs w:val="22"/>
        </w:rPr>
        <w:t xml:space="preserve">soggetti </w:t>
      </w:r>
      <w:r w:rsidRPr="0015187E">
        <w:rPr>
          <w:iCs/>
          <w:sz w:val="22"/>
          <w:szCs w:val="22"/>
        </w:rPr>
        <w:t xml:space="preserve">privati: erogatori che forniscono servizi e prestazioni sanitarie e socio-sanitarie; investitori che immettono capitali con finalità di sviluppo </w:t>
      </w:r>
      <w:r w:rsidR="00820B56">
        <w:rPr>
          <w:iCs/>
          <w:sz w:val="22"/>
          <w:szCs w:val="22"/>
        </w:rPr>
        <w:t xml:space="preserve">del settore </w:t>
      </w:r>
      <w:r w:rsidR="00FC1B6C">
        <w:rPr>
          <w:iCs/>
          <w:sz w:val="22"/>
          <w:szCs w:val="22"/>
        </w:rPr>
        <w:t xml:space="preserve">e di </w:t>
      </w:r>
      <w:r w:rsidR="0080178D">
        <w:rPr>
          <w:iCs/>
          <w:sz w:val="22"/>
          <w:szCs w:val="22"/>
        </w:rPr>
        <w:t>produzione di utili</w:t>
      </w:r>
      <w:r w:rsidRPr="0015187E">
        <w:rPr>
          <w:iCs/>
          <w:sz w:val="22"/>
          <w:szCs w:val="22"/>
        </w:rPr>
        <w:t xml:space="preserve">; terzi paganti </w:t>
      </w:r>
      <w:r w:rsidR="00AE776F">
        <w:rPr>
          <w:iCs/>
          <w:sz w:val="22"/>
          <w:szCs w:val="22"/>
        </w:rPr>
        <w:t xml:space="preserve">(fondi sanitari, assicurazioni, etc.) </w:t>
      </w:r>
      <w:r w:rsidRPr="0015187E">
        <w:rPr>
          <w:iCs/>
          <w:sz w:val="22"/>
          <w:szCs w:val="22"/>
        </w:rPr>
        <w:t xml:space="preserve">che svolgono la funzione di </w:t>
      </w:r>
      <w:r w:rsidR="005C133E" w:rsidRPr="0015187E">
        <w:rPr>
          <w:iCs/>
          <w:sz w:val="22"/>
          <w:szCs w:val="22"/>
        </w:rPr>
        <w:t>paga</w:t>
      </w:r>
      <w:r w:rsidR="005C133E">
        <w:rPr>
          <w:iCs/>
          <w:sz w:val="22"/>
          <w:szCs w:val="22"/>
        </w:rPr>
        <w:t xml:space="preserve">tore </w:t>
      </w:r>
      <w:r w:rsidRPr="0015187E">
        <w:rPr>
          <w:iCs/>
          <w:sz w:val="22"/>
          <w:szCs w:val="22"/>
        </w:rPr>
        <w:t xml:space="preserve">intermedio tra erogatori e </w:t>
      </w:r>
      <w:r w:rsidR="005C133E">
        <w:rPr>
          <w:iCs/>
          <w:sz w:val="22"/>
          <w:szCs w:val="22"/>
        </w:rPr>
        <w:t>cittadini</w:t>
      </w:r>
      <w:r w:rsidRPr="0015187E">
        <w:rPr>
          <w:iCs/>
          <w:sz w:val="22"/>
          <w:szCs w:val="22"/>
        </w:rPr>
        <w:t xml:space="preserve">; </w:t>
      </w:r>
      <w:r w:rsidR="00093476" w:rsidRPr="002D44A2">
        <w:rPr>
          <w:iCs/>
          <w:color w:val="auto"/>
          <w:sz w:val="22"/>
          <w:szCs w:val="22"/>
        </w:rPr>
        <w:t xml:space="preserve">realtà </w:t>
      </w:r>
      <w:r w:rsidRPr="0015187E">
        <w:rPr>
          <w:iCs/>
          <w:sz w:val="22"/>
          <w:szCs w:val="22"/>
        </w:rPr>
        <w:t xml:space="preserve">che stipulano partenariati </w:t>
      </w:r>
      <w:r w:rsidR="005C133E" w:rsidRPr="0015187E">
        <w:rPr>
          <w:iCs/>
          <w:sz w:val="22"/>
          <w:szCs w:val="22"/>
        </w:rPr>
        <w:t>pubblico</w:t>
      </w:r>
      <w:r w:rsidR="005C133E">
        <w:rPr>
          <w:iCs/>
          <w:sz w:val="22"/>
          <w:szCs w:val="22"/>
        </w:rPr>
        <w:t>-</w:t>
      </w:r>
      <w:r w:rsidRPr="0015187E">
        <w:rPr>
          <w:iCs/>
          <w:sz w:val="22"/>
          <w:szCs w:val="22"/>
        </w:rPr>
        <w:t xml:space="preserve">privato (PPP) con </w:t>
      </w:r>
      <w:r w:rsidR="005C133E">
        <w:rPr>
          <w:iCs/>
          <w:sz w:val="22"/>
          <w:szCs w:val="22"/>
        </w:rPr>
        <w:t>Aziende Sanitarie</w:t>
      </w:r>
      <w:r w:rsidR="00FC1B6C">
        <w:rPr>
          <w:iCs/>
          <w:sz w:val="22"/>
          <w:szCs w:val="22"/>
        </w:rPr>
        <w:t xml:space="preserve">, </w:t>
      </w:r>
      <w:r w:rsidRPr="0015187E">
        <w:rPr>
          <w:iCs/>
          <w:sz w:val="22"/>
          <w:szCs w:val="22"/>
        </w:rPr>
        <w:t>Regioni</w:t>
      </w:r>
      <w:r w:rsidR="00093476">
        <w:rPr>
          <w:iCs/>
          <w:sz w:val="22"/>
          <w:szCs w:val="22"/>
        </w:rPr>
        <w:t xml:space="preserve"> e altri enti.</w:t>
      </w:r>
      <w:r w:rsidRPr="0015187E">
        <w:rPr>
          <w:iCs/>
          <w:sz w:val="22"/>
          <w:szCs w:val="22"/>
        </w:rPr>
        <w:t xml:space="preserve"> </w:t>
      </w:r>
      <w:r w:rsidR="002D44A2">
        <w:rPr>
          <w:iCs/>
          <w:sz w:val="22"/>
          <w:szCs w:val="22"/>
        </w:rPr>
        <w:t xml:space="preserve">Ciascun </w:t>
      </w:r>
      <w:r w:rsidR="00FC1B6C" w:rsidRPr="002D44A2">
        <w:rPr>
          <w:iCs/>
          <w:color w:val="auto"/>
          <w:sz w:val="22"/>
          <w:szCs w:val="22"/>
        </w:rPr>
        <w:t>soggetto</w:t>
      </w:r>
      <w:r w:rsidRPr="002D44A2">
        <w:rPr>
          <w:iCs/>
          <w:color w:val="auto"/>
          <w:sz w:val="22"/>
          <w:szCs w:val="22"/>
        </w:rPr>
        <w:t xml:space="preserve"> </w:t>
      </w:r>
      <w:r w:rsidR="004D2BB2">
        <w:rPr>
          <w:iCs/>
          <w:color w:val="auto"/>
          <w:sz w:val="22"/>
          <w:szCs w:val="22"/>
        </w:rPr>
        <w:t xml:space="preserve">privato </w:t>
      </w:r>
      <w:r w:rsidRPr="002D44A2">
        <w:rPr>
          <w:iCs/>
          <w:color w:val="auto"/>
          <w:sz w:val="22"/>
          <w:szCs w:val="22"/>
        </w:rPr>
        <w:t xml:space="preserve">può </w:t>
      </w:r>
      <w:r w:rsidR="00FC1B6C" w:rsidRPr="002D44A2">
        <w:rPr>
          <w:iCs/>
          <w:color w:val="auto"/>
          <w:sz w:val="22"/>
          <w:szCs w:val="22"/>
        </w:rPr>
        <w:t xml:space="preserve">avere </w:t>
      </w:r>
      <w:r w:rsidRPr="002D44A2">
        <w:rPr>
          <w:iCs/>
          <w:color w:val="auto"/>
          <w:sz w:val="22"/>
          <w:szCs w:val="22"/>
        </w:rPr>
        <w:t>natura</w:t>
      </w:r>
      <w:r w:rsidR="004163E9" w:rsidRPr="002D44A2">
        <w:rPr>
          <w:iCs/>
          <w:color w:val="auto"/>
          <w:sz w:val="22"/>
          <w:szCs w:val="22"/>
        </w:rPr>
        <w:t xml:space="preserve"> giuridica profit o non-profit</w:t>
      </w:r>
      <w:r w:rsidR="0080178D">
        <w:rPr>
          <w:iCs/>
          <w:color w:val="auto"/>
          <w:sz w:val="22"/>
          <w:szCs w:val="22"/>
        </w:rPr>
        <w:t>: questi ultimi</w:t>
      </w:r>
      <w:r w:rsidR="00463698">
        <w:rPr>
          <w:iCs/>
          <w:color w:val="auto"/>
          <w:sz w:val="22"/>
          <w:szCs w:val="22"/>
        </w:rPr>
        <w:t>,</w:t>
      </w:r>
      <w:r w:rsidR="0080178D">
        <w:rPr>
          <w:iCs/>
          <w:color w:val="auto"/>
          <w:sz w:val="22"/>
          <w:szCs w:val="22"/>
        </w:rPr>
        <w:t xml:space="preserve"> se non </w:t>
      </w:r>
      <w:r w:rsidR="00093476">
        <w:rPr>
          <w:iCs/>
          <w:color w:val="auto"/>
          <w:sz w:val="22"/>
          <w:szCs w:val="22"/>
        </w:rPr>
        <w:t>rappresentan</w:t>
      </w:r>
      <w:r w:rsidR="0080178D">
        <w:rPr>
          <w:iCs/>
          <w:color w:val="auto"/>
          <w:sz w:val="22"/>
          <w:szCs w:val="22"/>
        </w:rPr>
        <w:t xml:space="preserve">o </w:t>
      </w:r>
      <w:r w:rsidR="00B73793" w:rsidRPr="002D44A2">
        <w:rPr>
          <w:iCs/>
          <w:color w:val="auto"/>
          <w:sz w:val="22"/>
          <w:szCs w:val="22"/>
        </w:rPr>
        <w:t>una minaccia per il SSN,</w:t>
      </w:r>
      <w:r w:rsidR="00B1439F">
        <w:rPr>
          <w:iCs/>
          <w:color w:val="auto"/>
          <w:sz w:val="22"/>
          <w:szCs w:val="22"/>
        </w:rPr>
        <w:t xml:space="preserve"> </w:t>
      </w:r>
      <w:r w:rsidR="0080178D">
        <w:rPr>
          <w:iCs/>
          <w:color w:val="auto"/>
          <w:sz w:val="22"/>
          <w:szCs w:val="22"/>
        </w:rPr>
        <w:t xml:space="preserve">nella percezione pubblica </w:t>
      </w:r>
      <w:r w:rsidR="00463698">
        <w:rPr>
          <w:iCs/>
          <w:color w:val="auto"/>
          <w:sz w:val="22"/>
          <w:szCs w:val="22"/>
        </w:rPr>
        <w:t xml:space="preserve">finiscono per essere </w:t>
      </w:r>
      <w:r w:rsidR="0080178D">
        <w:rPr>
          <w:iCs/>
          <w:color w:val="auto"/>
          <w:sz w:val="22"/>
          <w:szCs w:val="22"/>
        </w:rPr>
        <w:t xml:space="preserve">considerati </w:t>
      </w:r>
      <w:r w:rsidR="00463698">
        <w:rPr>
          <w:iCs/>
          <w:color w:val="auto"/>
          <w:sz w:val="22"/>
          <w:szCs w:val="22"/>
        </w:rPr>
        <w:t>alla stregua di</w:t>
      </w:r>
      <w:r w:rsidR="00DA62D4">
        <w:rPr>
          <w:iCs/>
          <w:color w:val="auto"/>
          <w:sz w:val="22"/>
          <w:szCs w:val="22"/>
        </w:rPr>
        <w:t xml:space="preserve"> attori</w:t>
      </w:r>
      <w:r w:rsidR="00093476">
        <w:rPr>
          <w:iCs/>
          <w:sz w:val="22"/>
          <w:szCs w:val="22"/>
        </w:rPr>
        <w:t xml:space="preserve"> </w:t>
      </w:r>
      <w:r w:rsidR="00B73793">
        <w:rPr>
          <w:iCs/>
          <w:sz w:val="22"/>
          <w:szCs w:val="22"/>
        </w:rPr>
        <w:t>privati con elevat</w:t>
      </w:r>
      <w:r w:rsidR="00FC1B6C">
        <w:rPr>
          <w:iCs/>
          <w:sz w:val="22"/>
          <w:szCs w:val="22"/>
        </w:rPr>
        <w:t xml:space="preserve">a propensione </w:t>
      </w:r>
      <w:r w:rsidR="00B73793">
        <w:rPr>
          <w:iCs/>
          <w:sz w:val="22"/>
          <w:szCs w:val="22"/>
        </w:rPr>
        <w:t>a</w:t>
      </w:r>
      <w:r w:rsidR="00DA62D4">
        <w:rPr>
          <w:iCs/>
          <w:sz w:val="22"/>
          <w:szCs w:val="22"/>
        </w:rPr>
        <w:t>i</w:t>
      </w:r>
      <w:r w:rsidR="00B73793">
        <w:rPr>
          <w:iCs/>
          <w:sz w:val="22"/>
          <w:szCs w:val="22"/>
        </w:rPr>
        <w:t xml:space="preserve"> profitt</w:t>
      </w:r>
      <w:r w:rsidR="00DA62D4">
        <w:rPr>
          <w:iCs/>
          <w:sz w:val="22"/>
          <w:szCs w:val="22"/>
        </w:rPr>
        <w:t>i</w:t>
      </w:r>
      <w:r w:rsidR="00174551" w:rsidRPr="00184AE6">
        <w:rPr>
          <w:iCs/>
          <w:sz w:val="22"/>
          <w:szCs w:val="22"/>
        </w:rPr>
        <w:t xml:space="preserve"> </w:t>
      </w:r>
      <w:r>
        <w:rPr>
          <w:iCs/>
          <w:sz w:val="22"/>
          <w:szCs w:val="22"/>
        </w:rPr>
        <w:t>(</w:t>
      </w:r>
      <w:r w:rsidRPr="0015187E">
        <w:rPr>
          <w:iCs/>
          <w:sz w:val="22"/>
          <w:szCs w:val="22"/>
          <w:highlight w:val="yellow"/>
        </w:rPr>
        <w:t xml:space="preserve">tabella </w:t>
      </w:r>
      <w:r w:rsidR="004163E9">
        <w:rPr>
          <w:iCs/>
          <w:sz w:val="22"/>
          <w:szCs w:val="22"/>
          <w:highlight w:val="yellow"/>
        </w:rPr>
        <w:t>1</w:t>
      </w:r>
      <w:r>
        <w:rPr>
          <w:iCs/>
          <w:sz w:val="22"/>
          <w:szCs w:val="22"/>
        </w:rPr>
        <w:t>)</w:t>
      </w:r>
      <w:r w:rsidR="0086296C">
        <w:rPr>
          <w:iCs/>
          <w:sz w:val="22"/>
          <w:szCs w:val="22"/>
        </w:rPr>
        <w:t>.</w:t>
      </w:r>
    </w:p>
    <w:p w14:paraId="04E6DE06" w14:textId="22F5E5EE" w:rsidR="00BB6150" w:rsidRDefault="001A6C96" w:rsidP="009719B5">
      <w:pPr>
        <w:pStyle w:val="Testocommento"/>
        <w:spacing w:line="276" w:lineRule="auto"/>
        <w:jc w:val="both"/>
        <w:rPr>
          <w:iCs/>
          <w:sz w:val="22"/>
          <w:szCs w:val="22"/>
        </w:rPr>
      </w:pPr>
      <w:r w:rsidRPr="00184AE6">
        <w:rPr>
          <w:iCs/>
          <w:sz w:val="22"/>
          <w:szCs w:val="22"/>
        </w:rPr>
        <w:t xml:space="preserve">La privatizzazione della sanità può essere </w:t>
      </w:r>
      <w:r w:rsidR="00DD277C">
        <w:rPr>
          <w:iCs/>
          <w:sz w:val="22"/>
          <w:szCs w:val="22"/>
        </w:rPr>
        <w:t>misurata</w:t>
      </w:r>
      <w:r w:rsidR="0015187E">
        <w:rPr>
          <w:iCs/>
          <w:sz w:val="22"/>
          <w:szCs w:val="22"/>
        </w:rPr>
        <w:t xml:space="preserve"> </w:t>
      </w:r>
      <w:r w:rsidR="00961BF7">
        <w:rPr>
          <w:iCs/>
          <w:sz w:val="22"/>
          <w:szCs w:val="22"/>
        </w:rPr>
        <w:t>attraverso</w:t>
      </w:r>
      <w:r w:rsidR="00961BF7" w:rsidRPr="00184AE6">
        <w:rPr>
          <w:iCs/>
          <w:sz w:val="22"/>
          <w:szCs w:val="22"/>
        </w:rPr>
        <w:t xml:space="preserve"> </w:t>
      </w:r>
      <w:r w:rsidRPr="00184AE6">
        <w:rPr>
          <w:iCs/>
          <w:sz w:val="22"/>
          <w:szCs w:val="22"/>
        </w:rPr>
        <w:t>due macro-fenomeni: l’aumento della spesa sanitaria out-of-pocket</w:t>
      </w:r>
      <w:r w:rsidR="003540FA">
        <w:rPr>
          <w:iCs/>
          <w:sz w:val="22"/>
          <w:szCs w:val="22"/>
        </w:rPr>
        <w:t xml:space="preserve"> (</w:t>
      </w:r>
      <w:r w:rsidR="003540FA" w:rsidRPr="003540FA">
        <w:rPr>
          <w:b/>
          <w:bCs/>
          <w:iCs/>
          <w:sz w:val="22"/>
          <w:szCs w:val="22"/>
        </w:rPr>
        <w:t>privatizzazione della spesa</w:t>
      </w:r>
      <w:r w:rsidR="003540FA">
        <w:rPr>
          <w:iCs/>
          <w:sz w:val="22"/>
          <w:szCs w:val="22"/>
        </w:rPr>
        <w:t>)</w:t>
      </w:r>
      <w:r w:rsidR="0015187E">
        <w:rPr>
          <w:iCs/>
          <w:sz w:val="22"/>
          <w:szCs w:val="22"/>
        </w:rPr>
        <w:t xml:space="preserve"> e</w:t>
      </w:r>
      <w:r w:rsidR="003540FA">
        <w:rPr>
          <w:iCs/>
          <w:sz w:val="22"/>
          <w:szCs w:val="22"/>
        </w:rPr>
        <w:t xml:space="preserve"> </w:t>
      </w:r>
      <w:r w:rsidRPr="00184AE6">
        <w:rPr>
          <w:iCs/>
          <w:sz w:val="22"/>
          <w:szCs w:val="22"/>
        </w:rPr>
        <w:t>la crescita del numero e dell</w:t>
      </w:r>
      <w:r w:rsidR="00B73793">
        <w:rPr>
          <w:iCs/>
          <w:sz w:val="22"/>
          <w:szCs w:val="22"/>
        </w:rPr>
        <w:t>e</w:t>
      </w:r>
      <w:r w:rsidRPr="00184AE6">
        <w:rPr>
          <w:iCs/>
          <w:sz w:val="22"/>
          <w:szCs w:val="22"/>
        </w:rPr>
        <w:t xml:space="preserve"> tipologi</w:t>
      </w:r>
      <w:r w:rsidR="00B73793">
        <w:rPr>
          <w:iCs/>
          <w:sz w:val="22"/>
          <w:szCs w:val="22"/>
        </w:rPr>
        <w:t>e</w:t>
      </w:r>
      <w:r w:rsidRPr="00184AE6">
        <w:rPr>
          <w:iCs/>
          <w:sz w:val="22"/>
          <w:szCs w:val="22"/>
        </w:rPr>
        <w:t xml:space="preserve"> di soggetti privati che erogano servizi e prestazioni sanitarie</w:t>
      </w:r>
      <w:r w:rsidR="003540FA">
        <w:rPr>
          <w:iCs/>
          <w:sz w:val="22"/>
          <w:szCs w:val="22"/>
        </w:rPr>
        <w:t xml:space="preserve"> (</w:t>
      </w:r>
      <w:r w:rsidR="003540FA" w:rsidRPr="003540FA">
        <w:rPr>
          <w:b/>
          <w:bCs/>
          <w:iCs/>
          <w:sz w:val="22"/>
          <w:szCs w:val="22"/>
        </w:rPr>
        <w:t>privatizzazione della produzione</w:t>
      </w:r>
      <w:r w:rsidR="003540FA">
        <w:rPr>
          <w:iCs/>
          <w:sz w:val="22"/>
          <w:szCs w:val="22"/>
        </w:rPr>
        <w:t>)</w:t>
      </w:r>
      <w:r w:rsidRPr="00184AE6">
        <w:rPr>
          <w:iCs/>
          <w:sz w:val="22"/>
          <w:szCs w:val="22"/>
        </w:rPr>
        <w:t xml:space="preserve">. </w:t>
      </w:r>
      <w:r w:rsidR="0015187E" w:rsidRPr="00184AE6">
        <w:rPr>
          <w:iCs/>
          <w:sz w:val="22"/>
          <w:szCs w:val="22"/>
        </w:rPr>
        <w:t>«</w:t>
      </w:r>
      <w:r w:rsidR="00BB6150">
        <w:rPr>
          <w:iCs/>
          <w:sz w:val="22"/>
          <w:szCs w:val="22"/>
        </w:rPr>
        <w:t>A</w:t>
      </w:r>
      <w:r w:rsidR="00626964">
        <w:rPr>
          <w:iCs/>
          <w:sz w:val="22"/>
          <w:szCs w:val="22"/>
        </w:rPr>
        <w:t xml:space="preserve">l di là di schemi predefiniti </w:t>
      </w:r>
      <w:r w:rsidR="0080178D">
        <w:rPr>
          <w:iCs/>
          <w:sz w:val="22"/>
          <w:szCs w:val="22"/>
        </w:rPr>
        <w:t xml:space="preserve">e </w:t>
      </w:r>
      <w:r w:rsidR="00B1439F">
        <w:rPr>
          <w:iCs/>
          <w:sz w:val="22"/>
          <w:szCs w:val="22"/>
        </w:rPr>
        <w:t>del</w:t>
      </w:r>
      <w:r w:rsidR="00BB6150">
        <w:rPr>
          <w:iCs/>
          <w:sz w:val="22"/>
          <w:szCs w:val="22"/>
        </w:rPr>
        <w:t>la molteplicità di attori</w:t>
      </w:r>
      <w:r w:rsidR="00DD277C">
        <w:rPr>
          <w:iCs/>
          <w:sz w:val="22"/>
          <w:szCs w:val="22"/>
        </w:rPr>
        <w:t xml:space="preserve"> privati</w:t>
      </w:r>
      <w:r w:rsidR="0080178D">
        <w:rPr>
          <w:iCs/>
          <w:sz w:val="22"/>
          <w:szCs w:val="22"/>
        </w:rPr>
        <w:t xml:space="preserve"> – spiega Cartabellotta –</w:t>
      </w:r>
      <w:r w:rsidR="0015187E">
        <w:rPr>
          <w:iCs/>
          <w:sz w:val="22"/>
          <w:szCs w:val="22"/>
        </w:rPr>
        <w:t xml:space="preserve"> </w:t>
      </w:r>
      <w:r w:rsidR="00DD277C">
        <w:rPr>
          <w:iCs/>
          <w:sz w:val="22"/>
          <w:szCs w:val="22"/>
        </w:rPr>
        <w:t xml:space="preserve">le </w:t>
      </w:r>
      <w:r w:rsidR="00BB6150">
        <w:rPr>
          <w:iCs/>
          <w:sz w:val="22"/>
          <w:szCs w:val="22"/>
        </w:rPr>
        <w:t xml:space="preserve">loro </w:t>
      </w:r>
      <w:r w:rsidR="0015187E">
        <w:rPr>
          <w:iCs/>
          <w:sz w:val="22"/>
          <w:szCs w:val="22"/>
        </w:rPr>
        <w:t xml:space="preserve">relazioni </w:t>
      </w:r>
      <w:r w:rsidR="00DD277C">
        <w:rPr>
          <w:iCs/>
          <w:sz w:val="22"/>
          <w:szCs w:val="22"/>
        </w:rPr>
        <w:t xml:space="preserve">non sempre trasparenti </w:t>
      </w:r>
      <w:r w:rsidR="0015187E">
        <w:rPr>
          <w:iCs/>
          <w:sz w:val="22"/>
          <w:szCs w:val="22"/>
        </w:rPr>
        <w:t xml:space="preserve">e </w:t>
      </w:r>
      <w:r w:rsidR="00626964">
        <w:rPr>
          <w:iCs/>
          <w:sz w:val="22"/>
          <w:szCs w:val="22"/>
        </w:rPr>
        <w:t xml:space="preserve">le </w:t>
      </w:r>
      <w:r w:rsidR="0015187E">
        <w:rPr>
          <w:iCs/>
          <w:sz w:val="22"/>
          <w:szCs w:val="22"/>
        </w:rPr>
        <w:t>dinamiche</w:t>
      </w:r>
      <w:r w:rsidR="00BB6150">
        <w:rPr>
          <w:iCs/>
          <w:sz w:val="22"/>
          <w:szCs w:val="22"/>
        </w:rPr>
        <w:t xml:space="preserve"> più </w:t>
      </w:r>
      <w:r w:rsidR="00961BF7">
        <w:rPr>
          <w:iCs/>
          <w:sz w:val="22"/>
          <w:szCs w:val="22"/>
        </w:rPr>
        <w:t xml:space="preserve">orientate </w:t>
      </w:r>
      <w:r w:rsidR="00BB6150">
        <w:rPr>
          <w:iCs/>
          <w:sz w:val="22"/>
          <w:szCs w:val="22"/>
        </w:rPr>
        <w:t>al profitto</w:t>
      </w:r>
      <w:r w:rsidR="00DD277C">
        <w:rPr>
          <w:iCs/>
          <w:sz w:val="22"/>
          <w:szCs w:val="22"/>
        </w:rPr>
        <w:t xml:space="preserve"> che a tutelare la salute delle persone </w:t>
      </w:r>
      <w:r w:rsidR="00BB6150">
        <w:rPr>
          <w:iCs/>
          <w:sz w:val="22"/>
          <w:szCs w:val="22"/>
        </w:rPr>
        <w:t xml:space="preserve">stanno concretizzando, </w:t>
      </w:r>
      <w:r w:rsidR="0015187E">
        <w:rPr>
          <w:iCs/>
          <w:sz w:val="22"/>
          <w:szCs w:val="22"/>
        </w:rPr>
        <w:t>giorno dopo giorno</w:t>
      </w:r>
      <w:r w:rsidR="00BB6150">
        <w:rPr>
          <w:iCs/>
          <w:sz w:val="22"/>
          <w:szCs w:val="22"/>
        </w:rPr>
        <w:t>,</w:t>
      </w:r>
      <w:r w:rsidR="0015187E">
        <w:rPr>
          <w:iCs/>
          <w:sz w:val="22"/>
          <w:szCs w:val="22"/>
        </w:rPr>
        <w:t xml:space="preserve"> </w:t>
      </w:r>
      <w:r w:rsidR="00BB6150">
        <w:rPr>
          <w:iCs/>
          <w:sz w:val="22"/>
          <w:szCs w:val="22"/>
        </w:rPr>
        <w:t xml:space="preserve">una </w:t>
      </w:r>
      <w:r w:rsidR="00626964">
        <w:rPr>
          <w:iCs/>
          <w:sz w:val="22"/>
          <w:szCs w:val="22"/>
        </w:rPr>
        <w:t xml:space="preserve">silenziosa </w:t>
      </w:r>
      <w:r w:rsidR="0015187E">
        <w:rPr>
          <w:iCs/>
          <w:sz w:val="22"/>
          <w:szCs w:val="22"/>
        </w:rPr>
        <w:t>privatizzazione del</w:t>
      </w:r>
      <w:r w:rsidR="00DD277C">
        <w:rPr>
          <w:iCs/>
          <w:sz w:val="22"/>
          <w:szCs w:val="22"/>
        </w:rPr>
        <w:t xml:space="preserve"> SSN, il cui progressivo indebolimento fornisce un terreno sempre più fertile</w:t>
      </w:r>
      <w:r w:rsidR="0015187E" w:rsidRPr="00184AE6">
        <w:rPr>
          <w:iCs/>
          <w:sz w:val="22"/>
          <w:szCs w:val="22"/>
        </w:rPr>
        <w:t>»</w:t>
      </w:r>
      <w:r w:rsidR="0015187E" w:rsidRPr="0015187E">
        <w:rPr>
          <w:iCs/>
          <w:sz w:val="22"/>
          <w:szCs w:val="22"/>
        </w:rPr>
        <w:t>.</w:t>
      </w:r>
    </w:p>
    <w:p w14:paraId="10BA5714" w14:textId="75F0557E" w:rsidR="00622BE0" w:rsidRDefault="000A7BB7" w:rsidP="006B1D23">
      <w:pPr>
        <w:suppressAutoHyphens/>
        <w:jc w:val="both"/>
        <w:rPr>
          <w:rFonts w:cs="Calibri"/>
          <w:color w:val="auto"/>
        </w:rPr>
      </w:pPr>
      <w:r w:rsidRPr="000A7BB7">
        <w:rPr>
          <w:rFonts w:cs="Calibri"/>
          <w:b/>
          <w:bCs/>
          <w:color w:val="auto"/>
        </w:rPr>
        <w:t>PRIVATIZZAZIONE DELLA SPESA</w:t>
      </w:r>
      <w:r w:rsidR="006B1D23">
        <w:rPr>
          <w:rFonts w:cs="Calibri"/>
          <w:b/>
          <w:bCs/>
          <w:color w:val="auto"/>
        </w:rPr>
        <w:t xml:space="preserve">. </w:t>
      </w:r>
      <w:r w:rsidR="00B73793">
        <w:rPr>
          <w:rFonts w:cs="Calibri"/>
          <w:color w:val="auto"/>
        </w:rPr>
        <w:t>Nel 2024 l</w:t>
      </w:r>
      <w:r w:rsidR="00BD34B7" w:rsidRPr="00BD34B7">
        <w:rPr>
          <w:rFonts w:cs="Calibri"/>
          <w:color w:val="auto"/>
        </w:rPr>
        <w:t xml:space="preserve">a spesa </w:t>
      </w:r>
      <w:r w:rsidR="00366778">
        <w:rPr>
          <w:rFonts w:cs="Calibri"/>
          <w:color w:val="auto"/>
        </w:rPr>
        <w:t xml:space="preserve">sanitaria </w:t>
      </w:r>
      <w:r w:rsidR="00E002D3">
        <w:rPr>
          <w:rFonts w:cs="Calibri"/>
          <w:color w:val="auto"/>
        </w:rPr>
        <w:t xml:space="preserve">a carico dei cittadini </w:t>
      </w:r>
      <w:r w:rsidR="008B3569">
        <w:rPr>
          <w:rFonts w:cs="Calibri"/>
          <w:color w:val="auto"/>
        </w:rPr>
        <w:t xml:space="preserve">(out-of-pocket) </w:t>
      </w:r>
      <w:r w:rsidR="00BD34B7" w:rsidRPr="00BD34B7">
        <w:rPr>
          <w:rFonts w:cs="Calibri"/>
          <w:color w:val="auto"/>
        </w:rPr>
        <w:t>ammonta a</w:t>
      </w:r>
      <w:r w:rsidR="00E002D3">
        <w:rPr>
          <w:rFonts w:cs="Calibri"/>
          <w:color w:val="auto"/>
        </w:rPr>
        <w:t xml:space="preserve"> € 41,3 miliardi, pari al 22,3</w:t>
      </w:r>
      <w:r w:rsidR="00BD34B7" w:rsidRPr="00BD34B7">
        <w:rPr>
          <w:rFonts w:cs="Calibri"/>
          <w:color w:val="auto"/>
        </w:rPr>
        <w:t>% del</w:t>
      </w:r>
      <w:r w:rsidR="00E002D3">
        <w:rPr>
          <w:rFonts w:cs="Calibri"/>
          <w:color w:val="auto"/>
        </w:rPr>
        <w:t>la spesa sanitaria</w:t>
      </w:r>
      <w:r w:rsidR="00BD34B7" w:rsidRPr="00BD34B7">
        <w:rPr>
          <w:rFonts w:cs="Calibri"/>
          <w:color w:val="auto"/>
        </w:rPr>
        <w:t xml:space="preserve"> totale</w:t>
      </w:r>
      <w:r w:rsidR="00366778">
        <w:rPr>
          <w:rFonts w:cs="Calibri"/>
          <w:color w:val="auto"/>
        </w:rPr>
        <w:t xml:space="preserve">: </w:t>
      </w:r>
      <w:r w:rsidR="00B73793">
        <w:rPr>
          <w:rFonts w:cs="Calibri"/>
          <w:color w:val="auto"/>
        </w:rPr>
        <w:t xml:space="preserve">percentuale </w:t>
      </w:r>
      <w:r w:rsidR="00FF10E6" w:rsidRPr="00FF10E6">
        <w:rPr>
          <w:rFonts w:cs="Calibri"/>
          <w:color w:val="auto"/>
        </w:rPr>
        <w:t xml:space="preserve">che </w:t>
      </w:r>
      <w:r w:rsidR="003971ED">
        <w:rPr>
          <w:rFonts w:cs="Calibri"/>
          <w:color w:val="auto"/>
        </w:rPr>
        <w:t xml:space="preserve">da 12 anni </w:t>
      </w:r>
      <w:r w:rsidR="00FF10E6" w:rsidRPr="00FF10E6">
        <w:rPr>
          <w:rFonts w:cs="Calibri"/>
          <w:color w:val="auto"/>
        </w:rPr>
        <w:t xml:space="preserve">supera </w:t>
      </w:r>
      <w:r w:rsidR="00091F84">
        <w:rPr>
          <w:rFonts w:cs="Calibri"/>
          <w:color w:val="auto"/>
        </w:rPr>
        <w:t xml:space="preserve">in maniera </w:t>
      </w:r>
      <w:r w:rsidR="008B3569">
        <w:rPr>
          <w:rFonts w:cs="Calibri"/>
          <w:color w:val="auto"/>
        </w:rPr>
        <w:lastRenderedPageBreak/>
        <w:t>costante</w:t>
      </w:r>
      <w:r w:rsidR="00091F84">
        <w:rPr>
          <w:rFonts w:cs="Calibri"/>
          <w:color w:val="auto"/>
        </w:rPr>
        <w:t xml:space="preserve"> </w:t>
      </w:r>
      <w:r w:rsidR="00FF10E6" w:rsidRPr="00FF10E6">
        <w:rPr>
          <w:rFonts w:cs="Calibri"/>
          <w:color w:val="auto"/>
        </w:rPr>
        <w:t xml:space="preserve">il limite </w:t>
      </w:r>
      <w:r w:rsidR="008B3569">
        <w:rPr>
          <w:rFonts w:cs="Calibri"/>
          <w:color w:val="auto"/>
        </w:rPr>
        <w:t xml:space="preserve">del 15% </w:t>
      </w:r>
      <w:r w:rsidR="00FF10E6" w:rsidRPr="00FF10E6">
        <w:rPr>
          <w:rFonts w:cs="Calibri"/>
          <w:color w:val="auto"/>
        </w:rPr>
        <w:t>raccomandato dall’OMS</w:t>
      </w:r>
      <w:r w:rsidR="00366778">
        <w:rPr>
          <w:rFonts w:cs="Calibri"/>
          <w:color w:val="auto"/>
        </w:rPr>
        <w:t>, soglia oltre la quale sono a rischio</w:t>
      </w:r>
      <w:r w:rsidR="00BD34B7" w:rsidRPr="00BD34B7">
        <w:rPr>
          <w:rFonts w:cs="Calibri"/>
          <w:color w:val="auto"/>
        </w:rPr>
        <w:t xml:space="preserve"> uguaglianza e accessibilità alle cure</w:t>
      </w:r>
      <w:r w:rsidR="00FF10E6">
        <w:rPr>
          <w:rFonts w:cs="Calibri"/>
          <w:color w:val="auto"/>
        </w:rPr>
        <w:t>. I</w:t>
      </w:r>
      <w:r w:rsidR="00BD34B7" w:rsidRPr="00BD34B7">
        <w:rPr>
          <w:rFonts w:cs="Calibri"/>
          <w:color w:val="auto"/>
        </w:rPr>
        <w:t>n Italia</w:t>
      </w:r>
      <w:r w:rsidR="003971ED">
        <w:rPr>
          <w:rFonts w:cs="Calibri"/>
          <w:color w:val="auto"/>
        </w:rPr>
        <w:t xml:space="preserve"> </w:t>
      </w:r>
      <w:r w:rsidR="00FF10E6">
        <w:rPr>
          <w:rFonts w:cs="Calibri"/>
          <w:color w:val="auto"/>
        </w:rPr>
        <w:t xml:space="preserve">la spesa out-of-pocket in </w:t>
      </w:r>
      <w:r w:rsidR="00931072">
        <w:rPr>
          <w:rFonts w:cs="Calibri"/>
          <w:color w:val="auto"/>
        </w:rPr>
        <w:t xml:space="preserve">valore assoluto </w:t>
      </w:r>
      <w:r w:rsidR="00F22CDF">
        <w:rPr>
          <w:rFonts w:cs="Calibri"/>
          <w:color w:val="auto"/>
        </w:rPr>
        <w:t xml:space="preserve">è cresciuta </w:t>
      </w:r>
      <w:r w:rsidR="00FF10E6">
        <w:rPr>
          <w:rFonts w:cs="Calibri"/>
          <w:color w:val="auto"/>
        </w:rPr>
        <w:t>da</w:t>
      </w:r>
      <w:r w:rsidR="00931072">
        <w:rPr>
          <w:rFonts w:cs="Calibri"/>
          <w:color w:val="auto"/>
        </w:rPr>
        <w:t xml:space="preserve"> €</w:t>
      </w:r>
      <w:r w:rsidR="00FF10E6">
        <w:rPr>
          <w:rFonts w:cs="Calibri"/>
          <w:color w:val="auto"/>
        </w:rPr>
        <w:t xml:space="preserve"> </w:t>
      </w:r>
      <w:r w:rsidR="0086296C">
        <w:rPr>
          <w:rFonts w:cs="Calibri"/>
          <w:color w:val="auto"/>
        </w:rPr>
        <w:t>32,4</w:t>
      </w:r>
      <w:r w:rsidR="00FF10E6">
        <w:rPr>
          <w:rFonts w:cs="Calibri"/>
          <w:color w:val="auto"/>
        </w:rPr>
        <w:t xml:space="preserve"> miliardi del 2012 a € 41,3 miliardi del 2024, </w:t>
      </w:r>
      <w:r w:rsidR="00366778" w:rsidRPr="00366778">
        <w:rPr>
          <w:rFonts w:cs="Calibri"/>
          <w:color w:val="auto"/>
        </w:rPr>
        <w:t xml:space="preserve">mantenendosi </w:t>
      </w:r>
      <w:r w:rsidR="008B3569">
        <w:rPr>
          <w:rFonts w:cs="Calibri"/>
          <w:color w:val="auto"/>
        </w:rPr>
        <w:t xml:space="preserve">sempre </w:t>
      </w:r>
      <w:r w:rsidR="00366778" w:rsidRPr="00366778">
        <w:rPr>
          <w:rFonts w:cs="Calibri"/>
          <w:color w:val="auto"/>
        </w:rPr>
        <w:t xml:space="preserve">su </w:t>
      </w:r>
      <w:r w:rsidR="00931072">
        <w:rPr>
          <w:rFonts w:cs="Calibri"/>
          <w:color w:val="auto"/>
        </w:rPr>
        <w:t>livelli</w:t>
      </w:r>
      <w:r w:rsidR="00931072" w:rsidRPr="00366778">
        <w:rPr>
          <w:rFonts w:cs="Calibri"/>
          <w:color w:val="auto"/>
        </w:rPr>
        <w:t xml:space="preserve"> </w:t>
      </w:r>
      <w:r w:rsidR="00366778" w:rsidRPr="00366778">
        <w:rPr>
          <w:rFonts w:cs="Calibri"/>
          <w:color w:val="auto"/>
        </w:rPr>
        <w:t>compresi</w:t>
      </w:r>
      <w:r w:rsidR="00366778">
        <w:rPr>
          <w:rFonts w:cs="Calibri"/>
          <w:color w:val="auto"/>
        </w:rPr>
        <w:t xml:space="preserve"> </w:t>
      </w:r>
      <w:r w:rsidR="00BD34B7" w:rsidRPr="00BD34B7">
        <w:rPr>
          <w:rFonts w:cs="Calibri"/>
          <w:color w:val="auto"/>
        </w:rPr>
        <w:t>tra il 21,5% e il 24,1%</w:t>
      </w:r>
      <w:r w:rsidR="00E002D3">
        <w:rPr>
          <w:rFonts w:cs="Calibri"/>
          <w:color w:val="auto"/>
        </w:rPr>
        <w:t xml:space="preserve"> </w:t>
      </w:r>
      <w:r w:rsidR="00FF10E6">
        <w:rPr>
          <w:rFonts w:cs="Calibri"/>
          <w:color w:val="auto"/>
        </w:rPr>
        <w:t xml:space="preserve">della spesa totale </w:t>
      </w:r>
      <w:r w:rsidR="00E002D3">
        <w:rPr>
          <w:rFonts w:cs="Calibri"/>
          <w:color w:val="auto"/>
        </w:rPr>
        <w:t>(</w:t>
      </w:r>
      <w:r w:rsidR="00E002D3" w:rsidRPr="00E002D3">
        <w:rPr>
          <w:rFonts w:cs="Calibri"/>
          <w:color w:val="auto"/>
          <w:highlight w:val="yellow"/>
        </w:rPr>
        <w:t>figura</w:t>
      </w:r>
      <w:r w:rsidR="004163E9">
        <w:rPr>
          <w:rFonts w:cs="Calibri"/>
          <w:color w:val="auto"/>
          <w:highlight w:val="yellow"/>
        </w:rPr>
        <w:t xml:space="preserve"> 1</w:t>
      </w:r>
      <w:r w:rsidR="00E002D3">
        <w:rPr>
          <w:rFonts w:cs="Calibri"/>
          <w:color w:val="auto"/>
        </w:rPr>
        <w:t>)</w:t>
      </w:r>
      <w:r w:rsidR="00366778">
        <w:rPr>
          <w:rFonts w:cs="Calibri"/>
          <w:color w:val="auto"/>
        </w:rPr>
        <w:t>.</w:t>
      </w:r>
      <w:r w:rsidR="00B73793">
        <w:rPr>
          <w:rFonts w:cs="Calibri"/>
          <w:color w:val="auto"/>
        </w:rPr>
        <w:t xml:space="preserve"> </w:t>
      </w:r>
      <w:r w:rsidR="00FF10E6" w:rsidRPr="0092387F">
        <w:rPr>
          <w:rFonts w:cs="Calibri"/>
          <w:color w:val="auto"/>
        </w:rPr>
        <w:t>«</w:t>
      </w:r>
      <w:r w:rsidR="00C75B56">
        <w:rPr>
          <w:rFonts w:cs="Calibri"/>
          <w:color w:val="auto"/>
        </w:rPr>
        <w:t>Con q</w:t>
      </w:r>
      <w:r w:rsidR="00FF10E6" w:rsidRPr="0092387F">
        <w:rPr>
          <w:rFonts w:cs="Calibri"/>
          <w:color w:val="auto"/>
        </w:rPr>
        <w:t xml:space="preserve">uasi un euro su quattro </w:t>
      </w:r>
      <w:r w:rsidR="00F22CDF">
        <w:rPr>
          <w:rFonts w:cs="Calibri"/>
          <w:color w:val="auto"/>
        </w:rPr>
        <w:t>di</w:t>
      </w:r>
      <w:r w:rsidR="00F22CDF" w:rsidRPr="0092387F">
        <w:rPr>
          <w:rFonts w:cs="Calibri"/>
          <w:color w:val="auto"/>
        </w:rPr>
        <w:t xml:space="preserve"> </w:t>
      </w:r>
      <w:r w:rsidR="00FF10E6" w:rsidRPr="0092387F">
        <w:rPr>
          <w:rFonts w:cs="Calibri"/>
          <w:color w:val="auto"/>
        </w:rPr>
        <w:t xml:space="preserve">spesa sanitaria </w:t>
      </w:r>
      <w:r w:rsidR="00D649B1">
        <w:rPr>
          <w:rFonts w:cs="Calibri"/>
          <w:color w:val="auto"/>
        </w:rPr>
        <w:t>sborsato</w:t>
      </w:r>
      <w:r w:rsidR="00DD277C">
        <w:rPr>
          <w:rFonts w:cs="Calibri"/>
          <w:color w:val="auto"/>
        </w:rPr>
        <w:t xml:space="preserve"> dal</w:t>
      </w:r>
      <w:r w:rsidR="00FF10E6" w:rsidRPr="0092387F">
        <w:rPr>
          <w:rFonts w:cs="Calibri"/>
          <w:color w:val="auto"/>
        </w:rPr>
        <w:t>le famiglie</w:t>
      </w:r>
      <w:r w:rsidR="000D47A4" w:rsidRPr="0092387F">
        <w:rPr>
          <w:rFonts w:cs="Calibri"/>
          <w:color w:val="auto"/>
        </w:rPr>
        <w:t xml:space="preserve"> – </w:t>
      </w:r>
      <w:r w:rsidR="00FF10E6" w:rsidRPr="0092387F">
        <w:rPr>
          <w:rFonts w:cs="Calibri"/>
          <w:color w:val="auto"/>
        </w:rPr>
        <w:t xml:space="preserve">osserva </w:t>
      </w:r>
      <w:r w:rsidR="00B73793">
        <w:rPr>
          <w:rFonts w:cs="Calibri"/>
          <w:color w:val="auto"/>
        </w:rPr>
        <w:t>il Presidente</w:t>
      </w:r>
      <w:r w:rsidR="000D47A4" w:rsidRPr="0092387F">
        <w:rPr>
          <w:rFonts w:cs="Calibri"/>
          <w:color w:val="auto"/>
        </w:rPr>
        <w:t xml:space="preserve"> –</w:t>
      </w:r>
      <w:r w:rsidR="003971ED">
        <w:rPr>
          <w:rFonts w:cs="Calibri"/>
          <w:color w:val="auto"/>
        </w:rPr>
        <w:t xml:space="preserve"> </w:t>
      </w:r>
      <w:r w:rsidR="000D47A4" w:rsidRPr="0092387F">
        <w:rPr>
          <w:rFonts w:cs="Calibri"/>
          <w:color w:val="auto"/>
        </w:rPr>
        <w:t>oggi</w:t>
      </w:r>
      <w:r w:rsidR="00931072">
        <w:rPr>
          <w:rFonts w:cs="Calibri"/>
          <w:color w:val="auto"/>
        </w:rPr>
        <w:t xml:space="preserve"> </w:t>
      </w:r>
      <w:r w:rsidR="00F22CDF">
        <w:rPr>
          <w:rFonts w:cs="Calibri"/>
          <w:color w:val="auto"/>
        </w:rPr>
        <w:t xml:space="preserve">siamo sostanzialmente </w:t>
      </w:r>
      <w:r w:rsidR="000D47A4" w:rsidRPr="0092387F">
        <w:rPr>
          <w:rFonts w:cs="Calibri"/>
          <w:color w:val="auto"/>
        </w:rPr>
        <w:t xml:space="preserve">di </w:t>
      </w:r>
      <w:r w:rsidR="003971ED">
        <w:rPr>
          <w:rFonts w:cs="Calibri"/>
          <w:color w:val="auto"/>
        </w:rPr>
        <w:t xml:space="preserve">fronte </w:t>
      </w:r>
      <w:r w:rsidR="00F22CDF">
        <w:rPr>
          <w:rFonts w:cs="Calibri"/>
          <w:color w:val="auto"/>
        </w:rPr>
        <w:t xml:space="preserve">a </w:t>
      </w:r>
      <w:r w:rsidR="000D47A4" w:rsidRPr="0092387F">
        <w:rPr>
          <w:rFonts w:cs="Calibri"/>
          <w:color w:val="auto"/>
        </w:rPr>
        <w:t>un servizio sanitario “misto”</w:t>
      </w:r>
      <w:r w:rsidR="003971ED">
        <w:rPr>
          <w:rFonts w:cs="Calibri"/>
          <w:color w:val="auto"/>
        </w:rPr>
        <w:t>,</w:t>
      </w:r>
      <w:r w:rsidR="003971ED" w:rsidRPr="0092387F">
        <w:rPr>
          <w:rFonts w:cs="Calibri"/>
          <w:color w:val="auto"/>
        </w:rPr>
        <w:t xml:space="preserve"> sen</w:t>
      </w:r>
      <w:r w:rsidR="003971ED">
        <w:rPr>
          <w:rFonts w:cs="Calibri"/>
          <w:color w:val="auto"/>
        </w:rPr>
        <w:t>z</w:t>
      </w:r>
      <w:r w:rsidR="003971ED" w:rsidRPr="0092387F">
        <w:rPr>
          <w:rFonts w:cs="Calibri"/>
          <w:color w:val="auto"/>
        </w:rPr>
        <w:t xml:space="preserve">a che nessun Governo lo abbia mai esplicitamente </w:t>
      </w:r>
      <w:r w:rsidR="00C75B56">
        <w:rPr>
          <w:rFonts w:cs="Calibri"/>
          <w:color w:val="auto"/>
        </w:rPr>
        <w:t xml:space="preserve">previsto o tantomeno </w:t>
      </w:r>
      <w:r w:rsidR="003971ED" w:rsidRPr="0092387F">
        <w:rPr>
          <w:rFonts w:cs="Calibri"/>
          <w:color w:val="auto"/>
        </w:rPr>
        <w:t>dichiarato</w:t>
      </w:r>
      <w:r w:rsidR="000D47A4" w:rsidRPr="0092387F">
        <w:rPr>
          <w:rFonts w:cs="Calibri"/>
          <w:color w:val="auto"/>
        </w:rPr>
        <w:t xml:space="preserve">. </w:t>
      </w:r>
      <w:r w:rsidR="00DD277C">
        <w:rPr>
          <w:rFonts w:cs="Calibri"/>
          <w:color w:val="auto"/>
        </w:rPr>
        <w:t xml:space="preserve">Peraltro, </w:t>
      </w:r>
      <w:r w:rsidR="000D47A4" w:rsidRPr="0092387F">
        <w:rPr>
          <w:rFonts w:cs="Calibri"/>
          <w:color w:val="auto"/>
        </w:rPr>
        <w:t xml:space="preserve">la spesa out-of pocket non è più un indicatore affidabile delle mancate tutele pubbliche, perché viene </w:t>
      </w:r>
      <w:r w:rsidR="003971ED">
        <w:rPr>
          <w:rFonts w:cs="Calibri"/>
          <w:color w:val="auto"/>
        </w:rPr>
        <w:t xml:space="preserve">sempre più </w:t>
      </w:r>
      <w:r w:rsidR="000D47A4" w:rsidRPr="0092387F">
        <w:rPr>
          <w:rFonts w:cs="Calibri"/>
          <w:color w:val="auto"/>
        </w:rPr>
        <w:t>arginata dall’impoverimento delle famiglie</w:t>
      </w:r>
      <w:r w:rsidR="00B73793">
        <w:rPr>
          <w:rFonts w:cs="Calibri"/>
          <w:color w:val="auto"/>
        </w:rPr>
        <w:t xml:space="preserve">: </w:t>
      </w:r>
      <w:r w:rsidR="00B73793" w:rsidRPr="0092387F">
        <w:rPr>
          <w:rFonts w:cs="Calibri"/>
          <w:color w:val="auto"/>
        </w:rPr>
        <w:t xml:space="preserve">le rinunce alle </w:t>
      </w:r>
      <w:r w:rsidR="00B73793">
        <w:rPr>
          <w:rFonts w:cs="Calibri"/>
          <w:color w:val="auto"/>
        </w:rPr>
        <w:t xml:space="preserve">prestazioni sanitarie </w:t>
      </w:r>
      <w:r w:rsidR="00B73793" w:rsidRPr="0092387F">
        <w:rPr>
          <w:rFonts w:cs="Calibri"/>
          <w:color w:val="auto"/>
        </w:rPr>
        <w:t>sono passate da 4,1 milioni nel 2022 a 5,8 milioni nel 2024</w:t>
      </w:r>
      <w:r w:rsidR="00FF10E6" w:rsidRPr="0092387F">
        <w:rPr>
          <w:rFonts w:cs="Calibri"/>
          <w:color w:val="auto"/>
        </w:rPr>
        <w:t>»</w:t>
      </w:r>
      <w:r w:rsidR="000D47A4" w:rsidRPr="0092387F">
        <w:rPr>
          <w:rFonts w:cs="Calibri"/>
          <w:color w:val="auto"/>
        </w:rPr>
        <w:t>.</w:t>
      </w:r>
      <w:r w:rsidR="00FF10E6" w:rsidRPr="0092387F">
        <w:rPr>
          <w:rFonts w:cs="Calibri"/>
          <w:color w:val="auto"/>
        </w:rPr>
        <w:t xml:space="preserve"> </w:t>
      </w:r>
      <w:r w:rsidR="00FF10E6" w:rsidRPr="003971ED">
        <w:rPr>
          <w:rFonts w:cs="Calibri"/>
          <w:color w:val="auto"/>
        </w:rPr>
        <w:t>In altre parole</w:t>
      </w:r>
      <w:r w:rsidR="00931072">
        <w:rPr>
          <w:rFonts w:cs="Calibri"/>
          <w:color w:val="auto"/>
        </w:rPr>
        <w:t>,</w:t>
      </w:r>
      <w:r w:rsidR="00931072" w:rsidRPr="003971ED">
        <w:rPr>
          <w:rFonts w:cs="Calibri"/>
          <w:color w:val="auto"/>
        </w:rPr>
        <w:t xml:space="preserve"> </w:t>
      </w:r>
      <w:r w:rsidR="00FF10E6" w:rsidRPr="003971ED">
        <w:rPr>
          <w:rFonts w:cs="Calibri"/>
          <w:color w:val="auto"/>
        </w:rPr>
        <w:t xml:space="preserve">la spesa privata </w:t>
      </w:r>
      <w:r w:rsidR="00551C5F">
        <w:rPr>
          <w:rFonts w:cs="Calibri"/>
          <w:color w:val="auto"/>
        </w:rPr>
        <w:t xml:space="preserve">non può crescere più di tanto perché nel 2024 </w:t>
      </w:r>
      <w:hyperlink r:id="rId8" w:history="1">
        <w:r w:rsidR="00551C5F" w:rsidRPr="00551C5F">
          <w:rPr>
            <w:rStyle w:val="Collegamentoipertestuale"/>
            <w:rFonts w:cs="Calibri"/>
          </w:rPr>
          <w:t>secondo l’ISTAT</w:t>
        </w:r>
      </w:hyperlink>
      <w:r w:rsidR="00551C5F">
        <w:rPr>
          <w:rFonts w:cs="Calibri"/>
          <w:color w:val="auto"/>
        </w:rPr>
        <w:t xml:space="preserve"> 5,7 milioni di persone vivevano sotto la soglia di povertà assoluta e </w:t>
      </w:r>
      <w:r w:rsidR="00551C5F" w:rsidRPr="00551C5F">
        <w:rPr>
          <w:rFonts w:cs="Calibri"/>
          <w:color w:val="auto"/>
        </w:rPr>
        <w:t xml:space="preserve">8,7 </w:t>
      </w:r>
      <w:r w:rsidR="00551C5F">
        <w:rPr>
          <w:rFonts w:cs="Calibri"/>
          <w:color w:val="auto"/>
        </w:rPr>
        <w:t>milioni sotto la soglia di povertà relativa.</w:t>
      </w:r>
    </w:p>
    <w:p w14:paraId="2056E97F" w14:textId="5988BF39" w:rsidR="007D6671" w:rsidRDefault="00622BE0" w:rsidP="006B1D23">
      <w:pPr>
        <w:suppressAutoHyphens/>
        <w:jc w:val="both"/>
        <w:rPr>
          <w:rFonts w:cs="Calibri"/>
          <w:color w:val="auto"/>
        </w:rPr>
      </w:pPr>
      <w:r w:rsidRPr="00DA62D4">
        <w:rPr>
          <w:rFonts w:cs="Calibri"/>
          <w:color w:val="auto"/>
        </w:rPr>
        <w:t xml:space="preserve">Dal </w:t>
      </w:r>
      <w:r w:rsidR="0014798C" w:rsidRPr="00DA62D4">
        <w:rPr>
          <w:rFonts w:cs="Calibri"/>
          <w:color w:val="auto"/>
        </w:rPr>
        <w:t xml:space="preserve">Sistema Tessera Sanitaria </w:t>
      </w:r>
      <w:r w:rsidRPr="00DA62D4">
        <w:rPr>
          <w:rFonts w:cs="Calibri"/>
          <w:color w:val="auto"/>
        </w:rPr>
        <w:t xml:space="preserve">è possibile identificare </w:t>
      </w:r>
      <w:r w:rsidR="0014798C" w:rsidRPr="00DA62D4">
        <w:rPr>
          <w:rFonts w:cs="Calibri"/>
          <w:color w:val="auto"/>
        </w:rPr>
        <w:t xml:space="preserve">chi “incassa” la spesa </w:t>
      </w:r>
      <w:r w:rsidRPr="00DA62D4">
        <w:rPr>
          <w:rFonts w:cs="Calibri"/>
          <w:color w:val="auto"/>
        </w:rPr>
        <w:t xml:space="preserve">a carico </w:t>
      </w:r>
      <w:r w:rsidR="0014798C" w:rsidRPr="00DA62D4">
        <w:rPr>
          <w:rFonts w:cs="Calibri"/>
          <w:color w:val="auto"/>
        </w:rPr>
        <w:t>dei cittadini. Nel 2023, anno più recente a disposizione, i € 43 miliardi di spesa sanitaria privata sono così suddivisi: € 12,1 miliardi alle farmacie, € 10,6 miliardi a professionisti sanitari (di cui € 5,8 miliardi odontoiatri</w:t>
      </w:r>
      <w:r w:rsidRPr="00DA62D4">
        <w:rPr>
          <w:rFonts w:cs="Calibri"/>
          <w:color w:val="auto"/>
        </w:rPr>
        <w:t xml:space="preserve"> e € </w:t>
      </w:r>
      <w:r w:rsidR="002B5FED" w:rsidRPr="00DA62D4">
        <w:rPr>
          <w:rFonts w:cs="Calibri"/>
          <w:color w:val="auto"/>
        </w:rPr>
        <w:t xml:space="preserve">2,6 </w:t>
      </w:r>
      <w:r w:rsidRPr="00DA62D4">
        <w:rPr>
          <w:rFonts w:cs="Calibri"/>
          <w:color w:val="auto"/>
        </w:rPr>
        <w:t xml:space="preserve">miliardi </w:t>
      </w:r>
      <w:r w:rsidR="00DA62D4" w:rsidRPr="00DA62D4">
        <w:rPr>
          <w:rFonts w:cs="Calibri"/>
          <w:color w:val="auto"/>
        </w:rPr>
        <w:t>ai m</w:t>
      </w:r>
      <w:r w:rsidRPr="00DA62D4">
        <w:rPr>
          <w:rFonts w:cs="Calibri"/>
          <w:color w:val="auto"/>
        </w:rPr>
        <w:t>edici</w:t>
      </w:r>
      <w:r w:rsidR="0014798C" w:rsidRPr="00DA62D4">
        <w:rPr>
          <w:rFonts w:cs="Calibri"/>
          <w:color w:val="auto"/>
        </w:rPr>
        <w:t xml:space="preserve">), € 7,6 miliardi alle strutture private accreditate e € 7,2 miliardi al privato </w:t>
      </w:r>
      <w:r w:rsidR="008956F8" w:rsidRPr="00DA62D4">
        <w:rPr>
          <w:rFonts w:cs="Calibri"/>
          <w:color w:val="auto"/>
        </w:rPr>
        <w:t>“</w:t>
      </w:r>
      <w:r w:rsidR="0014798C" w:rsidRPr="00DA62D4">
        <w:rPr>
          <w:rFonts w:cs="Calibri"/>
          <w:color w:val="auto"/>
        </w:rPr>
        <w:t xml:space="preserve">puro”, ovvero alle strutture non accreditate e € </w:t>
      </w:r>
      <w:r w:rsidR="002B5FED" w:rsidRPr="00DA62D4">
        <w:rPr>
          <w:rFonts w:cs="Calibri"/>
          <w:color w:val="auto"/>
        </w:rPr>
        <w:t xml:space="preserve">2,2 </w:t>
      </w:r>
      <w:r w:rsidR="0014798C" w:rsidRPr="00DA62D4">
        <w:rPr>
          <w:rFonts w:cs="Calibri"/>
          <w:color w:val="auto"/>
        </w:rPr>
        <w:t>miliardi alle strutture pubbliche</w:t>
      </w:r>
      <w:r w:rsidR="00394CE5">
        <w:rPr>
          <w:rFonts w:cs="Calibri"/>
          <w:color w:val="auto"/>
        </w:rPr>
        <w:t xml:space="preserve"> per libera professione e altro </w:t>
      </w:r>
      <w:r w:rsidR="0014798C" w:rsidRPr="00DA62D4">
        <w:rPr>
          <w:rFonts w:cs="Calibri"/>
          <w:color w:val="auto"/>
        </w:rPr>
        <w:t>(</w:t>
      </w:r>
      <w:r w:rsidR="0014798C" w:rsidRPr="00394CE5">
        <w:rPr>
          <w:rFonts w:cs="Calibri"/>
          <w:color w:val="auto"/>
          <w:highlight w:val="yellow"/>
        </w:rPr>
        <w:t xml:space="preserve">tabella </w:t>
      </w:r>
      <w:r w:rsidR="002B5FED" w:rsidRPr="00394CE5">
        <w:rPr>
          <w:rFonts w:cs="Calibri"/>
          <w:color w:val="auto"/>
          <w:highlight w:val="yellow"/>
        </w:rPr>
        <w:t>2</w:t>
      </w:r>
      <w:r w:rsidR="0014798C" w:rsidRPr="00DA62D4">
        <w:rPr>
          <w:rFonts w:cs="Calibri"/>
          <w:color w:val="auto"/>
        </w:rPr>
        <w:t>)</w:t>
      </w:r>
      <w:r w:rsidR="00394CE5">
        <w:rPr>
          <w:rFonts w:cs="Calibri"/>
          <w:color w:val="auto"/>
        </w:rPr>
        <w:t>.</w:t>
      </w:r>
      <w:r w:rsidR="0014798C" w:rsidRPr="00DA62D4">
        <w:rPr>
          <w:rFonts w:cs="Calibri"/>
          <w:color w:val="auto"/>
        </w:rPr>
        <w:t xml:space="preserve"> «Questi numeri – osserva Cartabellotta – fotografano con chiarezza che la privatizzazione della spesa </w:t>
      </w:r>
      <w:r w:rsidRPr="00DA62D4">
        <w:rPr>
          <w:rFonts w:cs="Calibri"/>
          <w:color w:val="auto"/>
        </w:rPr>
        <w:t xml:space="preserve">sta determinando una </w:t>
      </w:r>
      <w:r w:rsidR="0014798C" w:rsidRPr="00DA62D4">
        <w:rPr>
          <w:rFonts w:cs="Calibri"/>
          <w:color w:val="auto"/>
        </w:rPr>
        <w:t xml:space="preserve">progressiva uscita dei cittadini dal perimetro </w:t>
      </w:r>
      <w:r w:rsidRPr="00DA62D4">
        <w:rPr>
          <w:rFonts w:cs="Calibri"/>
          <w:color w:val="auto"/>
        </w:rPr>
        <w:t xml:space="preserve">delle tutele </w:t>
      </w:r>
      <w:r w:rsidR="0014798C" w:rsidRPr="00DA62D4">
        <w:rPr>
          <w:rFonts w:cs="Calibri"/>
          <w:color w:val="auto"/>
        </w:rPr>
        <w:t>pubblic</w:t>
      </w:r>
      <w:r w:rsidRPr="00DA62D4">
        <w:rPr>
          <w:rFonts w:cs="Calibri"/>
          <w:color w:val="auto"/>
        </w:rPr>
        <w:t>he</w:t>
      </w:r>
      <w:r w:rsidR="00DA62D4">
        <w:rPr>
          <w:rFonts w:cs="Calibri"/>
          <w:color w:val="auto"/>
        </w:rPr>
        <w:t>, acquistando direttamente sul mercato le prestazioni necessarie</w:t>
      </w:r>
      <w:r w:rsidR="0014798C" w:rsidRPr="00DA62D4">
        <w:rPr>
          <w:rFonts w:cs="Calibri"/>
          <w:color w:val="auto"/>
        </w:rPr>
        <w:t>».</w:t>
      </w:r>
    </w:p>
    <w:p w14:paraId="321EE80C" w14:textId="690F6CE1" w:rsidR="00637D40" w:rsidRPr="006B1D23" w:rsidRDefault="00637D40" w:rsidP="006B1D23">
      <w:pPr>
        <w:suppressAutoHyphens/>
        <w:jc w:val="both"/>
        <w:rPr>
          <w:rFonts w:cs="Calibri"/>
          <w:b/>
          <w:bCs/>
          <w:color w:val="auto"/>
        </w:rPr>
      </w:pPr>
      <w:r w:rsidRPr="00637D40">
        <w:rPr>
          <w:rFonts w:cs="Calibri"/>
          <w:b/>
          <w:bCs/>
          <w:color w:val="auto"/>
        </w:rPr>
        <w:t>PRIVATIZZAZIONE DELLA PRODUZIONE</w:t>
      </w:r>
      <w:r w:rsidR="006B1D23">
        <w:rPr>
          <w:rFonts w:cs="Calibri"/>
          <w:b/>
          <w:bCs/>
          <w:color w:val="auto"/>
        </w:rPr>
        <w:t xml:space="preserve">. </w:t>
      </w:r>
      <w:r w:rsidRPr="00637D40">
        <w:rPr>
          <w:rFonts w:cs="Calibri"/>
          <w:color w:val="auto"/>
        </w:rPr>
        <w:t xml:space="preserve">La privatizzazione della produzione coinvolge </w:t>
      </w:r>
      <w:r w:rsidR="000D47A4">
        <w:rPr>
          <w:rFonts w:cs="Calibri"/>
          <w:color w:val="auto"/>
        </w:rPr>
        <w:t xml:space="preserve">le diverse </w:t>
      </w:r>
      <w:r w:rsidRPr="00637D40">
        <w:rPr>
          <w:rFonts w:cs="Calibri"/>
          <w:color w:val="auto"/>
        </w:rPr>
        <w:t>categorie di erogatori</w:t>
      </w:r>
      <w:r w:rsidR="000D47A4">
        <w:rPr>
          <w:rFonts w:cs="Calibri"/>
          <w:color w:val="auto"/>
        </w:rPr>
        <w:t xml:space="preserve"> </w:t>
      </w:r>
      <w:r w:rsidR="000D47A4" w:rsidRPr="000D47A4">
        <w:rPr>
          <w:rFonts w:cs="Calibri"/>
          <w:color w:val="auto"/>
        </w:rPr>
        <w:t xml:space="preserve">che contribuiscono all’offerta </w:t>
      </w:r>
      <w:r w:rsidR="0092387F">
        <w:rPr>
          <w:rFonts w:cs="Calibri"/>
          <w:color w:val="auto"/>
        </w:rPr>
        <w:t xml:space="preserve">di servizi e prestazioni </w:t>
      </w:r>
      <w:r w:rsidR="000D47A4" w:rsidRPr="000D47A4">
        <w:rPr>
          <w:rFonts w:cs="Calibri"/>
          <w:color w:val="auto"/>
        </w:rPr>
        <w:t>sanitari</w:t>
      </w:r>
      <w:r w:rsidR="0092387F">
        <w:rPr>
          <w:rFonts w:cs="Calibri"/>
          <w:color w:val="auto"/>
        </w:rPr>
        <w:t>e</w:t>
      </w:r>
      <w:r w:rsidRPr="00637D40">
        <w:rPr>
          <w:rFonts w:cs="Calibri"/>
          <w:color w:val="auto"/>
        </w:rPr>
        <w:t xml:space="preserve">. La </w:t>
      </w:r>
      <w:r w:rsidR="000D47A4">
        <w:rPr>
          <w:rFonts w:cs="Calibri"/>
          <w:color w:val="auto"/>
        </w:rPr>
        <w:t xml:space="preserve">componente </w:t>
      </w:r>
      <w:r w:rsidRPr="00637D40">
        <w:rPr>
          <w:rFonts w:cs="Calibri"/>
          <w:color w:val="auto"/>
        </w:rPr>
        <w:t>più nota</w:t>
      </w:r>
      <w:r w:rsidR="009B72F0" w:rsidRPr="009B72F0">
        <w:rPr>
          <w:rFonts w:cs="Calibri"/>
        </w:rPr>
        <w:t xml:space="preserve"> –</w:t>
      </w:r>
      <w:r w:rsidR="00B73793">
        <w:rPr>
          <w:rFonts w:cs="Calibri"/>
        </w:rPr>
        <w:t xml:space="preserve"> </w:t>
      </w:r>
      <w:r w:rsidRPr="00637D40">
        <w:rPr>
          <w:rFonts w:cs="Calibri"/>
          <w:color w:val="auto"/>
        </w:rPr>
        <w:t>che</w:t>
      </w:r>
      <w:r w:rsidR="009B72F0" w:rsidRPr="009B72F0">
        <w:rPr>
          <w:rFonts w:cs="Calibri"/>
        </w:rPr>
        <w:t xml:space="preserve"> nell’immaginario collettivo</w:t>
      </w:r>
      <w:r w:rsidRPr="00637D40">
        <w:rPr>
          <w:rFonts w:cs="Calibri"/>
          <w:color w:val="auto"/>
        </w:rPr>
        <w:t xml:space="preserve"> identifica il </w:t>
      </w:r>
      <w:r w:rsidR="000D47A4">
        <w:rPr>
          <w:rFonts w:cs="Calibri"/>
          <w:color w:val="auto"/>
        </w:rPr>
        <w:t>“</w:t>
      </w:r>
      <w:r w:rsidRPr="00637D40">
        <w:rPr>
          <w:rFonts w:cs="Calibri"/>
          <w:color w:val="auto"/>
        </w:rPr>
        <w:t>privato</w:t>
      </w:r>
      <w:r w:rsidR="000D47A4">
        <w:rPr>
          <w:rFonts w:cs="Calibri"/>
          <w:color w:val="auto"/>
        </w:rPr>
        <w:t>”</w:t>
      </w:r>
      <w:r w:rsidR="00BE029A">
        <w:rPr>
          <w:rFonts w:cs="Calibri"/>
          <w:color w:val="auto"/>
        </w:rPr>
        <w:t xml:space="preserve"> per antonomasia</w:t>
      </w:r>
      <w:r w:rsidR="009B72F0">
        <w:rPr>
          <w:rFonts w:cs="Calibri"/>
          <w:color w:val="auto"/>
        </w:rPr>
        <w:t xml:space="preserve"> </w:t>
      </w:r>
      <w:r w:rsidR="009B72F0" w:rsidRPr="009B72F0">
        <w:rPr>
          <w:rFonts w:cs="Calibri"/>
        </w:rPr>
        <w:t>–</w:t>
      </w:r>
      <w:r w:rsidRPr="00637D40">
        <w:rPr>
          <w:rFonts w:cs="Calibri"/>
          <w:color w:val="auto"/>
        </w:rPr>
        <w:t xml:space="preserve"> è </w:t>
      </w:r>
      <w:r w:rsidR="000D47A4">
        <w:rPr>
          <w:rFonts w:cs="Calibri"/>
          <w:color w:val="auto"/>
        </w:rPr>
        <w:t>rappresentata da</w:t>
      </w:r>
      <w:r w:rsidR="00C75B56">
        <w:rPr>
          <w:rFonts w:cs="Calibri"/>
          <w:color w:val="auto"/>
        </w:rPr>
        <w:t xml:space="preserve">lle strutture </w:t>
      </w:r>
      <w:r w:rsidRPr="00637D40">
        <w:rPr>
          <w:rFonts w:cs="Calibri"/>
          <w:color w:val="auto"/>
        </w:rPr>
        <w:t>privat</w:t>
      </w:r>
      <w:r w:rsidR="00C75B56">
        <w:rPr>
          <w:rFonts w:cs="Calibri"/>
          <w:color w:val="auto"/>
        </w:rPr>
        <w:t>e</w:t>
      </w:r>
      <w:r w:rsidRPr="00637D40">
        <w:rPr>
          <w:rFonts w:cs="Calibri"/>
          <w:color w:val="auto"/>
        </w:rPr>
        <w:t xml:space="preserve"> convenzionat</w:t>
      </w:r>
      <w:r w:rsidR="00C75B56">
        <w:rPr>
          <w:rFonts w:cs="Calibri"/>
          <w:color w:val="auto"/>
        </w:rPr>
        <w:t>e</w:t>
      </w:r>
      <w:r w:rsidRPr="00637D40">
        <w:rPr>
          <w:rFonts w:cs="Calibri"/>
          <w:color w:val="auto"/>
        </w:rPr>
        <w:t xml:space="preserve">, che forniscono servizi </w:t>
      </w:r>
      <w:r w:rsidRPr="00514DA8">
        <w:rPr>
          <w:rFonts w:cs="Calibri"/>
          <w:color w:val="auto"/>
        </w:rPr>
        <w:t xml:space="preserve">e prestazioni sanitarie </w:t>
      </w:r>
      <w:r w:rsidR="009B72F0">
        <w:rPr>
          <w:rFonts w:cs="Calibri"/>
          <w:color w:val="auto"/>
        </w:rPr>
        <w:t>per conto</w:t>
      </w:r>
      <w:r w:rsidR="00C75B56">
        <w:rPr>
          <w:rFonts w:cs="Calibri"/>
          <w:color w:val="auto"/>
        </w:rPr>
        <w:t xml:space="preserve"> del SSN</w:t>
      </w:r>
      <w:r w:rsidR="009B72F0">
        <w:rPr>
          <w:rFonts w:cs="Calibri"/>
          <w:color w:val="auto"/>
        </w:rPr>
        <w:t xml:space="preserve"> e vengono</w:t>
      </w:r>
      <w:r w:rsidR="00C75B56">
        <w:rPr>
          <w:rFonts w:cs="Calibri"/>
          <w:color w:val="auto"/>
        </w:rPr>
        <w:t xml:space="preserve"> rimborsate </w:t>
      </w:r>
      <w:r w:rsidR="009B72F0">
        <w:rPr>
          <w:rFonts w:cs="Calibri"/>
          <w:color w:val="auto"/>
        </w:rPr>
        <w:t>con risorse pubbliche</w:t>
      </w:r>
      <w:r w:rsidRPr="00514DA8">
        <w:rPr>
          <w:rFonts w:cs="Calibri"/>
          <w:color w:val="auto"/>
        </w:rPr>
        <w:t>.</w:t>
      </w:r>
    </w:p>
    <w:p w14:paraId="5B24AF35" w14:textId="2F293069" w:rsidR="0080178D" w:rsidRDefault="00C04751" w:rsidP="009B72F0">
      <w:pPr>
        <w:jc w:val="both"/>
        <w:rPr>
          <w:rFonts w:cs="Calibri"/>
        </w:rPr>
      </w:pPr>
      <w:bookmarkStart w:id="4" w:name="_Hlk210212525"/>
      <w:r w:rsidRPr="00DB303B">
        <w:rPr>
          <w:rFonts w:cs="Calibri"/>
          <w:b/>
          <w:bCs/>
          <w:color w:val="auto"/>
        </w:rPr>
        <w:t>Privato convenzionato</w:t>
      </w:r>
      <w:r>
        <w:rPr>
          <w:rFonts w:cs="Calibri"/>
          <w:color w:val="auto"/>
        </w:rPr>
        <w:t xml:space="preserve">. </w:t>
      </w:r>
      <w:r w:rsidR="00B73793">
        <w:rPr>
          <w:rFonts w:cs="Calibri"/>
        </w:rPr>
        <w:t>S</w:t>
      </w:r>
      <w:r w:rsidR="00514DA8" w:rsidRPr="00514DA8">
        <w:rPr>
          <w:rFonts w:cs="Calibri"/>
        </w:rPr>
        <w:t>econdo l’</w:t>
      </w:r>
      <w:hyperlink r:id="rId9" w:history="1">
        <w:r w:rsidR="00514DA8" w:rsidRPr="00FF0BA1">
          <w:rPr>
            <w:rStyle w:val="Collegamentoipertestuale"/>
            <w:rFonts w:cs="Calibri"/>
          </w:rPr>
          <w:t>Annuario Statistico del Ministero della Salute</w:t>
        </w:r>
      </w:hyperlink>
      <w:r w:rsidR="00C75B56">
        <w:rPr>
          <w:rFonts w:cs="Calibri"/>
        </w:rPr>
        <w:t xml:space="preserve">, </w:t>
      </w:r>
      <w:r w:rsidR="00B73793">
        <w:rPr>
          <w:rFonts w:cs="Calibri"/>
        </w:rPr>
        <w:t xml:space="preserve">nel 2023 </w:t>
      </w:r>
      <w:r w:rsidR="00D67C0E">
        <w:rPr>
          <w:rFonts w:cs="Calibri"/>
        </w:rPr>
        <w:t>delle</w:t>
      </w:r>
      <w:r w:rsidR="009B72F0" w:rsidRPr="00514DA8">
        <w:rPr>
          <w:rFonts w:cs="Calibri"/>
        </w:rPr>
        <w:t xml:space="preserve"> </w:t>
      </w:r>
      <w:r w:rsidR="00514DA8" w:rsidRPr="00514DA8">
        <w:rPr>
          <w:rFonts w:cs="Calibri"/>
        </w:rPr>
        <w:t>29.386 strutture sanitarie censite</w:t>
      </w:r>
      <w:r w:rsidR="009B72F0">
        <w:rPr>
          <w:rFonts w:cs="Calibri"/>
        </w:rPr>
        <w:t>,</w:t>
      </w:r>
      <w:r w:rsidR="00FF10E6">
        <w:rPr>
          <w:rFonts w:cs="Calibri"/>
        </w:rPr>
        <w:t xml:space="preserve"> il </w:t>
      </w:r>
      <w:r w:rsidR="00514DA8" w:rsidRPr="00514DA8">
        <w:rPr>
          <w:rFonts w:cs="Calibri"/>
        </w:rPr>
        <w:t>58%</w:t>
      </w:r>
      <w:r w:rsidR="00FF10E6">
        <w:rPr>
          <w:rFonts w:cs="Calibri"/>
        </w:rPr>
        <w:t xml:space="preserve"> (n. </w:t>
      </w:r>
      <w:r w:rsidR="00FF10E6" w:rsidRPr="00514DA8">
        <w:rPr>
          <w:rFonts w:cs="Calibri"/>
        </w:rPr>
        <w:t>17.042</w:t>
      </w:r>
      <w:r w:rsidR="00514DA8" w:rsidRPr="00514DA8">
        <w:rPr>
          <w:rFonts w:cs="Calibri"/>
        </w:rPr>
        <w:t xml:space="preserve">) </w:t>
      </w:r>
      <w:r w:rsidR="00B73793">
        <w:rPr>
          <w:rFonts w:cs="Calibri"/>
        </w:rPr>
        <w:t xml:space="preserve">sono </w:t>
      </w:r>
      <w:r w:rsidR="006C109C">
        <w:rPr>
          <w:rFonts w:cs="Calibri"/>
        </w:rPr>
        <w:t>strutture</w:t>
      </w:r>
      <w:r w:rsidR="006C109C" w:rsidRPr="00514DA8">
        <w:rPr>
          <w:rFonts w:cs="Calibri"/>
        </w:rPr>
        <w:t xml:space="preserve"> </w:t>
      </w:r>
      <w:r w:rsidR="00514DA8" w:rsidRPr="00514DA8">
        <w:rPr>
          <w:rFonts w:cs="Calibri"/>
        </w:rPr>
        <w:t>private accreditate</w:t>
      </w:r>
      <w:r w:rsidR="00B73793">
        <w:rPr>
          <w:rFonts w:cs="Calibri"/>
        </w:rPr>
        <w:t xml:space="preserve"> e</w:t>
      </w:r>
      <w:r w:rsidR="00514DA8" w:rsidRPr="00514DA8">
        <w:rPr>
          <w:rFonts w:cs="Calibri"/>
        </w:rPr>
        <w:t xml:space="preserve"> </w:t>
      </w:r>
      <w:r w:rsidR="00FF10E6">
        <w:rPr>
          <w:rFonts w:cs="Calibri"/>
        </w:rPr>
        <w:t xml:space="preserve">il </w:t>
      </w:r>
      <w:r w:rsidR="00514DA8" w:rsidRPr="00514DA8">
        <w:rPr>
          <w:rFonts w:cs="Calibri"/>
        </w:rPr>
        <w:t>42%</w:t>
      </w:r>
      <w:r w:rsidR="00FF10E6">
        <w:rPr>
          <w:rFonts w:cs="Calibri"/>
        </w:rPr>
        <w:t xml:space="preserve"> (n. </w:t>
      </w:r>
      <w:r w:rsidR="00FF10E6" w:rsidRPr="00514DA8">
        <w:rPr>
          <w:rFonts w:cs="Calibri"/>
        </w:rPr>
        <w:t>12.344</w:t>
      </w:r>
      <w:r w:rsidR="00514DA8" w:rsidRPr="00514DA8">
        <w:rPr>
          <w:rFonts w:cs="Calibri"/>
        </w:rPr>
        <w:t xml:space="preserve">) </w:t>
      </w:r>
      <w:r w:rsidR="00B73793">
        <w:rPr>
          <w:rFonts w:cs="Calibri"/>
        </w:rPr>
        <w:t>strutture</w:t>
      </w:r>
      <w:r w:rsidR="00371FE0">
        <w:rPr>
          <w:rFonts w:cs="Calibri"/>
        </w:rPr>
        <w:t xml:space="preserve"> </w:t>
      </w:r>
      <w:r w:rsidR="006C109C">
        <w:rPr>
          <w:rFonts w:cs="Calibri"/>
        </w:rPr>
        <w:t>pubblic</w:t>
      </w:r>
      <w:r w:rsidR="00371FE0">
        <w:rPr>
          <w:rFonts w:cs="Calibri"/>
        </w:rPr>
        <w:t>he</w:t>
      </w:r>
      <w:r w:rsidR="00F77EAB">
        <w:rPr>
          <w:rFonts w:cs="Calibri"/>
        </w:rPr>
        <w:t xml:space="preserve"> (</w:t>
      </w:r>
      <w:r w:rsidR="00F77EAB" w:rsidRPr="00F77EAB">
        <w:rPr>
          <w:rFonts w:cs="Calibri"/>
          <w:highlight w:val="yellow"/>
        </w:rPr>
        <w:t xml:space="preserve">tabella </w:t>
      </w:r>
      <w:r w:rsidR="002B5FED">
        <w:rPr>
          <w:rFonts w:cs="Calibri"/>
          <w:highlight w:val="yellow"/>
        </w:rPr>
        <w:t>3</w:t>
      </w:r>
      <w:r w:rsidR="00F77EAB">
        <w:rPr>
          <w:rFonts w:cs="Calibri"/>
        </w:rPr>
        <w:t>)</w:t>
      </w:r>
      <w:r w:rsidR="006C109C">
        <w:rPr>
          <w:rFonts w:cs="Calibri"/>
        </w:rPr>
        <w:t>.</w:t>
      </w:r>
      <w:bookmarkStart w:id="5" w:name="_Hlk210212877"/>
      <w:bookmarkEnd w:id="4"/>
      <w:r w:rsidR="00371FE0">
        <w:rPr>
          <w:rFonts w:cs="Calibri"/>
        </w:rPr>
        <w:t xml:space="preserve"> </w:t>
      </w:r>
      <w:r w:rsidR="00FF10E6" w:rsidRPr="00FF10E6">
        <w:rPr>
          <w:iCs/>
        </w:rPr>
        <w:t xml:space="preserve">Il privato </w:t>
      </w:r>
      <w:r w:rsidR="00FF10E6">
        <w:rPr>
          <w:iCs/>
        </w:rPr>
        <w:t xml:space="preserve">accreditato </w:t>
      </w:r>
      <w:r w:rsidR="00371FE0">
        <w:rPr>
          <w:iCs/>
        </w:rPr>
        <w:t xml:space="preserve">prevale ampiamente </w:t>
      </w:r>
      <w:r w:rsidR="00FF10E6" w:rsidRPr="00FF10E6">
        <w:rPr>
          <w:iCs/>
        </w:rPr>
        <w:t xml:space="preserve">in </w:t>
      </w:r>
      <w:r w:rsidR="00C75B56">
        <w:rPr>
          <w:iCs/>
        </w:rPr>
        <w:t>varie tipologie di assistenza</w:t>
      </w:r>
      <w:r w:rsidR="00FF10E6" w:rsidRPr="00FF10E6">
        <w:rPr>
          <w:iCs/>
        </w:rPr>
        <w:t xml:space="preserve">: </w:t>
      </w:r>
      <w:r w:rsidR="00FF10E6" w:rsidRPr="00FF10E6">
        <w:rPr>
          <w:rFonts w:cs="Calibri"/>
          <w:iCs/>
        </w:rPr>
        <w:t>residenziale (85,1%), riabilitativa (78,4%), semi-residenziale (72,8%) e</w:t>
      </w:r>
      <w:r w:rsidR="00FF10E6">
        <w:rPr>
          <w:rFonts w:cs="Calibri"/>
          <w:iCs/>
        </w:rPr>
        <w:t xml:space="preserve">, in misura minore, </w:t>
      </w:r>
      <w:r w:rsidR="00371FE0">
        <w:rPr>
          <w:rFonts w:cs="Calibri"/>
          <w:iCs/>
        </w:rPr>
        <w:t xml:space="preserve">nella </w:t>
      </w:r>
      <w:r w:rsidR="00FF10E6" w:rsidRPr="00FF10E6">
        <w:rPr>
          <w:rFonts w:cs="Calibri"/>
          <w:iCs/>
        </w:rPr>
        <w:t xml:space="preserve">specialistica ambulatoriale (59,7%) </w:t>
      </w:r>
      <w:r w:rsidR="00514DA8" w:rsidRPr="00514DA8">
        <w:rPr>
          <w:rFonts w:cs="Calibri"/>
        </w:rPr>
        <w:t>(</w:t>
      </w:r>
      <w:r w:rsidR="00514DA8" w:rsidRPr="00F77EAB">
        <w:rPr>
          <w:rFonts w:cs="Calibri"/>
          <w:highlight w:val="yellow"/>
        </w:rPr>
        <w:t xml:space="preserve">figura </w:t>
      </w:r>
      <w:r w:rsidR="004163E9">
        <w:rPr>
          <w:rFonts w:cs="Calibri"/>
          <w:highlight w:val="yellow"/>
        </w:rPr>
        <w:t>2</w:t>
      </w:r>
      <w:r w:rsidR="00514DA8" w:rsidRPr="00514DA8">
        <w:rPr>
          <w:rFonts w:cs="Calibri"/>
        </w:rPr>
        <w:t>).</w:t>
      </w:r>
      <w:bookmarkStart w:id="6" w:name="_Hlk210212934"/>
      <w:bookmarkEnd w:id="5"/>
      <w:r w:rsidR="0080178D">
        <w:rPr>
          <w:rFonts w:cs="Calibri"/>
        </w:rPr>
        <w:t xml:space="preserve"> </w:t>
      </w:r>
    </w:p>
    <w:p w14:paraId="0102AE47" w14:textId="5A32F486" w:rsidR="009B72F0" w:rsidRPr="00AD17D6" w:rsidRDefault="00A14669" w:rsidP="009B72F0">
      <w:pPr>
        <w:jc w:val="both"/>
        <w:rPr>
          <w:rFonts w:cs="Calibri"/>
        </w:rPr>
      </w:pPr>
      <w:r>
        <w:rPr>
          <w:rFonts w:cs="Calibri"/>
          <w:color w:val="auto"/>
        </w:rPr>
        <w:t xml:space="preserve">Tra il 2011 e il 2023 </w:t>
      </w:r>
      <w:r>
        <w:rPr>
          <w:rFonts w:cs="Calibri"/>
        </w:rPr>
        <w:t>i</w:t>
      </w:r>
      <w:r w:rsidR="00FF10E6">
        <w:rPr>
          <w:rFonts w:cs="Calibri"/>
        </w:rPr>
        <w:t xml:space="preserve">l numero di </w:t>
      </w:r>
      <w:r w:rsidR="00514DA8" w:rsidRPr="00514DA8">
        <w:rPr>
          <w:rFonts w:cs="Calibri"/>
        </w:rPr>
        <w:t xml:space="preserve">strutture ospedaliere e di assistenza specialistica ambulatoriale </w:t>
      </w:r>
      <w:r w:rsidR="00C25C15">
        <w:rPr>
          <w:rFonts w:cs="Calibri"/>
        </w:rPr>
        <w:t>è diminuito</w:t>
      </w:r>
      <w:r w:rsidR="00514DA8" w:rsidRPr="00514DA8">
        <w:rPr>
          <w:rFonts w:cs="Calibri"/>
        </w:rPr>
        <w:t xml:space="preserve"> sia nel pubblico </w:t>
      </w:r>
      <w:r w:rsidR="009B72F0">
        <w:rPr>
          <w:rFonts w:cs="Calibri"/>
        </w:rPr>
        <w:t>sia</w:t>
      </w:r>
      <w:r w:rsidR="009B72F0" w:rsidRPr="00514DA8">
        <w:rPr>
          <w:rFonts w:cs="Calibri"/>
        </w:rPr>
        <w:t xml:space="preserve"> </w:t>
      </w:r>
      <w:r w:rsidR="00514DA8" w:rsidRPr="00514DA8">
        <w:rPr>
          <w:rFonts w:cs="Calibri"/>
        </w:rPr>
        <w:t xml:space="preserve">nel privato accreditato, ma la contrazione è stata circa doppia nel pubblico </w:t>
      </w:r>
      <w:r w:rsidR="009374B5">
        <w:rPr>
          <w:rFonts w:cs="Calibri"/>
        </w:rPr>
        <w:t xml:space="preserve">(-14,1% e -5,6%) </w:t>
      </w:r>
      <w:r w:rsidR="00514DA8" w:rsidRPr="00514DA8">
        <w:rPr>
          <w:rFonts w:cs="Calibri"/>
        </w:rPr>
        <w:t>rispetto al privato</w:t>
      </w:r>
      <w:r w:rsidR="009374B5">
        <w:rPr>
          <w:rFonts w:cs="Calibri"/>
        </w:rPr>
        <w:t xml:space="preserve"> (-7,6% e -2,5%)</w:t>
      </w:r>
      <w:r w:rsidR="00514DA8" w:rsidRPr="00514DA8">
        <w:rPr>
          <w:rFonts w:cs="Calibri"/>
        </w:rPr>
        <w:t xml:space="preserve">. </w:t>
      </w:r>
      <w:r w:rsidR="00C25C15" w:rsidRPr="00C25C15">
        <w:rPr>
          <w:rFonts w:cs="Calibri"/>
        </w:rPr>
        <w:t xml:space="preserve">Il quadro si ribalta nelle </w:t>
      </w:r>
      <w:r w:rsidR="001467DE">
        <w:rPr>
          <w:rFonts w:cs="Calibri"/>
        </w:rPr>
        <w:t xml:space="preserve">altre </w:t>
      </w:r>
      <w:r w:rsidR="00C25C15" w:rsidRPr="00C25C15">
        <w:rPr>
          <w:rFonts w:cs="Calibri"/>
        </w:rPr>
        <w:t xml:space="preserve">aree. Nell’assistenza residenziale il pubblico arretra del 19,1% mentre il privato accreditato cresce del 41,3%; nell’assistenza semi-residenziale il pubblico segna </w:t>
      </w:r>
      <w:r w:rsidR="00EB47B3">
        <w:rPr>
          <w:rFonts w:cs="Calibri"/>
        </w:rPr>
        <w:t>-</w:t>
      </w:r>
      <w:r w:rsidR="00C25C15" w:rsidRPr="00C25C15">
        <w:rPr>
          <w:rFonts w:cs="Calibri"/>
        </w:rPr>
        <w:t>11,7% a fronte di un aumento del 35,8% del privato. Nell’assistenza riabilitativa crescono</w:t>
      </w:r>
      <w:r w:rsidR="00C75B56">
        <w:rPr>
          <w:rFonts w:cs="Calibri"/>
        </w:rPr>
        <w:t xml:space="preserve"> entrambi</w:t>
      </w:r>
      <w:r w:rsidR="00C25C15" w:rsidRPr="00C25C15">
        <w:rPr>
          <w:rFonts w:cs="Calibri"/>
        </w:rPr>
        <w:t xml:space="preserve">, ma con </w:t>
      </w:r>
      <w:r w:rsidR="00371FE0">
        <w:rPr>
          <w:rFonts w:cs="Calibri"/>
        </w:rPr>
        <w:t>percentuali</w:t>
      </w:r>
      <w:r w:rsidR="00C25C15" w:rsidRPr="00C25C15">
        <w:rPr>
          <w:rFonts w:cs="Calibri"/>
        </w:rPr>
        <w:t xml:space="preserve"> molto </w:t>
      </w:r>
      <w:r w:rsidR="00371FE0">
        <w:rPr>
          <w:rFonts w:cs="Calibri"/>
        </w:rPr>
        <w:t>diverse</w:t>
      </w:r>
      <w:r w:rsidR="00C25C15" w:rsidRPr="00C25C15">
        <w:rPr>
          <w:rFonts w:cs="Calibri"/>
        </w:rPr>
        <w:t xml:space="preserve"> (+5,3% pubblico </w:t>
      </w:r>
      <w:r w:rsidR="00C75B56">
        <w:rPr>
          <w:rFonts w:cs="Calibri"/>
        </w:rPr>
        <w:t>vs</w:t>
      </w:r>
      <w:r w:rsidR="00C25C15" w:rsidRPr="00C25C15">
        <w:rPr>
          <w:rFonts w:cs="Calibri"/>
        </w:rPr>
        <w:t xml:space="preserve"> +26,4% privato). Infine, nell’altra assistenza territoriale, </w:t>
      </w:r>
      <w:r w:rsidR="00077BF8" w:rsidRPr="009B72F0">
        <w:rPr>
          <w:rFonts w:cs="Calibri"/>
        </w:rPr>
        <w:t>pur con un aumento assoluto</w:t>
      </w:r>
      <w:r w:rsidR="00077BF8" w:rsidDel="00077BF8">
        <w:rPr>
          <w:rFonts w:cs="Calibri"/>
        </w:rPr>
        <w:t xml:space="preserve"> </w:t>
      </w:r>
      <w:r w:rsidR="00C25C15" w:rsidRPr="00C25C15">
        <w:rPr>
          <w:rFonts w:cs="Calibri"/>
        </w:rPr>
        <w:t xml:space="preserve">più </w:t>
      </w:r>
      <w:r w:rsidR="00371FE0">
        <w:rPr>
          <w:rFonts w:cs="Calibri"/>
        </w:rPr>
        <w:t>rilevante</w:t>
      </w:r>
      <w:r w:rsidR="00C25C15" w:rsidRPr="00C25C15">
        <w:rPr>
          <w:rFonts w:cs="Calibri"/>
        </w:rPr>
        <w:t xml:space="preserve"> nel pubblico, il privato accreditato </w:t>
      </w:r>
      <w:r w:rsidR="00077BF8">
        <w:rPr>
          <w:rFonts w:cs="Calibri"/>
        </w:rPr>
        <w:t>registra</w:t>
      </w:r>
      <w:r w:rsidR="00C25C15" w:rsidRPr="00C25C15">
        <w:rPr>
          <w:rFonts w:cs="Calibri"/>
        </w:rPr>
        <w:t xml:space="preserve"> </w:t>
      </w:r>
      <w:r w:rsidR="00077BF8">
        <w:rPr>
          <w:rFonts w:cs="Calibri"/>
        </w:rPr>
        <w:t>una crescita</w:t>
      </w:r>
      <w:r w:rsidR="00C25C15" w:rsidRPr="00C25C15">
        <w:rPr>
          <w:rFonts w:cs="Calibri"/>
        </w:rPr>
        <w:t xml:space="preserve"> percentuale quasi </w:t>
      </w:r>
      <w:r w:rsidR="00077BF8" w:rsidRPr="00C25C15">
        <w:rPr>
          <w:rFonts w:cs="Calibri"/>
        </w:rPr>
        <w:t>doppi</w:t>
      </w:r>
      <w:r w:rsidR="00077BF8">
        <w:rPr>
          <w:rFonts w:cs="Calibri"/>
        </w:rPr>
        <w:t>a</w:t>
      </w:r>
      <w:r w:rsidR="00077BF8" w:rsidRPr="00C25C15">
        <w:rPr>
          <w:rFonts w:cs="Calibri"/>
        </w:rPr>
        <w:t xml:space="preserve"> </w:t>
      </w:r>
      <w:r w:rsidR="00C25C15" w:rsidRPr="00C25C15">
        <w:rPr>
          <w:rFonts w:cs="Calibri"/>
        </w:rPr>
        <w:t xml:space="preserve">(+35,3% </w:t>
      </w:r>
      <w:r w:rsidR="00C75B56">
        <w:rPr>
          <w:rFonts w:cs="Calibri"/>
        </w:rPr>
        <w:t>vs</w:t>
      </w:r>
      <w:r w:rsidR="00C25C15" w:rsidRPr="00C25C15">
        <w:rPr>
          <w:rFonts w:cs="Calibri"/>
        </w:rPr>
        <w:t xml:space="preserve"> +18,6%)</w:t>
      </w:r>
      <w:r w:rsidR="00C75B56">
        <w:rPr>
          <w:rFonts w:cs="Calibri"/>
        </w:rPr>
        <w:t xml:space="preserve"> </w:t>
      </w:r>
      <w:r w:rsidR="00514DA8" w:rsidRPr="00514DA8">
        <w:rPr>
          <w:rFonts w:cs="Calibri"/>
        </w:rPr>
        <w:t>(</w:t>
      </w:r>
      <w:r w:rsidR="00514DA8" w:rsidRPr="00F77EAB">
        <w:rPr>
          <w:rFonts w:cs="Calibri"/>
          <w:highlight w:val="yellow"/>
        </w:rPr>
        <w:t>tabella</w:t>
      </w:r>
      <w:r w:rsidR="004163E9">
        <w:rPr>
          <w:rFonts w:cs="Calibri"/>
          <w:highlight w:val="yellow"/>
        </w:rPr>
        <w:t xml:space="preserve"> </w:t>
      </w:r>
      <w:r w:rsidR="002B5FED">
        <w:rPr>
          <w:rFonts w:cs="Calibri"/>
          <w:highlight w:val="yellow"/>
        </w:rPr>
        <w:t>4</w:t>
      </w:r>
      <w:r w:rsidR="00514DA8" w:rsidRPr="00514DA8">
        <w:rPr>
          <w:rFonts w:cs="Calibri"/>
        </w:rPr>
        <w:t xml:space="preserve">, </w:t>
      </w:r>
      <w:r w:rsidR="00514DA8" w:rsidRPr="00F77EAB">
        <w:rPr>
          <w:rFonts w:cs="Calibri"/>
          <w:highlight w:val="yellow"/>
        </w:rPr>
        <w:t xml:space="preserve">figura </w:t>
      </w:r>
      <w:r w:rsidR="004163E9">
        <w:rPr>
          <w:rFonts w:cs="Calibri"/>
          <w:highlight w:val="yellow"/>
        </w:rPr>
        <w:t>3</w:t>
      </w:r>
      <w:r w:rsidR="00514DA8" w:rsidRPr="00514DA8">
        <w:rPr>
          <w:rFonts w:cs="Calibri"/>
        </w:rPr>
        <w:t xml:space="preserve">). </w:t>
      </w:r>
      <w:bookmarkEnd w:id="6"/>
      <w:r w:rsidR="00DA3F8C" w:rsidRPr="00FF10E6">
        <w:rPr>
          <w:rFonts w:cs="Calibri"/>
          <w:color w:val="auto"/>
        </w:rPr>
        <w:t>«</w:t>
      </w:r>
      <w:r w:rsidR="00DA3F8C">
        <w:rPr>
          <w:rFonts w:cs="Calibri"/>
          <w:color w:val="auto"/>
        </w:rPr>
        <w:t xml:space="preserve">In altri termini </w:t>
      </w:r>
      <w:r w:rsidR="00DA3F8C">
        <w:rPr>
          <w:rFonts w:cs="Calibri"/>
        </w:rPr>
        <w:t>nell’assistenza ospedaliera e specialistica ambulatoriale</w:t>
      </w:r>
      <w:r w:rsidR="00BE029A">
        <w:rPr>
          <w:rFonts w:cs="Calibri"/>
        </w:rPr>
        <w:t xml:space="preserve"> </w:t>
      </w:r>
      <w:r w:rsidR="00BE029A">
        <w:rPr>
          <w:rFonts w:cs="Calibri"/>
          <w:color w:val="auto"/>
        </w:rPr>
        <w:t>– commenta Cartabellotta –</w:t>
      </w:r>
      <w:r w:rsidR="00DA3F8C">
        <w:rPr>
          <w:rFonts w:cs="Calibri"/>
        </w:rPr>
        <w:t xml:space="preserve"> nel periodo 2011-2023 </w:t>
      </w:r>
      <w:r w:rsidR="00DA3F8C">
        <w:rPr>
          <w:rFonts w:cs="Calibri"/>
          <w:color w:val="auto"/>
        </w:rPr>
        <w:t xml:space="preserve">le </w:t>
      </w:r>
      <w:r w:rsidR="00DA3F8C">
        <w:rPr>
          <w:rFonts w:cs="Calibri"/>
        </w:rPr>
        <w:t xml:space="preserve">strutture </w:t>
      </w:r>
      <w:r w:rsidR="00DA3F8C" w:rsidRPr="00FF10E6">
        <w:rPr>
          <w:rFonts w:cs="Calibri"/>
        </w:rPr>
        <w:t>privat</w:t>
      </w:r>
      <w:r w:rsidR="00DA3F8C">
        <w:rPr>
          <w:rFonts w:cs="Calibri"/>
        </w:rPr>
        <w:t xml:space="preserve">e </w:t>
      </w:r>
      <w:r w:rsidR="00DA3F8C" w:rsidRPr="00FF10E6">
        <w:rPr>
          <w:rFonts w:cs="Calibri"/>
        </w:rPr>
        <w:t>accreditat</w:t>
      </w:r>
      <w:r w:rsidR="00DA3F8C">
        <w:rPr>
          <w:rFonts w:cs="Calibri"/>
        </w:rPr>
        <w:t>e</w:t>
      </w:r>
      <w:r w:rsidR="00DA3F8C" w:rsidRPr="00FF10E6">
        <w:rPr>
          <w:rFonts w:cs="Calibri"/>
        </w:rPr>
        <w:t xml:space="preserve"> </w:t>
      </w:r>
      <w:r w:rsidR="00DA3F8C">
        <w:rPr>
          <w:rFonts w:cs="Calibri"/>
        </w:rPr>
        <w:t xml:space="preserve">si sono ridotte meno di quelle pubbliche e nelle altre tipologie assistenziali sono aumentate </w:t>
      </w:r>
      <w:r w:rsidR="00DA3F8C" w:rsidRPr="00FF10E6">
        <w:rPr>
          <w:rFonts w:cs="Calibri"/>
        </w:rPr>
        <w:t xml:space="preserve">molto </w:t>
      </w:r>
      <w:r w:rsidR="00DA3F8C">
        <w:rPr>
          <w:rFonts w:cs="Calibri"/>
        </w:rPr>
        <w:t>di più</w:t>
      </w:r>
      <w:r w:rsidR="00DA3F8C" w:rsidRPr="00FF10E6">
        <w:rPr>
          <w:rFonts w:cs="Calibri"/>
        </w:rPr>
        <w:t xml:space="preserve">. </w:t>
      </w:r>
      <w:r w:rsidR="00DA3F8C">
        <w:rPr>
          <w:rFonts w:cs="Calibri"/>
        </w:rPr>
        <w:t>Di conseguenza, o</w:t>
      </w:r>
      <w:r w:rsidR="00DA3F8C" w:rsidRPr="00FF10E6">
        <w:rPr>
          <w:rFonts w:cs="Calibri"/>
        </w:rPr>
        <w:t xml:space="preserve">ggi </w:t>
      </w:r>
      <w:r w:rsidR="00DA3F8C">
        <w:rPr>
          <w:rFonts w:cs="Calibri"/>
        </w:rPr>
        <w:t xml:space="preserve">il privato accreditato </w:t>
      </w:r>
      <w:r w:rsidR="00BE029A">
        <w:rPr>
          <w:rFonts w:cs="Calibri"/>
        </w:rPr>
        <w:t xml:space="preserve">finisce per essere </w:t>
      </w:r>
      <w:r w:rsidR="00DA3F8C" w:rsidRPr="00FF10E6">
        <w:rPr>
          <w:rFonts w:cs="Calibri"/>
        </w:rPr>
        <w:t>la spina dorsale di interi settori</w:t>
      </w:r>
      <w:r w:rsidR="00DA3F8C" w:rsidRPr="00FF10E6">
        <w:rPr>
          <w:rFonts w:cs="Calibri"/>
          <w:color w:val="auto"/>
        </w:rPr>
        <w:t>»</w:t>
      </w:r>
      <w:r w:rsidR="00DA3F8C">
        <w:rPr>
          <w:rFonts w:cs="Calibri"/>
          <w:color w:val="auto"/>
        </w:rPr>
        <w:t xml:space="preserve">. </w:t>
      </w:r>
    </w:p>
    <w:p w14:paraId="1E07ACB6" w14:textId="6F0DE4EB" w:rsidR="001E4A88" w:rsidRDefault="00C75B56" w:rsidP="00470A90">
      <w:pPr>
        <w:suppressAutoHyphens/>
        <w:jc w:val="both"/>
        <w:rPr>
          <w:rFonts w:cs="Calibri"/>
          <w:color w:val="auto"/>
        </w:rPr>
      </w:pPr>
      <w:r>
        <w:rPr>
          <w:rFonts w:cs="Calibri"/>
          <w:color w:val="auto"/>
        </w:rPr>
        <w:t>Dal punto di vista finanziario, n</w:t>
      </w:r>
      <w:r w:rsidR="009C1DD1" w:rsidRPr="00C127AC">
        <w:rPr>
          <w:rFonts w:cs="Calibri"/>
          <w:color w:val="auto"/>
        </w:rPr>
        <w:t>el periodo 2012-2024 la spesa pubblica destinata al privato convenzionato è aumentata di € 5.333 milioni (+ 22,8</w:t>
      </w:r>
      <w:r w:rsidR="00C25C15" w:rsidRPr="00C127AC">
        <w:rPr>
          <w:rFonts w:cs="Calibri"/>
          <w:color w:val="auto"/>
        </w:rPr>
        <w:t>%)</w:t>
      </w:r>
      <w:r w:rsidR="00C25C15">
        <w:rPr>
          <w:rFonts w:cs="Calibri"/>
          <w:color w:val="auto"/>
        </w:rPr>
        <w:t>, passando</w:t>
      </w:r>
      <w:r w:rsidR="00C25C15" w:rsidRPr="00C127AC">
        <w:rPr>
          <w:rFonts w:cs="Calibri"/>
          <w:color w:val="auto"/>
        </w:rPr>
        <w:t xml:space="preserve"> </w:t>
      </w:r>
      <w:r w:rsidR="009C1DD1" w:rsidRPr="00C127AC">
        <w:rPr>
          <w:rFonts w:cs="Calibri"/>
          <w:color w:val="auto"/>
        </w:rPr>
        <w:t xml:space="preserve">da € 23.376 milioni </w:t>
      </w:r>
      <w:r w:rsidR="00C25C15">
        <w:rPr>
          <w:rFonts w:cs="Calibri"/>
          <w:color w:val="auto"/>
        </w:rPr>
        <w:t>n</w:t>
      </w:r>
      <w:r w:rsidR="00C25C15" w:rsidRPr="00C127AC">
        <w:rPr>
          <w:rFonts w:cs="Calibri"/>
          <w:color w:val="auto"/>
        </w:rPr>
        <w:t xml:space="preserve">el </w:t>
      </w:r>
      <w:r w:rsidR="009C1DD1" w:rsidRPr="00C127AC">
        <w:rPr>
          <w:rFonts w:cs="Calibri"/>
          <w:color w:val="auto"/>
        </w:rPr>
        <w:t xml:space="preserve">2012 a € 28.709 </w:t>
      </w:r>
      <w:r w:rsidR="00077BF8">
        <w:rPr>
          <w:rFonts w:cs="Calibri"/>
          <w:color w:val="auto"/>
        </w:rPr>
        <w:t xml:space="preserve">milioni </w:t>
      </w:r>
      <w:r w:rsidR="00C25C15">
        <w:rPr>
          <w:rFonts w:cs="Calibri"/>
          <w:color w:val="auto"/>
        </w:rPr>
        <w:t>n</w:t>
      </w:r>
      <w:r w:rsidR="00C25C15" w:rsidRPr="00C127AC">
        <w:rPr>
          <w:rFonts w:cs="Calibri"/>
          <w:color w:val="auto"/>
        </w:rPr>
        <w:t xml:space="preserve">el </w:t>
      </w:r>
      <w:r w:rsidR="009C1DD1" w:rsidRPr="00C127AC">
        <w:rPr>
          <w:rFonts w:cs="Calibri"/>
          <w:color w:val="auto"/>
        </w:rPr>
        <w:t>2024</w:t>
      </w:r>
      <w:r w:rsidR="009C1DD1">
        <w:rPr>
          <w:rFonts w:cs="Calibri"/>
          <w:color w:val="auto"/>
        </w:rPr>
        <w:t>.</w:t>
      </w:r>
      <w:r w:rsidR="009C1DD1" w:rsidRPr="009C1DD1">
        <w:rPr>
          <w:rFonts w:cs="Calibri"/>
          <w:color w:val="auto"/>
        </w:rPr>
        <w:t xml:space="preserve"> </w:t>
      </w:r>
      <w:r w:rsidR="00371FE0">
        <w:rPr>
          <w:rFonts w:cs="Calibri"/>
          <w:color w:val="auto"/>
        </w:rPr>
        <w:t>Ma</w:t>
      </w:r>
      <w:r w:rsidR="00A14669">
        <w:rPr>
          <w:rFonts w:cs="Calibri"/>
          <w:color w:val="auto"/>
        </w:rPr>
        <w:t xml:space="preserve"> </w:t>
      </w:r>
      <w:r w:rsidR="00077BF8" w:rsidRPr="00077BF8">
        <w:rPr>
          <w:rFonts w:cs="Calibri"/>
          <w:color w:val="auto"/>
        </w:rPr>
        <w:t xml:space="preserve">questa crescita </w:t>
      </w:r>
      <w:r w:rsidR="00A14669">
        <w:rPr>
          <w:rFonts w:cs="Calibri"/>
          <w:color w:val="auto"/>
        </w:rPr>
        <w:t>in valore assoluto</w:t>
      </w:r>
      <w:r w:rsidR="00A14669" w:rsidRPr="00077BF8">
        <w:rPr>
          <w:rFonts w:cs="Calibri"/>
          <w:color w:val="auto"/>
        </w:rPr>
        <w:t xml:space="preserve"> </w:t>
      </w:r>
      <w:r w:rsidR="00077BF8" w:rsidRPr="00077BF8">
        <w:rPr>
          <w:rFonts w:cs="Calibri"/>
          <w:color w:val="auto"/>
        </w:rPr>
        <w:t>non si è tradotta in un maggiore peso percentuale</w:t>
      </w:r>
      <w:r w:rsidR="009C1DD1" w:rsidRPr="00C127AC">
        <w:rPr>
          <w:rFonts w:cs="Calibri"/>
          <w:color w:val="auto"/>
        </w:rPr>
        <w:t xml:space="preserve"> sul</w:t>
      </w:r>
      <w:r w:rsidR="00C25C15">
        <w:rPr>
          <w:rFonts w:cs="Calibri"/>
          <w:color w:val="auto"/>
        </w:rPr>
        <w:t>la</w:t>
      </w:r>
      <w:r w:rsidR="009C1DD1" w:rsidRPr="00C127AC">
        <w:rPr>
          <w:rFonts w:cs="Calibri"/>
          <w:color w:val="auto"/>
        </w:rPr>
        <w:t xml:space="preserve"> spesa sanitaria</w:t>
      </w:r>
      <w:r w:rsidR="009C1DD1">
        <w:rPr>
          <w:rFonts w:cs="Calibri"/>
          <w:color w:val="auto"/>
        </w:rPr>
        <w:t xml:space="preserve"> </w:t>
      </w:r>
      <w:r w:rsidR="00C25C15" w:rsidRPr="00C127AC">
        <w:rPr>
          <w:rFonts w:cs="Calibri"/>
          <w:color w:val="auto"/>
        </w:rPr>
        <w:t>totale</w:t>
      </w:r>
      <w:r w:rsidR="00C25C15">
        <w:rPr>
          <w:rFonts w:cs="Calibri"/>
          <w:color w:val="auto"/>
        </w:rPr>
        <w:t xml:space="preserve">: </w:t>
      </w:r>
      <w:r w:rsidR="00077BF8" w:rsidRPr="00077BF8">
        <w:rPr>
          <w:rFonts w:cs="Calibri"/>
          <w:color w:val="auto"/>
        </w:rPr>
        <w:t xml:space="preserve">l’incidenza è rimasta </w:t>
      </w:r>
      <w:r w:rsidR="009C1DD1" w:rsidRPr="00C127AC">
        <w:rPr>
          <w:rFonts w:cs="Calibri"/>
          <w:color w:val="auto"/>
        </w:rPr>
        <w:t>stabile fino al 2019</w:t>
      </w:r>
      <w:r w:rsidR="00C25C15">
        <w:rPr>
          <w:rFonts w:cs="Calibri"/>
          <w:color w:val="auto"/>
        </w:rPr>
        <w:t xml:space="preserve"> e, a partire</w:t>
      </w:r>
      <w:r w:rsidR="009C1DD1" w:rsidRPr="00C127AC">
        <w:rPr>
          <w:rFonts w:cs="Calibri"/>
          <w:color w:val="auto"/>
        </w:rPr>
        <w:t xml:space="preserve"> dal 2020,</w:t>
      </w:r>
      <w:r w:rsidR="00EB47B3">
        <w:rPr>
          <w:rFonts w:cs="Calibri"/>
          <w:color w:val="auto"/>
        </w:rPr>
        <w:t xml:space="preserve"> </w:t>
      </w:r>
      <w:r w:rsidR="00C25C15">
        <w:rPr>
          <w:rFonts w:cs="Calibri"/>
          <w:color w:val="auto"/>
        </w:rPr>
        <w:t>ha iniziato a ridursi</w:t>
      </w:r>
      <w:r w:rsidR="009C1DD1" w:rsidRPr="00C127AC">
        <w:rPr>
          <w:rFonts w:cs="Calibri"/>
          <w:color w:val="auto"/>
        </w:rPr>
        <w:t xml:space="preserve"> fino a toccare </w:t>
      </w:r>
      <w:r w:rsidR="00BE029A" w:rsidRPr="00C127AC">
        <w:rPr>
          <w:rFonts w:cs="Calibri"/>
          <w:color w:val="auto"/>
        </w:rPr>
        <w:t>nel 2024</w:t>
      </w:r>
      <w:r w:rsidR="00BE029A">
        <w:rPr>
          <w:rFonts w:cs="Calibri"/>
          <w:color w:val="auto"/>
        </w:rPr>
        <w:t xml:space="preserve"> </w:t>
      </w:r>
      <w:r w:rsidR="009C1DD1" w:rsidRPr="00C127AC">
        <w:rPr>
          <w:rFonts w:cs="Calibri"/>
          <w:color w:val="auto"/>
        </w:rPr>
        <w:t xml:space="preserve">il minimo storico del 20,8% </w:t>
      </w:r>
      <w:r w:rsidR="00C127AC" w:rsidRPr="00C127AC">
        <w:rPr>
          <w:rFonts w:cs="Calibri"/>
          <w:color w:val="auto"/>
        </w:rPr>
        <w:t>(</w:t>
      </w:r>
      <w:r w:rsidR="00C127AC" w:rsidRPr="00C127AC">
        <w:rPr>
          <w:rFonts w:cs="Calibri"/>
          <w:color w:val="auto"/>
          <w:highlight w:val="yellow"/>
        </w:rPr>
        <w:t xml:space="preserve">figura </w:t>
      </w:r>
      <w:r w:rsidR="004163E9">
        <w:rPr>
          <w:rFonts w:cs="Calibri"/>
          <w:color w:val="auto"/>
          <w:highlight w:val="yellow"/>
        </w:rPr>
        <w:t>4</w:t>
      </w:r>
      <w:r w:rsidR="00C127AC" w:rsidRPr="00C127AC">
        <w:rPr>
          <w:rFonts w:cs="Calibri"/>
          <w:color w:val="auto"/>
        </w:rPr>
        <w:t>).</w:t>
      </w:r>
      <w:r w:rsidR="00371FE0">
        <w:rPr>
          <w:rFonts w:cs="Calibri"/>
          <w:color w:val="auto"/>
        </w:rPr>
        <w:t xml:space="preserve"> </w:t>
      </w:r>
      <w:r w:rsidR="009374B5" w:rsidRPr="009C1DD1">
        <w:rPr>
          <w:rFonts w:cs="Calibri"/>
          <w:color w:val="auto"/>
        </w:rPr>
        <w:t>«</w:t>
      </w:r>
      <w:r w:rsidR="00371FE0">
        <w:rPr>
          <w:rFonts w:cs="Calibri"/>
          <w:color w:val="auto"/>
        </w:rPr>
        <w:t xml:space="preserve">Questo dato </w:t>
      </w:r>
      <w:r w:rsidR="00EB47B3">
        <w:rPr>
          <w:rFonts w:cs="Calibri"/>
          <w:color w:val="auto"/>
        </w:rPr>
        <w:t>–</w:t>
      </w:r>
      <w:r w:rsidR="00EB47B3" w:rsidRPr="009C1DD1">
        <w:rPr>
          <w:rFonts w:cs="Calibri"/>
          <w:color w:val="auto"/>
        </w:rPr>
        <w:t xml:space="preserve"> commenta Cartabellotta</w:t>
      </w:r>
      <w:r w:rsidR="00EB47B3">
        <w:rPr>
          <w:rFonts w:cs="Calibri"/>
          <w:color w:val="auto"/>
        </w:rPr>
        <w:t xml:space="preserve"> –</w:t>
      </w:r>
      <w:r w:rsidR="00D753F8">
        <w:rPr>
          <w:rFonts w:cs="Calibri"/>
          <w:color w:val="auto"/>
        </w:rPr>
        <w:t xml:space="preserve"> </w:t>
      </w:r>
      <w:r w:rsidR="002E50BF">
        <w:rPr>
          <w:rFonts w:cs="Calibri"/>
          <w:color w:val="auto"/>
        </w:rPr>
        <w:t xml:space="preserve">da un lato </w:t>
      </w:r>
      <w:r w:rsidR="00D753F8">
        <w:rPr>
          <w:rFonts w:cs="Calibri"/>
          <w:color w:val="auto"/>
        </w:rPr>
        <w:t>documenta la “sofferenza” del privato convenzionato</w:t>
      </w:r>
      <w:r w:rsidR="002E50BF">
        <w:rPr>
          <w:rFonts w:cs="Calibri"/>
          <w:color w:val="auto"/>
        </w:rPr>
        <w:t>, dall’altro</w:t>
      </w:r>
      <w:r w:rsidR="00D753F8">
        <w:rPr>
          <w:rFonts w:cs="Calibri"/>
          <w:color w:val="auto"/>
        </w:rPr>
        <w:t xml:space="preserve"> </w:t>
      </w:r>
      <w:r w:rsidR="002E50BF">
        <w:rPr>
          <w:rFonts w:cs="Calibri"/>
          <w:color w:val="auto"/>
        </w:rPr>
        <w:t xml:space="preserve">dimostra </w:t>
      </w:r>
      <w:r w:rsidR="009374B5" w:rsidRPr="009C1DD1">
        <w:rPr>
          <w:rFonts w:cs="Calibri"/>
          <w:color w:val="auto"/>
        </w:rPr>
        <w:t xml:space="preserve">scelte politiche poco lungimiranti. </w:t>
      </w:r>
      <w:r w:rsidR="00371FE0">
        <w:rPr>
          <w:rFonts w:cs="Calibri"/>
          <w:color w:val="auto"/>
        </w:rPr>
        <w:t>Infatti, d</w:t>
      </w:r>
      <w:r w:rsidR="00EB47B3">
        <w:rPr>
          <w:rFonts w:cs="Calibri"/>
          <w:color w:val="auto"/>
        </w:rPr>
        <w:t>iverse</w:t>
      </w:r>
      <w:r w:rsidR="009374B5" w:rsidRPr="009C1DD1">
        <w:rPr>
          <w:rFonts w:cs="Calibri"/>
          <w:color w:val="auto"/>
        </w:rPr>
        <w:t xml:space="preserve"> Regioni hanno favorito </w:t>
      </w:r>
      <w:r w:rsidR="00D67C0E">
        <w:rPr>
          <w:rFonts w:cs="Calibri"/>
          <w:color w:val="auto"/>
        </w:rPr>
        <w:t xml:space="preserve">un’eccessiva </w:t>
      </w:r>
      <w:r w:rsidR="009374B5" w:rsidRPr="009C1DD1">
        <w:rPr>
          <w:rFonts w:cs="Calibri"/>
          <w:color w:val="auto"/>
        </w:rPr>
        <w:t xml:space="preserve">espansione del privato </w:t>
      </w:r>
      <w:r w:rsidR="00D67C0E">
        <w:rPr>
          <w:rFonts w:cs="Calibri"/>
          <w:color w:val="auto"/>
        </w:rPr>
        <w:t xml:space="preserve">accreditato </w:t>
      </w:r>
      <w:r w:rsidR="009374B5" w:rsidRPr="009C1DD1">
        <w:rPr>
          <w:rFonts w:cs="Calibri"/>
          <w:color w:val="auto"/>
        </w:rPr>
        <w:t xml:space="preserve">senza disporre </w:t>
      </w:r>
      <w:r w:rsidR="006417F5">
        <w:rPr>
          <w:rFonts w:cs="Calibri"/>
          <w:color w:val="auto"/>
        </w:rPr>
        <w:t>di</w:t>
      </w:r>
      <w:r w:rsidR="009374B5" w:rsidRPr="009C1DD1">
        <w:rPr>
          <w:rFonts w:cs="Calibri"/>
          <w:color w:val="auto"/>
        </w:rPr>
        <w:t xml:space="preserve"> risorse</w:t>
      </w:r>
      <w:r w:rsidR="006417F5">
        <w:rPr>
          <w:rFonts w:cs="Calibri"/>
          <w:color w:val="auto"/>
        </w:rPr>
        <w:t xml:space="preserve"> </w:t>
      </w:r>
      <w:r w:rsidR="006417F5">
        <w:rPr>
          <w:rFonts w:cs="Calibri"/>
          <w:color w:val="auto"/>
        </w:rPr>
        <w:lastRenderedPageBreak/>
        <w:t>adeguate</w:t>
      </w:r>
      <w:r w:rsidR="009374B5" w:rsidRPr="009C1DD1">
        <w:rPr>
          <w:rFonts w:cs="Calibri"/>
          <w:color w:val="auto"/>
        </w:rPr>
        <w:t xml:space="preserve">, </w:t>
      </w:r>
      <w:r w:rsidR="00EA233B">
        <w:rPr>
          <w:rFonts w:cs="Calibri"/>
          <w:color w:val="auto"/>
        </w:rPr>
        <w:t xml:space="preserve">visto che </w:t>
      </w:r>
      <w:r w:rsidR="00C7276F">
        <w:rPr>
          <w:rFonts w:cs="Calibri"/>
          <w:color w:val="auto"/>
        </w:rPr>
        <w:t xml:space="preserve">l’imponente </w:t>
      </w:r>
      <w:proofErr w:type="spellStart"/>
      <w:r w:rsidR="00C7276F">
        <w:rPr>
          <w:rFonts w:cs="Calibri"/>
          <w:color w:val="auto"/>
        </w:rPr>
        <w:t>definanziamento</w:t>
      </w:r>
      <w:proofErr w:type="spellEnd"/>
      <w:r w:rsidR="00C7276F">
        <w:rPr>
          <w:rFonts w:cs="Calibri"/>
          <w:color w:val="auto"/>
        </w:rPr>
        <w:t xml:space="preserve"> del SSN </w:t>
      </w:r>
      <w:r w:rsidR="00371FE0">
        <w:rPr>
          <w:rFonts w:cs="Calibri"/>
          <w:color w:val="auto"/>
        </w:rPr>
        <w:t xml:space="preserve">ha mantenuto ferme </w:t>
      </w:r>
      <w:r w:rsidR="00C7276F">
        <w:rPr>
          <w:rFonts w:cs="Calibri"/>
          <w:color w:val="auto"/>
        </w:rPr>
        <w:t>le tariffe di rimborso</w:t>
      </w:r>
      <w:r w:rsidR="00A14669">
        <w:rPr>
          <w:rFonts w:cs="Calibri"/>
          <w:color w:val="auto"/>
        </w:rPr>
        <w:t xml:space="preserve"> delle prestazioni</w:t>
      </w:r>
      <w:r w:rsidR="00C7276F">
        <w:rPr>
          <w:rFonts w:cs="Calibri"/>
          <w:color w:val="auto"/>
        </w:rPr>
        <w:t xml:space="preserve">. </w:t>
      </w:r>
      <w:r w:rsidR="00077BF8">
        <w:rPr>
          <w:rFonts w:cs="Calibri"/>
          <w:color w:val="auto"/>
        </w:rPr>
        <w:t>Ne sono derivati</w:t>
      </w:r>
      <w:r w:rsidR="00C7276F">
        <w:rPr>
          <w:rFonts w:cs="Calibri"/>
          <w:color w:val="auto"/>
        </w:rPr>
        <w:t xml:space="preserve"> </w:t>
      </w:r>
      <w:r w:rsidR="009374B5" w:rsidRPr="009C1DD1">
        <w:rPr>
          <w:rFonts w:cs="Calibri"/>
          <w:color w:val="auto"/>
        </w:rPr>
        <w:t xml:space="preserve">squilibri </w:t>
      </w:r>
      <w:r w:rsidR="00EB47B3">
        <w:rPr>
          <w:rFonts w:cs="Calibri"/>
          <w:color w:val="auto"/>
        </w:rPr>
        <w:t xml:space="preserve">strutturali </w:t>
      </w:r>
      <w:r w:rsidR="009374B5" w:rsidRPr="009C1DD1">
        <w:rPr>
          <w:rFonts w:cs="Calibri"/>
          <w:color w:val="auto"/>
        </w:rPr>
        <w:t xml:space="preserve">e tensioni </w:t>
      </w:r>
      <w:r w:rsidR="00077BF8">
        <w:rPr>
          <w:rFonts w:cs="Calibri"/>
          <w:color w:val="auto"/>
        </w:rPr>
        <w:t>ricorrenti</w:t>
      </w:r>
      <w:r w:rsidR="00077BF8" w:rsidRPr="009C1DD1">
        <w:rPr>
          <w:rFonts w:cs="Calibri"/>
          <w:color w:val="auto"/>
        </w:rPr>
        <w:t xml:space="preserve"> </w:t>
      </w:r>
      <w:r w:rsidR="009374B5" w:rsidRPr="009C1DD1">
        <w:rPr>
          <w:rFonts w:cs="Calibri"/>
          <w:color w:val="auto"/>
        </w:rPr>
        <w:t xml:space="preserve">su tetti di spesa e convenzioni, </w:t>
      </w:r>
      <w:r w:rsidR="00077BF8">
        <w:rPr>
          <w:rFonts w:cs="Calibri"/>
          <w:color w:val="auto"/>
        </w:rPr>
        <w:t>spesso</w:t>
      </w:r>
      <w:r w:rsidR="00C7276F">
        <w:rPr>
          <w:rFonts w:cs="Calibri"/>
          <w:color w:val="auto"/>
        </w:rPr>
        <w:t xml:space="preserve"> ridimensionate nei volumi o</w:t>
      </w:r>
      <w:r w:rsidR="00077BF8">
        <w:rPr>
          <w:rFonts w:cs="Calibri"/>
          <w:color w:val="auto"/>
        </w:rPr>
        <w:t xml:space="preserve">, </w:t>
      </w:r>
      <w:r w:rsidR="002E50BF">
        <w:rPr>
          <w:rFonts w:cs="Calibri"/>
          <w:color w:val="auto"/>
        </w:rPr>
        <w:t xml:space="preserve">addirittura, </w:t>
      </w:r>
      <w:r w:rsidR="00C7276F">
        <w:rPr>
          <w:rFonts w:cs="Calibri"/>
          <w:color w:val="auto"/>
        </w:rPr>
        <w:t>interrotte</w:t>
      </w:r>
      <w:r w:rsidR="009374B5" w:rsidRPr="009C1DD1">
        <w:rPr>
          <w:rFonts w:cs="Calibri"/>
          <w:color w:val="auto"/>
        </w:rPr>
        <w:t>»</w:t>
      </w:r>
      <w:r w:rsidR="009C1DD1" w:rsidRPr="009C1DD1">
        <w:rPr>
          <w:rFonts w:cs="Calibri"/>
          <w:color w:val="auto"/>
        </w:rPr>
        <w:t xml:space="preserve">. </w:t>
      </w:r>
      <w:r w:rsidR="00077BF8" w:rsidRPr="00077BF8">
        <w:rPr>
          <w:rFonts w:cs="Calibri"/>
          <w:color w:val="auto"/>
        </w:rPr>
        <w:t xml:space="preserve">Nel 2023, ultimo dato disponibile della </w:t>
      </w:r>
      <w:hyperlink r:id="rId10" w:history="1">
        <w:r w:rsidR="00AD17D6" w:rsidRPr="0086296C">
          <w:rPr>
            <w:rStyle w:val="Collegamentoipertestuale"/>
            <w:rFonts w:cs="Calibri"/>
          </w:rPr>
          <w:t>Ragioneria Generale dello Stato</w:t>
        </w:r>
      </w:hyperlink>
      <w:r w:rsidR="00077BF8" w:rsidRPr="00D67C0E">
        <w:rPr>
          <w:rStyle w:val="Collegamentoipertestuale"/>
          <w:rFonts w:cs="Calibri"/>
          <w:u w:val="none"/>
        </w:rPr>
        <w:t>, la quota di spesa pubblica destinata al privato convenzionato</w:t>
      </w:r>
      <w:r w:rsidR="00AD17D6" w:rsidRPr="00D67C0E">
        <w:rPr>
          <w:rFonts w:cs="Calibri"/>
          <w:color w:val="auto"/>
        </w:rPr>
        <w:t xml:space="preserve"> </w:t>
      </w:r>
      <w:r w:rsidR="00470A90" w:rsidRPr="009C1DD1">
        <w:rPr>
          <w:rFonts w:cs="Calibri"/>
          <w:color w:val="auto"/>
        </w:rPr>
        <w:t>supera</w:t>
      </w:r>
      <w:r w:rsidR="00470A90" w:rsidRPr="00470A90">
        <w:rPr>
          <w:rFonts w:cs="Calibri"/>
          <w:color w:val="auto"/>
        </w:rPr>
        <w:t xml:space="preserve"> la media nazionale </w:t>
      </w:r>
      <w:r w:rsidR="00D67C0E">
        <w:rPr>
          <w:rFonts w:cs="Calibri"/>
          <w:color w:val="auto"/>
        </w:rPr>
        <w:t>(</w:t>
      </w:r>
      <w:r w:rsidR="00470A90" w:rsidRPr="00470A90">
        <w:rPr>
          <w:rFonts w:cs="Calibri"/>
          <w:color w:val="auto"/>
        </w:rPr>
        <w:t>20,3%</w:t>
      </w:r>
      <w:r w:rsidR="00D67C0E">
        <w:rPr>
          <w:rFonts w:cs="Calibri"/>
          <w:color w:val="auto"/>
        </w:rPr>
        <w:t>)</w:t>
      </w:r>
      <w:r w:rsidR="00470A90" w:rsidRPr="00470A90">
        <w:rPr>
          <w:rFonts w:cs="Calibri"/>
          <w:color w:val="auto"/>
        </w:rPr>
        <w:t xml:space="preserve"> in </w:t>
      </w:r>
      <w:r w:rsidR="00792893">
        <w:rPr>
          <w:rFonts w:cs="Calibri"/>
          <w:color w:val="auto"/>
        </w:rPr>
        <w:t>6</w:t>
      </w:r>
      <w:r w:rsidR="00792893" w:rsidRPr="00470A90">
        <w:rPr>
          <w:rFonts w:cs="Calibri"/>
          <w:color w:val="auto"/>
        </w:rPr>
        <w:t xml:space="preserve"> </w:t>
      </w:r>
      <w:r w:rsidR="00470A90" w:rsidRPr="00470A90">
        <w:rPr>
          <w:rFonts w:cs="Calibri"/>
          <w:color w:val="auto"/>
        </w:rPr>
        <w:t>Regioni</w:t>
      </w:r>
      <w:r w:rsidR="00EB47B3">
        <w:rPr>
          <w:rFonts w:cs="Calibri"/>
          <w:color w:val="auto"/>
        </w:rPr>
        <w:t>,</w:t>
      </w:r>
      <w:r w:rsidR="00470A90" w:rsidRPr="00470A90">
        <w:rPr>
          <w:rFonts w:cs="Calibri"/>
          <w:color w:val="auto"/>
        </w:rPr>
        <w:t xml:space="preserve"> con valori compresi tra il 22% della Puglia e il 29,3% del Lazio. Nelle </w:t>
      </w:r>
      <w:r w:rsidR="00792893">
        <w:rPr>
          <w:rFonts w:cs="Calibri"/>
          <w:color w:val="auto"/>
        </w:rPr>
        <w:t>restanti</w:t>
      </w:r>
      <w:r w:rsidR="00792893" w:rsidRPr="00470A90">
        <w:rPr>
          <w:rFonts w:cs="Calibri"/>
          <w:color w:val="auto"/>
        </w:rPr>
        <w:t xml:space="preserve"> </w:t>
      </w:r>
      <w:r w:rsidR="00470A90" w:rsidRPr="00470A90">
        <w:rPr>
          <w:rFonts w:cs="Calibri"/>
          <w:color w:val="auto"/>
        </w:rPr>
        <w:t>15 Regioni</w:t>
      </w:r>
      <w:r w:rsidR="00C7276F">
        <w:rPr>
          <w:rFonts w:cs="Calibri"/>
          <w:color w:val="auto"/>
        </w:rPr>
        <w:t xml:space="preserve"> </w:t>
      </w:r>
      <w:r w:rsidR="00470A90" w:rsidRPr="00470A90">
        <w:rPr>
          <w:rFonts w:cs="Calibri"/>
          <w:color w:val="auto"/>
        </w:rPr>
        <w:t xml:space="preserve">la </w:t>
      </w:r>
      <w:r w:rsidR="00EB47B3">
        <w:rPr>
          <w:rFonts w:cs="Calibri"/>
          <w:color w:val="auto"/>
        </w:rPr>
        <w:t>percentuale</w:t>
      </w:r>
      <w:r w:rsidR="00EB47B3" w:rsidRPr="00470A90">
        <w:rPr>
          <w:rFonts w:cs="Calibri"/>
          <w:color w:val="auto"/>
        </w:rPr>
        <w:t xml:space="preserve"> </w:t>
      </w:r>
      <w:r w:rsidR="00371FE0">
        <w:rPr>
          <w:rFonts w:cs="Calibri"/>
          <w:color w:val="auto"/>
        </w:rPr>
        <w:t xml:space="preserve">oscilla </w:t>
      </w:r>
      <w:r w:rsidR="00470A90" w:rsidRPr="00470A90">
        <w:rPr>
          <w:rFonts w:cs="Calibri"/>
          <w:color w:val="auto"/>
        </w:rPr>
        <w:t>dal 18,9% della Calabria al 7,7% della Valle d’Aosta (</w:t>
      </w:r>
      <w:r w:rsidR="00470A90" w:rsidRPr="00470A90">
        <w:rPr>
          <w:rFonts w:cs="Calibri"/>
          <w:color w:val="auto"/>
          <w:highlight w:val="yellow"/>
        </w:rPr>
        <w:t xml:space="preserve">figura </w:t>
      </w:r>
      <w:r w:rsidR="004163E9">
        <w:rPr>
          <w:rFonts w:cs="Calibri"/>
          <w:color w:val="auto"/>
          <w:highlight w:val="yellow"/>
        </w:rPr>
        <w:t>5</w:t>
      </w:r>
      <w:r w:rsidR="00470A90" w:rsidRPr="00470A90">
        <w:rPr>
          <w:rFonts w:cs="Calibri"/>
          <w:color w:val="auto"/>
        </w:rPr>
        <w:t xml:space="preserve">). </w:t>
      </w:r>
      <w:r w:rsidR="00BE029A">
        <w:rPr>
          <w:rFonts w:cs="Calibri"/>
          <w:color w:val="auto"/>
        </w:rPr>
        <w:t>Da rilevare</w:t>
      </w:r>
      <w:r w:rsidR="00AD17D6">
        <w:rPr>
          <w:rFonts w:cs="Calibri"/>
          <w:color w:val="auto"/>
        </w:rPr>
        <w:t xml:space="preserve"> che a</w:t>
      </w:r>
      <w:r w:rsidR="00AD17D6" w:rsidRPr="00AD17D6">
        <w:rPr>
          <w:rFonts w:cs="Calibri"/>
          <w:color w:val="auto"/>
        </w:rPr>
        <w:t xml:space="preserve">d utilizzare più </w:t>
      </w:r>
      <w:r w:rsidR="00AD17D6">
        <w:rPr>
          <w:rFonts w:cs="Calibri"/>
          <w:color w:val="auto"/>
        </w:rPr>
        <w:t xml:space="preserve">risorse per </w:t>
      </w:r>
      <w:r w:rsidR="00AD17D6" w:rsidRPr="00AD17D6">
        <w:rPr>
          <w:rFonts w:cs="Calibri"/>
          <w:color w:val="auto"/>
        </w:rPr>
        <w:t xml:space="preserve">il privato </w:t>
      </w:r>
      <w:r w:rsidR="00AD17D6">
        <w:rPr>
          <w:rFonts w:cs="Calibri"/>
          <w:color w:val="auto"/>
        </w:rPr>
        <w:t xml:space="preserve">convenzionato </w:t>
      </w:r>
      <w:r w:rsidR="00BE029A">
        <w:rPr>
          <w:rFonts w:cs="Calibri"/>
          <w:color w:val="auto"/>
        </w:rPr>
        <w:t xml:space="preserve">sono </w:t>
      </w:r>
      <w:r w:rsidR="00AD17D6" w:rsidRPr="00AD17D6">
        <w:rPr>
          <w:rFonts w:cs="Calibri"/>
          <w:color w:val="auto"/>
        </w:rPr>
        <w:t xml:space="preserve">le Regioni in </w:t>
      </w:r>
      <w:r w:rsidR="00AD17D6">
        <w:rPr>
          <w:rFonts w:cs="Calibri"/>
          <w:color w:val="auto"/>
        </w:rPr>
        <w:t>P</w:t>
      </w:r>
      <w:r w:rsidR="00AD17D6" w:rsidRPr="00AD17D6">
        <w:rPr>
          <w:rFonts w:cs="Calibri"/>
          <w:color w:val="auto"/>
        </w:rPr>
        <w:t>iano di rientro</w:t>
      </w:r>
      <w:r w:rsidR="00371FE0">
        <w:rPr>
          <w:rFonts w:cs="Calibri"/>
          <w:color w:val="auto"/>
        </w:rPr>
        <w:t>,</w:t>
      </w:r>
      <w:r w:rsidR="00AD17D6" w:rsidRPr="00AD17D6">
        <w:rPr>
          <w:rFonts w:cs="Calibri"/>
          <w:color w:val="auto"/>
        </w:rPr>
        <w:t xml:space="preserve"> </w:t>
      </w:r>
      <w:r w:rsidR="00792893" w:rsidRPr="00792893">
        <w:rPr>
          <w:rFonts w:cs="Calibri"/>
          <w:color w:val="auto"/>
        </w:rPr>
        <w:t xml:space="preserve">che registrano una quota del 23,9%, </w:t>
      </w:r>
      <w:r w:rsidR="002E50BF">
        <w:rPr>
          <w:rFonts w:cs="Calibri"/>
          <w:color w:val="auto"/>
        </w:rPr>
        <w:t xml:space="preserve">rispetto al </w:t>
      </w:r>
      <w:r w:rsidR="00792893" w:rsidRPr="00792893">
        <w:rPr>
          <w:rFonts w:cs="Calibri"/>
          <w:color w:val="auto"/>
        </w:rPr>
        <w:t xml:space="preserve">18,9% delle Regioni non in Piano di rientro e </w:t>
      </w:r>
      <w:r w:rsidR="002E50BF">
        <w:rPr>
          <w:rFonts w:cs="Calibri"/>
          <w:color w:val="auto"/>
        </w:rPr>
        <w:t>al</w:t>
      </w:r>
      <w:r w:rsidR="00792893" w:rsidRPr="00792893">
        <w:rPr>
          <w:rFonts w:cs="Calibri"/>
          <w:color w:val="auto"/>
        </w:rPr>
        <w:t>l’11,7% delle Autonomie speciali, Sicilia esclusa.</w:t>
      </w:r>
    </w:p>
    <w:p w14:paraId="1CA5D7E8" w14:textId="2370EECF" w:rsidR="001E4A88" w:rsidRDefault="00470A90" w:rsidP="00470A90">
      <w:pPr>
        <w:suppressAutoHyphens/>
        <w:jc w:val="both"/>
        <w:rPr>
          <w:rFonts w:cs="Calibri"/>
          <w:color w:val="auto"/>
        </w:rPr>
      </w:pPr>
      <w:r w:rsidRPr="002E712C">
        <w:rPr>
          <w:rFonts w:cs="Calibri"/>
          <w:color w:val="auto"/>
        </w:rPr>
        <w:t>«</w:t>
      </w:r>
      <w:r w:rsidRPr="00470A90">
        <w:rPr>
          <w:rFonts w:cs="Calibri"/>
          <w:color w:val="auto"/>
        </w:rPr>
        <w:t xml:space="preserve">La posizione di ciascuna Regione </w:t>
      </w:r>
      <w:r>
        <w:rPr>
          <w:rFonts w:cs="Calibri"/>
          <w:color w:val="auto"/>
        </w:rPr>
        <w:t xml:space="preserve">– spiega Cartabellotta – </w:t>
      </w:r>
      <w:r w:rsidRPr="00470A90">
        <w:rPr>
          <w:rFonts w:cs="Calibri"/>
          <w:color w:val="auto"/>
        </w:rPr>
        <w:t xml:space="preserve">è </w:t>
      </w:r>
      <w:r w:rsidR="00CC587E">
        <w:rPr>
          <w:rFonts w:cs="Calibri"/>
          <w:color w:val="auto"/>
        </w:rPr>
        <w:t>influenzata</w:t>
      </w:r>
      <w:r w:rsidR="00CC587E" w:rsidRPr="00470A90">
        <w:rPr>
          <w:rFonts w:cs="Calibri"/>
          <w:color w:val="auto"/>
        </w:rPr>
        <w:t xml:space="preserve"> </w:t>
      </w:r>
      <w:r w:rsidRPr="00470A90">
        <w:rPr>
          <w:rFonts w:cs="Calibri"/>
          <w:color w:val="auto"/>
        </w:rPr>
        <w:t xml:space="preserve">sia dal numero e dalla tipologia di strutture private convenzionate, sia dalla spesa del 2011, anno </w:t>
      </w:r>
      <w:r w:rsidR="00091F84">
        <w:rPr>
          <w:rFonts w:cs="Calibri"/>
          <w:color w:val="auto"/>
        </w:rPr>
        <w:t>di riferimento per</w:t>
      </w:r>
      <w:r w:rsidR="002D44A2">
        <w:rPr>
          <w:rFonts w:cs="Calibri"/>
          <w:color w:val="auto"/>
        </w:rPr>
        <w:t xml:space="preserve"> calcolare </w:t>
      </w:r>
      <w:r w:rsidR="00E365A5">
        <w:rPr>
          <w:rFonts w:cs="Calibri"/>
          <w:color w:val="auto"/>
        </w:rPr>
        <w:t xml:space="preserve">gli </w:t>
      </w:r>
      <w:r w:rsidRPr="00470A90">
        <w:rPr>
          <w:rFonts w:cs="Calibri"/>
          <w:color w:val="auto"/>
        </w:rPr>
        <w:t>increment</w:t>
      </w:r>
      <w:r w:rsidR="00E365A5">
        <w:rPr>
          <w:rFonts w:cs="Calibri"/>
          <w:color w:val="auto"/>
        </w:rPr>
        <w:t xml:space="preserve">i </w:t>
      </w:r>
      <w:r w:rsidRPr="00470A90">
        <w:rPr>
          <w:rFonts w:cs="Calibri"/>
          <w:color w:val="auto"/>
        </w:rPr>
        <w:t>percentual</w:t>
      </w:r>
      <w:r w:rsidR="00E365A5">
        <w:rPr>
          <w:rFonts w:cs="Calibri"/>
          <w:color w:val="auto"/>
        </w:rPr>
        <w:t xml:space="preserve">i </w:t>
      </w:r>
      <w:r w:rsidRPr="00470A90">
        <w:rPr>
          <w:rFonts w:cs="Calibri"/>
          <w:color w:val="auto"/>
        </w:rPr>
        <w:t xml:space="preserve">delle risorse </w:t>
      </w:r>
      <w:r w:rsidR="00CC587E">
        <w:rPr>
          <w:rFonts w:cs="Calibri"/>
          <w:color w:val="auto"/>
        </w:rPr>
        <w:t>destinate</w:t>
      </w:r>
      <w:r w:rsidR="00CC587E" w:rsidRPr="00470A90">
        <w:rPr>
          <w:rFonts w:cs="Calibri"/>
          <w:color w:val="auto"/>
        </w:rPr>
        <w:t xml:space="preserve"> </w:t>
      </w:r>
      <w:r w:rsidRPr="00470A90">
        <w:rPr>
          <w:rFonts w:cs="Calibri"/>
          <w:color w:val="auto"/>
        </w:rPr>
        <w:t>ai privati convenzionati</w:t>
      </w:r>
      <w:r w:rsidRPr="002E712C">
        <w:rPr>
          <w:rFonts w:cs="Calibri"/>
          <w:color w:val="auto"/>
        </w:rPr>
        <w:t>»</w:t>
      </w:r>
      <w:r w:rsidRPr="00C127AC">
        <w:rPr>
          <w:rFonts w:cs="Calibri"/>
          <w:color w:val="auto"/>
        </w:rPr>
        <w:t>.</w:t>
      </w:r>
      <w:r>
        <w:rPr>
          <w:rFonts w:cs="Calibri"/>
          <w:color w:val="auto"/>
        </w:rPr>
        <w:t xml:space="preserve"> A tal proposito va rilevato che le Leggi di Bilancio </w:t>
      </w:r>
      <w:r w:rsidR="004E08A7">
        <w:rPr>
          <w:rFonts w:cs="Calibri"/>
          <w:color w:val="auto"/>
        </w:rPr>
        <w:t xml:space="preserve">2024 e 2025 </w:t>
      </w:r>
      <w:r w:rsidRPr="00DE15ED">
        <w:rPr>
          <w:rFonts w:cs="Calibri"/>
          <w:color w:val="auto"/>
        </w:rPr>
        <w:t>hanno</w:t>
      </w:r>
      <w:r w:rsidR="00FD3A12" w:rsidRPr="00DE15ED">
        <w:rPr>
          <w:rFonts w:cs="Calibri"/>
          <w:color w:val="auto"/>
        </w:rPr>
        <w:t xml:space="preserve"> </w:t>
      </w:r>
      <w:r w:rsidR="004E08A7" w:rsidRPr="00DE15ED">
        <w:rPr>
          <w:rFonts w:cs="Calibri"/>
          <w:color w:val="auto"/>
        </w:rPr>
        <w:t xml:space="preserve">aumentato </w:t>
      </w:r>
      <w:r w:rsidR="00DE15ED" w:rsidRPr="00DE15ED">
        <w:rPr>
          <w:rFonts w:cs="Calibri"/>
          <w:color w:val="auto"/>
        </w:rPr>
        <w:t xml:space="preserve">progressivamente </w:t>
      </w:r>
      <w:r w:rsidR="00792893" w:rsidRPr="00DE15ED">
        <w:rPr>
          <w:rFonts w:cs="Calibri"/>
          <w:color w:val="auto"/>
        </w:rPr>
        <w:t>il</w:t>
      </w:r>
      <w:r w:rsidR="001B5571" w:rsidRPr="00DE15ED">
        <w:rPr>
          <w:rFonts w:cs="Calibri"/>
          <w:color w:val="auto"/>
        </w:rPr>
        <w:t xml:space="preserve"> tetto di spesa </w:t>
      </w:r>
      <w:r w:rsidRPr="00DE15ED">
        <w:rPr>
          <w:rFonts w:cs="Calibri"/>
          <w:color w:val="auto"/>
        </w:rPr>
        <w:t xml:space="preserve">per il privato convenzionato </w:t>
      </w:r>
      <w:r w:rsidR="00DE15ED" w:rsidRPr="00DE15ED">
        <w:rPr>
          <w:rFonts w:cs="Calibri"/>
          <w:color w:val="auto"/>
        </w:rPr>
        <w:t xml:space="preserve">sino a raggiungere </w:t>
      </w:r>
      <w:r w:rsidR="00694B74" w:rsidRPr="00DE15ED">
        <w:rPr>
          <w:rFonts w:cs="Calibri"/>
          <w:color w:val="auto"/>
        </w:rPr>
        <w:t>€ 613 milio</w:t>
      </w:r>
      <w:r w:rsidR="00694B74" w:rsidRPr="00CC3384">
        <w:rPr>
          <w:rFonts w:cs="Calibri"/>
          <w:color w:val="auto"/>
        </w:rPr>
        <w:t>ni dal 202</w:t>
      </w:r>
      <w:r w:rsidR="004E08A7">
        <w:rPr>
          <w:rFonts w:cs="Calibri"/>
          <w:color w:val="auto"/>
        </w:rPr>
        <w:t>6</w:t>
      </w:r>
      <w:r w:rsidR="00091F84">
        <w:rPr>
          <w:rFonts w:cs="Calibri"/>
          <w:color w:val="auto"/>
        </w:rPr>
        <w:t xml:space="preserve"> in poi.</w:t>
      </w:r>
      <w:r w:rsidR="00C73ED1" w:rsidRPr="00CC3384">
        <w:rPr>
          <w:rFonts w:cs="Calibri"/>
          <w:color w:val="auto"/>
        </w:rPr>
        <w:t xml:space="preserve"> </w:t>
      </w:r>
      <w:r w:rsidR="00BE029A">
        <w:rPr>
          <w:rFonts w:cs="Calibri"/>
          <w:color w:val="auto"/>
        </w:rPr>
        <w:t>A questi</w:t>
      </w:r>
      <w:r w:rsidR="004E08A7">
        <w:rPr>
          <w:rFonts w:cs="Calibri"/>
          <w:color w:val="auto"/>
        </w:rPr>
        <w:t xml:space="preserve"> </w:t>
      </w:r>
      <w:r w:rsidR="00371FE0">
        <w:rPr>
          <w:rFonts w:cs="Calibri"/>
          <w:color w:val="auto"/>
        </w:rPr>
        <w:t>dovrebbero aggiungersi</w:t>
      </w:r>
      <w:r w:rsidR="004E08A7">
        <w:rPr>
          <w:rFonts w:cs="Calibri"/>
          <w:color w:val="auto"/>
        </w:rPr>
        <w:t xml:space="preserve">, </w:t>
      </w:r>
      <w:r w:rsidR="00C73ED1" w:rsidRPr="00CC3384">
        <w:rPr>
          <w:rFonts w:cs="Calibri"/>
          <w:color w:val="auto"/>
        </w:rPr>
        <w:t xml:space="preserve">secondo la </w:t>
      </w:r>
      <w:r w:rsidR="00792893">
        <w:rPr>
          <w:rFonts w:cs="Calibri"/>
          <w:color w:val="auto"/>
        </w:rPr>
        <w:t>Manovra</w:t>
      </w:r>
      <w:r w:rsidR="00C73ED1" w:rsidRPr="00CC3384">
        <w:rPr>
          <w:rFonts w:cs="Calibri"/>
          <w:color w:val="auto"/>
        </w:rPr>
        <w:t xml:space="preserve"> 2026</w:t>
      </w:r>
      <w:r w:rsidR="00792893">
        <w:rPr>
          <w:rFonts w:cs="Calibri"/>
          <w:color w:val="auto"/>
        </w:rPr>
        <w:t>,</w:t>
      </w:r>
      <w:r w:rsidR="00C73ED1" w:rsidRPr="00CC3384">
        <w:rPr>
          <w:rFonts w:cs="Calibri"/>
          <w:color w:val="auto"/>
        </w:rPr>
        <w:t xml:space="preserve"> </w:t>
      </w:r>
      <w:r w:rsidR="00AD17D6" w:rsidRPr="00CC3384">
        <w:rPr>
          <w:rFonts w:cs="Calibri"/>
          <w:color w:val="auto"/>
        </w:rPr>
        <w:t xml:space="preserve">ulteriori </w:t>
      </w:r>
      <w:r w:rsidR="00C73ED1" w:rsidRPr="00CC3384">
        <w:rPr>
          <w:rFonts w:cs="Calibri"/>
          <w:color w:val="auto"/>
        </w:rPr>
        <w:t>€ 123 milioni</w:t>
      </w:r>
      <w:r w:rsidR="00EA233B">
        <w:rPr>
          <w:rFonts w:cs="Calibri"/>
          <w:color w:val="auto"/>
        </w:rPr>
        <w:t xml:space="preserve"> l’anno</w:t>
      </w:r>
      <w:r w:rsidR="00BE029A">
        <w:rPr>
          <w:rFonts w:cs="Calibri"/>
          <w:color w:val="auto"/>
        </w:rPr>
        <w:t>,</w:t>
      </w:r>
      <w:r w:rsidR="00C73ED1" w:rsidRPr="00CC3384">
        <w:rPr>
          <w:rFonts w:cs="Calibri"/>
          <w:color w:val="auto"/>
        </w:rPr>
        <w:t xml:space="preserve"> </w:t>
      </w:r>
      <w:r w:rsidR="004E08A7">
        <w:rPr>
          <w:rFonts w:cs="Calibri"/>
          <w:color w:val="auto"/>
        </w:rPr>
        <w:t>aumentando</w:t>
      </w:r>
      <w:r w:rsidR="009C1627">
        <w:rPr>
          <w:rFonts w:cs="Calibri"/>
          <w:color w:val="auto"/>
        </w:rPr>
        <w:t xml:space="preserve"> </w:t>
      </w:r>
      <w:r w:rsidR="00792893">
        <w:rPr>
          <w:rFonts w:cs="Calibri"/>
          <w:color w:val="auto"/>
        </w:rPr>
        <w:t>complessiv</w:t>
      </w:r>
      <w:r w:rsidR="006346CF">
        <w:rPr>
          <w:rFonts w:cs="Calibri"/>
          <w:color w:val="auto"/>
        </w:rPr>
        <w:t>amente</w:t>
      </w:r>
      <w:r w:rsidR="00091F84">
        <w:rPr>
          <w:rFonts w:cs="Calibri"/>
          <w:color w:val="auto"/>
        </w:rPr>
        <w:t xml:space="preserve"> </w:t>
      </w:r>
      <w:r w:rsidR="006346CF">
        <w:rPr>
          <w:rFonts w:cs="Calibri"/>
          <w:color w:val="auto"/>
        </w:rPr>
        <w:t xml:space="preserve">il tetto </w:t>
      </w:r>
      <w:r w:rsidR="00E365A5">
        <w:rPr>
          <w:rFonts w:cs="Calibri"/>
          <w:color w:val="auto"/>
        </w:rPr>
        <w:t xml:space="preserve">di </w:t>
      </w:r>
      <w:r w:rsidR="00694B74" w:rsidRPr="00CC3384">
        <w:rPr>
          <w:rFonts w:cs="Calibri"/>
          <w:color w:val="auto"/>
        </w:rPr>
        <w:t xml:space="preserve">€ 736 milioni </w:t>
      </w:r>
      <w:r w:rsidR="004E08A7">
        <w:rPr>
          <w:rFonts w:cs="Calibri"/>
          <w:color w:val="auto"/>
        </w:rPr>
        <w:t xml:space="preserve">annui a decorrere </w:t>
      </w:r>
      <w:r w:rsidR="00694B74" w:rsidRPr="00CC3384">
        <w:rPr>
          <w:rFonts w:cs="Calibri"/>
          <w:color w:val="auto"/>
        </w:rPr>
        <w:t xml:space="preserve">dal </w:t>
      </w:r>
      <w:r w:rsidR="00694B74" w:rsidRPr="001E4A88">
        <w:rPr>
          <w:rFonts w:cs="Calibri"/>
          <w:color w:val="auto"/>
        </w:rPr>
        <w:t>202</w:t>
      </w:r>
      <w:r w:rsidR="001E4A88" w:rsidRPr="001E4A88">
        <w:rPr>
          <w:rFonts w:cs="Calibri"/>
          <w:color w:val="auto"/>
        </w:rPr>
        <w:t>6</w:t>
      </w:r>
      <w:r w:rsidR="004E08A7" w:rsidRPr="00CC3384">
        <w:rPr>
          <w:rFonts w:cs="Calibri"/>
          <w:color w:val="auto"/>
        </w:rPr>
        <w:t xml:space="preserve"> (</w:t>
      </w:r>
      <w:r w:rsidR="004E08A7" w:rsidRPr="00D67C0E">
        <w:rPr>
          <w:rFonts w:cs="Calibri"/>
          <w:color w:val="auto"/>
          <w:highlight w:val="yellow"/>
        </w:rPr>
        <w:t xml:space="preserve">tabella </w:t>
      </w:r>
      <w:r w:rsidR="002B5FED">
        <w:rPr>
          <w:rFonts w:cs="Calibri"/>
          <w:color w:val="auto"/>
          <w:highlight w:val="yellow"/>
        </w:rPr>
        <w:t>5</w:t>
      </w:r>
      <w:r w:rsidR="004E08A7" w:rsidRPr="00CC3384">
        <w:rPr>
          <w:rFonts w:cs="Calibri"/>
          <w:color w:val="auto"/>
        </w:rPr>
        <w:t>)</w:t>
      </w:r>
      <w:r w:rsidR="00820B56">
        <w:rPr>
          <w:rFonts w:cs="Calibri"/>
          <w:color w:val="auto"/>
        </w:rPr>
        <w:t>.</w:t>
      </w:r>
    </w:p>
    <w:p w14:paraId="5546AF60" w14:textId="24F50508" w:rsidR="00792893" w:rsidRDefault="0080178D" w:rsidP="00CC587E">
      <w:pPr>
        <w:suppressAutoHyphens/>
        <w:jc w:val="both"/>
        <w:rPr>
          <w:rFonts w:cs="Calibri"/>
          <w:color w:val="auto"/>
        </w:rPr>
      </w:pPr>
      <w:r w:rsidRPr="002E712C">
        <w:rPr>
          <w:rFonts w:cs="Calibri"/>
          <w:color w:val="auto"/>
        </w:rPr>
        <w:t>«</w:t>
      </w:r>
      <w:r>
        <w:rPr>
          <w:rFonts w:cs="Calibri"/>
          <w:color w:val="auto"/>
        </w:rPr>
        <w:t>Se da un lato è evidente</w:t>
      </w:r>
      <w:r w:rsidRPr="00470A90">
        <w:rPr>
          <w:rFonts w:cs="Calibri"/>
          <w:color w:val="auto"/>
        </w:rPr>
        <w:t xml:space="preserve"> </w:t>
      </w:r>
      <w:r>
        <w:rPr>
          <w:rFonts w:cs="Calibri"/>
          <w:color w:val="auto"/>
        </w:rPr>
        <w:t xml:space="preserve">– spiega Cartabellotta – che l’impatto del </w:t>
      </w:r>
      <w:r w:rsidRPr="005A1294">
        <w:rPr>
          <w:rFonts w:cs="Calibri"/>
          <w:color w:val="auto"/>
        </w:rPr>
        <w:t xml:space="preserve">privato convenzionato </w:t>
      </w:r>
      <w:r>
        <w:rPr>
          <w:rFonts w:cs="Calibri"/>
          <w:color w:val="auto"/>
        </w:rPr>
        <w:t xml:space="preserve">sulla spesa sanitaria è stabile, dall’altro </w:t>
      </w:r>
      <w:r w:rsidR="002C638D">
        <w:rPr>
          <w:rFonts w:cs="Calibri"/>
          <w:color w:val="auto"/>
        </w:rPr>
        <w:t xml:space="preserve">alcune </w:t>
      </w:r>
      <w:r>
        <w:rPr>
          <w:rFonts w:cs="Calibri"/>
          <w:color w:val="auto"/>
        </w:rPr>
        <w:t>modalità operative richiedono azioni incisive per essere risolte</w:t>
      </w:r>
      <w:r w:rsidRPr="002E712C">
        <w:rPr>
          <w:rFonts w:cs="Calibri"/>
          <w:color w:val="auto"/>
        </w:rPr>
        <w:t>»</w:t>
      </w:r>
      <w:r w:rsidRPr="00C127AC">
        <w:rPr>
          <w:rFonts w:cs="Calibri"/>
          <w:color w:val="auto"/>
        </w:rPr>
        <w:t>.</w:t>
      </w:r>
      <w:r>
        <w:rPr>
          <w:rFonts w:cs="Calibri"/>
          <w:color w:val="auto"/>
        </w:rPr>
        <w:t xml:space="preserve"> In particolare è indispensabile </w:t>
      </w:r>
      <w:r w:rsidR="00504612" w:rsidRPr="005A1294">
        <w:rPr>
          <w:rFonts w:cs="Calibri"/>
          <w:color w:val="auto"/>
        </w:rPr>
        <w:t>allineare l’offerta d</w:t>
      </w:r>
      <w:r w:rsidR="00504612">
        <w:rPr>
          <w:rFonts w:cs="Calibri"/>
          <w:color w:val="auto"/>
        </w:rPr>
        <w:t xml:space="preserve">i prestazioni </w:t>
      </w:r>
      <w:r w:rsidR="00504612" w:rsidRPr="005A1294">
        <w:rPr>
          <w:rFonts w:cs="Calibri"/>
          <w:color w:val="auto"/>
        </w:rPr>
        <w:t xml:space="preserve">ai reali bisogni di salute, </w:t>
      </w:r>
      <w:r w:rsidR="00504612">
        <w:rPr>
          <w:rFonts w:cs="Calibri"/>
          <w:color w:val="auto"/>
        </w:rPr>
        <w:t xml:space="preserve">scoraggiando </w:t>
      </w:r>
      <w:r w:rsidR="00504612" w:rsidRPr="005A1294">
        <w:rPr>
          <w:rFonts w:cs="Calibri"/>
          <w:color w:val="auto"/>
        </w:rPr>
        <w:t xml:space="preserve">comportamenti opportunistici </w:t>
      </w:r>
      <w:r w:rsidR="00DE15ED">
        <w:rPr>
          <w:rFonts w:cs="Calibri"/>
          <w:color w:val="auto"/>
        </w:rPr>
        <w:t>conseguenti all</w:t>
      </w:r>
      <w:r w:rsidR="00504612">
        <w:rPr>
          <w:rFonts w:cs="Calibri"/>
          <w:color w:val="auto"/>
        </w:rPr>
        <w:t>’erogazione</w:t>
      </w:r>
      <w:r w:rsidR="00504612" w:rsidRPr="00792893">
        <w:rPr>
          <w:rFonts w:cs="Calibri"/>
          <w:color w:val="auto"/>
        </w:rPr>
        <w:t xml:space="preserve"> preferenz</w:t>
      </w:r>
      <w:r w:rsidR="00504612">
        <w:rPr>
          <w:rFonts w:cs="Calibri"/>
          <w:color w:val="auto"/>
        </w:rPr>
        <w:t xml:space="preserve">iale </w:t>
      </w:r>
      <w:r w:rsidR="00DE15ED">
        <w:rPr>
          <w:rFonts w:cs="Calibri"/>
          <w:color w:val="auto"/>
        </w:rPr>
        <w:t xml:space="preserve">di </w:t>
      </w:r>
      <w:r w:rsidR="00504612" w:rsidRPr="005A1294">
        <w:rPr>
          <w:rFonts w:cs="Calibri"/>
          <w:color w:val="auto"/>
        </w:rPr>
        <w:t>prestazioni più remunerative</w:t>
      </w:r>
      <w:r>
        <w:rPr>
          <w:rFonts w:cs="Calibri"/>
          <w:color w:val="auto"/>
        </w:rPr>
        <w:t>, in particolare se inappropriate</w:t>
      </w:r>
      <w:r w:rsidR="00DE15ED">
        <w:rPr>
          <w:rFonts w:cs="Calibri"/>
          <w:color w:val="auto"/>
        </w:rPr>
        <w:t xml:space="preserve">; </w:t>
      </w:r>
      <w:r>
        <w:rPr>
          <w:rFonts w:cs="Calibri"/>
          <w:color w:val="auto"/>
        </w:rPr>
        <w:t xml:space="preserve">inoltre, bisogna </w:t>
      </w:r>
      <w:r w:rsidR="005A1294" w:rsidRPr="005A1294">
        <w:rPr>
          <w:rFonts w:cs="Calibri"/>
          <w:color w:val="auto"/>
        </w:rPr>
        <w:t>mantenere un equilibrio tra</w:t>
      </w:r>
      <w:r w:rsidR="00792893">
        <w:rPr>
          <w:rFonts w:cs="Calibri"/>
          <w:color w:val="auto"/>
        </w:rPr>
        <w:t xml:space="preserve"> </w:t>
      </w:r>
      <w:r w:rsidR="006417F5">
        <w:rPr>
          <w:rFonts w:cs="Calibri"/>
          <w:color w:val="auto"/>
        </w:rPr>
        <w:t xml:space="preserve">tetti di spesa e </w:t>
      </w:r>
      <w:r w:rsidR="005A1294" w:rsidRPr="005A1294">
        <w:rPr>
          <w:rFonts w:cs="Calibri"/>
          <w:color w:val="auto"/>
        </w:rPr>
        <w:t>numero di strutture accreditate</w:t>
      </w:r>
      <w:r w:rsidR="00DE15ED">
        <w:rPr>
          <w:rFonts w:cs="Calibri"/>
          <w:color w:val="auto"/>
        </w:rPr>
        <w:t xml:space="preserve">; </w:t>
      </w:r>
      <w:r>
        <w:rPr>
          <w:rFonts w:cs="Calibri"/>
          <w:color w:val="auto"/>
        </w:rPr>
        <w:t xml:space="preserve">infine, è necessario </w:t>
      </w:r>
      <w:r w:rsidR="00792893">
        <w:rPr>
          <w:rFonts w:cs="Calibri"/>
          <w:color w:val="auto"/>
        </w:rPr>
        <w:t>r</w:t>
      </w:r>
      <w:r w:rsidR="00DE15ED">
        <w:rPr>
          <w:rFonts w:cs="Calibri"/>
          <w:color w:val="auto"/>
        </w:rPr>
        <w:t xml:space="preserve">ivedere le </w:t>
      </w:r>
      <w:r w:rsidR="005A1294" w:rsidRPr="005A1294">
        <w:rPr>
          <w:rFonts w:cs="Calibri"/>
          <w:color w:val="auto"/>
        </w:rPr>
        <w:t>tariffe dei DRG e della specialistica ambulatoriale</w:t>
      </w:r>
      <w:r w:rsidR="00551C5F">
        <w:rPr>
          <w:rFonts w:cs="Calibri"/>
          <w:color w:val="auto"/>
        </w:rPr>
        <w:t xml:space="preserve"> </w:t>
      </w:r>
      <w:r w:rsidR="00792893">
        <w:rPr>
          <w:rFonts w:cs="Calibri"/>
          <w:color w:val="auto"/>
        </w:rPr>
        <w:t xml:space="preserve">per preservare </w:t>
      </w:r>
      <w:r w:rsidR="005A1294" w:rsidRPr="005A1294">
        <w:rPr>
          <w:rFonts w:cs="Calibri"/>
          <w:color w:val="auto"/>
        </w:rPr>
        <w:t>la qualità delle prestazioni</w:t>
      </w:r>
      <w:r w:rsidR="00551C5F">
        <w:rPr>
          <w:rFonts w:cs="Calibri"/>
          <w:color w:val="auto"/>
        </w:rPr>
        <w:t>.</w:t>
      </w:r>
      <w:r w:rsidR="005A1294" w:rsidRPr="005A1294">
        <w:rPr>
          <w:rFonts w:cs="Calibri"/>
          <w:color w:val="auto"/>
        </w:rPr>
        <w:t xml:space="preserve"> </w:t>
      </w:r>
    </w:p>
    <w:p w14:paraId="6C800741" w14:textId="2A9ECA9D" w:rsidR="0013273C" w:rsidRDefault="00DC6791" w:rsidP="00242F8F">
      <w:pPr>
        <w:suppressAutoHyphens/>
        <w:jc w:val="both"/>
        <w:rPr>
          <w:rFonts w:cs="Calibri"/>
          <w:color w:val="auto"/>
        </w:rPr>
      </w:pPr>
      <w:r w:rsidRPr="00DC6791">
        <w:rPr>
          <w:rFonts w:cs="Calibri"/>
          <w:b/>
          <w:bCs/>
          <w:color w:val="auto"/>
        </w:rPr>
        <w:t>Privato non convenzionato</w:t>
      </w:r>
      <w:r>
        <w:rPr>
          <w:rFonts w:cs="Calibri"/>
          <w:color w:val="auto"/>
        </w:rPr>
        <w:t xml:space="preserve">. </w:t>
      </w:r>
      <w:r w:rsidR="00DE15ED">
        <w:rPr>
          <w:rFonts w:cs="Calibri"/>
          <w:color w:val="auto"/>
        </w:rPr>
        <w:t xml:space="preserve">Si tratta di </w:t>
      </w:r>
      <w:r w:rsidR="009C1DD1" w:rsidRPr="00DC6791">
        <w:rPr>
          <w:rFonts w:cs="Calibri"/>
          <w:color w:val="auto"/>
        </w:rPr>
        <w:t>strutture sanitarie</w:t>
      </w:r>
      <w:r w:rsidR="00DE15ED">
        <w:rPr>
          <w:rFonts w:cs="Calibri"/>
          <w:color w:val="auto"/>
        </w:rPr>
        <w:t>, prevalentemente di diagnostica ambulatoriale,</w:t>
      </w:r>
      <w:r w:rsidR="009C1DD1" w:rsidRPr="00DC6791">
        <w:rPr>
          <w:rFonts w:cs="Calibri"/>
          <w:color w:val="auto"/>
        </w:rPr>
        <w:t xml:space="preserve"> </w:t>
      </w:r>
      <w:r w:rsidR="009C1DD1">
        <w:rPr>
          <w:rFonts w:cs="Calibri"/>
          <w:color w:val="auto"/>
        </w:rPr>
        <w:t xml:space="preserve">che </w:t>
      </w:r>
      <w:r w:rsidR="009C1DD1" w:rsidRPr="00DC6791">
        <w:rPr>
          <w:rFonts w:cs="Calibri"/>
          <w:color w:val="auto"/>
        </w:rPr>
        <w:t xml:space="preserve">erogano prestazioni esclusivamente in regime privato, senza </w:t>
      </w:r>
      <w:r w:rsidR="0013273C">
        <w:rPr>
          <w:rFonts w:cs="Calibri"/>
          <w:color w:val="auto"/>
        </w:rPr>
        <w:t>alcun rimborso</w:t>
      </w:r>
      <w:r w:rsidR="0013273C" w:rsidRPr="00DC6791">
        <w:rPr>
          <w:rFonts w:cs="Calibri"/>
          <w:color w:val="auto"/>
        </w:rPr>
        <w:t xml:space="preserve"> </w:t>
      </w:r>
      <w:r w:rsidR="009C1DD1" w:rsidRPr="00DC6791">
        <w:rPr>
          <w:rFonts w:cs="Calibri"/>
          <w:color w:val="auto"/>
        </w:rPr>
        <w:t>a carico della spesa pubblica</w:t>
      </w:r>
      <w:r w:rsidR="00134BAE">
        <w:rPr>
          <w:rFonts w:cs="Calibri"/>
          <w:color w:val="auto"/>
        </w:rPr>
        <w:t xml:space="preserve">. </w:t>
      </w:r>
      <w:r w:rsidR="00DE15ED">
        <w:rPr>
          <w:rFonts w:cs="Calibri"/>
          <w:color w:val="auto"/>
        </w:rPr>
        <w:t xml:space="preserve">Negli ultimi anni è </w:t>
      </w:r>
      <w:r w:rsidR="0013273C" w:rsidRPr="00684381">
        <w:rPr>
          <w:rFonts w:cs="Calibri"/>
          <w:color w:val="auto"/>
        </w:rPr>
        <w:t xml:space="preserve">questo </w:t>
      </w:r>
      <w:r w:rsidR="00A56B5E">
        <w:rPr>
          <w:rFonts w:cs="Calibri"/>
          <w:color w:val="auto"/>
        </w:rPr>
        <w:t>settore</w:t>
      </w:r>
      <w:r w:rsidR="0013273C" w:rsidRPr="00684381">
        <w:rPr>
          <w:rFonts w:cs="Calibri"/>
          <w:color w:val="auto"/>
        </w:rPr>
        <w:t xml:space="preserve"> a registrare la crescita più marcata</w:t>
      </w:r>
      <w:r w:rsidR="00A56B5E">
        <w:rPr>
          <w:rFonts w:cs="Calibri"/>
          <w:color w:val="auto"/>
        </w:rPr>
        <w:t>: t</w:t>
      </w:r>
      <w:r w:rsidR="009C1DD1" w:rsidRPr="009C1DD1">
        <w:rPr>
          <w:rFonts w:cs="Calibri"/>
          <w:color w:val="auto"/>
        </w:rPr>
        <w:t xml:space="preserve">ra il 2016 e il 2023 la spesa </w:t>
      </w:r>
      <w:r w:rsidR="00551C5F">
        <w:rPr>
          <w:rFonts w:cs="Calibri"/>
          <w:color w:val="auto"/>
        </w:rPr>
        <w:t xml:space="preserve">delle famiglie </w:t>
      </w:r>
      <w:r w:rsidR="009C1DD1" w:rsidRPr="009C1DD1">
        <w:rPr>
          <w:rFonts w:cs="Calibri"/>
          <w:color w:val="auto"/>
        </w:rPr>
        <w:t xml:space="preserve">verso </w:t>
      </w:r>
      <w:r w:rsidR="00134BAE">
        <w:rPr>
          <w:rFonts w:cs="Calibri"/>
          <w:color w:val="auto"/>
        </w:rPr>
        <w:t>le</w:t>
      </w:r>
      <w:r w:rsidR="00134BAE" w:rsidRPr="009C1DD1">
        <w:rPr>
          <w:rFonts w:cs="Calibri"/>
          <w:color w:val="auto"/>
        </w:rPr>
        <w:t xml:space="preserve"> </w:t>
      </w:r>
      <w:r w:rsidR="009C1DD1" w:rsidRPr="009C1DD1">
        <w:rPr>
          <w:rFonts w:cs="Calibri"/>
          <w:color w:val="auto"/>
        </w:rPr>
        <w:t>strutture</w:t>
      </w:r>
      <w:r w:rsidR="00134BAE">
        <w:rPr>
          <w:rFonts w:cs="Calibri"/>
          <w:color w:val="auto"/>
        </w:rPr>
        <w:t xml:space="preserve"> non convenzionate</w:t>
      </w:r>
      <w:r w:rsidR="0013273C" w:rsidRPr="00684381">
        <w:rPr>
          <w:rFonts w:cs="Calibri"/>
          <w:color w:val="auto"/>
        </w:rPr>
        <w:t xml:space="preserve"> </w:t>
      </w:r>
      <w:r w:rsidR="009C1DD1" w:rsidRPr="009C1DD1">
        <w:rPr>
          <w:rFonts w:cs="Calibri"/>
          <w:color w:val="auto"/>
        </w:rPr>
        <w:t>è aumentata del 137%, passando da € 3,05 miliardi a € 7,23 miliardi, con un incremento medio di circa € 600 milioni l’anno. Nello stesso periodo la spesa</w:t>
      </w:r>
      <w:r w:rsidR="004C2708">
        <w:rPr>
          <w:rFonts w:cs="Calibri"/>
          <w:color w:val="auto"/>
        </w:rPr>
        <w:t xml:space="preserve"> </w:t>
      </w:r>
      <w:r w:rsidR="00A87194">
        <w:rPr>
          <w:rFonts w:cs="Calibri"/>
          <w:color w:val="auto"/>
        </w:rPr>
        <w:t xml:space="preserve">delle famiglie per </w:t>
      </w:r>
      <w:r w:rsidR="009C1DD1" w:rsidRPr="009C1DD1">
        <w:rPr>
          <w:rFonts w:cs="Calibri"/>
          <w:color w:val="auto"/>
        </w:rPr>
        <w:t xml:space="preserve">il privato accreditato è </w:t>
      </w:r>
      <w:r w:rsidR="00134BAE">
        <w:rPr>
          <w:rFonts w:cs="Calibri"/>
          <w:color w:val="auto"/>
        </w:rPr>
        <w:t xml:space="preserve">cresciuta </w:t>
      </w:r>
      <w:r w:rsidR="00DE15ED">
        <w:rPr>
          <w:rFonts w:cs="Calibri"/>
          <w:color w:val="auto"/>
        </w:rPr>
        <w:t xml:space="preserve">solo del </w:t>
      </w:r>
      <w:r w:rsidR="009C1DD1" w:rsidRPr="009C1DD1">
        <w:rPr>
          <w:rFonts w:cs="Calibri"/>
          <w:color w:val="auto"/>
        </w:rPr>
        <w:t>45%</w:t>
      </w:r>
      <w:r w:rsidR="00DE15ED">
        <w:rPr>
          <w:rFonts w:cs="Calibri"/>
          <w:color w:val="auto"/>
        </w:rPr>
        <w:t>; d</w:t>
      </w:r>
      <w:r w:rsidR="0013273C">
        <w:rPr>
          <w:rFonts w:cs="Calibri"/>
          <w:color w:val="auto"/>
        </w:rPr>
        <w:t>i conseguenza i</w:t>
      </w:r>
      <w:r w:rsidR="009C1DD1" w:rsidRPr="009C1DD1">
        <w:rPr>
          <w:rFonts w:cs="Calibri"/>
          <w:color w:val="auto"/>
        </w:rPr>
        <w:t xml:space="preserve">l </w:t>
      </w:r>
      <w:r w:rsidR="00DE15ED">
        <w:rPr>
          <w:rFonts w:cs="Calibri"/>
          <w:color w:val="auto"/>
        </w:rPr>
        <w:t xml:space="preserve">netto </w:t>
      </w:r>
      <w:r w:rsidR="009C1DD1" w:rsidRPr="009C1DD1">
        <w:rPr>
          <w:rFonts w:cs="Calibri"/>
          <w:color w:val="auto"/>
        </w:rPr>
        <w:t>divario</w:t>
      </w:r>
      <w:r w:rsidR="00DE15ED">
        <w:rPr>
          <w:rFonts w:cs="Calibri"/>
          <w:color w:val="auto"/>
        </w:rPr>
        <w:t xml:space="preserve"> </w:t>
      </w:r>
      <w:r w:rsidR="00F22299">
        <w:rPr>
          <w:rFonts w:cs="Calibri"/>
          <w:color w:val="auto"/>
        </w:rPr>
        <w:t xml:space="preserve">tra spesa </w:t>
      </w:r>
      <w:r w:rsidR="00091F84">
        <w:rPr>
          <w:rFonts w:cs="Calibri"/>
          <w:color w:val="auto"/>
        </w:rPr>
        <w:t xml:space="preserve">delle famiglie </w:t>
      </w:r>
      <w:r w:rsidR="00F22299">
        <w:rPr>
          <w:rFonts w:cs="Calibri"/>
          <w:color w:val="auto"/>
        </w:rPr>
        <w:t xml:space="preserve">verso il privato </w:t>
      </w:r>
      <w:r w:rsidR="008B55E5">
        <w:rPr>
          <w:rFonts w:cs="Calibri"/>
          <w:color w:val="auto"/>
        </w:rPr>
        <w:t>“</w:t>
      </w:r>
      <w:r w:rsidR="00F22299">
        <w:rPr>
          <w:rFonts w:cs="Calibri"/>
          <w:color w:val="auto"/>
        </w:rPr>
        <w:t>puro</w:t>
      </w:r>
      <w:r w:rsidR="008B55E5">
        <w:rPr>
          <w:rFonts w:cs="Calibri"/>
          <w:color w:val="auto"/>
        </w:rPr>
        <w:t>”</w:t>
      </w:r>
      <w:r w:rsidR="00F22299">
        <w:rPr>
          <w:rFonts w:cs="Calibri"/>
          <w:color w:val="auto"/>
        </w:rPr>
        <w:t xml:space="preserve"> e verso il privato convenzionato</w:t>
      </w:r>
      <w:r w:rsidR="009C1DD1" w:rsidRPr="009C1DD1">
        <w:rPr>
          <w:rFonts w:cs="Calibri"/>
          <w:color w:val="auto"/>
        </w:rPr>
        <w:t xml:space="preserve"> si è praticamente azzerato</w:t>
      </w:r>
      <w:r w:rsidR="00F22299">
        <w:rPr>
          <w:rFonts w:cs="Calibri"/>
          <w:color w:val="auto"/>
        </w:rPr>
        <w:t xml:space="preserve"> passando</w:t>
      </w:r>
      <w:r w:rsidR="009C1DD1" w:rsidRPr="009C1DD1">
        <w:rPr>
          <w:rFonts w:cs="Calibri"/>
          <w:color w:val="auto"/>
        </w:rPr>
        <w:t xml:space="preserve"> da € 2,2 miliardi nel 2016 a soli € 390 milioni nel 2023 </w:t>
      </w:r>
      <w:r w:rsidR="009C1DD1" w:rsidRPr="00DC6791">
        <w:rPr>
          <w:rFonts w:cs="Calibri"/>
          <w:color w:val="auto"/>
        </w:rPr>
        <w:t>(</w:t>
      </w:r>
      <w:r w:rsidR="009C1DD1" w:rsidRPr="005A1294">
        <w:rPr>
          <w:rFonts w:cs="Calibri"/>
          <w:color w:val="auto"/>
          <w:highlight w:val="yellow"/>
        </w:rPr>
        <w:t xml:space="preserve">figura </w:t>
      </w:r>
      <w:r w:rsidR="00196AA4">
        <w:rPr>
          <w:rFonts w:cs="Calibri"/>
          <w:color w:val="auto"/>
          <w:highlight w:val="yellow"/>
        </w:rPr>
        <w:t>6</w:t>
      </w:r>
      <w:r w:rsidR="009C1DD1" w:rsidRPr="00DC6791">
        <w:rPr>
          <w:rFonts w:cs="Calibri"/>
          <w:color w:val="auto"/>
        </w:rPr>
        <w:t>).</w:t>
      </w:r>
      <w:r w:rsidR="009C1627">
        <w:rPr>
          <w:rFonts w:cs="Calibri"/>
          <w:color w:val="auto"/>
        </w:rPr>
        <w:t xml:space="preserve"> </w:t>
      </w:r>
      <w:r w:rsidR="0013273C" w:rsidRPr="0013273C">
        <w:rPr>
          <w:rFonts w:cs="Calibri"/>
          <w:color w:val="auto"/>
        </w:rPr>
        <w:t>«</w:t>
      </w:r>
      <w:r w:rsidR="006B1D23">
        <w:rPr>
          <w:rFonts w:cs="Calibri"/>
          <w:color w:val="auto"/>
        </w:rPr>
        <w:t xml:space="preserve">Tra i fenomeni di privatizzazione </w:t>
      </w:r>
      <w:r w:rsidR="0013273C" w:rsidRPr="0013273C">
        <w:rPr>
          <w:rFonts w:cs="Calibri"/>
          <w:color w:val="auto"/>
        </w:rPr>
        <w:t>–</w:t>
      </w:r>
      <w:r w:rsidR="004C2708">
        <w:rPr>
          <w:rFonts w:cs="Calibri"/>
          <w:color w:val="auto"/>
        </w:rPr>
        <w:t xml:space="preserve"> commenta </w:t>
      </w:r>
      <w:r w:rsidR="0013273C" w:rsidRPr="0013273C">
        <w:rPr>
          <w:rFonts w:cs="Calibri"/>
          <w:color w:val="auto"/>
        </w:rPr>
        <w:t>Cartabellotta –</w:t>
      </w:r>
      <w:r w:rsidR="006B1D23">
        <w:rPr>
          <w:rFonts w:cs="Calibri"/>
          <w:color w:val="auto"/>
        </w:rPr>
        <w:t xml:space="preserve"> l</w:t>
      </w:r>
      <w:r w:rsidR="006B1D23" w:rsidRPr="0013273C">
        <w:rPr>
          <w:rFonts w:cs="Calibri"/>
          <w:color w:val="auto"/>
        </w:rPr>
        <w:t xml:space="preserve">a dinamica più </w:t>
      </w:r>
      <w:r w:rsidR="006B1D23">
        <w:rPr>
          <w:rFonts w:cs="Calibri"/>
          <w:color w:val="auto"/>
        </w:rPr>
        <w:t>preoccupante</w:t>
      </w:r>
      <w:r w:rsidR="006B1D23" w:rsidRPr="0013273C">
        <w:rPr>
          <w:rFonts w:cs="Calibri"/>
          <w:color w:val="auto"/>
        </w:rPr>
        <w:t xml:space="preserve"> </w:t>
      </w:r>
      <w:r w:rsidR="0013273C" w:rsidRPr="0013273C">
        <w:rPr>
          <w:rFonts w:cs="Calibri"/>
          <w:color w:val="auto"/>
        </w:rPr>
        <w:t>è</w:t>
      </w:r>
      <w:r w:rsidR="00F67C8C">
        <w:rPr>
          <w:rFonts w:cs="Calibri"/>
          <w:color w:val="auto"/>
        </w:rPr>
        <w:t xml:space="preserve"> dunque</w:t>
      </w:r>
      <w:r w:rsidR="0013273C" w:rsidRPr="0013273C">
        <w:rPr>
          <w:rFonts w:cs="Calibri"/>
          <w:color w:val="auto"/>
        </w:rPr>
        <w:t xml:space="preserve"> la </w:t>
      </w:r>
      <w:r w:rsidR="007238C7">
        <w:rPr>
          <w:rFonts w:cs="Calibri"/>
          <w:color w:val="auto"/>
        </w:rPr>
        <w:t xml:space="preserve">velocità di </w:t>
      </w:r>
      <w:r w:rsidR="0013273C" w:rsidRPr="0013273C">
        <w:rPr>
          <w:rFonts w:cs="Calibri"/>
          <w:color w:val="auto"/>
        </w:rPr>
        <w:t xml:space="preserve">crescita del privato </w:t>
      </w:r>
      <w:r w:rsidR="008B55E5">
        <w:rPr>
          <w:rFonts w:cs="Calibri"/>
          <w:color w:val="auto"/>
        </w:rPr>
        <w:t>“</w:t>
      </w:r>
      <w:r w:rsidR="0013273C" w:rsidRPr="0013273C">
        <w:rPr>
          <w:rFonts w:cs="Calibri"/>
          <w:color w:val="auto"/>
        </w:rPr>
        <w:t>puro</w:t>
      </w:r>
      <w:r w:rsidR="008B55E5">
        <w:rPr>
          <w:rFonts w:cs="Calibri"/>
          <w:color w:val="auto"/>
        </w:rPr>
        <w:t>”</w:t>
      </w:r>
      <w:r w:rsidR="0013273C" w:rsidRPr="0013273C">
        <w:rPr>
          <w:rFonts w:cs="Calibri"/>
          <w:color w:val="auto"/>
        </w:rPr>
        <w:t>.</w:t>
      </w:r>
      <w:r w:rsidR="0013273C">
        <w:rPr>
          <w:rFonts w:cs="Calibri"/>
          <w:color w:val="auto"/>
        </w:rPr>
        <w:t xml:space="preserve"> </w:t>
      </w:r>
      <w:r w:rsidR="00EF0667">
        <w:rPr>
          <w:rFonts w:cs="Calibri"/>
          <w:color w:val="auto"/>
        </w:rPr>
        <w:t>Infatti, m</w:t>
      </w:r>
      <w:r w:rsidR="00AF0BEB" w:rsidRPr="001467DE">
        <w:rPr>
          <w:rFonts w:cs="Calibri"/>
          <w:color w:val="auto"/>
        </w:rPr>
        <w:t>entre il dibattito pubblico continua a</w:t>
      </w:r>
      <w:r w:rsidR="00022775">
        <w:rPr>
          <w:rFonts w:cs="Calibri"/>
          <w:color w:val="auto"/>
        </w:rPr>
        <w:t>d</w:t>
      </w:r>
      <w:r w:rsidR="00AF0BEB" w:rsidRPr="001467DE">
        <w:rPr>
          <w:rFonts w:cs="Calibri"/>
          <w:color w:val="auto"/>
        </w:rPr>
        <w:t xml:space="preserve"> </w:t>
      </w:r>
      <w:r w:rsidR="00022775">
        <w:rPr>
          <w:rFonts w:cs="Calibri"/>
          <w:color w:val="auto"/>
        </w:rPr>
        <w:t xml:space="preserve">avvitarsi </w:t>
      </w:r>
      <w:r w:rsidR="004C2708">
        <w:rPr>
          <w:rFonts w:cs="Calibri"/>
          <w:color w:val="auto"/>
        </w:rPr>
        <w:t xml:space="preserve">sul ruolo del </w:t>
      </w:r>
      <w:r w:rsidR="00AF0BEB" w:rsidRPr="001467DE">
        <w:rPr>
          <w:rFonts w:cs="Calibri"/>
          <w:color w:val="auto"/>
        </w:rPr>
        <w:t>privat</w:t>
      </w:r>
      <w:r w:rsidR="004C2708">
        <w:rPr>
          <w:rFonts w:cs="Calibri"/>
          <w:color w:val="auto"/>
        </w:rPr>
        <w:t>o</w:t>
      </w:r>
      <w:r w:rsidR="00AF0BEB" w:rsidRPr="001467DE">
        <w:rPr>
          <w:rFonts w:cs="Calibri"/>
          <w:color w:val="auto"/>
        </w:rPr>
        <w:t xml:space="preserve"> convenzionat</w:t>
      </w:r>
      <w:r w:rsidR="004C2708">
        <w:rPr>
          <w:rFonts w:cs="Calibri"/>
          <w:color w:val="auto"/>
        </w:rPr>
        <w:t>o</w:t>
      </w:r>
      <w:r w:rsidR="00AF0BEB" w:rsidRPr="001467DE">
        <w:rPr>
          <w:rFonts w:cs="Calibri"/>
          <w:color w:val="auto"/>
        </w:rPr>
        <w:t xml:space="preserve">, la cui incidenza sulla spesa </w:t>
      </w:r>
      <w:r w:rsidR="00EF0667">
        <w:rPr>
          <w:rFonts w:cs="Calibri"/>
          <w:color w:val="auto"/>
        </w:rPr>
        <w:t xml:space="preserve">sanitaria </w:t>
      </w:r>
      <w:r w:rsidR="00022775">
        <w:rPr>
          <w:rFonts w:cs="Calibri"/>
          <w:color w:val="auto"/>
        </w:rPr>
        <w:t>si è addirittura ridotta</w:t>
      </w:r>
      <w:r w:rsidR="00AF0BEB" w:rsidRPr="001467DE">
        <w:rPr>
          <w:rFonts w:cs="Calibri"/>
          <w:color w:val="auto"/>
        </w:rPr>
        <w:t xml:space="preserve">, i dati documentano la crescita esponenziale della spesa out-of-pocket verso il </w:t>
      </w:r>
      <w:r w:rsidR="009C1DD1" w:rsidRPr="001467DE">
        <w:rPr>
          <w:rFonts w:cs="Calibri"/>
          <w:color w:val="auto"/>
        </w:rPr>
        <w:t xml:space="preserve">privato </w:t>
      </w:r>
      <w:r w:rsidR="008B55E5">
        <w:rPr>
          <w:rFonts w:cs="Calibri"/>
          <w:color w:val="auto"/>
        </w:rPr>
        <w:t>“</w:t>
      </w:r>
      <w:r w:rsidR="009C1DD1" w:rsidRPr="001467DE">
        <w:rPr>
          <w:rFonts w:cs="Calibri"/>
          <w:color w:val="auto"/>
        </w:rPr>
        <w:t>puro</w:t>
      </w:r>
      <w:r w:rsidR="008B55E5">
        <w:rPr>
          <w:rFonts w:cs="Calibri"/>
          <w:color w:val="auto"/>
        </w:rPr>
        <w:t>”</w:t>
      </w:r>
      <w:r w:rsidR="00AF0BEB" w:rsidRPr="001467DE">
        <w:rPr>
          <w:rFonts w:cs="Calibri"/>
          <w:color w:val="auto"/>
        </w:rPr>
        <w:t>.</w:t>
      </w:r>
      <w:r w:rsidR="009C1DD1" w:rsidRPr="001467DE">
        <w:rPr>
          <w:rFonts w:cs="Calibri"/>
          <w:color w:val="auto"/>
        </w:rPr>
        <w:t xml:space="preserve"> </w:t>
      </w:r>
      <w:r w:rsidR="00C61806">
        <w:rPr>
          <w:rFonts w:cs="Calibri"/>
          <w:color w:val="auto"/>
        </w:rPr>
        <w:t>Non trovando</w:t>
      </w:r>
      <w:r w:rsidR="009C1DD1" w:rsidRPr="001467DE">
        <w:rPr>
          <w:rFonts w:cs="Calibri"/>
          <w:color w:val="auto"/>
        </w:rPr>
        <w:t xml:space="preserve"> risposte tempestive nel pubblico </w:t>
      </w:r>
      <w:r w:rsidR="00AF0BEB" w:rsidRPr="001467DE">
        <w:rPr>
          <w:rFonts w:cs="Calibri"/>
          <w:color w:val="auto"/>
        </w:rPr>
        <w:t xml:space="preserve">né </w:t>
      </w:r>
      <w:r w:rsidR="009C1DD1" w:rsidRPr="001467DE">
        <w:rPr>
          <w:rFonts w:cs="Calibri"/>
          <w:color w:val="auto"/>
        </w:rPr>
        <w:t xml:space="preserve">nel privato accreditato, </w:t>
      </w:r>
      <w:r w:rsidR="00C61806">
        <w:rPr>
          <w:rFonts w:cs="Calibri"/>
          <w:color w:val="auto"/>
        </w:rPr>
        <w:t xml:space="preserve">chi può pagare </w:t>
      </w:r>
      <w:r w:rsidR="009C1DD1" w:rsidRPr="001467DE">
        <w:rPr>
          <w:rFonts w:cs="Calibri"/>
          <w:color w:val="auto"/>
        </w:rPr>
        <w:t>cerca altrove</w:t>
      </w:r>
      <w:r w:rsidR="004C2708">
        <w:rPr>
          <w:rFonts w:cs="Calibri"/>
          <w:color w:val="auto"/>
        </w:rPr>
        <w:t xml:space="preserve"> e</w:t>
      </w:r>
      <w:r w:rsidR="006B1D23">
        <w:rPr>
          <w:rFonts w:cs="Calibri"/>
          <w:color w:val="auto"/>
        </w:rPr>
        <w:t xml:space="preserve">d esce </w:t>
      </w:r>
      <w:r w:rsidR="004C2708">
        <w:rPr>
          <w:rFonts w:cs="Calibri"/>
          <w:color w:val="auto"/>
        </w:rPr>
        <w:t xml:space="preserve">definitivamente dal perimetro </w:t>
      </w:r>
      <w:r w:rsidR="00022775">
        <w:rPr>
          <w:rFonts w:cs="Calibri"/>
          <w:color w:val="auto"/>
        </w:rPr>
        <w:t xml:space="preserve">delle tutele </w:t>
      </w:r>
      <w:r w:rsidR="004C2708">
        <w:rPr>
          <w:rFonts w:cs="Calibri"/>
          <w:color w:val="auto"/>
        </w:rPr>
        <w:t>pubblic</w:t>
      </w:r>
      <w:r w:rsidR="00022775">
        <w:rPr>
          <w:rFonts w:cs="Calibri"/>
          <w:color w:val="auto"/>
        </w:rPr>
        <w:t>he</w:t>
      </w:r>
      <w:r w:rsidR="009C1DD1" w:rsidRPr="001467DE">
        <w:rPr>
          <w:rFonts w:cs="Calibri"/>
          <w:color w:val="auto"/>
        </w:rPr>
        <w:t>».</w:t>
      </w:r>
      <w:r w:rsidR="00BE0820">
        <w:rPr>
          <w:rFonts w:cs="Calibri"/>
          <w:color w:val="auto"/>
        </w:rPr>
        <w:t xml:space="preserve"> Questo circuito, insieme all’</w:t>
      </w:r>
      <w:r w:rsidR="00BE0820" w:rsidRPr="00DA62D4">
        <w:rPr>
          <w:rFonts w:cs="Calibri"/>
          <w:i/>
          <w:color w:val="auto"/>
        </w:rPr>
        <w:t>intramoenia</w:t>
      </w:r>
      <w:r w:rsidR="00BE0820">
        <w:rPr>
          <w:rFonts w:cs="Calibri"/>
          <w:color w:val="auto"/>
        </w:rPr>
        <w:t>, rappresenta infatti l’unica scappatoia per il cittadino intrappolato nelle liste di attesa.</w:t>
      </w:r>
    </w:p>
    <w:p w14:paraId="65364723" w14:textId="5B7ABFF7" w:rsidR="00FC1B6C" w:rsidRDefault="00FC1B6C" w:rsidP="004A39DE">
      <w:pPr>
        <w:suppressAutoHyphens/>
        <w:jc w:val="both"/>
        <w:rPr>
          <w:rFonts w:cs="Calibri"/>
          <w:b/>
          <w:bCs/>
          <w:color w:val="auto"/>
        </w:rPr>
      </w:pPr>
      <w:r>
        <w:rPr>
          <w:rFonts w:cs="Calibri"/>
          <w:b/>
          <w:bCs/>
          <w:color w:val="auto"/>
        </w:rPr>
        <w:t>ALTRI ATTORI PRIVATI</w:t>
      </w:r>
    </w:p>
    <w:p w14:paraId="506BA7C3" w14:textId="0313FE9D" w:rsidR="004A39DE" w:rsidRDefault="009373D9" w:rsidP="004A39DE">
      <w:pPr>
        <w:suppressAutoHyphens/>
        <w:jc w:val="both"/>
        <w:rPr>
          <w:rFonts w:cs="Calibri"/>
          <w:color w:val="auto"/>
        </w:rPr>
      </w:pPr>
      <w:r w:rsidRPr="002F5241">
        <w:rPr>
          <w:rFonts w:cs="Calibri"/>
          <w:b/>
          <w:bCs/>
          <w:color w:val="auto"/>
        </w:rPr>
        <w:t>Terzi paganti</w:t>
      </w:r>
      <w:r w:rsidR="00A061A0">
        <w:rPr>
          <w:rFonts w:cs="Calibri"/>
          <w:b/>
          <w:bCs/>
          <w:color w:val="auto"/>
        </w:rPr>
        <w:t xml:space="preserve">. </w:t>
      </w:r>
      <w:r w:rsidR="002F5241" w:rsidRPr="002F5241">
        <w:rPr>
          <w:rFonts w:cs="Calibri"/>
          <w:color w:val="auto"/>
        </w:rPr>
        <w:t xml:space="preserve">L’intermediazione della spesa sanitaria privata è affidata ai cosiddetti “terzi paganti”, che popolano un ecosistema complesso </w:t>
      </w:r>
      <w:r w:rsidR="00AF0BEB">
        <w:rPr>
          <w:rFonts w:cs="Calibri"/>
          <w:color w:val="auto"/>
        </w:rPr>
        <w:t>composto da</w:t>
      </w:r>
      <w:r w:rsidR="002F5241">
        <w:rPr>
          <w:rFonts w:cs="Calibri"/>
          <w:color w:val="auto"/>
        </w:rPr>
        <w:t xml:space="preserve"> f</w:t>
      </w:r>
      <w:r w:rsidR="002F5241" w:rsidRPr="002F5241">
        <w:rPr>
          <w:rFonts w:cs="Calibri"/>
          <w:color w:val="auto"/>
        </w:rPr>
        <w:t>ondi sanitari</w:t>
      </w:r>
      <w:r w:rsidR="002F5241">
        <w:rPr>
          <w:rFonts w:cs="Calibri"/>
          <w:color w:val="auto"/>
        </w:rPr>
        <w:t>, c</w:t>
      </w:r>
      <w:r w:rsidR="002F5241" w:rsidRPr="002F5241">
        <w:rPr>
          <w:rFonts w:cs="Calibri"/>
          <w:color w:val="auto"/>
        </w:rPr>
        <w:t>asse mutue</w:t>
      </w:r>
      <w:r w:rsidR="002F5241">
        <w:rPr>
          <w:rFonts w:cs="Calibri"/>
          <w:color w:val="auto"/>
        </w:rPr>
        <w:t>, c</w:t>
      </w:r>
      <w:r w:rsidR="002F5241" w:rsidRPr="002F5241">
        <w:rPr>
          <w:rFonts w:cs="Calibri"/>
          <w:color w:val="auto"/>
        </w:rPr>
        <w:t>ompagnie assicurative</w:t>
      </w:r>
      <w:r w:rsidR="002F5241">
        <w:rPr>
          <w:rFonts w:cs="Calibri"/>
          <w:color w:val="auto"/>
        </w:rPr>
        <w:t>, i</w:t>
      </w:r>
      <w:r w:rsidR="002F5241" w:rsidRPr="002F5241">
        <w:rPr>
          <w:rFonts w:cs="Calibri"/>
          <w:color w:val="auto"/>
        </w:rPr>
        <w:t>mprese</w:t>
      </w:r>
      <w:r w:rsidR="002F5241">
        <w:rPr>
          <w:rFonts w:cs="Calibri"/>
          <w:color w:val="auto"/>
        </w:rPr>
        <w:t xml:space="preserve">, </w:t>
      </w:r>
      <w:r w:rsidR="00F22299">
        <w:rPr>
          <w:rFonts w:cs="Calibri"/>
          <w:color w:val="auto"/>
        </w:rPr>
        <w:t xml:space="preserve">enti del terzo settore </w:t>
      </w:r>
      <w:r w:rsidR="002F5241" w:rsidRPr="002F5241">
        <w:rPr>
          <w:rFonts w:cs="Calibri"/>
          <w:color w:val="auto"/>
        </w:rPr>
        <w:t>e alt</w:t>
      </w:r>
      <w:r w:rsidR="00AF0BEB">
        <w:rPr>
          <w:rFonts w:cs="Calibri"/>
          <w:color w:val="auto"/>
        </w:rPr>
        <w:t xml:space="preserve">re realtà </w:t>
      </w:r>
      <w:r w:rsidR="002F5241" w:rsidRPr="002F5241">
        <w:rPr>
          <w:rFonts w:cs="Calibri"/>
          <w:color w:val="auto"/>
        </w:rPr>
        <w:t xml:space="preserve">non profit. </w:t>
      </w:r>
      <w:r w:rsidR="00AF0BEB">
        <w:rPr>
          <w:rFonts w:cs="Calibri"/>
          <w:color w:val="auto"/>
        </w:rPr>
        <w:t>Nel 2024</w:t>
      </w:r>
      <w:r w:rsidR="00F22299">
        <w:rPr>
          <w:rFonts w:cs="Calibri"/>
          <w:color w:val="auto"/>
        </w:rPr>
        <w:t>, secondo i dati ISTAT-SHA,</w:t>
      </w:r>
      <w:r w:rsidR="00AF0BEB">
        <w:rPr>
          <w:rFonts w:cs="Calibri"/>
          <w:color w:val="auto"/>
        </w:rPr>
        <w:t xml:space="preserve"> l</w:t>
      </w:r>
      <w:r w:rsidR="002F5241" w:rsidRPr="002F5241">
        <w:rPr>
          <w:rFonts w:cs="Calibri"/>
          <w:color w:val="auto"/>
        </w:rPr>
        <w:t xml:space="preserve">a spesa sostenuta </w:t>
      </w:r>
      <w:r w:rsidR="00AF0BEB">
        <w:rPr>
          <w:rFonts w:cs="Calibri"/>
          <w:color w:val="auto"/>
        </w:rPr>
        <w:t>da questi soggetti</w:t>
      </w:r>
      <w:r w:rsidR="009C1DD1">
        <w:rPr>
          <w:rFonts w:cs="Calibri"/>
          <w:color w:val="auto"/>
        </w:rPr>
        <w:t xml:space="preserve"> </w:t>
      </w:r>
      <w:r w:rsidR="009C1DD1" w:rsidRPr="009C1DD1">
        <w:rPr>
          <w:rFonts w:cs="Calibri"/>
          <w:color w:val="auto"/>
        </w:rPr>
        <w:t>ha raggiunto</w:t>
      </w:r>
      <w:r w:rsidR="00AF0BEB">
        <w:rPr>
          <w:rFonts w:cs="Calibri"/>
          <w:color w:val="auto"/>
        </w:rPr>
        <w:t xml:space="preserve"> €</w:t>
      </w:r>
      <w:r w:rsidR="009C1DD1" w:rsidRPr="009C1DD1">
        <w:rPr>
          <w:rFonts w:cs="Calibri"/>
          <w:color w:val="auto"/>
        </w:rPr>
        <w:t xml:space="preserve"> 6,36 miliardi, con un incremento di oltre </w:t>
      </w:r>
      <w:r w:rsidR="00AF0BEB">
        <w:rPr>
          <w:rFonts w:cs="Calibri"/>
          <w:color w:val="auto"/>
        </w:rPr>
        <w:t xml:space="preserve">€ </w:t>
      </w:r>
      <w:r w:rsidR="009C1DD1" w:rsidRPr="009C1DD1">
        <w:rPr>
          <w:rFonts w:cs="Calibri"/>
          <w:color w:val="auto"/>
        </w:rPr>
        <w:t>2 miliardi nel triennio post-pandemia.</w:t>
      </w:r>
      <w:r w:rsidR="00487D77">
        <w:rPr>
          <w:rFonts w:cs="Calibri"/>
          <w:color w:val="auto"/>
        </w:rPr>
        <w:t xml:space="preserve"> </w:t>
      </w:r>
      <w:r w:rsidR="00022775" w:rsidRPr="0013273C">
        <w:rPr>
          <w:rFonts w:cs="Calibri"/>
          <w:color w:val="auto"/>
        </w:rPr>
        <w:t>«</w:t>
      </w:r>
      <w:r w:rsidR="00022775">
        <w:rPr>
          <w:rFonts w:cs="Calibri"/>
          <w:color w:val="auto"/>
        </w:rPr>
        <w:t xml:space="preserve">Va ribadito </w:t>
      </w:r>
      <w:r w:rsidR="00022775" w:rsidRPr="0013273C">
        <w:rPr>
          <w:rFonts w:cs="Calibri"/>
          <w:color w:val="auto"/>
        </w:rPr>
        <w:t>–</w:t>
      </w:r>
      <w:r w:rsidR="00022775">
        <w:rPr>
          <w:rFonts w:cs="Calibri"/>
          <w:color w:val="auto"/>
        </w:rPr>
        <w:t xml:space="preserve"> spiega il Presidente </w:t>
      </w:r>
      <w:r w:rsidR="00022775" w:rsidRPr="0013273C">
        <w:rPr>
          <w:rFonts w:cs="Calibri"/>
          <w:color w:val="auto"/>
        </w:rPr>
        <w:t>–</w:t>
      </w:r>
      <w:r w:rsidR="00022775">
        <w:rPr>
          <w:rFonts w:cs="Calibri"/>
          <w:color w:val="auto"/>
        </w:rPr>
        <w:t xml:space="preserve"> che ai fondi sanitari integrativi e al welfare aziendale viene riconosciuta una </w:t>
      </w:r>
      <w:r w:rsidR="00022775" w:rsidRPr="00487D77">
        <w:rPr>
          <w:rFonts w:cs="Calibri"/>
          <w:color w:val="auto"/>
        </w:rPr>
        <w:t xml:space="preserve">defiscalizzazione </w:t>
      </w:r>
      <w:r w:rsidR="00022775">
        <w:rPr>
          <w:rFonts w:cs="Calibri"/>
          <w:color w:val="auto"/>
        </w:rPr>
        <w:t xml:space="preserve">il cui </w:t>
      </w:r>
      <w:r w:rsidR="00B2469C">
        <w:rPr>
          <w:rFonts w:cs="Calibri"/>
          <w:color w:val="auto"/>
        </w:rPr>
        <w:t>impatto</w:t>
      </w:r>
      <w:r w:rsidR="00022775">
        <w:rPr>
          <w:rFonts w:cs="Calibri"/>
          <w:color w:val="auto"/>
        </w:rPr>
        <w:t xml:space="preserve"> </w:t>
      </w:r>
      <w:r w:rsidR="00B2469C">
        <w:rPr>
          <w:rFonts w:cs="Calibri"/>
          <w:color w:val="auto"/>
        </w:rPr>
        <w:t xml:space="preserve">sulla finanza pubblica </w:t>
      </w:r>
      <w:r w:rsidR="00022775">
        <w:rPr>
          <w:rFonts w:cs="Calibri"/>
          <w:color w:val="auto"/>
        </w:rPr>
        <w:t xml:space="preserve">non è mai stato reso pubblico, né </w:t>
      </w:r>
      <w:r w:rsidR="00F22299">
        <w:rPr>
          <w:rFonts w:cs="Calibri"/>
          <w:color w:val="auto"/>
        </w:rPr>
        <w:t xml:space="preserve">è </w:t>
      </w:r>
      <w:r w:rsidR="00022775">
        <w:rPr>
          <w:rFonts w:cs="Calibri"/>
          <w:color w:val="auto"/>
        </w:rPr>
        <w:t xml:space="preserve">calcolabile. Ma </w:t>
      </w:r>
      <w:r w:rsidR="005908B5">
        <w:rPr>
          <w:rFonts w:cs="Calibri"/>
          <w:color w:val="auto"/>
        </w:rPr>
        <w:t xml:space="preserve">che </w:t>
      </w:r>
      <w:r w:rsidR="00022775">
        <w:rPr>
          <w:rFonts w:cs="Calibri"/>
          <w:color w:val="auto"/>
        </w:rPr>
        <w:t>rappresenta,</w:t>
      </w:r>
      <w:r w:rsidR="00022775" w:rsidRPr="00487D77">
        <w:rPr>
          <w:rFonts w:cs="Calibri"/>
          <w:color w:val="auto"/>
        </w:rPr>
        <w:t xml:space="preserve"> indirettamente</w:t>
      </w:r>
      <w:r w:rsidR="00022775">
        <w:rPr>
          <w:rFonts w:cs="Calibri"/>
          <w:color w:val="auto"/>
        </w:rPr>
        <w:t>,</w:t>
      </w:r>
      <w:r w:rsidR="00022775" w:rsidRPr="00487D77">
        <w:rPr>
          <w:rFonts w:cs="Calibri"/>
          <w:color w:val="auto"/>
        </w:rPr>
        <w:t xml:space="preserve"> </w:t>
      </w:r>
      <w:r w:rsidR="00022775">
        <w:rPr>
          <w:rFonts w:cs="Calibri"/>
          <w:color w:val="auto"/>
        </w:rPr>
        <w:t xml:space="preserve">uno strumento di privatizzazione occulta, visto che dirotta risorse pubbliche </w:t>
      </w:r>
      <w:r w:rsidR="00091F84">
        <w:rPr>
          <w:rFonts w:cs="Calibri"/>
          <w:color w:val="auto"/>
        </w:rPr>
        <w:t xml:space="preserve">prevalentemente </w:t>
      </w:r>
      <w:r w:rsidR="00022775">
        <w:rPr>
          <w:rFonts w:cs="Calibri"/>
          <w:color w:val="auto"/>
        </w:rPr>
        <w:t>verso soggetti privati</w:t>
      </w:r>
      <w:r w:rsidR="00022775" w:rsidRPr="001467DE">
        <w:rPr>
          <w:rFonts w:cs="Calibri"/>
          <w:color w:val="auto"/>
        </w:rPr>
        <w:t>».</w:t>
      </w:r>
      <w:r w:rsidR="00022775">
        <w:rPr>
          <w:rFonts w:cs="Calibri"/>
          <w:color w:val="auto"/>
        </w:rPr>
        <w:t xml:space="preserve"> Peraltro, </w:t>
      </w:r>
      <w:r w:rsidR="002F5241" w:rsidRPr="009E2F89">
        <w:rPr>
          <w:rFonts w:cs="Calibri"/>
          <w:color w:val="auto"/>
        </w:rPr>
        <w:t xml:space="preserve">dopo una fase di grande entusiasmo, le potenzialità </w:t>
      </w:r>
      <w:r w:rsidR="004A39DE">
        <w:rPr>
          <w:rFonts w:cs="Calibri"/>
          <w:color w:val="auto"/>
        </w:rPr>
        <w:t>della sanità integrativa</w:t>
      </w:r>
      <w:r w:rsidR="002F5241" w:rsidRPr="009E2F89">
        <w:rPr>
          <w:rFonts w:cs="Calibri"/>
          <w:color w:val="auto"/>
        </w:rPr>
        <w:t xml:space="preserve"> risultano fortemente ridimensionate </w:t>
      </w:r>
      <w:r w:rsidR="004A39DE">
        <w:rPr>
          <w:rFonts w:cs="Calibri"/>
          <w:color w:val="auto"/>
        </w:rPr>
        <w:t>nell’attuale</w:t>
      </w:r>
      <w:r w:rsidR="002F5241" w:rsidRPr="009E2F89">
        <w:rPr>
          <w:rFonts w:cs="Calibri"/>
          <w:color w:val="auto"/>
        </w:rPr>
        <w:t xml:space="preserve"> contesto di crisi del SSN. </w:t>
      </w:r>
      <w:r w:rsidR="00307388">
        <w:rPr>
          <w:rFonts w:cs="Calibri"/>
          <w:color w:val="auto"/>
        </w:rPr>
        <w:lastRenderedPageBreak/>
        <w:t>Con</w:t>
      </w:r>
      <w:r w:rsidR="002F5241" w:rsidRPr="009E2F89">
        <w:rPr>
          <w:rFonts w:cs="Calibri"/>
          <w:color w:val="auto"/>
        </w:rPr>
        <w:t xml:space="preserve"> quasi 12 milioni </w:t>
      </w:r>
      <w:r w:rsidR="00307388">
        <w:rPr>
          <w:rFonts w:cs="Calibri"/>
          <w:color w:val="auto"/>
        </w:rPr>
        <w:t xml:space="preserve">di iscritti </w:t>
      </w:r>
      <w:r w:rsidR="002F5241" w:rsidRPr="009E2F89">
        <w:rPr>
          <w:rFonts w:cs="Calibri"/>
          <w:color w:val="auto"/>
        </w:rPr>
        <w:t>nel 2023</w:t>
      </w:r>
      <w:r w:rsidR="00307388">
        <w:rPr>
          <w:rFonts w:cs="Calibri"/>
          <w:color w:val="auto"/>
        </w:rPr>
        <w:t xml:space="preserve">, </w:t>
      </w:r>
      <w:r w:rsidR="00EF0667">
        <w:rPr>
          <w:rFonts w:cs="Calibri"/>
          <w:color w:val="auto"/>
        </w:rPr>
        <w:t>i fondi sanitari devono</w:t>
      </w:r>
      <w:r w:rsidR="000F604A">
        <w:rPr>
          <w:rFonts w:cs="Calibri"/>
          <w:color w:val="auto"/>
        </w:rPr>
        <w:t xml:space="preserve"> </w:t>
      </w:r>
      <w:r w:rsidR="00022775">
        <w:rPr>
          <w:rFonts w:cs="Calibri"/>
          <w:color w:val="auto"/>
        </w:rPr>
        <w:t>rimborsare</w:t>
      </w:r>
      <w:r w:rsidR="00307388">
        <w:rPr>
          <w:rFonts w:cs="Calibri"/>
          <w:color w:val="auto"/>
        </w:rPr>
        <w:t xml:space="preserve"> </w:t>
      </w:r>
      <w:r w:rsidR="002F5241" w:rsidRPr="009E2F89">
        <w:rPr>
          <w:rFonts w:cs="Calibri"/>
          <w:color w:val="auto"/>
        </w:rPr>
        <w:t xml:space="preserve">un numero </w:t>
      </w:r>
      <w:r w:rsidR="00307388">
        <w:rPr>
          <w:rFonts w:cs="Calibri"/>
          <w:color w:val="auto"/>
        </w:rPr>
        <w:t>crescente</w:t>
      </w:r>
      <w:r w:rsidR="002F5241" w:rsidRPr="009E2F89">
        <w:rPr>
          <w:rFonts w:cs="Calibri"/>
          <w:color w:val="auto"/>
        </w:rPr>
        <w:t xml:space="preserve"> di prestazioni </w:t>
      </w:r>
      <w:r w:rsidR="00307388">
        <w:rPr>
          <w:rFonts w:cs="Calibri"/>
          <w:color w:val="auto"/>
        </w:rPr>
        <w:t>che la</w:t>
      </w:r>
      <w:r w:rsidR="002F5241" w:rsidRPr="009E2F89">
        <w:rPr>
          <w:rFonts w:cs="Calibri"/>
          <w:color w:val="auto"/>
        </w:rPr>
        <w:t xml:space="preserve"> sanità pubblica</w:t>
      </w:r>
      <w:r w:rsidR="00307388">
        <w:rPr>
          <w:rFonts w:cs="Calibri"/>
          <w:color w:val="auto"/>
        </w:rPr>
        <w:t xml:space="preserve"> non riesce più a garantire. </w:t>
      </w:r>
      <w:proofErr w:type="gramStart"/>
      <w:r w:rsidR="00F4614F">
        <w:rPr>
          <w:rFonts w:cs="Calibri"/>
          <w:color w:val="auto"/>
        </w:rPr>
        <w:t>E</w:t>
      </w:r>
      <w:proofErr w:type="gramEnd"/>
      <w:r w:rsidR="00307388">
        <w:rPr>
          <w:rFonts w:cs="Calibri"/>
          <w:color w:val="auto"/>
        </w:rPr>
        <w:t xml:space="preserve"> questo squilibrio ne compromette la</w:t>
      </w:r>
      <w:r w:rsidR="002F5241" w:rsidRPr="009E2F89">
        <w:rPr>
          <w:rFonts w:cs="Calibri"/>
          <w:color w:val="auto"/>
        </w:rPr>
        <w:t xml:space="preserve"> sostenibilità</w:t>
      </w:r>
      <w:r w:rsidR="00307388">
        <w:rPr>
          <w:rFonts w:cs="Calibri"/>
          <w:color w:val="auto"/>
        </w:rPr>
        <w:t xml:space="preserve">: più il SSN arretra, più aumenta la richiesta di rimborsi e </w:t>
      </w:r>
      <w:r w:rsidR="004A39DE">
        <w:rPr>
          <w:rFonts w:cs="Calibri"/>
          <w:color w:val="auto"/>
        </w:rPr>
        <w:t xml:space="preserve">l’intero </w:t>
      </w:r>
      <w:r w:rsidR="00307388">
        <w:rPr>
          <w:rFonts w:cs="Calibri"/>
          <w:color w:val="auto"/>
        </w:rPr>
        <w:t>sistema fatica a reggere</w:t>
      </w:r>
      <w:r w:rsidR="002F5241" w:rsidRPr="009E2F89">
        <w:rPr>
          <w:rFonts w:cs="Calibri"/>
          <w:color w:val="auto"/>
        </w:rPr>
        <w:t xml:space="preserve">. </w:t>
      </w:r>
      <w:r w:rsidR="000F604A" w:rsidRPr="001467DE">
        <w:rPr>
          <w:rFonts w:cs="Calibri"/>
          <w:color w:val="auto"/>
        </w:rPr>
        <w:t>«</w:t>
      </w:r>
      <w:r w:rsidR="004A39DE">
        <w:rPr>
          <w:rFonts w:cs="Calibri"/>
          <w:color w:val="auto"/>
        </w:rPr>
        <w:t>L</w:t>
      </w:r>
      <w:r w:rsidR="000F604A">
        <w:rPr>
          <w:rFonts w:cs="Calibri"/>
          <w:color w:val="auto"/>
        </w:rPr>
        <w:t xml:space="preserve">a sanità integrativa </w:t>
      </w:r>
      <w:r w:rsidR="000F604A" w:rsidRPr="000F604A">
        <w:rPr>
          <w:rFonts w:cs="Calibri"/>
          <w:color w:val="auto"/>
        </w:rPr>
        <w:t>– avverte Cartabellotta –</w:t>
      </w:r>
      <w:r w:rsidR="000F604A">
        <w:rPr>
          <w:rFonts w:cs="Calibri"/>
          <w:color w:val="auto"/>
        </w:rPr>
        <w:t xml:space="preserve"> </w:t>
      </w:r>
      <w:r w:rsidR="000F604A" w:rsidRPr="009E2F89">
        <w:rPr>
          <w:rFonts w:cs="Calibri"/>
          <w:color w:val="auto"/>
        </w:rPr>
        <w:t xml:space="preserve">può </w:t>
      </w:r>
      <w:r w:rsidR="000F604A">
        <w:rPr>
          <w:rFonts w:cs="Calibri"/>
          <w:color w:val="auto"/>
        </w:rPr>
        <w:t xml:space="preserve">funzionare </w:t>
      </w:r>
      <w:r w:rsidR="000F604A" w:rsidRPr="009E2F89">
        <w:rPr>
          <w:rFonts w:cs="Calibri"/>
          <w:color w:val="auto"/>
        </w:rPr>
        <w:t xml:space="preserve">solo </w:t>
      </w:r>
      <w:r w:rsidR="000F604A">
        <w:rPr>
          <w:rFonts w:cs="Calibri"/>
          <w:color w:val="auto"/>
        </w:rPr>
        <w:t xml:space="preserve">se </w:t>
      </w:r>
      <w:r w:rsidR="000F604A" w:rsidRPr="009E2F89">
        <w:rPr>
          <w:rFonts w:cs="Calibri"/>
          <w:color w:val="auto"/>
        </w:rPr>
        <w:t xml:space="preserve">integra </w:t>
      </w:r>
      <w:r w:rsidR="000F604A">
        <w:rPr>
          <w:rFonts w:cs="Calibri"/>
          <w:color w:val="auto"/>
        </w:rPr>
        <w:t xml:space="preserve">un </w:t>
      </w:r>
      <w:r w:rsidR="000F604A" w:rsidRPr="009E2F89">
        <w:rPr>
          <w:rFonts w:cs="Calibri"/>
          <w:color w:val="auto"/>
        </w:rPr>
        <w:t xml:space="preserve">sistema pubblico forte. </w:t>
      </w:r>
      <w:r w:rsidR="004A39DE" w:rsidRPr="004A39DE">
        <w:rPr>
          <w:rFonts w:cs="Calibri"/>
          <w:color w:val="auto"/>
        </w:rPr>
        <w:t>Se invece è chiamata a sostituirne le carenze</w:t>
      </w:r>
      <w:r w:rsidR="000F604A" w:rsidRPr="009E2F89">
        <w:rPr>
          <w:rFonts w:cs="Calibri"/>
          <w:color w:val="auto"/>
        </w:rPr>
        <w:t xml:space="preserve">, </w:t>
      </w:r>
      <w:r w:rsidR="000F604A">
        <w:rPr>
          <w:rFonts w:cs="Calibri"/>
          <w:color w:val="auto"/>
        </w:rPr>
        <w:t xml:space="preserve">rischia di affondare </w:t>
      </w:r>
      <w:r w:rsidR="004A39DE">
        <w:rPr>
          <w:rFonts w:cs="Calibri"/>
          <w:color w:val="auto"/>
        </w:rPr>
        <w:t>insieme al</w:t>
      </w:r>
      <w:r w:rsidR="000F604A">
        <w:rPr>
          <w:rFonts w:cs="Calibri"/>
          <w:color w:val="auto"/>
        </w:rPr>
        <w:t xml:space="preserve"> SSN</w:t>
      </w:r>
      <w:r w:rsidR="000F604A" w:rsidRPr="001467DE">
        <w:rPr>
          <w:rFonts w:cs="Calibri"/>
          <w:color w:val="auto"/>
        </w:rPr>
        <w:t>».</w:t>
      </w:r>
    </w:p>
    <w:p w14:paraId="4EF09A3D" w14:textId="1D1B1202" w:rsidR="000308C1" w:rsidRPr="002A2D8E" w:rsidRDefault="009373D9" w:rsidP="00242F8F">
      <w:pPr>
        <w:suppressAutoHyphens/>
        <w:jc w:val="both"/>
        <w:rPr>
          <w:rFonts w:cs="Calibri"/>
          <w:color w:val="auto"/>
        </w:rPr>
      </w:pPr>
      <w:r w:rsidRPr="000D4745">
        <w:rPr>
          <w:rFonts w:cs="Calibri"/>
          <w:b/>
          <w:bCs/>
          <w:color w:val="auto"/>
        </w:rPr>
        <w:t>Investitor</w:t>
      </w:r>
      <w:r w:rsidR="009C1DD1" w:rsidRPr="000D4745">
        <w:rPr>
          <w:rFonts w:cs="Calibri"/>
          <w:b/>
          <w:bCs/>
          <w:color w:val="auto"/>
        </w:rPr>
        <w:t>i</w:t>
      </w:r>
      <w:r w:rsidR="00FA275D" w:rsidRPr="000D4745">
        <w:rPr>
          <w:rFonts w:cs="Calibri"/>
          <w:color w:val="auto"/>
        </w:rPr>
        <w:t xml:space="preserve">. </w:t>
      </w:r>
      <w:r w:rsidR="0040150E" w:rsidRPr="0040150E">
        <w:rPr>
          <w:rFonts w:cs="Calibri"/>
          <w:color w:val="auto"/>
        </w:rPr>
        <w:t xml:space="preserve">Aumenta anche il numero di fondi di investimento, assicurazioni, gruppi bancari e società che, stimolati da trend di lungo periodo come l’invecchiamento della popolazione e l’aumento delle cronicità, vedono nella sanità un settore ad alta redditività. Questi soggetti privati investono risorse nell’ambito dei propri piani aziendali come capitale di rischio, sia acquisendo quote societarie, sia stipulando partenariati pubblico-privato (PPP) con Aziende Sanitarie, Regioni e altri enti. </w:t>
      </w:r>
      <w:r w:rsidR="009C1DD1" w:rsidRPr="000D4745">
        <w:rPr>
          <w:rFonts w:cs="Calibri"/>
          <w:color w:val="auto"/>
        </w:rPr>
        <w:t>«</w:t>
      </w:r>
      <w:r w:rsidR="00241C80">
        <w:rPr>
          <w:rFonts w:cs="Calibri"/>
          <w:color w:val="auto"/>
        </w:rPr>
        <w:t xml:space="preserve">Se l’ingresso di capitali privati in sanità non può essere criminalizzato </w:t>
      </w:r>
      <w:r w:rsidR="000141F4" w:rsidRPr="000D4745">
        <w:rPr>
          <w:rFonts w:cs="Calibri"/>
          <w:color w:val="auto"/>
        </w:rPr>
        <w:t xml:space="preserve">– </w:t>
      </w:r>
      <w:r w:rsidR="000141F4">
        <w:rPr>
          <w:rFonts w:cs="Calibri"/>
          <w:color w:val="auto"/>
        </w:rPr>
        <w:t xml:space="preserve">avverte </w:t>
      </w:r>
      <w:r w:rsidR="000141F4" w:rsidRPr="000D4745">
        <w:rPr>
          <w:rFonts w:cs="Calibri"/>
          <w:color w:val="auto"/>
        </w:rPr>
        <w:t>Cartabellotta –</w:t>
      </w:r>
      <w:r w:rsidR="00241C80">
        <w:rPr>
          <w:rFonts w:cs="Calibri"/>
          <w:color w:val="auto"/>
        </w:rPr>
        <w:t>s</w:t>
      </w:r>
      <w:r w:rsidR="00241C80" w:rsidRPr="000D4745">
        <w:rPr>
          <w:rFonts w:cs="Calibri"/>
          <w:color w:val="auto"/>
        </w:rPr>
        <w:t xml:space="preserve">enza regole chiare e una </w:t>
      </w:r>
      <w:proofErr w:type="spellStart"/>
      <w:r w:rsidR="00241C80" w:rsidRPr="000D4745">
        <w:rPr>
          <w:rFonts w:cs="Calibri"/>
          <w:color w:val="auto"/>
        </w:rPr>
        <w:t>governance</w:t>
      </w:r>
      <w:proofErr w:type="spellEnd"/>
      <w:r w:rsidR="00241C80" w:rsidRPr="000D4745">
        <w:rPr>
          <w:rFonts w:cs="Calibri"/>
          <w:color w:val="auto"/>
        </w:rPr>
        <w:t xml:space="preserve"> rigorosa</w:t>
      </w:r>
      <w:r w:rsidR="00241C80">
        <w:rPr>
          <w:rFonts w:cs="Calibri"/>
          <w:color w:val="auto"/>
        </w:rPr>
        <w:t xml:space="preserve"> </w:t>
      </w:r>
      <w:r w:rsidR="00655FDE">
        <w:rPr>
          <w:rFonts w:cs="Calibri"/>
          <w:color w:val="auto"/>
        </w:rPr>
        <w:t xml:space="preserve">aumenta </w:t>
      </w:r>
      <w:r w:rsidR="008C4A18" w:rsidRPr="000D4745">
        <w:rPr>
          <w:rFonts w:cs="Calibri"/>
          <w:color w:val="auto"/>
        </w:rPr>
        <w:t xml:space="preserve">il rischio di </w:t>
      </w:r>
      <w:r w:rsidR="00655FDE">
        <w:rPr>
          <w:rFonts w:cs="Calibri"/>
          <w:color w:val="auto"/>
        </w:rPr>
        <w:t xml:space="preserve">sbilanciamento tra </w:t>
      </w:r>
      <w:r w:rsidR="008C4A18" w:rsidRPr="000D4745">
        <w:rPr>
          <w:rFonts w:cs="Calibri"/>
          <w:color w:val="auto"/>
        </w:rPr>
        <w:t xml:space="preserve">l’obiettivo pubblico della tutela della salute e quello imprenditoriale della </w:t>
      </w:r>
      <w:r w:rsidR="00655FDE">
        <w:rPr>
          <w:rFonts w:cs="Calibri"/>
          <w:color w:val="auto"/>
        </w:rPr>
        <w:t xml:space="preserve">legittima </w:t>
      </w:r>
      <w:r w:rsidR="008C4A18" w:rsidRPr="000D4745">
        <w:rPr>
          <w:rFonts w:cs="Calibri"/>
          <w:color w:val="auto"/>
        </w:rPr>
        <w:t xml:space="preserve">generazione di profitti». Particolarmente critica appare la relazione diretta tra investitore privato ed erogatore privato </w:t>
      </w:r>
      <w:r w:rsidR="008B55E5">
        <w:rPr>
          <w:rFonts w:cs="Calibri"/>
          <w:color w:val="auto"/>
        </w:rPr>
        <w:t>“</w:t>
      </w:r>
      <w:r w:rsidR="008C4A18" w:rsidRPr="000D4745">
        <w:rPr>
          <w:rFonts w:cs="Calibri"/>
          <w:color w:val="auto"/>
        </w:rPr>
        <w:t>puro</w:t>
      </w:r>
      <w:r w:rsidR="008B55E5">
        <w:rPr>
          <w:rFonts w:cs="Calibri"/>
          <w:color w:val="auto"/>
        </w:rPr>
        <w:t>”</w:t>
      </w:r>
      <w:r w:rsidR="008C4A18" w:rsidRPr="000D4745">
        <w:rPr>
          <w:rFonts w:cs="Calibri"/>
          <w:color w:val="auto"/>
        </w:rPr>
        <w:t xml:space="preserve">, che </w:t>
      </w:r>
      <w:r w:rsidR="00241C80">
        <w:rPr>
          <w:rFonts w:cs="Calibri"/>
          <w:color w:val="auto"/>
        </w:rPr>
        <w:t xml:space="preserve">dà vita a </w:t>
      </w:r>
      <w:r w:rsidR="003E690F">
        <w:rPr>
          <w:rFonts w:cs="Calibri"/>
          <w:color w:val="auto"/>
        </w:rPr>
        <w:t xml:space="preserve">quel </w:t>
      </w:r>
      <w:r w:rsidR="008C4A18" w:rsidRPr="000D4745">
        <w:rPr>
          <w:rFonts w:cs="Calibri"/>
          <w:color w:val="auto"/>
        </w:rPr>
        <w:t>“secondo binario”</w:t>
      </w:r>
      <w:r w:rsidR="000141F4">
        <w:rPr>
          <w:rFonts w:cs="Calibri"/>
          <w:color w:val="auto"/>
        </w:rPr>
        <w:t>,</w:t>
      </w:r>
      <w:r w:rsidR="008C4A18" w:rsidRPr="000D4745">
        <w:rPr>
          <w:rFonts w:cs="Calibri"/>
          <w:color w:val="auto"/>
        </w:rPr>
        <w:t xml:space="preserve"> totalmente </w:t>
      </w:r>
      <w:r w:rsidR="000E1D73">
        <w:rPr>
          <w:rFonts w:cs="Calibri"/>
          <w:color w:val="auto"/>
        </w:rPr>
        <w:t xml:space="preserve">sganciato dal </w:t>
      </w:r>
      <w:r w:rsidR="008C4A18" w:rsidRPr="000D4745">
        <w:rPr>
          <w:rFonts w:cs="Calibri"/>
          <w:color w:val="auto"/>
        </w:rPr>
        <w:t>SSN</w:t>
      </w:r>
      <w:r w:rsidR="000E1D73">
        <w:rPr>
          <w:rFonts w:cs="Calibri"/>
          <w:color w:val="auto"/>
        </w:rPr>
        <w:t xml:space="preserve"> e</w:t>
      </w:r>
      <w:r w:rsidR="008C4A18" w:rsidRPr="000D4745">
        <w:rPr>
          <w:rFonts w:cs="Calibri"/>
          <w:color w:val="auto"/>
        </w:rPr>
        <w:t xml:space="preserve"> destinato esclusivamente a chi può </w:t>
      </w:r>
      <w:r w:rsidR="000E1D73">
        <w:rPr>
          <w:rFonts w:cs="Calibri"/>
          <w:color w:val="auto"/>
        </w:rPr>
        <w:t xml:space="preserve">pagare </w:t>
      </w:r>
      <w:r w:rsidR="008C4A18" w:rsidRPr="000D4745">
        <w:rPr>
          <w:rFonts w:cs="Calibri"/>
          <w:color w:val="auto"/>
        </w:rPr>
        <w:t xml:space="preserve">direttamente o tramite </w:t>
      </w:r>
      <w:r w:rsidR="00B10D08">
        <w:rPr>
          <w:rFonts w:cs="Calibri"/>
          <w:color w:val="auto"/>
        </w:rPr>
        <w:t>coperture</w:t>
      </w:r>
      <w:r w:rsidR="00B10D08" w:rsidRPr="000D4745">
        <w:rPr>
          <w:rFonts w:cs="Calibri"/>
          <w:color w:val="auto"/>
        </w:rPr>
        <w:t xml:space="preserve"> assicurativ</w:t>
      </w:r>
      <w:r w:rsidR="00B10D08">
        <w:rPr>
          <w:rFonts w:cs="Calibri"/>
          <w:color w:val="auto"/>
        </w:rPr>
        <w:t>e</w:t>
      </w:r>
      <w:r w:rsidR="008C4A18" w:rsidRPr="000D4745">
        <w:rPr>
          <w:rFonts w:cs="Calibri"/>
          <w:color w:val="auto"/>
        </w:rPr>
        <w:t>.</w:t>
      </w:r>
    </w:p>
    <w:p w14:paraId="337D6E1F" w14:textId="30BB7F87" w:rsidR="009C1DD1" w:rsidRPr="002D44A2" w:rsidRDefault="00242F8F" w:rsidP="009C1DD1">
      <w:pPr>
        <w:suppressAutoHyphens/>
        <w:jc w:val="both"/>
        <w:rPr>
          <w:rFonts w:cs="Calibri"/>
          <w:color w:val="auto"/>
        </w:rPr>
      </w:pPr>
      <w:r w:rsidRPr="002D44A2">
        <w:rPr>
          <w:rFonts w:cs="Calibri"/>
          <w:color w:val="auto"/>
        </w:rPr>
        <w:t>«</w:t>
      </w:r>
      <w:r w:rsidR="00455E13" w:rsidRPr="002D44A2">
        <w:rPr>
          <w:rFonts w:cs="Calibri"/>
          <w:color w:val="auto"/>
        </w:rPr>
        <w:t xml:space="preserve">In questo scenario – commenta il Presidente – caratterizzato </w:t>
      </w:r>
      <w:r w:rsidR="00822DC8" w:rsidRPr="002D44A2">
        <w:rPr>
          <w:rFonts w:cs="Calibri"/>
          <w:color w:val="auto"/>
        </w:rPr>
        <w:t>dal progressivo arretramento della sanità pubblica e</w:t>
      </w:r>
      <w:r w:rsidR="00DB624C" w:rsidRPr="002D44A2">
        <w:rPr>
          <w:rFonts w:cs="Calibri"/>
          <w:color w:val="auto"/>
        </w:rPr>
        <w:t xml:space="preserve"> al contempo</w:t>
      </w:r>
      <w:r w:rsidR="00822DC8" w:rsidRPr="002D44A2">
        <w:rPr>
          <w:rFonts w:cs="Calibri"/>
          <w:color w:val="auto"/>
        </w:rPr>
        <w:t xml:space="preserve"> da una </w:t>
      </w:r>
      <w:r w:rsidR="00455E13" w:rsidRPr="002D44A2">
        <w:rPr>
          <w:rFonts w:cs="Calibri"/>
          <w:color w:val="auto"/>
        </w:rPr>
        <w:t xml:space="preserve">sregolata </w:t>
      </w:r>
      <w:r w:rsidR="00822DC8" w:rsidRPr="002D44A2">
        <w:rPr>
          <w:rFonts w:cs="Calibri"/>
          <w:color w:val="auto"/>
        </w:rPr>
        <w:t xml:space="preserve">espansione </w:t>
      </w:r>
      <w:r w:rsidR="00455E13" w:rsidRPr="002D44A2">
        <w:rPr>
          <w:rFonts w:cs="Calibri"/>
          <w:color w:val="auto"/>
        </w:rPr>
        <w:t xml:space="preserve">di innumerevoli soggetti privati </w:t>
      </w:r>
      <w:r w:rsidR="00822DC8" w:rsidRPr="002D44A2">
        <w:rPr>
          <w:rFonts w:cs="Calibri"/>
          <w:color w:val="auto"/>
        </w:rPr>
        <w:t>che perseguono anche</w:t>
      </w:r>
      <w:r w:rsidR="00C721BB">
        <w:rPr>
          <w:rFonts w:cs="Calibri"/>
          <w:color w:val="auto"/>
        </w:rPr>
        <w:t xml:space="preserve"> </w:t>
      </w:r>
      <w:r w:rsidR="00455E13" w:rsidRPr="002D44A2">
        <w:rPr>
          <w:rFonts w:cs="Calibri"/>
          <w:color w:val="auto"/>
        </w:rPr>
        <w:t>obiettiv</w:t>
      </w:r>
      <w:r w:rsidR="00822DC8" w:rsidRPr="002D44A2">
        <w:rPr>
          <w:rFonts w:cs="Calibri"/>
          <w:color w:val="auto"/>
        </w:rPr>
        <w:t xml:space="preserve">i </w:t>
      </w:r>
      <w:r w:rsidR="00455E13" w:rsidRPr="002D44A2">
        <w:rPr>
          <w:rFonts w:cs="Calibri"/>
          <w:color w:val="auto"/>
        </w:rPr>
        <w:t xml:space="preserve">di profitto, parlare di “integrazione pubblico-privato” diventa </w:t>
      </w:r>
      <w:r w:rsidR="007407A5" w:rsidRPr="002D44A2">
        <w:rPr>
          <w:rFonts w:cs="Calibri"/>
          <w:color w:val="auto"/>
        </w:rPr>
        <w:t xml:space="preserve">anacronistico e oltraggioso </w:t>
      </w:r>
      <w:r w:rsidR="00DB624C" w:rsidRPr="002D44A2">
        <w:rPr>
          <w:rFonts w:cs="Calibri"/>
          <w:color w:val="auto"/>
        </w:rPr>
        <w:t>nei confronti del</w:t>
      </w:r>
      <w:r w:rsidR="00455E13" w:rsidRPr="002D44A2">
        <w:rPr>
          <w:rFonts w:cs="Calibri"/>
          <w:color w:val="auto"/>
        </w:rPr>
        <w:t xml:space="preserve">l’art. 32 </w:t>
      </w:r>
      <w:r w:rsidR="007407A5" w:rsidRPr="002D44A2">
        <w:rPr>
          <w:rFonts w:cs="Calibri"/>
          <w:color w:val="auto"/>
        </w:rPr>
        <w:t xml:space="preserve">della Costituzione </w:t>
      </w:r>
      <w:r w:rsidR="00455E13" w:rsidRPr="002D44A2">
        <w:rPr>
          <w:rFonts w:cs="Calibri"/>
          <w:color w:val="auto"/>
        </w:rPr>
        <w:t xml:space="preserve">e </w:t>
      </w:r>
      <w:r w:rsidR="00DB624C" w:rsidRPr="002D44A2">
        <w:rPr>
          <w:rFonts w:cs="Calibri"/>
          <w:color w:val="auto"/>
        </w:rPr>
        <w:t>de</w:t>
      </w:r>
      <w:r w:rsidR="00455E13" w:rsidRPr="002D44A2">
        <w:rPr>
          <w:rFonts w:cs="Calibri"/>
          <w:color w:val="auto"/>
        </w:rPr>
        <w:t xml:space="preserve">i princìpi fondanti del SSN. </w:t>
      </w:r>
      <w:r w:rsidR="00DB624C" w:rsidRPr="002D44A2">
        <w:rPr>
          <w:rFonts w:cs="Calibri"/>
          <w:color w:val="auto"/>
        </w:rPr>
        <w:t>Se</w:t>
      </w:r>
      <w:r w:rsidR="007A631E" w:rsidRPr="002D44A2">
        <w:rPr>
          <w:rFonts w:cs="Calibri"/>
          <w:color w:val="auto"/>
        </w:rPr>
        <w:t xml:space="preserve"> per il nostro Paese </w:t>
      </w:r>
      <w:r w:rsidR="00DB624C" w:rsidRPr="002D44A2">
        <w:rPr>
          <w:rFonts w:cs="Calibri"/>
          <w:color w:val="auto"/>
        </w:rPr>
        <w:t xml:space="preserve">salvaguardare </w:t>
      </w:r>
      <w:r w:rsidR="007A631E" w:rsidRPr="002D44A2">
        <w:rPr>
          <w:rFonts w:cs="Calibri"/>
          <w:color w:val="auto"/>
        </w:rPr>
        <w:t xml:space="preserve">un SSN pubblico, equo e universalistico non </w:t>
      </w:r>
      <w:r w:rsidR="000E1D73" w:rsidRPr="002D44A2">
        <w:rPr>
          <w:rFonts w:cs="Calibri"/>
          <w:color w:val="auto"/>
        </w:rPr>
        <w:t>è</w:t>
      </w:r>
      <w:r w:rsidR="007A631E" w:rsidRPr="002D44A2">
        <w:rPr>
          <w:rFonts w:cs="Calibri"/>
          <w:color w:val="auto"/>
        </w:rPr>
        <w:t xml:space="preserve"> più una priorità, la politica </w:t>
      </w:r>
      <w:r w:rsidR="008C4A18" w:rsidRPr="002D44A2">
        <w:rPr>
          <w:rFonts w:cs="Calibri"/>
          <w:color w:val="auto"/>
        </w:rPr>
        <w:t>abbia il coraggio di dirlo</w:t>
      </w:r>
      <w:r w:rsidR="009C1DD1" w:rsidRPr="002D44A2">
        <w:rPr>
          <w:rFonts w:cs="Calibri"/>
          <w:color w:val="auto"/>
        </w:rPr>
        <w:t xml:space="preserve"> apertamente ai cittadini e </w:t>
      </w:r>
      <w:r w:rsidR="007407A5" w:rsidRPr="002D44A2">
        <w:rPr>
          <w:rFonts w:cs="Calibri"/>
          <w:color w:val="auto"/>
        </w:rPr>
        <w:t>gestisca</w:t>
      </w:r>
      <w:r w:rsidR="009C1DD1" w:rsidRPr="002D44A2">
        <w:rPr>
          <w:rFonts w:cs="Calibri"/>
          <w:color w:val="auto"/>
        </w:rPr>
        <w:t xml:space="preserve"> con rigore </w:t>
      </w:r>
      <w:r w:rsidR="00FA275D" w:rsidRPr="002D44A2">
        <w:rPr>
          <w:rFonts w:cs="Calibri"/>
          <w:color w:val="auto"/>
        </w:rPr>
        <w:t xml:space="preserve">i processi di privatizzazione, invece di lasciarli </w:t>
      </w:r>
      <w:r w:rsidR="007407A5" w:rsidRPr="002D44A2">
        <w:rPr>
          <w:rFonts w:cs="Calibri"/>
          <w:color w:val="auto"/>
        </w:rPr>
        <w:t xml:space="preserve">correre </w:t>
      </w:r>
      <w:r w:rsidR="00FA275D" w:rsidRPr="002D44A2">
        <w:rPr>
          <w:rFonts w:cs="Calibri"/>
          <w:color w:val="auto"/>
        </w:rPr>
        <w:t>a briglia sciolta</w:t>
      </w:r>
      <w:r w:rsidR="009C1DD1" w:rsidRPr="002D44A2">
        <w:rPr>
          <w:rFonts w:cs="Calibri"/>
          <w:color w:val="auto"/>
        </w:rPr>
        <w:t xml:space="preserve">. </w:t>
      </w:r>
      <w:r w:rsidR="008C4A18" w:rsidRPr="002D44A2">
        <w:rPr>
          <w:rFonts w:cs="Calibri"/>
          <w:color w:val="auto"/>
        </w:rPr>
        <w:t>In alternativa</w:t>
      </w:r>
      <w:r w:rsidR="00FA275D" w:rsidRPr="002D44A2">
        <w:rPr>
          <w:rFonts w:cs="Calibri"/>
          <w:color w:val="auto"/>
        </w:rPr>
        <w:t xml:space="preserve">, </w:t>
      </w:r>
      <w:r w:rsidR="008C4A18" w:rsidRPr="002D44A2">
        <w:rPr>
          <w:rFonts w:cs="Calibri"/>
          <w:color w:val="auto"/>
        </w:rPr>
        <w:t xml:space="preserve">si assuma pubblicamente </w:t>
      </w:r>
      <w:r w:rsidR="009C1DD1" w:rsidRPr="002D44A2">
        <w:rPr>
          <w:rFonts w:cs="Calibri"/>
          <w:color w:val="auto"/>
        </w:rPr>
        <w:t xml:space="preserve">la responsabilità </w:t>
      </w:r>
      <w:r w:rsidR="00DB624C" w:rsidRPr="002D44A2">
        <w:rPr>
          <w:rFonts w:cs="Calibri"/>
          <w:color w:val="auto"/>
        </w:rPr>
        <w:t>di una</w:t>
      </w:r>
      <w:r w:rsidR="000E1D73" w:rsidRPr="002D44A2">
        <w:rPr>
          <w:rFonts w:cs="Calibri"/>
          <w:color w:val="auto"/>
        </w:rPr>
        <w:t xml:space="preserve"> “manutenzione ordinaria” di </w:t>
      </w:r>
      <w:r w:rsidR="009C1DD1" w:rsidRPr="002D44A2">
        <w:rPr>
          <w:rFonts w:cs="Calibri"/>
          <w:color w:val="auto"/>
        </w:rPr>
        <w:t>un modello che produce disuguaglianze, impoverisce le famiglie, penalizza il Sud e abbandona anziani e</w:t>
      </w:r>
      <w:r w:rsidR="00455E13" w:rsidRPr="002D44A2">
        <w:rPr>
          <w:rFonts w:cs="Calibri"/>
          <w:color w:val="auto"/>
        </w:rPr>
        <w:t xml:space="preserve"> </w:t>
      </w:r>
      <w:r w:rsidR="009C1DD1" w:rsidRPr="002D44A2">
        <w:rPr>
          <w:rFonts w:cs="Calibri"/>
          <w:color w:val="auto"/>
        </w:rPr>
        <w:t xml:space="preserve">fragili. </w:t>
      </w:r>
      <w:r w:rsidR="000E1D73" w:rsidRPr="002D44A2">
        <w:rPr>
          <w:rFonts w:cs="Calibri"/>
          <w:color w:val="auto"/>
        </w:rPr>
        <w:t xml:space="preserve">Perché è sotto gli occhi di tutti che la privatizzazione del SSN, </w:t>
      </w:r>
      <w:r w:rsidR="009C1DD1" w:rsidRPr="002D44A2">
        <w:rPr>
          <w:rFonts w:cs="Calibri"/>
          <w:color w:val="auto"/>
        </w:rPr>
        <w:t xml:space="preserve">non </w:t>
      </w:r>
      <w:r w:rsidR="00FA275D" w:rsidRPr="002D44A2">
        <w:rPr>
          <w:rFonts w:cs="Calibri"/>
          <w:color w:val="auto"/>
        </w:rPr>
        <w:t xml:space="preserve">programmata e non </w:t>
      </w:r>
      <w:r w:rsidR="009C1DD1" w:rsidRPr="002D44A2">
        <w:rPr>
          <w:rFonts w:cs="Calibri"/>
          <w:color w:val="auto"/>
        </w:rPr>
        <w:t>annunciata</w:t>
      </w:r>
      <w:r w:rsidR="00DB624C" w:rsidRPr="002D44A2">
        <w:rPr>
          <w:rFonts w:cs="Calibri"/>
          <w:color w:val="auto"/>
        </w:rPr>
        <w:t xml:space="preserve"> e</w:t>
      </w:r>
      <w:r w:rsidR="00455E13" w:rsidRPr="002D44A2">
        <w:rPr>
          <w:rFonts w:cs="Calibri"/>
          <w:color w:val="auto"/>
        </w:rPr>
        <w:t xml:space="preserve"> proporzionale </w:t>
      </w:r>
      <w:r w:rsidR="000E1D73" w:rsidRPr="002D44A2">
        <w:rPr>
          <w:rFonts w:cs="Calibri"/>
          <w:color w:val="auto"/>
        </w:rPr>
        <w:t xml:space="preserve">all’indebolimento del SSN, </w:t>
      </w:r>
      <w:r w:rsidR="00455E13" w:rsidRPr="002D44A2">
        <w:rPr>
          <w:rFonts w:cs="Calibri"/>
          <w:color w:val="auto"/>
        </w:rPr>
        <w:t xml:space="preserve">sta </w:t>
      </w:r>
      <w:r w:rsidR="000E1D73" w:rsidRPr="002D44A2">
        <w:rPr>
          <w:rFonts w:cs="Calibri"/>
          <w:color w:val="auto"/>
        </w:rPr>
        <w:t>trasformando i diritti in privilegi</w:t>
      </w:r>
      <w:r w:rsidR="009C1DD1" w:rsidRPr="002D44A2">
        <w:rPr>
          <w:rFonts w:cs="Calibri"/>
          <w:color w:val="auto"/>
        </w:rPr>
        <w:t>».</w:t>
      </w:r>
    </w:p>
    <w:p w14:paraId="4CC0A4C2" w14:textId="7D1628B2" w:rsidR="008E1AE2" w:rsidRDefault="000308C1" w:rsidP="000308C1">
      <w:pPr>
        <w:suppressAutoHyphens/>
        <w:jc w:val="both"/>
        <w:rPr>
          <w:rFonts w:cs="Calibri"/>
          <w:color w:val="auto"/>
        </w:rPr>
      </w:pPr>
      <w:r w:rsidRPr="002D44A2">
        <w:rPr>
          <w:rFonts w:cs="Calibri"/>
          <w:color w:val="auto"/>
        </w:rPr>
        <w:t xml:space="preserve">La Fondazione GIMBE ribadisce che </w:t>
      </w:r>
      <w:r w:rsidR="000E1D73" w:rsidRPr="002D44A2">
        <w:rPr>
          <w:rFonts w:cs="Calibri"/>
          <w:color w:val="auto"/>
        </w:rPr>
        <w:t xml:space="preserve">è </w:t>
      </w:r>
      <w:r w:rsidR="00DB624C" w:rsidRPr="002D44A2">
        <w:rPr>
          <w:rFonts w:cs="Calibri"/>
          <w:color w:val="auto"/>
        </w:rPr>
        <w:t xml:space="preserve">ancora </w:t>
      </w:r>
      <w:r w:rsidR="000E1D73" w:rsidRPr="002D44A2">
        <w:rPr>
          <w:rFonts w:cs="Calibri"/>
          <w:color w:val="auto"/>
        </w:rPr>
        <w:t xml:space="preserve">possibile invertire la </w:t>
      </w:r>
      <w:r w:rsidRPr="002D44A2">
        <w:rPr>
          <w:rFonts w:cs="Calibri"/>
          <w:color w:val="auto"/>
        </w:rPr>
        <w:t>rotta</w:t>
      </w:r>
      <w:r w:rsidR="00DB624C" w:rsidRPr="002D44A2">
        <w:rPr>
          <w:rFonts w:cs="Calibri"/>
          <w:color w:val="auto"/>
        </w:rPr>
        <w:t>. Come? Con</w:t>
      </w:r>
      <w:r w:rsidRPr="002D44A2">
        <w:rPr>
          <w:rFonts w:cs="Calibri"/>
          <w:color w:val="auto"/>
        </w:rPr>
        <w:t xml:space="preserve"> un consistente e stabile rilancio del finanziamento pubblico, </w:t>
      </w:r>
      <w:r w:rsidR="007407A5" w:rsidRPr="002D44A2">
        <w:rPr>
          <w:rFonts w:cs="Calibri"/>
          <w:color w:val="auto"/>
        </w:rPr>
        <w:t xml:space="preserve">un “paniere” di Livelli Essenziali di Assistenza compatibile con l’entità delle risorse assegnate, </w:t>
      </w:r>
      <w:r w:rsidRPr="002D44A2">
        <w:rPr>
          <w:rFonts w:cs="Calibri"/>
          <w:color w:val="auto"/>
        </w:rPr>
        <w:t>un</w:t>
      </w:r>
      <w:r w:rsidR="007407A5" w:rsidRPr="002D44A2">
        <w:rPr>
          <w:rFonts w:cs="Calibri"/>
          <w:color w:val="auto"/>
        </w:rPr>
        <w:t xml:space="preserve"> “secondo pilastro” che sia realmente </w:t>
      </w:r>
      <w:r w:rsidRPr="002D44A2">
        <w:rPr>
          <w:rFonts w:cs="Calibri"/>
          <w:color w:val="auto"/>
        </w:rPr>
        <w:t>integrativ</w:t>
      </w:r>
      <w:r w:rsidR="007407A5" w:rsidRPr="002D44A2">
        <w:rPr>
          <w:rFonts w:cs="Calibri"/>
          <w:color w:val="auto"/>
        </w:rPr>
        <w:t xml:space="preserve">o rispetto al SSN </w:t>
      </w:r>
      <w:r w:rsidRPr="002D44A2">
        <w:rPr>
          <w:rFonts w:cs="Calibri"/>
          <w:color w:val="auto"/>
        </w:rPr>
        <w:t xml:space="preserve">ed eviti di </w:t>
      </w:r>
      <w:r w:rsidR="000E1D73" w:rsidRPr="002D44A2">
        <w:rPr>
          <w:rFonts w:cs="Calibri"/>
          <w:color w:val="auto"/>
        </w:rPr>
        <w:t xml:space="preserve">dirottare </w:t>
      </w:r>
      <w:r w:rsidR="00DB624C" w:rsidRPr="002D44A2">
        <w:rPr>
          <w:rFonts w:cs="Calibri"/>
          <w:color w:val="auto"/>
        </w:rPr>
        <w:t xml:space="preserve">fondi pubblici </w:t>
      </w:r>
      <w:r w:rsidR="000E1D73" w:rsidRPr="002D44A2">
        <w:rPr>
          <w:rFonts w:cs="Calibri"/>
          <w:color w:val="auto"/>
        </w:rPr>
        <w:t xml:space="preserve">verso profitti privati e </w:t>
      </w:r>
      <w:r w:rsidRPr="002D44A2">
        <w:rPr>
          <w:rFonts w:cs="Calibri"/>
          <w:color w:val="auto"/>
        </w:rPr>
        <w:t>alimentare derive consumistiche, un rapporto pubblico</w:t>
      </w:r>
      <w:r w:rsidR="000E1D73" w:rsidRPr="002D44A2">
        <w:rPr>
          <w:rFonts w:cs="Calibri"/>
          <w:color w:val="auto"/>
        </w:rPr>
        <w:t>-</w:t>
      </w:r>
      <w:r w:rsidRPr="002D44A2">
        <w:rPr>
          <w:rFonts w:cs="Calibri"/>
          <w:color w:val="auto"/>
        </w:rPr>
        <w:t xml:space="preserve">privato governato </w:t>
      </w:r>
      <w:r w:rsidR="003E690F" w:rsidRPr="002D44A2">
        <w:rPr>
          <w:rFonts w:cs="Calibri"/>
          <w:color w:val="auto"/>
        </w:rPr>
        <w:t>da</w:t>
      </w:r>
      <w:r w:rsidRPr="002D44A2">
        <w:rPr>
          <w:rFonts w:cs="Calibri"/>
          <w:color w:val="auto"/>
        </w:rPr>
        <w:t xml:space="preserve"> regole </w:t>
      </w:r>
      <w:r w:rsidR="007407A5" w:rsidRPr="002D44A2">
        <w:rPr>
          <w:rFonts w:cs="Calibri"/>
          <w:color w:val="auto"/>
        </w:rPr>
        <w:t xml:space="preserve">pubbliche </w:t>
      </w:r>
      <w:r w:rsidRPr="002D44A2">
        <w:rPr>
          <w:rFonts w:cs="Calibri"/>
          <w:color w:val="auto"/>
        </w:rPr>
        <w:t xml:space="preserve">chiare </w:t>
      </w:r>
      <w:r w:rsidR="000E1D73" w:rsidRPr="002D44A2">
        <w:rPr>
          <w:rFonts w:cs="Calibri"/>
          <w:color w:val="auto"/>
        </w:rPr>
        <w:t>sotto il segno di una</w:t>
      </w:r>
      <w:r w:rsidR="007407A5" w:rsidRPr="002D44A2">
        <w:rPr>
          <w:rFonts w:cs="Calibri"/>
          <w:color w:val="auto"/>
        </w:rPr>
        <w:t xml:space="preserve"> reale</w:t>
      </w:r>
      <w:r w:rsidR="000E1D73" w:rsidRPr="002D44A2">
        <w:rPr>
          <w:rFonts w:cs="Calibri"/>
          <w:color w:val="auto"/>
        </w:rPr>
        <w:t xml:space="preserve"> </w:t>
      </w:r>
      <w:r w:rsidRPr="002D44A2">
        <w:rPr>
          <w:rFonts w:cs="Calibri"/>
          <w:color w:val="auto"/>
        </w:rPr>
        <w:t>integrazione</w:t>
      </w:r>
      <w:r w:rsidR="000E1D73" w:rsidRPr="002D44A2">
        <w:rPr>
          <w:rFonts w:cs="Calibri"/>
          <w:color w:val="auto"/>
        </w:rPr>
        <w:t xml:space="preserve"> e non della </w:t>
      </w:r>
      <w:r w:rsidR="007407A5" w:rsidRPr="002D44A2">
        <w:rPr>
          <w:rFonts w:cs="Calibri"/>
          <w:color w:val="auto"/>
        </w:rPr>
        <w:t xml:space="preserve">sterile </w:t>
      </w:r>
      <w:r w:rsidR="000E1D73" w:rsidRPr="002D44A2">
        <w:rPr>
          <w:rFonts w:cs="Calibri"/>
          <w:color w:val="auto"/>
        </w:rPr>
        <w:t>competizione</w:t>
      </w:r>
      <w:r w:rsidRPr="002D44A2">
        <w:rPr>
          <w:rFonts w:cs="Calibri"/>
          <w:color w:val="auto"/>
        </w:rPr>
        <w:t xml:space="preserve">. </w:t>
      </w:r>
      <w:r w:rsidR="003E690F" w:rsidRPr="002D44A2">
        <w:rPr>
          <w:rFonts w:cs="Calibri"/>
          <w:color w:val="auto"/>
        </w:rPr>
        <w:t>«</w:t>
      </w:r>
      <w:r w:rsidRPr="002D44A2">
        <w:rPr>
          <w:rFonts w:cs="Calibri"/>
          <w:color w:val="auto"/>
        </w:rPr>
        <w:t xml:space="preserve">Solo intervenendo su questi assi strategici </w:t>
      </w:r>
      <w:r w:rsidR="003E690F" w:rsidRPr="002D44A2">
        <w:rPr>
          <w:rFonts w:cs="Calibri"/>
          <w:color w:val="auto"/>
        </w:rPr>
        <w:t xml:space="preserve">– conclude Cartabellotta – </w:t>
      </w:r>
      <w:r w:rsidRPr="002D44A2">
        <w:rPr>
          <w:rFonts w:cs="Calibri"/>
          <w:color w:val="auto"/>
        </w:rPr>
        <w:t>sarà</w:t>
      </w:r>
      <w:r w:rsidR="003E690F" w:rsidRPr="002D44A2">
        <w:rPr>
          <w:rFonts w:cs="Calibri"/>
          <w:color w:val="auto"/>
        </w:rPr>
        <w:t xml:space="preserve"> </w:t>
      </w:r>
      <w:r w:rsidRPr="002D44A2">
        <w:rPr>
          <w:rFonts w:cs="Calibri"/>
          <w:color w:val="auto"/>
        </w:rPr>
        <w:t xml:space="preserve">possibile restituire al SSN il ruolo che la Costituzione gli assegna: garantire a tutte le persone il diritto alla </w:t>
      </w:r>
      <w:r w:rsidR="003E690F" w:rsidRPr="002D44A2">
        <w:rPr>
          <w:rFonts w:cs="Calibri"/>
          <w:color w:val="auto"/>
        </w:rPr>
        <w:t xml:space="preserve">tutela </w:t>
      </w:r>
      <w:r w:rsidRPr="002D44A2">
        <w:rPr>
          <w:rFonts w:cs="Calibri"/>
          <w:color w:val="auto"/>
        </w:rPr>
        <w:t>salute, indipendentemente da</w:t>
      </w:r>
      <w:r w:rsidR="00994E73" w:rsidRPr="002D44A2">
        <w:rPr>
          <w:rFonts w:cs="Calibri"/>
          <w:color w:val="auto"/>
        </w:rPr>
        <w:t>l</w:t>
      </w:r>
      <w:r w:rsidRPr="002D44A2">
        <w:rPr>
          <w:rFonts w:cs="Calibri"/>
          <w:color w:val="auto"/>
        </w:rPr>
        <w:t xml:space="preserve"> reddito</w:t>
      </w:r>
      <w:r w:rsidR="00E617E4" w:rsidRPr="002D44A2">
        <w:rPr>
          <w:rFonts w:cs="Calibri"/>
          <w:color w:val="auto"/>
        </w:rPr>
        <w:t xml:space="preserve">, </w:t>
      </w:r>
      <w:r w:rsidR="00994E73" w:rsidRPr="002D44A2">
        <w:rPr>
          <w:rFonts w:cs="Calibri"/>
          <w:color w:val="auto"/>
        </w:rPr>
        <w:t xml:space="preserve">dal CAP di residenza e dalle </w:t>
      </w:r>
      <w:r w:rsidR="00E617E4" w:rsidRPr="002D44A2">
        <w:rPr>
          <w:rFonts w:cs="Calibri"/>
          <w:color w:val="auto"/>
        </w:rPr>
        <w:t>condizioni socio-culturali</w:t>
      </w:r>
      <w:r w:rsidR="00994E73" w:rsidRPr="002D44A2">
        <w:rPr>
          <w:rFonts w:cs="Calibri"/>
          <w:color w:val="auto"/>
        </w:rPr>
        <w:t xml:space="preserve">. </w:t>
      </w:r>
      <w:r w:rsidR="00994E73" w:rsidRPr="00E4704D">
        <w:rPr>
          <w:rFonts w:cs="Calibri"/>
          <w:color w:val="auto"/>
        </w:rPr>
        <w:t xml:space="preserve">Perché di fronte alla malattia </w:t>
      </w:r>
      <w:r w:rsidR="00E4704D" w:rsidRPr="00E4704D">
        <w:rPr>
          <w:rFonts w:cs="Calibri"/>
          <w:color w:val="auto"/>
        </w:rPr>
        <w:t xml:space="preserve">siamo tutti uguali </w:t>
      </w:r>
      <w:r w:rsidR="00E4704D">
        <w:rPr>
          <w:rFonts w:cs="Calibri"/>
          <w:color w:val="auto"/>
        </w:rPr>
        <w:t xml:space="preserve">solo </w:t>
      </w:r>
      <w:r w:rsidR="00E4704D" w:rsidRPr="00E4704D">
        <w:rPr>
          <w:rFonts w:cs="Calibri"/>
          <w:color w:val="auto"/>
        </w:rPr>
        <w:t>sulla Carta</w:t>
      </w:r>
      <w:r w:rsidR="00E4704D">
        <w:rPr>
          <w:rFonts w:cs="Calibri"/>
          <w:color w:val="auto"/>
        </w:rPr>
        <w:t>. M</w:t>
      </w:r>
      <w:r w:rsidR="00E4704D" w:rsidRPr="00E4704D">
        <w:rPr>
          <w:rFonts w:cs="Calibri"/>
          <w:color w:val="auto"/>
        </w:rPr>
        <w:t>a nella vita di tutti i giorni si moltiplicano inaccettabili diseguaglianze che un Paese civile non può accettare</w:t>
      </w:r>
      <w:r w:rsidR="003E690F" w:rsidRPr="00E4704D">
        <w:rPr>
          <w:rFonts w:cs="Calibri"/>
          <w:color w:val="auto"/>
        </w:rPr>
        <w:t>»</w:t>
      </w:r>
      <w:r w:rsidR="00E617E4" w:rsidRPr="00E4704D">
        <w:rPr>
          <w:rFonts w:cs="Calibri"/>
          <w:color w:val="auto"/>
        </w:rPr>
        <w:t>.</w:t>
      </w:r>
    </w:p>
    <w:p w14:paraId="03D497C1" w14:textId="77777777" w:rsidR="00AD1B15" w:rsidRPr="00C620B2" w:rsidRDefault="00AD1B15" w:rsidP="000308C1">
      <w:pPr>
        <w:suppressAutoHyphens/>
        <w:jc w:val="both"/>
        <w:rPr>
          <w:rFonts w:cs="Calibri"/>
          <w:color w:val="auto"/>
        </w:rPr>
      </w:pPr>
    </w:p>
    <w:p w14:paraId="39504760" w14:textId="7C0117CB" w:rsidR="008955DE" w:rsidRDefault="00CE577D" w:rsidP="00DB3630">
      <w:pPr>
        <w:spacing w:after="120"/>
        <w:rPr>
          <w:rStyle w:val="Collegamentoipertestuale"/>
          <w:rFonts w:eastAsia="Calibri" w:cs="Calibri"/>
          <w:color w:val="auto"/>
          <w:u w:color="0563C1"/>
        </w:rPr>
      </w:pPr>
      <w:r w:rsidRPr="00514813">
        <w:rPr>
          <w:rFonts w:cs="Calibri"/>
          <w:b/>
          <w:bCs/>
          <w:color w:val="auto"/>
        </w:rPr>
        <w:t>CONTATTI</w:t>
      </w:r>
      <w:r w:rsidRPr="00514813">
        <w:rPr>
          <w:rFonts w:cs="Calibri"/>
          <w:i/>
          <w:iCs/>
          <w:color w:val="auto"/>
        </w:rPr>
        <w:br/>
      </w:r>
      <w:r w:rsidRPr="00514813">
        <w:rPr>
          <w:rFonts w:cs="Calibri"/>
          <w:b/>
          <w:bCs/>
          <w:color w:val="auto"/>
        </w:rPr>
        <w:t>Fondazione GIMBE</w:t>
      </w:r>
      <w:r w:rsidRPr="00514813">
        <w:rPr>
          <w:rFonts w:cs="Calibri"/>
          <w:i/>
          <w:iCs/>
          <w:color w:val="auto"/>
          <w:u w:val="single" w:color="0563C1"/>
        </w:rPr>
        <w:br/>
      </w:r>
      <w:r w:rsidRPr="00514813">
        <w:rPr>
          <w:rFonts w:cs="Calibri"/>
          <w:color w:val="auto"/>
        </w:rPr>
        <w:t>Via Amendola 2 - 40121 Bologn</w:t>
      </w:r>
      <w:r w:rsidR="00B443E3" w:rsidRPr="00514813">
        <w:rPr>
          <w:rFonts w:cs="Calibri"/>
          <w:color w:val="auto"/>
        </w:rPr>
        <w:t>a</w:t>
      </w:r>
      <w:r w:rsidR="001F65A3">
        <w:rPr>
          <w:rFonts w:cs="Calibri"/>
          <w:color w:val="auto"/>
        </w:rPr>
        <w:br/>
      </w:r>
      <w:r w:rsidRPr="00514813">
        <w:rPr>
          <w:rFonts w:cs="Calibri"/>
          <w:color w:val="auto"/>
        </w:rPr>
        <w:t>Tel. 051 5883920 - Fax 051 4075774</w:t>
      </w:r>
      <w:r w:rsidRPr="00514813">
        <w:rPr>
          <w:rFonts w:cs="Calibri"/>
          <w:color w:val="auto"/>
        </w:rPr>
        <w:br/>
        <w:t xml:space="preserve">E-mail: </w:t>
      </w:r>
      <w:hyperlink r:id="rId11" w:history="1">
        <w:r w:rsidR="006D1242" w:rsidRPr="00514813">
          <w:rPr>
            <w:rStyle w:val="Collegamentoipertestuale"/>
            <w:rFonts w:eastAsia="Calibri" w:cs="Calibri"/>
            <w:color w:val="auto"/>
            <w:u w:color="0563C1"/>
          </w:rPr>
          <w:t>ufficio.stampa@gimbe.org</w:t>
        </w:r>
      </w:hyperlink>
      <w:r w:rsidR="002A2D40" w:rsidRPr="00514813">
        <w:rPr>
          <w:rStyle w:val="Collegamentoipertestuale"/>
          <w:rFonts w:eastAsia="Calibri" w:cs="Calibri"/>
          <w:color w:val="auto"/>
          <w:u w:color="0563C1"/>
        </w:rPr>
        <w:t xml:space="preserve"> </w:t>
      </w:r>
    </w:p>
    <w:p w14:paraId="7D3DF089" w14:textId="73B01362" w:rsidR="004163E9" w:rsidRDefault="004163E9">
      <w:pPr>
        <w:spacing w:after="0" w:line="240" w:lineRule="auto"/>
        <w:rPr>
          <w:rStyle w:val="Collegamentoipertestuale"/>
          <w:rFonts w:eastAsia="Calibri" w:cs="Calibri"/>
          <w:color w:val="auto"/>
          <w:u w:color="0563C1"/>
        </w:rPr>
      </w:pPr>
      <w:r>
        <w:rPr>
          <w:rStyle w:val="Collegamentoipertestuale"/>
          <w:rFonts w:eastAsia="Calibri" w:cs="Calibri"/>
          <w:color w:val="auto"/>
          <w:u w:color="0563C1"/>
        </w:rPr>
        <w:br w:type="page"/>
      </w:r>
    </w:p>
    <w:p w14:paraId="44E49455" w14:textId="6225C9F2" w:rsidR="004163E9" w:rsidRPr="004163E9" w:rsidRDefault="004163E9" w:rsidP="004163E9">
      <w:pPr>
        <w:suppressAutoHyphens/>
        <w:jc w:val="center"/>
        <w:rPr>
          <w:rFonts w:eastAsia="Times New Roman"/>
          <w:b/>
          <w:bCs/>
          <w:color w:val="00457D"/>
        </w:rPr>
      </w:pPr>
      <w:r w:rsidRPr="004163E9">
        <w:rPr>
          <w:rFonts w:eastAsia="Times New Roman" w:cs="Calibri"/>
          <w:b/>
          <w:bCs/>
          <w:color w:val="00457D"/>
        </w:rPr>
        <w:lastRenderedPageBreak/>
        <w:t>Tabella 1. L’ecosistema dei soggetti privati in sanità</w:t>
      </w:r>
    </w:p>
    <w:tbl>
      <w:tblPr>
        <w:tblStyle w:val="Grigliatabella"/>
        <w:tblW w:w="8217"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Look w:val="04A0" w:firstRow="1" w:lastRow="0" w:firstColumn="1" w:lastColumn="0" w:noHBand="0" w:noVBand="1"/>
      </w:tblPr>
      <w:tblGrid>
        <w:gridCol w:w="1731"/>
        <w:gridCol w:w="3243"/>
        <w:gridCol w:w="3243"/>
      </w:tblGrid>
      <w:tr w:rsidR="004163E9" w:rsidRPr="00DD277C" w14:paraId="41CE1641" w14:textId="77777777" w:rsidTr="00821C20">
        <w:trPr>
          <w:trHeight w:val="397"/>
          <w:jc w:val="center"/>
        </w:trPr>
        <w:tc>
          <w:tcPr>
            <w:tcW w:w="1731" w:type="dxa"/>
            <w:tcBorders>
              <w:bottom w:val="single" w:sz="4" w:space="0" w:color="00457D"/>
              <w:right w:val="single" w:sz="4" w:space="0" w:color="FFFFFF" w:themeColor="background1"/>
            </w:tcBorders>
            <w:shd w:val="clear" w:color="auto" w:fill="00457D"/>
            <w:vAlign w:val="center"/>
          </w:tcPr>
          <w:p w14:paraId="513A8206" w14:textId="77777777" w:rsidR="004163E9" w:rsidRPr="00DD277C" w:rsidRDefault="004163E9" w:rsidP="00821C20">
            <w:pPr>
              <w:rPr>
                <w:rFonts w:cs="Calibri"/>
                <w:b/>
                <w:color w:val="FFFFFF" w:themeColor="background1"/>
                <w:sz w:val="20"/>
                <w:szCs w:val="20"/>
              </w:rPr>
            </w:pPr>
            <w:r w:rsidRPr="00DD277C">
              <w:rPr>
                <w:rFonts w:cs="Calibri"/>
                <w:b/>
                <w:color w:val="FFFFFF" w:themeColor="background1"/>
                <w:sz w:val="20"/>
                <w:szCs w:val="20"/>
              </w:rPr>
              <w:t>Soggetti</w:t>
            </w:r>
          </w:p>
        </w:tc>
        <w:tc>
          <w:tcPr>
            <w:tcW w:w="3243" w:type="dxa"/>
            <w:tcBorders>
              <w:left w:val="single" w:sz="4" w:space="0" w:color="FFFFFF" w:themeColor="background1"/>
              <w:bottom w:val="single" w:sz="4" w:space="0" w:color="00457D"/>
              <w:right w:val="single" w:sz="4" w:space="0" w:color="FFFFFF" w:themeColor="background1"/>
            </w:tcBorders>
            <w:shd w:val="clear" w:color="auto" w:fill="00457D"/>
            <w:vAlign w:val="center"/>
          </w:tcPr>
          <w:p w14:paraId="4C9AFF30" w14:textId="77777777" w:rsidR="004163E9" w:rsidRPr="00DD277C" w:rsidRDefault="004163E9" w:rsidP="00821C20">
            <w:pPr>
              <w:jc w:val="center"/>
              <w:rPr>
                <w:rFonts w:cs="Calibri"/>
                <w:b/>
                <w:color w:val="FFFFFF" w:themeColor="background1"/>
                <w:sz w:val="20"/>
              </w:rPr>
            </w:pPr>
            <w:r w:rsidRPr="00DD277C">
              <w:rPr>
                <w:rFonts w:cs="Calibri"/>
                <w:b/>
                <w:color w:val="FFFFFF" w:themeColor="background1"/>
                <w:sz w:val="20"/>
              </w:rPr>
              <w:t>Profit</w:t>
            </w:r>
          </w:p>
        </w:tc>
        <w:tc>
          <w:tcPr>
            <w:tcW w:w="3243" w:type="dxa"/>
            <w:tcBorders>
              <w:left w:val="single" w:sz="4" w:space="0" w:color="FFFFFF" w:themeColor="background1"/>
              <w:bottom w:val="single" w:sz="4" w:space="0" w:color="00457D"/>
            </w:tcBorders>
            <w:shd w:val="clear" w:color="auto" w:fill="00457D"/>
            <w:vAlign w:val="center"/>
          </w:tcPr>
          <w:p w14:paraId="713CBA90" w14:textId="77777777" w:rsidR="004163E9" w:rsidRPr="00DD277C" w:rsidRDefault="004163E9" w:rsidP="00821C20">
            <w:pPr>
              <w:jc w:val="center"/>
              <w:rPr>
                <w:rFonts w:cs="Calibri"/>
                <w:b/>
                <w:color w:val="FFFFFF" w:themeColor="background1"/>
                <w:sz w:val="20"/>
              </w:rPr>
            </w:pPr>
            <w:r w:rsidRPr="00DD277C">
              <w:rPr>
                <w:rFonts w:cs="Calibri"/>
                <w:b/>
                <w:color w:val="FFFFFF" w:themeColor="background1"/>
                <w:sz w:val="20"/>
              </w:rPr>
              <w:t xml:space="preserve">Non-profit </w:t>
            </w:r>
          </w:p>
        </w:tc>
      </w:tr>
      <w:tr w:rsidR="004163E9" w:rsidRPr="00DD277C" w14:paraId="0DC98540" w14:textId="77777777" w:rsidTr="00821C20">
        <w:trPr>
          <w:trHeight w:val="624"/>
          <w:jc w:val="center"/>
        </w:trPr>
        <w:tc>
          <w:tcPr>
            <w:tcW w:w="1731" w:type="dxa"/>
            <w:tcMar>
              <w:top w:w="57" w:type="dxa"/>
              <w:bottom w:w="57" w:type="dxa"/>
            </w:tcMar>
            <w:vAlign w:val="center"/>
          </w:tcPr>
          <w:p w14:paraId="1A38A3D7" w14:textId="77777777" w:rsidR="004163E9" w:rsidRPr="00DD277C" w:rsidRDefault="004163E9" w:rsidP="00821C20">
            <w:pPr>
              <w:rPr>
                <w:rFonts w:cs="Calibri"/>
                <w:b/>
                <w:bCs/>
                <w:color w:val="00457D"/>
                <w:sz w:val="20"/>
                <w:szCs w:val="20"/>
              </w:rPr>
            </w:pPr>
            <w:r w:rsidRPr="00DD277C">
              <w:rPr>
                <w:rFonts w:cs="Calibri"/>
                <w:b/>
                <w:bCs/>
                <w:color w:val="00457D"/>
                <w:sz w:val="20"/>
                <w:szCs w:val="20"/>
              </w:rPr>
              <w:t>Erogatori</w:t>
            </w:r>
          </w:p>
        </w:tc>
        <w:tc>
          <w:tcPr>
            <w:tcW w:w="6486" w:type="dxa"/>
            <w:gridSpan w:val="2"/>
            <w:tcMar>
              <w:top w:w="57" w:type="dxa"/>
              <w:bottom w:w="57" w:type="dxa"/>
            </w:tcMar>
            <w:vAlign w:val="center"/>
          </w:tcPr>
          <w:p w14:paraId="09F23BFC"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Struttura accreditata e convenzionata</w:t>
            </w:r>
          </w:p>
          <w:p w14:paraId="2CF3F3F6"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Struttura accreditata non convenzionata</w:t>
            </w:r>
          </w:p>
          <w:p w14:paraId="25E2EDCD" w14:textId="77777777" w:rsidR="004163E9" w:rsidRPr="00DD277C" w:rsidRDefault="004163E9" w:rsidP="00821C20">
            <w:pPr>
              <w:pStyle w:val="Paragrafoelenco"/>
              <w:numPr>
                <w:ilvl w:val="0"/>
                <w:numId w:val="33"/>
              </w:numPr>
              <w:spacing w:after="0" w:line="240" w:lineRule="auto"/>
              <w:rPr>
                <w:rFonts w:cs="Calibri"/>
                <w:color w:val="EE0000"/>
                <w:sz w:val="20"/>
                <w:szCs w:val="20"/>
              </w:rPr>
            </w:pPr>
            <w:r w:rsidRPr="00DD277C">
              <w:rPr>
                <w:rFonts w:cs="Calibri"/>
                <w:sz w:val="20"/>
                <w:szCs w:val="20"/>
              </w:rPr>
              <w:t>Struttura non accreditata</w:t>
            </w:r>
          </w:p>
        </w:tc>
      </w:tr>
      <w:tr w:rsidR="004163E9" w:rsidRPr="00DD277C" w14:paraId="3C4385C6" w14:textId="77777777" w:rsidTr="00821C20">
        <w:trPr>
          <w:trHeight w:val="397"/>
          <w:jc w:val="center"/>
        </w:trPr>
        <w:tc>
          <w:tcPr>
            <w:tcW w:w="1731" w:type="dxa"/>
            <w:tcBorders>
              <w:bottom w:val="single" w:sz="4" w:space="0" w:color="00457D"/>
            </w:tcBorders>
            <w:tcMar>
              <w:top w:w="57" w:type="dxa"/>
              <w:bottom w:w="57" w:type="dxa"/>
            </w:tcMar>
            <w:vAlign w:val="center"/>
          </w:tcPr>
          <w:p w14:paraId="0709AF70" w14:textId="77777777" w:rsidR="004163E9" w:rsidRPr="00DD277C" w:rsidRDefault="004163E9" w:rsidP="00821C20">
            <w:pPr>
              <w:rPr>
                <w:rFonts w:cs="Calibri"/>
                <w:b/>
                <w:bCs/>
                <w:color w:val="00457D"/>
                <w:sz w:val="20"/>
                <w:szCs w:val="20"/>
              </w:rPr>
            </w:pPr>
            <w:r w:rsidRPr="00DD277C">
              <w:rPr>
                <w:rFonts w:cs="Calibri"/>
                <w:b/>
                <w:bCs/>
                <w:color w:val="00457D"/>
                <w:sz w:val="20"/>
                <w:szCs w:val="20"/>
              </w:rPr>
              <w:t>Investitori</w:t>
            </w:r>
          </w:p>
        </w:tc>
        <w:tc>
          <w:tcPr>
            <w:tcW w:w="3243" w:type="dxa"/>
            <w:tcBorders>
              <w:bottom w:val="single" w:sz="4" w:space="0" w:color="00457D"/>
            </w:tcBorders>
            <w:tcMar>
              <w:top w:w="57" w:type="dxa"/>
              <w:bottom w:w="57" w:type="dxa"/>
            </w:tcMar>
          </w:tcPr>
          <w:p w14:paraId="199BFE3B"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Fondi di investimento</w:t>
            </w:r>
          </w:p>
          <w:p w14:paraId="1074ED29"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 xml:space="preserve">Compagnie assicurative </w:t>
            </w:r>
          </w:p>
          <w:p w14:paraId="70BAFB8F"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Gruppi bancari</w:t>
            </w:r>
          </w:p>
          <w:p w14:paraId="50518998"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Società o gruppi societari</w:t>
            </w:r>
          </w:p>
        </w:tc>
        <w:tc>
          <w:tcPr>
            <w:tcW w:w="3243" w:type="dxa"/>
            <w:tcBorders>
              <w:bottom w:val="single" w:sz="4" w:space="0" w:color="00457D"/>
            </w:tcBorders>
            <w:tcMar>
              <w:top w:w="57" w:type="dxa"/>
              <w:bottom w:w="57" w:type="dxa"/>
            </w:tcMar>
          </w:tcPr>
          <w:p w14:paraId="631874BE" w14:textId="77777777" w:rsidR="004163E9" w:rsidRPr="00DD277C" w:rsidRDefault="004163E9" w:rsidP="00821C20">
            <w:pPr>
              <w:pStyle w:val="Paragrafoelenco"/>
              <w:numPr>
                <w:ilvl w:val="0"/>
                <w:numId w:val="32"/>
              </w:numPr>
              <w:spacing w:after="0" w:line="240" w:lineRule="auto"/>
              <w:rPr>
                <w:rFonts w:cs="Calibri"/>
                <w:sz w:val="20"/>
                <w:szCs w:val="20"/>
              </w:rPr>
            </w:pPr>
            <w:r w:rsidRPr="00DD277C">
              <w:rPr>
                <w:rFonts w:cs="Calibri"/>
                <w:sz w:val="20"/>
                <w:szCs w:val="20"/>
              </w:rPr>
              <w:t>ETS e altri enti non-profit</w:t>
            </w:r>
          </w:p>
        </w:tc>
      </w:tr>
      <w:tr w:rsidR="004163E9" w:rsidRPr="00DD277C" w14:paraId="49D68C3B" w14:textId="77777777" w:rsidTr="00821C20">
        <w:trPr>
          <w:trHeight w:val="397"/>
          <w:jc w:val="center"/>
        </w:trPr>
        <w:tc>
          <w:tcPr>
            <w:tcW w:w="1731" w:type="dxa"/>
            <w:tcBorders>
              <w:bottom w:val="single" w:sz="4" w:space="0" w:color="00457D"/>
            </w:tcBorders>
            <w:tcMar>
              <w:top w:w="57" w:type="dxa"/>
              <w:bottom w:w="57" w:type="dxa"/>
            </w:tcMar>
            <w:vAlign w:val="center"/>
          </w:tcPr>
          <w:p w14:paraId="056FD43A" w14:textId="77777777" w:rsidR="004163E9" w:rsidRPr="00DD277C" w:rsidRDefault="004163E9" w:rsidP="00821C20">
            <w:pPr>
              <w:rPr>
                <w:rFonts w:cs="Calibri"/>
                <w:b/>
                <w:bCs/>
                <w:color w:val="00457D"/>
                <w:sz w:val="20"/>
                <w:szCs w:val="20"/>
              </w:rPr>
            </w:pPr>
            <w:r w:rsidRPr="00DD277C">
              <w:rPr>
                <w:rFonts w:cs="Calibri"/>
                <w:b/>
                <w:bCs/>
                <w:color w:val="00457D"/>
                <w:sz w:val="20"/>
                <w:szCs w:val="20"/>
              </w:rPr>
              <w:t>Terzi paganti</w:t>
            </w:r>
          </w:p>
        </w:tc>
        <w:tc>
          <w:tcPr>
            <w:tcW w:w="3243" w:type="dxa"/>
            <w:tcBorders>
              <w:bottom w:val="single" w:sz="4" w:space="0" w:color="00457D"/>
            </w:tcBorders>
            <w:tcMar>
              <w:top w:w="57" w:type="dxa"/>
              <w:bottom w:w="57" w:type="dxa"/>
            </w:tcMar>
          </w:tcPr>
          <w:p w14:paraId="2E2D59A3"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Compagnie assicurative</w:t>
            </w:r>
          </w:p>
          <w:p w14:paraId="1CD48E45"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 xml:space="preserve">Imprese </w:t>
            </w:r>
          </w:p>
        </w:tc>
        <w:tc>
          <w:tcPr>
            <w:tcW w:w="3243" w:type="dxa"/>
            <w:tcBorders>
              <w:bottom w:val="single" w:sz="4" w:space="0" w:color="00457D"/>
            </w:tcBorders>
            <w:tcMar>
              <w:top w:w="57" w:type="dxa"/>
              <w:bottom w:w="57" w:type="dxa"/>
            </w:tcMar>
          </w:tcPr>
          <w:p w14:paraId="2162AE8E"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Fondi sanitari</w:t>
            </w:r>
          </w:p>
          <w:p w14:paraId="61CF4DFB"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 xml:space="preserve">Casse mutue </w:t>
            </w:r>
          </w:p>
          <w:p w14:paraId="68EF9290"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ETS e altri enti non-profit</w:t>
            </w:r>
          </w:p>
        </w:tc>
      </w:tr>
      <w:tr w:rsidR="004163E9" w:rsidRPr="00DD277C" w14:paraId="7E8518FE" w14:textId="77777777" w:rsidTr="00821C20">
        <w:trPr>
          <w:trHeight w:val="1191"/>
          <w:jc w:val="center"/>
        </w:trPr>
        <w:tc>
          <w:tcPr>
            <w:tcW w:w="1731" w:type="dxa"/>
            <w:tcBorders>
              <w:top w:val="single" w:sz="4" w:space="0" w:color="00457D"/>
              <w:bottom w:val="single" w:sz="4" w:space="0" w:color="00457D"/>
            </w:tcBorders>
            <w:tcMar>
              <w:top w:w="57" w:type="dxa"/>
              <w:bottom w:w="57" w:type="dxa"/>
            </w:tcMar>
            <w:vAlign w:val="center"/>
          </w:tcPr>
          <w:p w14:paraId="46CE9F2E" w14:textId="77777777" w:rsidR="004163E9" w:rsidRPr="00DD277C" w:rsidRDefault="004163E9" w:rsidP="00821C20">
            <w:pPr>
              <w:rPr>
                <w:rFonts w:cs="Calibri"/>
                <w:b/>
                <w:bCs/>
                <w:iCs/>
                <w:color w:val="00457D"/>
                <w:sz w:val="20"/>
                <w:szCs w:val="20"/>
              </w:rPr>
            </w:pPr>
            <w:r w:rsidRPr="00DD277C">
              <w:rPr>
                <w:rFonts w:cs="Calibri"/>
                <w:b/>
                <w:bCs/>
                <w:iCs/>
                <w:color w:val="00457D"/>
                <w:sz w:val="20"/>
                <w:szCs w:val="20"/>
              </w:rPr>
              <w:t>Contraenti PPP</w:t>
            </w:r>
          </w:p>
        </w:tc>
        <w:tc>
          <w:tcPr>
            <w:tcW w:w="3243" w:type="dxa"/>
            <w:tcBorders>
              <w:top w:val="single" w:sz="4" w:space="0" w:color="00457D"/>
              <w:bottom w:val="single" w:sz="4" w:space="0" w:color="00457D"/>
            </w:tcBorders>
            <w:tcMar>
              <w:top w:w="57" w:type="dxa"/>
              <w:bottom w:w="57" w:type="dxa"/>
            </w:tcMar>
          </w:tcPr>
          <w:p w14:paraId="7FBD8930"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Società</w:t>
            </w:r>
          </w:p>
          <w:p w14:paraId="254502B5"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 xml:space="preserve">Cooperative sociali e consorzi di cooperative </w:t>
            </w:r>
          </w:p>
          <w:p w14:paraId="63858E6D"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 xml:space="preserve">Fondi di investimento </w:t>
            </w:r>
          </w:p>
          <w:p w14:paraId="15B5E00A"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Compagnie assicurative e banche</w:t>
            </w:r>
          </w:p>
        </w:tc>
        <w:tc>
          <w:tcPr>
            <w:tcW w:w="3243" w:type="dxa"/>
            <w:tcBorders>
              <w:top w:val="single" w:sz="4" w:space="0" w:color="00457D"/>
              <w:bottom w:val="single" w:sz="4" w:space="0" w:color="00457D"/>
            </w:tcBorders>
            <w:tcMar>
              <w:top w:w="57" w:type="dxa"/>
              <w:bottom w:w="57" w:type="dxa"/>
            </w:tcMar>
          </w:tcPr>
          <w:p w14:paraId="7D609D72"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ETS e altri enti non-profit</w:t>
            </w:r>
          </w:p>
        </w:tc>
      </w:tr>
      <w:tr w:rsidR="00EF0667" w:rsidRPr="00DD277C" w14:paraId="2A9810F0" w14:textId="77777777" w:rsidTr="00EF0667">
        <w:trPr>
          <w:trHeight w:val="143"/>
          <w:jc w:val="center"/>
        </w:trPr>
        <w:tc>
          <w:tcPr>
            <w:tcW w:w="8217" w:type="dxa"/>
            <w:gridSpan w:val="3"/>
            <w:tcBorders>
              <w:top w:val="single" w:sz="4" w:space="0" w:color="00457D"/>
              <w:bottom w:val="single" w:sz="4" w:space="0" w:color="00457D"/>
            </w:tcBorders>
            <w:tcMar>
              <w:top w:w="57" w:type="dxa"/>
              <w:bottom w:w="57" w:type="dxa"/>
            </w:tcMar>
            <w:vAlign w:val="center"/>
          </w:tcPr>
          <w:p w14:paraId="38AB9C4D" w14:textId="0D52FA74" w:rsidR="00EF0667" w:rsidRPr="00EF0667" w:rsidRDefault="00EF0667" w:rsidP="00EF0667">
            <w:pPr>
              <w:spacing w:after="0" w:line="240" w:lineRule="auto"/>
              <w:rPr>
                <w:rFonts w:cs="Calibri"/>
                <w:iCs/>
                <w:sz w:val="20"/>
                <w:szCs w:val="20"/>
              </w:rPr>
            </w:pPr>
            <w:r w:rsidRPr="00EE5BE5">
              <w:rPr>
                <w:rFonts w:cs="Calibri"/>
                <w:iCs/>
                <w:sz w:val="18"/>
                <w:szCs w:val="18"/>
              </w:rPr>
              <w:t>PPP: Partenariato pubblico-privato</w:t>
            </w:r>
            <w:r w:rsidRPr="00EE5BE5">
              <w:rPr>
                <w:rFonts w:cs="Calibri"/>
                <w:iCs/>
                <w:sz w:val="18"/>
                <w:szCs w:val="18"/>
              </w:rPr>
              <w:br/>
              <w:t>ETS: Enti del Terzo Settore</w:t>
            </w:r>
            <w:r w:rsidR="00FF0BA1" w:rsidRPr="00EE5BE5">
              <w:rPr>
                <w:rFonts w:cs="Calibri"/>
                <w:iCs/>
                <w:sz w:val="18"/>
                <w:szCs w:val="18"/>
              </w:rPr>
              <w:t xml:space="preserve"> iscritti al Registro Unico Nazionale del Terzo Settore (RUNTS)</w:t>
            </w:r>
          </w:p>
        </w:tc>
      </w:tr>
    </w:tbl>
    <w:p w14:paraId="38A38A4F" w14:textId="59A91124" w:rsidR="00413A1F" w:rsidRDefault="00413A1F" w:rsidP="00295B2D">
      <w:pPr>
        <w:spacing w:after="120"/>
        <w:jc w:val="center"/>
        <w:rPr>
          <w:rStyle w:val="Collegamentoipertestuale"/>
          <w:rFonts w:eastAsia="Calibri" w:cs="Calibri"/>
          <w:color w:val="auto"/>
          <w:u w:color="0563C1"/>
        </w:rPr>
      </w:pPr>
    </w:p>
    <w:p w14:paraId="72F7305F" w14:textId="77777777" w:rsidR="00F74FC1" w:rsidRDefault="00F74FC1">
      <w:pPr>
        <w:spacing w:after="0" w:line="240" w:lineRule="auto"/>
        <w:rPr>
          <w:rFonts w:eastAsia="Times New Roman" w:cs="Calibri"/>
          <w:b/>
          <w:bCs/>
          <w:color w:val="00457D"/>
        </w:rPr>
      </w:pPr>
      <w:r>
        <w:rPr>
          <w:rFonts w:eastAsia="Times New Roman" w:cs="Calibri"/>
          <w:b/>
          <w:bCs/>
          <w:color w:val="00457D"/>
        </w:rPr>
        <w:br w:type="page"/>
      </w:r>
    </w:p>
    <w:p w14:paraId="704F199A" w14:textId="77777777" w:rsidR="00394CE5" w:rsidRPr="00901DF5" w:rsidRDefault="00394CE5" w:rsidP="00394CE5">
      <w:pPr>
        <w:suppressAutoHyphens/>
        <w:jc w:val="center"/>
        <w:rPr>
          <w:rFonts w:ascii="Cambria" w:hAnsi="Cambria" w:cstheme="majorHAnsi"/>
          <w:b/>
          <w:bCs/>
          <w:color w:val="00457D"/>
          <w:sz w:val="18"/>
          <w:szCs w:val="18"/>
        </w:rPr>
      </w:pPr>
      <w:r w:rsidRPr="003971ED">
        <w:rPr>
          <w:rFonts w:eastAsia="Times New Roman" w:cs="Calibri"/>
          <w:b/>
          <w:bCs/>
          <w:color w:val="00457D"/>
        </w:rPr>
        <w:lastRenderedPageBreak/>
        <w:t xml:space="preserve">Figura </w:t>
      </w:r>
      <w:r>
        <w:rPr>
          <w:rFonts w:eastAsia="Times New Roman" w:cs="Calibri"/>
          <w:b/>
          <w:bCs/>
          <w:color w:val="00457D"/>
        </w:rPr>
        <w:t>1</w:t>
      </w:r>
      <w:r w:rsidRPr="003971ED">
        <w:rPr>
          <w:rFonts w:eastAsia="Times New Roman" w:cs="Calibri"/>
          <w:b/>
          <w:bCs/>
          <w:color w:val="00457D"/>
        </w:rPr>
        <w:t>. Composizione della spesa sanitaria: trend 2012-2024</w:t>
      </w:r>
      <w:r w:rsidRPr="003971ED">
        <w:rPr>
          <w:rFonts w:eastAsia="Times New Roman" w:cs="Calibri"/>
          <w:b/>
          <w:bCs/>
          <w:color w:val="00457D"/>
        </w:rPr>
        <w:br/>
      </w:r>
      <w:r w:rsidRPr="003971ED">
        <w:rPr>
          <w:rFonts w:eastAsia="Times New Roman" w:cs="Calibri"/>
          <w:color w:val="00457D"/>
        </w:rPr>
        <w:t>(dati ISTAT-SHA)</w:t>
      </w:r>
    </w:p>
    <w:p w14:paraId="25962D45" w14:textId="77777777" w:rsidR="00394CE5" w:rsidRDefault="00394CE5" w:rsidP="00394CE5">
      <w:pPr>
        <w:spacing w:after="0"/>
        <w:jc w:val="center"/>
        <w:rPr>
          <w:rFonts w:ascii="Cambria" w:hAnsi="Cambria" w:cstheme="majorHAnsi"/>
        </w:rPr>
      </w:pPr>
      <w:r>
        <w:rPr>
          <w:rFonts w:ascii="Cambria" w:hAnsi="Cambria" w:cstheme="majorHAnsi"/>
          <w:noProof/>
        </w:rPr>
        <w:drawing>
          <wp:inline distT="0" distB="0" distL="0" distR="0" wp14:anchorId="579C6970" wp14:editId="2685C847">
            <wp:extent cx="5040000" cy="2832684"/>
            <wp:effectExtent l="0" t="0" r="8255" b="6350"/>
            <wp:docPr id="1559291693" name="Immagine 7" descr="Immagine che contiene testo, schermata, Carattere,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91693" name="Immagine 7" descr="Immagine che contiene testo, schermata, Carattere, Parallelo&#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2832684"/>
                    </a:xfrm>
                    <a:prstGeom prst="rect">
                      <a:avLst/>
                    </a:prstGeom>
                    <a:noFill/>
                  </pic:spPr>
                </pic:pic>
              </a:graphicData>
            </a:graphic>
          </wp:inline>
        </w:drawing>
      </w:r>
    </w:p>
    <w:p w14:paraId="0D538184" w14:textId="77777777" w:rsidR="00394CE5" w:rsidRDefault="00394CE5" w:rsidP="00394CE5">
      <w:pPr>
        <w:suppressAutoHyphens/>
        <w:jc w:val="both"/>
        <w:rPr>
          <w:rFonts w:cs="Calibri"/>
          <w:color w:val="auto"/>
        </w:rPr>
      </w:pPr>
    </w:p>
    <w:p w14:paraId="65381CAC" w14:textId="6EA60730" w:rsidR="002B5FED" w:rsidRPr="002B5FED" w:rsidRDefault="002B5FED" w:rsidP="002B5FED">
      <w:pPr>
        <w:suppressAutoHyphens/>
        <w:jc w:val="center"/>
        <w:rPr>
          <w:rFonts w:eastAsia="Times New Roman" w:cs="Calibri"/>
          <w:b/>
          <w:bCs/>
          <w:color w:val="00457D"/>
        </w:rPr>
      </w:pPr>
      <w:r w:rsidRPr="002B5FED">
        <w:rPr>
          <w:rFonts w:eastAsia="Times New Roman" w:cs="Calibri"/>
          <w:b/>
          <w:bCs/>
          <w:color w:val="00457D"/>
        </w:rPr>
        <w:t xml:space="preserve">Tabella </w:t>
      </w:r>
      <w:r>
        <w:rPr>
          <w:rFonts w:eastAsia="Times New Roman" w:cs="Calibri"/>
          <w:b/>
          <w:bCs/>
          <w:color w:val="00457D"/>
        </w:rPr>
        <w:t>2</w:t>
      </w:r>
      <w:r w:rsidRPr="002B5FED">
        <w:rPr>
          <w:rFonts w:eastAsia="Times New Roman" w:cs="Calibri"/>
          <w:b/>
          <w:bCs/>
          <w:color w:val="00457D"/>
        </w:rPr>
        <w:t>. Spesa sanitaria trasmessa al Sistema T</w:t>
      </w:r>
      <w:r w:rsidR="00DA62D4">
        <w:rPr>
          <w:rFonts w:eastAsia="Times New Roman" w:cs="Calibri"/>
          <w:b/>
          <w:bCs/>
          <w:color w:val="00457D"/>
        </w:rPr>
        <w:t xml:space="preserve">essera </w:t>
      </w:r>
      <w:r w:rsidRPr="002B5FED">
        <w:rPr>
          <w:rFonts w:eastAsia="Times New Roman" w:cs="Calibri"/>
          <w:b/>
          <w:bCs/>
          <w:color w:val="00457D"/>
        </w:rPr>
        <w:t>S</w:t>
      </w:r>
      <w:r w:rsidR="00DA62D4">
        <w:rPr>
          <w:rFonts w:eastAsia="Times New Roman" w:cs="Calibri"/>
          <w:b/>
          <w:bCs/>
          <w:color w:val="00457D"/>
        </w:rPr>
        <w:t>anitaria</w:t>
      </w:r>
      <w:r w:rsidRPr="002B5FED">
        <w:rPr>
          <w:rFonts w:eastAsia="Times New Roman" w:cs="Calibri"/>
          <w:b/>
          <w:bCs/>
          <w:color w:val="00457D"/>
        </w:rPr>
        <w:t xml:space="preserve"> per soggetto erogatore</w:t>
      </w:r>
      <w:r w:rsidRPr="002B5FED">
        <w:rPr>
          <w:rFonts w:eastAsia="Times New Roman" w:cs="Calibri"/>
          <w:b/>
          <w:bCs/>
          <w:color w:val="00457D"/>
        </w:rPr>
        <w:br/>
      </w:r>
      <w:r w:rsidRPr="002B5FED">
        <w:rPr>
          <w:rFonts w:eastAsia="Times New Roman" w:cs="Calibri"/>
          <w:bCs/>
          <w:color w:val="00457D"/>
        </w:rPr>
        <w:t>(modificata da: Sistema TS, anno 2023)</w:t>
      </w:r>
    </w:p>
    <w:tbl>
      <w:tblPr>
        <w:tblW w:w="7244"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5949"/>
        <w:gridCol w:w="1295"/>
      </w:tblGrid>
      <w:tr w:rsidR="002B5FED" w:rsidRPr="002B5FED" w14:paraId="55DF68C1" w14:textId="77777777" w:rsidTr="00D3593C">
        <w:trPr>
          <w:trHeight w:val="340"/>
          <w:jc w:val="center"/>
        </w:trPr>
        <w:tc>
          <w:tcPr>
            <w:tcW w:w="5949" w:type="dxa"/>
            <w:tcBorders>
              <w:right w:val="single" w:sz="4" w:space="0" w:color="FFFFFF" w:themeColor="background1"/>
            </w:tcBorders>
            <w:shd w:val="clear" w:color="auto" w:fill="00457D"/>
            <w:noWrap/>
            <w:vAlign w:val="center"/>
            <w:hideMark/>
          </w:tcPr>
          <w:p w14:paraId="73BCCE44" w14:textId="77777777" w:rsidR="002B5FED" w:rsidRPr="002B5FED" w:rsidRDefault="002B5FED" w:rsidP="00D3593C">
            <w:pPr>
              <w:spacing w:after="0" w:line="240" w:lineRule="auto"/>
              <w:rPr>
                <w:rFonts w:eastAsia="Times New Roman" w:cs="Calibri"/>
                <w:b/>
                <w:bCs/>
                <w:color w:val="FFFFFF"/>
                <w:sz w:val="20"/>
                <w:szCs w:val="20"/>
              </w:rPr>
            </w:pPr>
            <w:r w:rsidRPr="002B5FED">
              <w:rPr>
                <w:rFonts w:eastAsia="Times New Roman" w:cs="Calibri"/>
                <w:b/>
                <w:bCs/>
                <w:color w:val="FFFFFF"/>
                <w:sz w:val="20"/>
                <w:szCs w:val="20"/>
              </w:rPr>
              <w:t>Soggetti erogatori</w:t>
            </w:r>
          </w:p>
        </w:tc>
        <w:tc>
          <w:tcPr>
            <w:tcW w:w="1295" w:type="dxa"/>
            <w:tcBorders>
              <w:left w:val="single" w:sz="4" w:space="0" w:color="FFFFFF" w:themeColor="background1"/>
            </w:tcBorders>
            <w:shd w:val="clear" w:color="auto" w:fill="00457D"/>
            <w:noWrap/>
            <w:vAlign w:val="center"/>
            <w:hideMark/>
          </w:tcPr>
          <w:p w14:paraId="2D41F1A1" w14:textId="77777777" w:rsidR="002B5FED" w:rsidRPr="002B5FED" w:rsidRDefault="002B5FED" w:rsidP="00D3593C">
            <w:pPr>
              <w:spacing w:after="0" w:line="240" w:lineRule="auto"/>
              <w:jc w:val="center"/>
              <w:rPr>
                <w:rFonts w:eastAsia="Times New Roman" w:cs="Calibri"/>
                <w:b/>
                <w:bCs/>
                <w:color w:val="FFFFFF"/>
                <w:sz w:val="20"/>
                <w:szCs w:val="20"/>
              </w:rPr>
            </w:pPr>
            <w:r w:rsidRPr="002B5FED">
              <w:rPr>
                <w:rFonts w:eastAsia="Times New Roman" w:cs="Calibri"/>
                <w:b/>
                <w:bCs/>
                <w:color w:val="FFFFFF"/>
                <w:sz w:val="20"/>
                <w:szCs w:val="20"/>
              </w:rPr>
              <w:t>Milioni di €</w:t>
            </w:r>
          </w:p>
        </w:tc>
      </w:tr>
      <w:tr w:rsidR="002B5FED" w:rsidRPr="002B5FED" w14:paraId="5DE0AD96" w14:textId="77777777" w:rsidTr="00D3593C">
        <w:trPr>
          <w:trHeight w:val="306"/>
          <w:jc w:val="center"/>
        </w:trPr>
        <w:tc>
          <w:tcPr>
            <w:tcW w:w="5949" w:type="dxa"/>
            <w:shd w:val="clear" w:color="000000" w:fill="FFFFFF"/>
            <w:vAlign w:val="center"/>
            <w:hideMark/>
          </w:tcPr>
          <w:p w14:paraId="76C2A7F3"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Strutture pubbliche</w:t>
            </w:r>
          </w:p>
        </w:tc>
        <w:tc>
          <w:tcPr>
            <w:tcW w:w="1295" w:type="dxa"/>
            <w:shd w:val="clear" w:color="000000" w:fill="FFFFFF"/>
            <w:noWrap/>
            <w:vAlign w:val="center"/>
            <w:hideMark/>
          </w:tcPr>
          <w:p w14:paraId="24B20E70"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2.227,98</w:t>
            </w:r>
          </w:p>
        </w:tc>
      </w:tr>
      <w:tr w:rsidR="002B5FED" w:rsidRPr="002B5FED" w14:paraId="457990A2" w14:textId="77777777" w:rsidTr="00D3593C">
        <w:trPr>
          <w:trHeight w:val="306"/>
          <w:jc w:val="center"/>
        </w:trPr>
        <w:tc>
          <w:tcPr>
            <w:tcW w:w="5949" w:type="dxa"/>
            <w:shd w:val="clear" w:color="000000" w:fill="FFFFFF"/>
            <w:vAlign w:val="center"/>
            <w:hideMark/>
          </w:tcPr>
          <w:p w14:paraId="0F70379A"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Strutture private accreditate</w:t>
            </w:r>
          </w:p>
        </w:tc>
        <w:tc>
          <w:tcPr>
            <w:tcW w:w="1295" w:type="dxa"/>
            <w:shd w:val="clear" w:color="000000" w:fill="FFFFFF"/>
            <w:noWrap/>
            <w:vAlign w:val="center"/>
            <w:hideMark/>
          </w:tcPr>
          <w:p w14:paraId="5F11B5D5"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7.616,24</w:t>
            </w:r>
          </w:p>
        </w:tc>
      </w:tr>
      <w:tr w:rsidR="002B5FED" w:rsidRPr="002B5FED" w14:paraId="2D0026E1" w14:textId="77777777" w:rsidTr="00D3593C">
        <w:trPr>
          <w:trHeight w:val="306"/>
          <w:jc w:val="center"/>
        </w:trPr>
        <w:tc>
          <w:tcPr>
            <w:tcW w:w="5949" w:type="dxa"/>
            <w:shd w:val="clear" w:color="000000" w:fill="FFFFFF"/>
            <w:vAlign w:val="center"/>
            <w:hideMark/>
          </w:tcPr>
          <w:p w14:paraId="63AE720A"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 xml:space="preserve">Strutture private autorizzate </w:t>
            </w:r>
            <w:r w:rsidRPr="002B5FED">
              <w:rPr>
                <w:rFonts w:eastAsia="Times New Roman" w:cs="Calibri"/>
                <w:sz w:val="20"/>
                <w:szCs w:val="20"/>
              </w:rPr>
              <w:t>(non accreditate)</w:t>
            </w:r>
          </w:p>
        </w:tc>
        <w:tc>
          <w:tcPr>
            <w:tcW w:w="1295" w:type="dxa"/>
            <w:shd w:val="clear" w:color="000000" w:fill="FFFFFF"/>
            <w:noWrap/>
            <w:vAlign w:val="center"/>
            <w:hideMark/>
          </w:tcPr>
          <w:p w14:paraId="3659C5A5"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7.229,04</w:t>
            </w:r>
          </w:p>
        </w:tc>
      </w:tr>
      <w:tr w:rsidR="002B5FED" w:rsidRPr="002B5FED" w14:paraId="611AF942" w14:textId="77777777" w:rsidTr="00D3593C">
        <w:trPr>
          <w:trHeight w:val="306"/>
          <w:jc w:val="center"/>
        </w:trPr>
        <w:tc>
          <w:tcPr>
            <w:tcW w:w="5949" w:type="dxa"/>
            <w:shd w:val="clear" w:color="000000" w:fill="FFFFFF"/>
            <w:vAlign w:val="center"/>
            <w:hideMark/>
          </w:tcPr>
          <w:p w14:paraId="79E05AB4"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Strutture sanitarie militari</w:t>
            </w:r>
          </w:p>
        </w:tc>
        <w:tc>
          <w:tcPr>
            <w:tcW w:w="1295" w:type="dxa"/>
            <w:shd w:val="clear" w:color="000000" w:fill="FFFFFF"/>
            <w:noWrap/>
            <w:vAlign w:val="center"/>
            <w:hideMark/>
          </w:tcPr>
          <w:p w14:paraId="2F04AAD8"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1,29</w:t>
            </w:r>
          </w:p>
        </w:tc>
      </w:tr>
      <w:tr w:rsidR="002B5FED" w:rsidRPr="002B5FED" w14:paraId="2432744E" w14:textId="77777777" w:rsidTr="00D3593C">
        <w:trPr>
          <w:trHeight w:val="306"/>
          <w:jc w:val="center"/>
        </w:trPr>
        <w:tc>
          <w:tcPr>
            <w:tcW w:w="5949" w:type="dxa"/>
            <w:shd w:val="clear" w:color="000000" w:fill="FFFFFF"/>
            <w:vAlign w:val="center"/>
            <w:hideMark/>
          </w:tcPr>
          <w:p w14:paraId="62D93C2E"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Farmacie pubbliche e private</w:t>
            </w:r>
          </w:p>
        </w:tc>
        <w:tc>
          <w:tcPr>
            <w:tcW w:w="1295" w:type="dxa"/>
            <w:shd w:val="clear" w:color="000000" w:fill="FFFFFF"/>
            <w:noWrap/>
            <w:vAlign w:val="center"/>
            <w:hideMark/>
          </w:tcPr>
          <w:p w14:paraId="42E69D6F"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12.155,56</w:t>
            </w:r>
          </w:p>
        </w:tc>
      </w:tr>
      <w:tr w:rsidR="002B5FED" w:rsidRPr="002B5FED" w14:paraId="56BE27CC" w14:textId="77777777" w:rsidTr="00D3593C">
        <w:trPr>
          <w:trHeight w:val="306"/>
          <w:jc w:val="center"/>
        </w:trPr>
        <w:tc>
          <w:tcPr>
            <w:tcW w:w="5949" w:type="dxa"/>
            <w:tcBorders>
              <w:bottom w:val="single" w:sz="4" w:space="0" w:color="00457D"/>
            </w:tcBorders>
            <w:shd w:val="clear" w:color="000000" w:fill="FFFFFF"/>
            <w:vAlign w:val="center"/>
            <w:hideMark/>
          </w:tcPr>
          <w:p w14:paraId="3EA4AB07" w14:textId="77777777" w:rsidR="002B5FED" w:rsidRPr="002B5FED" w:rsidRDefault="002B5FED" w:rsidP="00D3593C">
            <w:pPr>
              <w:spacing w:after="0" w:line="240" w:lineRule="auto"/>
              <w:rPr>
                <w:rFonts w:eastAsia="Times New Roman" w:cs="Calibri"/>
                <w:sz w:val="20"/>
                <w:szCs w:val="20"/>
              </w:rPr>
            </w:pPr>
            <w:r w:rsidRPr="002B5FED">
              <w:rPr>
                <w:rFonts w:eastAsia="Times New Roman" w:cs="Calibri"/>
                <w:bCs/>
                <w:sz w:val="20"/>
                <w:szCs w:val="20"/>
              </w:rPr>
              <w:t>Parafarmacie</w:t>
            </w:r>
          </w:p>
        </w:tc>
        <w:tc>
          <w:tcPr>
            <w:tcW w:w="1295" w:type="dxa"/>
            <w:tcBorders>
              <w:bottom w:val="single" w:sz="4" w:space="0" w:color="00457D"/>
            </w:tcBorders>
            <w:shd w:val="clear" w:color="000000" w:fill="FFFFFF"/>
            <w:noWrap/>
            <w:vAlign w:val="center"/>
            <w:hideMark/>
          </w:tcPr>
          <w:p w14:paraId="4E420B73"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708,05</w:t>
            </w:r>
          </w:p>
        </w:tc>
      </w:tr>
      <w:tr w:rsidR="002B5FED" w:rsidRPr="002B5FED" w14:paraId="3A894698" w14:textId="77777777" w:rsidTr="00D3593C">
        <w:trPr>
          <w:trHeight w:val="306"/>
          <w:jc w:val="center"/>
        </w:trPr>
        <w:tc>
          <w:tcPr>
            <w:tcW w:w="5949" w:type="dxa"/>
            <w:tcBorders>
              <w:bottom w:val="dashSmallGap" w:sz="4" w:space="0" w:color="00457D"/>
            </w:tcBorders>
            <w:shd w:val="clear" w:color="000000" w:fill="FFFFFF"/>
            <w:vAlign w:val="center"/>
            <w:hideMark/>
          </w:tcPr>
          <w:p w14:paraId="5809A1F6"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 xml:space="preserve">Professionisti sanitari </w:t>
            </w:r>
          </w:p>
        </w:tc>
        <w:tc>
          <w:tcPr>
            <w:tcW w:w="1295" w:type="dxa"/>
            <w:tcBorders>
              <w:bottom w:val="dashSmallGap" w:sz="4" w:space="0" w:color="00457D"/>
            </w:tcBorders>
            <w:shd w:val="clear" w:color="000000" w:fill="FFFFFF"/>
            <w:noWrap/>
            <w:vAlign w:val="center"/>
            <w:hideMark/>
          </w:tcPr>
          <w:p w14:paraId="049746F1"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10.617,52</w:t>
            </w:r>
          </w:p>
        </w:tc>
      </w:tr>
      <w:tr w:rsidR="002B5FED" w:rsidRPr="002B5FED" w14:paraId="47F99337"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3F661427"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Medici</w:t>
            </w:r>
          </w:p>
        </w:tc>
        <w:tc>
          <w:tcPr>
            <w:tcW w:w="1295" w:type="dxa"/>
            <w:tcBorders>
              <w:top w:val="dashSmallGap" w:sz="4" w:space="0" w:color="00457D"/>
              <w:bottom w:val="dashSmallGap" w:sz="4" w:space="0" w:color="00457D"/>
            </w:tcBorders>
            <w:shd w:val="clear" w:color="000000" w:fill="FFFFFF"/>
            <w:noWrap/>
            <w:vAlign w:val="center"/>
            <w:hideMark/>
          </w:tcPr>
          <w:p w14:paraId="4A1FFB54"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2.597,11</w:t>
            </w:r>
          </w:p>
        </w:tc>
      </w:tr>
      <w:tr w:rsidR="002B5FED" w:rsidRPr="002B5FED" w14:paraId="4842AF87"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4C918CAE"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Odontoiatri</w:t>
            </w:r>
          </w:p>
        </w:tc>
        <w:tc>
          <w:tcPr>
            <w:tcW w:w="1295" w:type="dxa"/>
            <w:tcBorders>
              <w:top w:val="dashSmallGap" w:sz="4" w:space="0" w:color="00457D"/>
              <w:bottom w:val="dashSmallGap" w:sz="4" w:space="0" w:color="00457D"/>
            </w:tcBorders>
            <w:shd w:val="clear" w:color="000000" w:fill="FFFFFF"/>
            <w:noWrap/>
            <w:vAlign w:val="center"/>
            <w:hideMark/>
          </w:tcPr>
          <w:p w14:paraId="06CED80A"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5.876,40</w:t>
            </w:r>
          </w:p>
        </w:tc>
      </w:tr>
      <w:tr w:rsidR="002B5FED" w:rsidRPr="002B5FED" w14:paraId="6FD2EF1C"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4154BB37"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Psicologi</w:t>
            </w:r>
          </w:p>
        </w:tc>
        <w:tc>
          <w:tcPr>
            <w:tcW w:w="1295" w:type="dxa"/>
            <w:tcBorders>
              <w:top w:val="dashSmallGap" w:sz="4" w:space="0" w:color="00457D"/>
              <w:bottom w:val="dashSmallGap" w:sz="4" w:space="0" w:color="00457D"/>
            </w:tcBorders>
            <w:shd w:val="clear" w:color="000000" w:fill="FFFFFF"/>
            <w:noWrap/>
            <w:vAlign w:val="center"/>
            <w:hideMark/>
          </w:tcPr>
          <w:p w14:paraId="6A9EF968"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 xml:space="preserve">1.198,09 </w:t>
            </w:r>
          </w:p>
        </w:tc>
      </w:tr>
      <w:tr w:rsidR="002B5FED" w:rsidRPr="002B5FED" w14:paraId="78B686D5"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0A2BE755"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Tecnici radiologi</w:t>
            </w:r>
          </w:p>
        </w:tc>
        <w:tc>
          <w:tcPr>
            <w:tcW w:w="1295" w:type="dxa"/>
            <w:tcBorders>
              <w:top w:val="dashSmallGap" w:sz="4" w:space="0" w:color="00457D"/>
              <w:bottom w:val="dashSmallGap" w:sz="4" w:space="0" w:color="00457D"/>
            </w:tcBorders>
            <w:shd w:val="clear" w:color="000000" w:fill="FFFFFF"/>
            <w:noWrap/>
            <w:vAlign w:val="center"/>
            <w:hideMark/>
          </w:tcPr>
          <w:p w14:paraId="5156598E"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 xml:space="preserve">1,45 </w:t>
            </w:r>
          </w:p>
        </w:tc>
      </w:tr>
      <w:tr w:rsidR="002B5FED" w:rsidRPr="002B5FED" w14:paraId="48653001"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0D5F88F3"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Infermieri</w:t>
            </w:r>
          </w:p>
        </w:tc>
        <w:tc>
          <w:tcPr>
            <w:tcW w:w="1295" w:type="dxa"/>
            <w:tcBorders>
              <w:top w:val="dashSmallGap" w:sz="4" w:space="0" w:color="00457D"/>
              <w:bottom w:val="dashSmallGap" w:sz="4" w:space="0" w:color="00457D"/>
            </w:tcBorders>
            <w:shd w:val="clear" w:color="000000" w:fill="FFFFFF"/>
            <w:noWrap/>
            <w:vAlign w:val="center"/>
            <w:hideMark/>
          </w:tcPr>
          <w:p w14:paraId="25159797"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14,89</w:t>
            </w:r>
          </w:p>
        </w:tc>
      </w:tr>
      <w:tr w:rsidR="002B5FED" w:rsidRPr="002B5FED" w14:paraId="69DF623C"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6CEF8062"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Ostetrici</w:t>
            </w:r>
          </w:p>
        </w:tc>
        <w:tc>
          <w:tcPr>
            <w:tcW w:w="1295" w:type="dxa"/>
            <w:tcBorders>
              <w:top w:val="dashSmallGap" w:sz="4" w:space="0" w:color="00457D"/>
              <w:bottom w:val="dashSmallGap" w:sz="4" w:space="0" w:color="00457D"/>
            </w:tcBorders>
            <w:shd w:val="clear" w:color="000000" w:fill="FFFFFF"/>
            <w:noWrap/>
            <w:vAlign w:val="center"/>
            <w:hideMark/>
          </w:tcPr>
          <w:p w14:paraId="3B1D30A1"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12,95</w:t>
            </w:r>
          </w:p>
        </w:tc>
      </w:tr>
      <w:tr w:rsidR="002B5FED" w:rsidRPr="002B5FED" w14:paraId="21A61958"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39C87828" w14:textId="0F10F930" w:rsidR="002B5FED" w:rsidRPr="002B5FED" w:rsidRDefault="002B5FED" w:rsidP="00394CE5">
            <w:pPr>
              <w:spacing w:after="0" w:line="240" w:lineRule="auto"/>
              <w:ind w:left="360"/>
              <w:rPr>
                <w:rFonts w:eastAsia="Times New Roman" w:cs="Calibri"/>
                <w:iCs/>
                <w:sz w:val="20"/>
                <w:szCs w:val="20"/>
              </w:rPr>
            </w:pPr>
            <w:r w:rsidRPr="002B5FED">
              <w:rPr>
                <w:rFonts w:eastAsia="Times New Roman" w:cs="Calibri"/>
                <w:iCs/>
                <w:sz w:val="20"/>
                <w:szCs w:val="20"/>
              </w:rPr>
              <w:t>Iscritti agli elenchi speciali ad esaurimento</w:t>
            </w:r>
            <w:r w:rsidR="00394CE5" w:rsidRPr="00394CE5">
              <w:rPr>
                <w:rFonts w:eastAsia="Times New Roman" w:cs="Calibri"/>
                <w:iCs/>
                <w:sz w:val="20"/>
                <w:szCs w:val="20"/>
                <w:vertAlign w:val="superscript"/>
              </w:rPr>
              <w:t>§</w:t>
            </w:r>
          </w:p>
        </w:tc>
        <w:tc>
          <w:tcPr>
            <w:tcW w:w="1295" w:type="dxa"/>
            <w:tcBorders>
              <w:top w:val="dashSmallGap" w:sz="4" w:space="0" w:color="00457D"/>
              <w:bottom w:val="dashSmallGap" w:sz="4" w:space="0" w:color="00457D"/>
            </w:tcBorders>
            <w:shd w:val="clear" w:color="000000" w:fill="FFFFFF"/>
            <w:noWrap/>
            <w:vAlign w:val="center"/>
            <w:hideMark/>
          </w:tcPr>
          <w:p w14:paraId="5AB660A2"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47,42</w:t>
            </w:r>
          </w:p>
        </w:tc>
      </w:tr>
      <w:tr w:rsidR="002B5FED" w:rsidRPr="002B5FED" w14:paraId="49EB99EB" w14:textId="77777777" w:rsidTr="00D3593C">
        <w:trPr>
          <w:trHeight w:val="306"/>
          <w:jc w:val="center"/>
        </w:trPr>
        <w:tc>
          <w:tcPr>
            <w:tcW w:w="5949" w:type="dxa"/>
            <w:tcBorders>
              <w:top w:val="dashSmallGap" w:sz="4" w:space="0" w:color="00457D"/>
            </w:tcBorders>
            <w:shd w:val="clear" w:color="000000" w:fill="FFFFFF"/>
            <w:vAlign w:val="center"/>
            <w:hideMark/>
          </w:tcPr>
          <w:p w14:paraId="7C270D6C"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Altri professionisti sanitari</w:t>
            </w:r>
            <w:r w:rsidRPr="002B5FED">
              <w:rPr>
                <w:rFonts w:eastAsia="Times New Roman" w:cs="Calibri"/>
                <w:iCs/>
                <w:sz w:val="20"/>
                <w:szCs w:val="20"/>
                <w:vertAlign w:val="superscript"/>
              </w:rPr>
              <w:t>*</w:t>
            </w:r>
          </w:p>
        </w:tc>
        <w:tc>
          <w:tcPr>
            <w:tcW w:w="1295" w:type="dxa"/>
            <w:tcBorders>
              <w:top w:val="dashSmallGap" w:sz="4" w:space="0" w:color="00457D"/>
            </w:tcBorders>
            <w:shd w:val="clear" w:color="000000" w:fill="FFFFFF"/>
            <w:noWrap/>
            <w:vAlign w:val="center"/>
            <w:hideMark/>
          </w:tcPr>
          <w:p w14:paraId="013ADAE1"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869,21</w:t>
            </w:r>
          </w:p>
        </w:tc>
      </w:tr>
      <w:tr w:rsidR="002B5FED" w:rsidRPr="002B5FED" w14:paraId="7389491D" w14:textId="77777777" w:rsidTr="00D3593C">
        <w:trPr>
          <w:trHeight w:val="306"/>
          <w:jc w:val="center"/>
        </w:trPr>
        <w:tc>
          <w:tcPr>
            <w:tcW w:w="5949" w:type="dxa"/>
            <w:shd w:val="clear" w:color="000000" w:fill="FFFFFF"/>
            <w:vAlign w:val="center"/>
            <w:hideMark/>
          </w:tcPr>
          <w:p w14:paraId="6E7C9E57"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Ottici</w:t>
            </w:r>
          </w:p>
        </w:tc>
        <w:tc>
          <w:tcPr>
            <w:tcW w:w="1295" w:type="dxa"/>
            <w:shd w:val="clear" w:color="000000" w:fill="FFFFFF"/>
            <w:noWrap/>
            <w:vAlign w:val="center"/>
            <w:hideMark/>
          </w:tcPr>
          <w:p w14:paraId="3DD37055"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2.540,00</w:t>
            </w:r>
          </w:p>
        </w:tc>
      </w:tr>
      <w:tr w:rsidR="002B5FED" w:rsidRPr="002B5FED" w14:paraId="2A532380" w14:textId="77777777" w:rsidTr="00D3593C">
        <w:trPr>
          <w:trHeight w:val="306"/>
          <w:jc w:val="center"/>
        </w:trPr>
        <w:tc>
          <w:tcPr>
            <w:tcW w:w="5949" w:type="dxa"/>
            <w:tcBorders>
              <w:right w:val="single" w:sz="4" w:space="0" w:color="FFFFFF" w:themeColor="background1"/>
            </w:tcBorders>
            <w:shd w:val="clear" w:color="auto" w:fill="00457D"/>
            <w:noWrap/>
            <w:vAlign w:val="center"/>
            <w:hideMark/>
          </w:tcPr>
          <w:p w14:paraId="74C6CE60" w14:textId="77777777" w:rsidR="002B5FED" w:rsidRPr="002B5FED" w:rsidRDefault="002B5FED" w:rsidP="00D3593C">
            <w:pPr>
              <w:spacing w:after="0" w:line="240" w:lineRule="auto"/>
              <w:rPr>
                <w:rFonts w:eastAsia="Times New Roman" w:cs="Calibri"/>
                <w:b/>
                <w:bCs/>
                <w:color w:val="FFFFFF" w:themeColor="background1"/>
                <w:sz w:val="20"/>
                <w:szCs w:val="20"/>
              </w:rPr>
            </w:pPr>
            <w:r w:rsidRPr="002B5FED">
              <w:rPr>
                <w:rFonts w:eastAsia="Times New Roman" w:cs="Calibri"/>
                <w:b/>
                <w:bCs/>
                <w:color w:val="FFFFFF" w:themeColor="background1"/>
                <w:sz w:val="20"/>
                <w:szCs w:val="20"/>
              </w:rPr>
              <w:t xml:space="preserve">Totale </w:t>
            </w:r>
          </w:p>
        </w:tc>
        <w:tc>
          <w:tcPr>
            <w:tcW w:w="1295" w:type="dxa"/>
            <w:tcBorders>
              <w:left w:val="single" w:sz="4" w:space="0" w:color="FFFFFF" w:themeColor="background1"/>
            </w:tcBorders>
            <w:shd w:val="clear" w:color="auto" w:fill="00457D"/>
            <w:noWrap/>
            <w:vAlign w:val="center"/>
            <w:hideMark/>
          </w:tcPr>
          <w:p w14:paraId="09E827FF" w14:textId="77777777" w:rsidR="002B5FED" w:rsidRPr="002B5FED" w:rsidRDefault="002B5FED" w:rsidP="00D3593C">
            <w:pPr>
              <w:spacing w:after="0" w:line="240" w:lineRule="auto"/>
              <w:jc w:val="right"/>
              <w:rPr>
                <w:rFonts w:eastAsia="Times New Roman" w:cs="Calibri"/>
                <w:b/>
                <w:bCs/>
                <w:color w:val="FFFFFF" w:themeColor="background1"/>
                <w:sz w:val="20"/>
                <w:szCs w:val="20"/>
              </w:rPr>
            </w:pPr>
            <w:r w:rsidRPr="002B5FED">
              <w:rPr>
                <w:rFonts w:eastAsia="Times New Roman" w:cs="Calibri"/>
                <w:b/>
                <w:bCs/>
                <w:color w:val="00457D"/>
                <w:sz w:val="20"/>
                <w:szCs w:val="20"/>
              </w:rPr>
              <w:t xml:space="preserve">€ </w:t>
            </w:r>
            <w:r w:rsidRPr="002B5FED">
              <w:rPr>
                <w:rFonts w:eastAsia="Times New Roman" w:cs="Calibri"/>
                <w:b/>
                <w:bCs/>
                <w:color w:val="FFFFFF" w:themeColor="background1"/>
                <w:sz w:val="20"/>
                <w:szCs w:val="20"/>
              </w:rPr>
              <w:t>43.095,68</w:t>
            </w:r>
          </w:p>
        </w:tc>
      </w:tr>
      <w:tr w:rsidR="002B5FED" w:rsidRPr="002B5FED" w14:paraId="6E18F4A6" w14:textId="77777777" w:rsidTr="00D3593C">
        <w:trPr>
          <w:trHeight w:val="1134"/>
          <w:jc w:val="center"/>
        </w:trPr>
        <w:tc>
          <w:tcPr>
            <w:tcW w:w="7244" w:type="dxa"/>
            <w:gridSpan w:val="2"/>
            <w:shd w:val="clear" w:color="auto" w:fill="FFFFFF" w:themeFill="background1"/>
            <w:noWrap/>
            <w:vAlign w:val="center"/>
          </w:tcPr>
          <w:p w14:paraId="5285B260" w14:textId="5688BB96" w:rsidR="002B5FED" w:rsidRPr="00F74FC1" w:rsidRDefault="00394CE5" w:rsidP="00394CE5">
            <w:pPr>
              <w:spacing w:after="0"/>
              <w:rPr>
                <w:rFonts w:eastAsia="Times New Roman" w:cs="Calibri"/>
                <w:b/>
                <w:bCs/>
                <w:color w:val="FFFFFF" w:themeColor="background1"/>
                <w:sz w:val="16"/>
                <w:szCs w:val="16"/>
              </w:rPr>
            </w:pPr>
            <w:r w:rsidRPr="00394CE5">
              <w:rPr>
                <w:rFonts w:eastAsia="Times New Roman" w:cs="Calibri"/>
                <w:iCs/>
                <w:sz w:val="20"/>
                <w:szCs w:val="20"/>
                <w:vertAlign w:val="superscript"/>
              </w:rPr>
              <w:t>§</w:t>
            </w:r>
            <w:r w:rsidRPr="00394CE5">
              <w:rPr>
                <w:rFonts w:eastAsia="Times New Roman" w:cs="Calibri"/>
                <w:sz w:val="16"/>
                <w:szCs w:val="16"/>
              </w:rPr>
              <w:t xml:space="preserve">Gazzetta Ufficiale della Repubblica Italiana. Decreto del Ministero della Salute del 9 agosto 2019. Disponibile a: </w:t>
            </w:r>
            <w:hyperlink r:id="rId13" w:history="1">
              <w:r w:rsidRPr="00B47443">
                <w:rPr>
                  <w:rStyle w:val="Collegamentoipertestuale"/>
                  <w:rFonts w:eastAsia="Times New Roman" w:cs="Calibri"/>
                  <w:sz w:val="16"/>
                  <w:szCs w:val="16"/>
                </w:rPr>
                <w:t>www.gazzettaufficiale.it/eli/id/2019/09/10/19A05560/sg</w:t>
              </w:r>
            </w:hyperlink>
            <w:r>
              <w:rPr>
                <w:rFonts w:eastAsia="Times New Roman" w:cs="Calibri"/>
                <w:sz w:val="16"/>
                <w:szCs w:val="16"/>
              </w:rPr>
              <w:t xml:space="preserve"> </w:t>
            </w:r>
            <w:r>
              <w:rPr>
                <w:rFonts w:eastAsia="Times New Roman" w:cs="Calibri"/>
                <w:sz w:val="16"/>
                <w:szCs w:val="16"/>
              </w:rPr>
              <w:br/>
            </w:r>
            <w:r w:rsidR="002B5FED" w:rsidRPr="00F74FC1">
              <w:rPr>
                <w:rFonts w:eastAsia="Times New Roman" w:cs="Calibri"/>
                <w:sz w:val="16"/>
                <w:szCs w:val="16"/>
              </w:rPr>
              <w:t>*</w:t>
            </w:r>
            <w:r w:rsidR="002B5FED" w:rsidRPr="00F74FC1">
              <w:rPr>
                <w:rFonts w:eastAsia="Times New Roman" w:cs="Calibri"/>
                <w:spacing w:val="-2"/>
                <w:sz w:val="16"/>
                <w:szCs w:val="16"/>
              </w:rPr>
              <w:t>Tecnici (sanitario di laboratorio biomedico, audiometrista, audioprotesista, ortopedico, di neurofisiopatologia, di fisiopatologia cardiocircolatoria e perfusione cardiovascolare, della riabilitazione psichiatrica, della prevenzione ambiente e luoghi di lavoro), Dietista, Igienista dentale, Fisioterapista, Logopedista, Podologo, Ortottista e assistente di oftalmologia, Terapista della neuro e psicomotricità dell’età evolutiva, Terapista occupazionale, Educatore professionale, Assistente sanitario, Biologo</w:t>
            </w:r>
          </w:p>
        </w:tc>
      </w:tr>
    </w:tbl>
    <w:p w14:paraId="013BCD83" w14:textId="6E47C6F2" w:rsidR="004163E9" w:rsidRDefault="004163E9" w:rsidP="00295B2D">
      <w:pPr>
        <w:spacing w:after="120"/>
        <w:jc w:val="center"/>
        <w:rPr>
          <w:rStyle w:val="Collegamentoipertestuale"/>
          <w:rFonts w:eastAsia="Calibri" w:cs="Calibri"/>
          <w:color w:val="auto"/>
          <w:u w:color="0563C1"/>
        </w:rPr>
      </w:pPr>
    </w:p>
    <w:p w14:paraId="10345035" w14:textId="726EBBE3" w:rsidR="004163E9" w:rsidRPr="00514DA8" w:rsidRDefault="004163E9" w:rsidP="00F74FC1">
      <w:pPr>
        <w:spacing w:after="0" w:line="240" w:lineRule="auto"/>
        <w:jc w:val="center"/>
        <w:rPr>
          <w:rFonts w:cs="Calibri"/>
          <w:color w:val="00457D"/>
        </w:rPr>
      </w:pPr>
      <w:r>
        <w:rPr>
          <w:rStyle w:val="Collegamentoipertestuale"/>
          <w:rFonts w:eastAsia="Calibri" w:cs="Calibri"/>
          <w:color w:val="auto"/>
          <w:u w:color="0563C1"/>
        </w:rPr>
        <w:br w:type="page"/>
      </w:r>
      <w:r w:rsidRPr="00514DA8">
        <w:rPr>
          <w:rFonts w:eastAsia="Times New Roman" w:cs="Calibri"/>
          <w:b/>
          <w:bCs/>
          <w:color w:val="00457D"/>
        </w:rPr>
        <w:lastRenderedPageBreak/>
        <w:t xml:space="preserve">Tabella </w:t>
      </w:r>
      <w:r w:rsidR="002B5FED">
        <w:rPr>
          <w:rFonts w:eastAsia="Times New Roman" w:cs="Calibri"/>
          <w:b/>
          <w:bCs/>
          <w:color w:val="00457D"/>
        </w:rPr>
        <w:t>3</w:t>
      </w:r>
      <w:r w:rsidRPr="00514DA8">
        <w:rPr>
          <w:rFonts w:eastAsia="Times New Roman" w:cs="Calibri"/>
          <w:b/>
          <w:bCs/>
          <w:color w:val="00457D"/>
        </w:rPr>
        <w:t>. Numero di strutture per tipologia di assistenza erogata</w:t>
      </w:r>
      <w:r w:rsidRPr="00514DA8">
        <w:rPr>
          <w:rFonts w:eastAsia="Times New Roman" w:cs="Calibri"/>
          <w:b/>
          <w:bCs/>
          <w:color w:val="00457D"/>
        </w:rPr>
        <w:br/>
      </w:r>
      <w:r w:rsidRPr="00514DA8">
        <w:rPr>
          <w:rFonts w:eastAsia="Times New Roman" w:cs="Calibri"/>
          <w:color w:val="00457D"/>
        </w:rPr>
        <w:t>(dati Ministero della Salute</w:t>
      </w:r>
      <w:r w:rsidR="00EF0667">
        <w:rPr>
          <w:rFonts w:eastAsia="Times New Roman" w:cs="Calibri"/>
          <w:color w:val="00457D"/>
        </w:rPr>
        <w:t>, 2023</w:t>
      </w:r>
      <w:r w:rsidRPr="00514DA8">
        <w:rPr>
          <w:rFonts w:eastAsia="Times New Roman" w:cs="Calibri"/>
          <w:color w:val="00457D"/>
        </w:rPr>
        <w:t>)</w:t>
      </w:r>
    </w:p>
    <w:tbl>
      <w:tblPr>
        <w:tblW w:w="7090"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2830"/>
        <w:gridCol w:w="1559"/>
        <w:gridCol w:w="1418"/>
        <w:gridCol w:w="1275"/>
        <w:gridCol w:w="8"/>
      </w:tblGrid>
      <w:tr w:rsidR="004163E9" w:rsidRPr="00514DA8" w14:paraId="484A08F0" w14:textId="77777777" w:rsidTr="00821C20">
        <w:trPr>
          <w:gridAfter w:val="1"/>
          <w:wAfter w:w="8" w:type="dxa"/>
          <w:trHeight w:val="300"/>
          <w:jc w:val="center"/>
        </w:trPr>
        <w:tc>
          <w:tcPr>
            <w:tcW w:w="2830" w:type="dxa"/>
            <w:tcBorders>
              <w:right w:val="single" w:sz="4" w:space="0" w:color="FFFFFF" w:themeColor="background1"/>
            </w:tcBorders>
            <w:shd w:val="clear" w:color="auto" w:fill="00457D"/>
            <w:noWrap/>
            <w:vAlign w:val="center"/>
          </w:tcPr>
          <w:p w14:paraId="1D9B9586" w14:textId="77777777" w:rsidR="004163E9" w:rsidRPr="00514DA8" w:rsidRDefault="004163E9" w:rsidP="004163E9">
            <w:pPr>
              <w:spacing w:after="0" w:line="240" w:lineRule="auto"/>
              <w:rPr>
                <w:rFonts w:eastAsia="Times New Roman" w:cs="Calibri"/>
                <w:b/>
                <w:bCs/>
                <w:color w:val="FFFFFF" w:themeColor="background1"/>
              </w:rPr>
            </w:pPr>
            <w:r w:rsidRPr="00514DA8">
              <w:rPr>
                <w:rFonts w:eastAsia="Times New Roman" w:cs="Calibri"/>
                <w:b/>
                <w:bCs/>
                <w:color w:val="FFFFFF" w:themeColor="background1"/>
              </w:rPr>
              <w:t>Tipologia di assistenza</w:t>
            </w:r>
          </w:p>
        </w:tc>
        <w:tc>
          <w:tcPr>
            <w:tcW w:w="1559" w:type="dxa"/>
            <w:tcBorders>
              <w:left w:val="single" w:sz="4" w:space="0" w:color="FFFFFF" w:themeColor="background1"/>
              <w:right w:val="single" w:sz="4" w:space="0" w:color="FFFFFF" w:themeColor="background1"/>
            </w:tcBorders>
            <w:shd w:val="clear" w:color="auto" w:fill="00457D"/>
            <w:noWrap/>
            <w:vAlign w:val="center"/>
          </w:tcPr>
          <w:p w14:paraId="74C40699" w14:textId="77777777" w:rsidR="004163E9" w:rsidRPr="00514DA8" w:rsidRDefault="004163E9" w:rsidP="004163E9">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Pubbliche</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1F3E2261" w14:textId="77777777" w:rsidR="004163E9" w:rsidRPr="00514DA8" w:rsidRDefault="004163E9" w:rsidP="004163E9">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Private accreditate</w:t>
            </w:r>
          </w:p>
        </w:tc>
        <w:tc>
          <w:tcPr>
            <w:tcW w:w="1275" w:type="dxa"/>
            <w:tcBorders>
              <w:left w:val="single" w:sz="4" w:space="0" w:color="FFFFFF" w:themeColor="background1"/>
            </w:tcBorders>
            <w:shd w:val="clear" w:color="auto" w:fill="00457D"/>
            <w:noWrap/>
            <w:vAlign w:val="center"/>
          </w:tcPr>
          <w:p w14:paraId="2DB9B463" w14:textId="77777777" w:rsidR="004163E9" w:rsidRPr="00514DA8" w:rsidRDefault="004163E9" w:rsidP="004163E9">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Totale</w:t>
            </w:r>
          </w:p>
        </w:tc>
      </w:tr>
      <w:tr w:rsidR="004163E9" w:rsidRPr="00514DA8" w14:paraId="7293AD47" w14:textId="77777777" w:rsidTr="00B61C8E">
        <w:trPr>
          <w:gridAfter w:val="1"/>
          <w:wAfter w:w="8" w:type="dxa"/>
          <w:trHeight w:val="340"/>
          <w:jc w:val="center"/>
        </w:trPr>
        <w:tc>
          <w:tcPr>
            <w:tcW w:w="2830" w:type="dxa"/>
            <w:noWrap/>
            <w:vAlign w:val="center"/>
            <w:hideMark/>
          </w:tcPr>
          <w:p w14:paraId="5B45CA42" w14:textId="77777777" w:rsidR="004163E9" w:rsidRPr="00514DA8" w:rsidRDefault="004163E9" w:rsidP="00821C20">
            <w:pPr>
              <w:spacing w:after="0" w:line="240" w:lineRule="auto"/>
              <w:rPr>
                <w:rFonts w:eastAsia="Times New Roman" w:cs="Calibri"/>
              </w:rPr>
            </w:pPr>
            <w:r w:rsidRPr="00514DA8">
              <w:rPr>
                <w:rFonts w:eastAsia="Times New Roman" w:cs="Calibri"/>
              </w:rPr>
              <w:t>Ospedaliera</w:t>
            </w:r>
          </w:p>
        </w:tc>
        <w:tc>
          <w:tcPr>
            <w:tcW w:w="1559" w:type="dxa"/>
            <w:noWrap/>
            <w:vAlign w:val="center"/>
            <w:hideMark/>
          </w:tcPr>
          <w:p w14:paraId="1F6D357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511</w:t>
            </w:r>
          </w:p>
        </w:tc>
        <w:tc>
          <w:tcPr>
            <w:tcW w:w="1418" w:type="dxa"/>
            <w:noWrap/>
            <w:vAlign w:val="center"/>
            <w:hideMark/>
          </w:tcPr>
          <w:p w14:paraId="3BA9213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485</w:t>
            </w:r>
          </w:p>
        </w:tc>
        <w:tc>
          <w:tcPr>
            <w:tcW w:w="1275" w:type="dxa"/>
            <w:noWrap/>
            <w:vAlign w:val="center"/>
            <w:hideMark/>
          </w:tcPr>
          <w:p w14:paraId="626C5F5F"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996</w:t>
            </w:r>
          </w:p>
        </w:tc>
      </w:tr>
      <w:tr w:rsidR="004163E9" w:rsidRPr="00514DA8" w14:paraId="240C8A84" w14:textId="77777777" w:rsidTr="00B61C8E">
        <w:trPr>
          <w:gridAfter w:val="1"/>
          <w:wAfter w:w="8" w:type="dxa"/>
          <w:trHeight w:val="340"/>
          <w:jc w:val="center"/>
        </w:trPr>
        <w:tc>
          <w:tcPr>
            <w:tcW w:w="2830" w:type="dxa"/>
            <w:noWrap/>
            <w:vAlign w:val="center"/>
            <w:hideMark/>
          </w:tcPr>
          <w:p w14:paraId="266B80F8" w14:textId="77777777" w:rsidR="004163E9" w:rsidRPr="00514DA8" w:rsidRDefault="004163E9" w:rsidP="00821C20">
            <w:pPr>
              <w:spacing w:after="0" w:line="240" w:lineRule="auto"/>
              <w:rPr>
                <w:rFonts w:eastAsia="Times New Roman" w:cs="Calibri"/>
              </w:rPr>
            </w:pPr>
            <w:r w:rsidRPr="00514DA8">
              <w:rPr>
                <w:rFonts w:eastAsia="Times New Roman" w:cs="Calibri"/>
              </w:rPr>
              <w:t>Specialistica ambulatoriale</w:t>
            </w:r>
          </w:p>
        </w:tc>
        <w:tc>
          <w:tcPr>
            <w:tcW w:w="1559" w:type="dxa"/>
            <w:noWrap/>
            <w:vAlign w:val="center"/>
            <w:hideMark/>
          </w:tcPr>
          <w:p w14:paraId="053F6D75"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3.675</w:t>
            </w:r>
          </w:p>
        </w:tc>
        <w:tc>
          <w:tcPr>
            <w:tcW w:w="1418" w:type="dxa"/>
            <w:noWrap/>
            <w:vAlign w:val="center"/>
            <w:hideMark/>
          </w:tcPr>
          <w:p w14:paraId="6D56E04B"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5.446</w:t>
            </w:r>
          </w:p>
        </w:tc>
        <w:tc>
          <w:tcPr>
            <w:tcW w:w="1275" w:type="dxa"/>
            <w:noWrap/>
            <w:vAlign w:val="center"/>
            <w:hideMark/>
          </w:tcPr>
          <w:p w14:paraId="38E77F54"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9.121</w:t>
            </w:r>
          </w:p>
        </w:tc>
      </w:tr>
      <w:tr w:rsidR="004163E9" w:rsidRPr="00514DA8" w14:paraId="5CEE5D4A" w14:textId="77777777" w:rsidTr="00B61C8E">
        <w:trPr>
          <w:gridAfter w:val="1"/>
          <w:wAfter w:w="8" w:type="dxa"/>
          <w:trHeight w:val="340"/>
          <w:jc w:val="center"/>
        </w:trPr>
        <w:tc>
          <w:tcPr>
            <w:tcW w:w="2830" w:type="dxa"/>
            <w:noWrap/>
            <w:vAlign w:val="center"/>
            <w:hideMark/>
          </w:tcPr>
          <w:p w14:paraId="102AAAFE" w14:textId="77777777" w:rsidR="004163E9" w:rsidRPr="00514DA8" w:rsidRDefault="004163E9" w:rsidP="00821C20">
            <w:pPr>
              <w:spacing w:after="0" w:line="240" w:lineRule="auto"/>
              <w:rPr>
                <w:rFonts w:eastAsia="Times New Roman" w:cs="Calibri"/>
              </w:rPr>
            </w:pPr>
            <w:r w:rsidRPr="00514DA8">
              <w:rPr>
                <w:rFonts w:eastAsia="Times New Roman" w:cs="Calibri"/>
              </w:rPr>
              <w:t>Residenziale</w:t>
            </w:r>
          </w:p>
        </w:tc>
        <w:tc>
          <w:tcPr>
            <w:tcW w:w="1559" w:type="dxa"/>
            <w:noWrap/>
            <w:vAlign w:val="center"/>
            <w:hideMark/>
          </w:tcPr>
          <w:p w14:paraId="4FEE9F3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1.213</w:t>
            </w:r>
          </w:p>
        </w:tc>
        <w:tc>
          <w:tcPr>
            <w:tcW w:w="1418" w:type="dxa"/>
            <w:noWrap/>
            <w:vAlign w:val="center"/>
            <w:hideMark/>
          </w:tcPr>
          <w:p w14:paraId="105F3C74"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6.901</w:t>
            </w:r>
          </w:p>
        </w:tc>
        <w:tc>
          <w:tcPr>
            <w:tcW w:w="1275" w:type="dxa"/>
            <w:noWrap/>
            <w:vAlign w:val="center"/>
            <w:hideMark/>
          </w:tcPr>
          <w:p w14:paraId="309EF373"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8.114</w:t>
            </w:r>
          </w:p>
        </w:tc>
      </w:tr>
      <w:tr w:rsidR="004163E9" w:rsidRPr="00514DA8" w14:paraId="0F081570" w14:textId="77777777" w:rsidTr="00B61C8E">
        <w:trPr>
          <w:gridAfter w:val="1"/>
          <w:wAfter w:w="8" w:type="dxa"/>
          <w:trHeight w:val="340"/>
          <w:jc w:val="center"/>
        </w:trPr>
        <w:tc>
          <w:tcPr>
            <w:tcW w:w="2830" w:type="dxa"/>
            <w:noWrap/>
            <w:vAlign w:val="center"/>
            <w:hideMark/>
          </w:tcPr>
          <w:p w14:paraId="3F7DC9E8" w14:textId="77777777" w:rsidR="004163E9" w:rsidRPr="00514DA8" w:rsidRDefault="004163E9" w:rsidP="00821C20">
            <w:pPr>
              <w:spacing w:after="0" w:line="240" w:lineRule="auto"/>
              <w:rPr>
                <w:rFonts w:eastAsia="Times New Roman" w:cs="Calibri"/>
              </w:rPr>
            </w:pPr>
            <w:r w:rsidRPr="00514DA8">
              <w:rPr>
                <w:rFonts w:eastAsia="Times New Roman" w:cs="Calibri"/>
              </w:rPr>
              <w:t>Semi-residenziale</w:t>
            </w:r>
          </w:p>
        </w:tc>
        <w:tc>
          <w:tcPr>
            <w:tcW w:w="1559" w:type="dxa"/>
            <w:noWrap/>
            <w:vAlign w:val="center"/>
            <w:hideMark/>
          </w:tcPr>
          <w:p w14:paraId="57B7A3F2"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867</w:t>
            </w:r>
          </w:p>
        </w:tc>
        <w:tc>
          <w:tcPr>
            <w:tcW w:w="1418" w:type="dxa"/>
            <w:noWrap/>
            <w:vAlign w:val="center"/>
            <w:hideMark/>
          </w:tcPr>
          <w:p w14:paraId="3B194C83"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2.325</w:t>
            </w:r>
          </w:p>
        </w:tc>
        <w:tc>
          <w:tcPr>
            <w:tcW w:w="1275" w:type="dxa"/>
            <w:noWrap/>
            <w:vAlign w:val="center"/>
            <w:hideMark/>
          </w:tcPr>
          <w:p w14:paraId="54991003"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3.192</w:t>
            </w:r>
          </w:p>
        </w:tc>
      </w:tr>
      <w:tr w:rsidR="004163E9" w:rsidRPr="00514DA8" w14:paraId="0CEF62B3" w14:textId="77777777" w:rsidTr="00B61C8E">
        <w:trPr>
          <w:gridAfter w:val="1"/>
          <w:wAfter w:w="8" w:type="dxa"/>
          <w:trHeight w:val="340"/>
          <w:jc w:val="center"/>
        </w:trPr>
        <w:tc>
          <w:tcPr>
            <w:tcW w:w="2830" w:type="dxa"/>
            <w:noWrap/>
            <w:vAlign w:val="center"/>
            <w:hideMark/>
          </w:tcPr>
          <w:p w14:paraId="442B3511" w14:textId="77777777" w:rsidR="004163E9" w:rsidRPr="00514DA8" w:rsidRDefault="004163E9" w:rsidP="00821C20">
            <w:pPr>
              <w:spacing w:after="0" w:line="240" w:lineRule="auto"/>
              <w:rPr>
                <w:rFonts w:eastAsia="Times New Roman" w:cs="Calibri"/>
              </w:rPr>
            </w:pPr>
            <w:r w:rsidRPr="00514DA8">
              <w:rPr>
                <w:rFonts w:eastAsia="Times New Roman" w:cs="Calibri"/>
              </w:rPr>
              <w:t>Riabilitativa</w:t>
            </w:r>
          </w:p>
        </w:tc>
        <w:tc>
          <w:tcPr>
            <w:tcW w:w="1559" w:type="dxa"/>
            <w:noWrap/>
            <w:vAlign w:val="center"/>
            <w:hideMark/>
          </w:tcPr>
          <w:p w14:paraId="489F9CAD"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260</w:t>
            </w:r>
          </w:p>
        </w:tc>
        <w:tc>
          <w:tcPr>
            <w:tcW w:w="1418" w:type="dxa"/>
            <w:noWrap/>
            <w:vAlign w:val="center"/>
            <w:hideMark/>
          </w:tcPr>
          <w:p w14:paraId="2E4A67F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943</w:t>
            </w:r>
          </w:p>
        </w:tc>
        <w:tc>
          <w:tcPr>
            <w:tcW w:w="1275" w:type="dxa"/>
            <w:noWrap/>
            <w:vAlign w:val="center"/>
            <w:hideMark/>
          </w:tcPr>
          <w:p w14:paraId="77838E1A"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1.203</w:t>
            </w:r>
          </w:p>
        </w:tc>
      </w:tr>
      <w:tr w:rsidR="004163E9" w:rsidRPr="00514DA8" w14:paraId="46EFFC94" w14:textId="77777777" w:rsidTr="00B61C8E">
        <w:trPr>
          <w:gridAfter w:val="1"/>
          <w:wAfter w:w="8" w:type="dxa"/>
          <w:trHeight w:val="340"/>
          <w:jc w:val="center"/>
        </w:trPr>
        <w:tc>
          <w:tcPr>
            <w:tcW w:w="2830" w:type="dxa"/>
            <w:noWrap/>
            <w:vAlign w:val="center"/>
            <w:hideMark/>
          </w:tcPr>
          <w:p w14:paraId="56AA2C31" w14:textId="77777777" w:rsidR="004163E9" w:rsidRPr="00514DA8" w:rsidRDefault="004163E9" w:rsidP="00821C20">
            <w:pPr>
              <w:spacing w:after="0" w:line="240" w:lineRule="auto"/>
              <w:rPr>
                <w:rFonts w:eastAsia="Times New Roman" w:cs="Calibri"/>
              </w:rPr>
            </w:pPr>
            <w:r w:rsidRPr="00514DA8">
              <w:rPr>
                <w:rFonts w:eastAsia="Times New Roman" w:cs="Calibri"/>
              </w:rPr>
              <w:t>Altra assistenza territoriale</w:t>
            </w:r>
            <w:r w:rsidRPr="00514DA8">
              <w:rPr>
                <w:rFonts w:eastAsia="Times New Roman" w:cs="Calibri"/>
                <w:vertAlign w:val="superscript"/>
              </w:rPr>
              <w:t>*</w:t>
            </w:r>
          </w:p>
        </w:tc>
        <w:tc>
          <w:tcPr>
            <w:tcW w:w="1559" w:type="dxa"/>
            <w:noWrap/>
            <w:vAlign w:val="center"/>
            <w:hideMark/>
          </w:tcPr>
          <w:p w14:paraId="596E325C"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5.818</w:t>
            </w:r>
          </w:p>
        </w:tc>
        <w:tc>
          <w:tcPr>
            <w:tcW w:w="1418" w:type="dxa"/>
            <w:noWrap/>
            <w:vAlign w:val="center"/>
            <w:hideMark/>
          </w:tcPr>
          <w:p w14:paraId="738ED61A"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942</w:t>
            </w:r>
          </w:p>
        </w:tc>
        <w:tc>
          <w:tcPr>
            <w:tcW w:w="1275" w:type="dxa"/>
            <w:noWrap/>
            <w:vAlign w:val="center"/>
            <w:hideMark/>
          </w:tcPr>
          <w:p w14:paraId="49B885C0"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6.760</w:t>
            </w:r>
          </w:p>
        </w:tc>
      </w:tr>
      <w:tr w:rsidR="004163E9" w:rsidRPr="00514DA8" w14:paraId="49FECFB8" w14:textId="77777777" w:rsidTr="00B61C8E">
        <w:trPr>
          <w:gridAfter w:val="1"/>
          <w:wAfter w:w="8" w:type="dxa"/>
          <w:trHeight w:val="340"/>
          <w:jc w:val="center"/>
        </w:trPr>
        <w:tc>
          <w:tcPr>
            <w:tcW w:w="2830" w:type="dxa"/>
            <w:tcBorders>
              <w:right w:val="single" w:sz="4" w:space="0" w:color="FFFFFF" w:themeColor="background1"/>
            </w:tcBorders>
            <w:shd w:val="clear" w:color="auto" w:fill="00457D"/>
            <w:noWrap/>
            <w:vAlign w:val="center"/>
          </w:tcPr>
          <w:p w14:paraId="7FB98DD5" w14:textId="77777777" w:rsidR="004163E9" w:rsidRPr="00514DA8" w:rsidRDefault="004163E9" w:rsidP="00821C20">
            <w:pPr>
              <w:spacing w:after="0" w:line="240" w:lineRule="auto"/>
              <w:rPr>
                <w:rFonts w:eastAsia="Times New Roman" w:cs="Calibri"/>
                <w:b/>
                <w:bCs/>
                <w:color w:val="FFFFFF" w:themeColor="background1"/>
              </w:rPr>
            </w:pPr>
            <w:r w:rsidRPr="00514DA8">
              <w:rPr>
                <w:rFonts w:eastAsia="Times New Roman" w:cs="Calibri"/>
                <w:b/>
                <w:bCs/>
                <w:color w:val="FFFFFF" w:themeColor="background1"/>
              </w:rPr>
              <w:t xml:space="preserve">Totale </w:t>
            </w:r>
          </w:p>
        </w:tc>
        <w:tc>
          <w:tcPr>
            <w:tcW w:w="1559" w:type="dxa"/>
            <w:tcBorders>
              <w:left w:val="single" w:sz="4" w:space="0" w:color="FFFFFF" w:themeColor="background1"/>
              <w:right w:val="single" w:sz="4" w:space="0" w:color="FFFFFF" w:themeColor="background1"/>
            </w:tcBorders>
            <w:shd w:val="clear" w:color="auto" w:fill="00457D"/>
            <w:noWrap/>
            <w:vAlign w:val="center"/>
          </w:tcPr>
          <w:p w14:paraId="0C831CF1" w14:textId="77777777" w:rsidR="004163E9" w:rsidRPr="00514DA8" w:rsidRDefault="004163E9" w:rsidP="00821C20">
            <w:pPr>
              <w:spacing w:after="0" w:line="240" w:lineRule="auto"/>
              <w:jc w:val="right"/>
              <w:rPr>
                <w:rFonts w:eastAsia="Times New Roman" w:cs="Calibri"/>
                <w:b/>
                <w:bCs/>
                <w:color w:val="FFFFFF" w:themeColor="background1"/>
              </w:rPr>
            </w:pPr>
            <w:r w:rsidRPr="00514DA8">
              <w:rPr>
                <w:rFonts w:eastAsia="Times New Roman" w:cs="Calibri"/>
                <w:b/>
                <w:bCs/>
                <w:color w:val="FFFFFF" w:themeColor="background1"/>
              </w:rPr>
              <w:t>12.344</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1CFA0712" w14:textId="77777777" w:rsidR="004163E9" w:rsidRPr="00514DA8" w:rsidRDefault="004163E9" w:rsidP="00821C20">
            <w:pPr>
              <w:spacing w:after="0" w:line="240" w:lineRule="auto"/>
              <w:jc w:val="right"/>
              <w:rPr>
                <w:rFonts w:eastAsia="Times New Roman" w:cs="Calibri"/>
                <w:b/>
                <w:bCs/>
                <w:color w:val="FFFFFF" w:themeColor="background1"/>
              </w:rPr>
            </w:pPr>
            <w:r w:rsidRPr="00514DA8">
              <w:rPr>
                <w:rFonts w:eastAsia="Times New Roman" w:cs="Calibri"/>
                <w:b/>
                <w:bCs/>
                <w:color w:val="FFFFFF" w:themeColor="background1"/>
              </w:rPr>
              <w:t>17.042</w:t>
            </w:r>
          </w:p>
        </w:tc>
        <w:tc>
          <w:tcPr>
            <w:tcW w:w="1275" w:type="dxa"/>
            <w:tcBorders>
              <w:left w:val="single" w:sz="4" w:space="0" w:color="FFFFFF" w:themeColor="background1"/>
            </w:tcBorders>
            <w:shd w:val="clear" w:color="auto" w:fill="00457D"/>
            <w:noWrap/>
            <w:vAlign w:val="center"/>
          </w:tcPr>
          <w:p w14:paraId="3EEDF5E3" w14:textId="77777777" w:rsidR="004163E9" w:rsidRPr="00514DA8" w:rsidRDefault="004163E9" w:rsidP="00821C20">
            <w:pPr>
              <w:spacing w:after="0" w:line="240" w:lineRule="auto"/>
              <w:jc w:val="right"/>
              <w:rPr>
                <w:rFonts w:eastAsia="Times New Roman" w:cs="Calibri"/>
                <w:b/>
                <w:bCs/>
                <w:color w:val="FFFFFF" w:themeColor="background1"/>
              </w:rPr>
            </w:pPr>
            <w:r w:rsidRPr="00514DA8">
              <w:rPr>
                <w:rFonts w:eastAsia="Times New Roman" w:cs="Calibri"/>
                <w:b/>
                <w:bCs/>
                <w:color w:val="FFFFFF" w:themeColor="background1"/>
              </w:rPr>
              <w:t>29.386</w:t>
            </w:r>
          </w:p>
        </w:tc>
      </w:tr>
      <w:tr w:rsidR="004163E9" w:rsidRPr="00514DA8" w14:paraId="21CA6DDC" w14:textId="77777777" w:rsidTr="00821C20">
        <w:trPr>
          <w:trHeight w:val="510"/>
          <w:jc w:val="center"/>
        </w:trPr>
        <w:tc>
          <w:tcPr>
            <w:tcW w:w="7090" w:type="dxa"/>
            <w:gridSpan w:val="5"/>
            <w:noWrap/>
            <w:vAlign w:val="center"/>
          </w:tcPr>
          <w:p w14:paraId="4F739FE8" w14:textId="17AEFA08" w:rsidR="004163E9" w:rsidRPr="00F74FC1" w:rsidRDefault="00B61C8E" w:rsidP="00821C20">
            <w:pPr>
              <w:spacing w:after="0" w:line="240" w:lineRule="auto"/>
              <w:rPr>
                <w:rFonts w:eastAsia="Times New Roman" w:cs="Calibri"/>
                <w:sz w:val="16"/>
                <w:szCs w:val="16"/>
              </w:rPr>
            </w:pPr>
            <w:r w:rsidRPr="00B61C8E">
              <w:rPr>
                <w:rFonts w:eastAsia="Times New Roman" w:cs="Calibri"/>
                <w:sz w:val="12"/>
                <w:szCs w:val="12"/>
                <w:vertAlign w:val="superscript"/>
              </w:rPr>
              <w:br/>
            </w:r>
            <w:r w:rsidR="004163E9" w:rsidRPr="00F74FC1">
              <w:rPr>
                <w:rFonts w:eastAsia="Times New Roman" w:cs="Calibri"/>
                <w:sz w:val="16"/>
                <w:szCs w:val="16"/>
                <w:vertAlign w:val="superscript"/>
              </w:rPr>
              <w:t>*</w:t>
            </w:r>
            <w:r w:rsidR="004163E9" w:rsidRPr="00F74FC1">
              <w:rPr>
                <w:rFonts w:eastAsia="Times New Roman" w:cs="Calibri"/>
                <w:sz w:val="16"/>
                <w:szCs w:val="16"/>
              </w:rPr>
              <w:t>Centri dialisi ad assistenza limitata, stabilimenti idrotermali, centri di salute mentale, consultori familiari e centri distrettuali.</w:t>
            </w:r>
          </w:p>
        </w:tc>
      </w:tr>
    </w:tbl>
    <w:p w14:paraId="15636AD4" w14:textId="6842D96C" w:rsidR="004163E9" w:rsidRDefault="004163E9" w:rsidP="00295B2D">
      <w:pPr>
        <w:spacing w:after="120"/>
        <w:jc w:val="center"/>
        <w:rPr>
          <w:rStyle w:val="Collegamentoipertestuale"/>
          <w:rFonts w:eastAsia="Calibri" w:cs="Calibri"/>
          <w:color w:val="auto"/>
          <w:u w:color="0563C1"/>
        </w:rPr>
      </w:pPr>
    </w:p>
    <w:p w14:paraId="67218A13" w14:textId="27601A67" w:rsidR="004163E9" w:rsidRPr="00514DA8" w:rsidRDefault="004163E9" w:rsidP="004163E9">
      <w:pPr>
        <w:suppressAutoHyphens/>
        <w:jc w:val="center"/>
        <w:rPr>
          <w:rFonts w:cs="Calibri"/>
          <w:b/>
          <w:bCs/>
          <w:color w:val="00457D"/>
        </w:rPr>
      </w:pPr>
      <w:r w:rsidRPr="00514DA8">
        <w:rPr>
          <w:rFonts w:cs="Calibri"/>
          <w:b/>
          <w:bCs/>
          <w:color w:val="00457D"/>
        </w:rPr>
        <w:t xml:space="preserve">Figura </w:t>
      </w:r>
      <w:r>
        <w:rPr>
          <w:rFonts w:cs="Calibri"/>
          <w:b/>
          <w:bCs/>
          <w:color w:val="00457D"/>
        </w:rPr>
        <w:t>2</w:t>
      </w:r>
      <w:r w:rsidRPr="00514DA8">
        <w:rPr>
          <w:rFonts w:cs="Calibri"/>
          <w:b/>
          <w:bCs/>
          <w:color w:val="00457D"/>
        </w:rPr>
        <w:t xml:space="preserve">. Distribuzione percentuale delle strutture pubbliche e private accreditate </w:t>
      </w:r>
      <w:r w:rsidR="00EF0667">
        <w:rPr>
          <w:rFonts w:cs="Calibri"/>
          <w:b/>
          <w:bCs/>
          <w:color w:val="00457D"/>
        </w:rPr>
        <w:br/>
      </w:r>
      <w:r w:rsidRPr="00514DA8">
        <w:rPr>
          <w:rFonts w:cs="Calibri"/>
          <w:b/>
          <w:bCs/>
          <w:color w:val="00457D"/>
        </w:rPr>
        <w:t>per tipologia di assistenza</w:t>
      </w:r>
      <w:r w:rsidRPr="00514DA8">
        <w:rPr>
          <w:rFonts w:cs="Calibri"/>
          <w:b/>
          <w:bCs/>
          <w:color w:val="00457D"/>
        </w:rPr>
        <w:br/>
      </w:r>
      <w:r w:rsidRPr="00514DA8">
        <w:rPr>
          <w:rFonts w:eastAsia="Times New Roman" w:cs="Calibri"/>
          <w:color w:val="00457D"/>
        </w:rPr>
        <w:t>(elaborazione GIMBE su dati Ministero della Salute</w:t>
      </w:r>
      <w:r w:rsidR="00EF0667">
        <w:rPr>
          <w:rFonts w:eastAsia="Times New Roman" w:cs="Calibri"/>
          <w:color w:val="00457D"/>
        </w:rPr>
        <w:t>, 2023</w:t>
      </w:r>
      <w:r w:rsidRPr="00514DA8">
        <w:rPr>
          <w:rFonts w:eastAsia="Times New Roman" w:cs="Calibri"/>
          <w:color w:val="00457D"/>
        </w:rPr>
        <w:t>)</w:t>
      </w:r>
    </w:p>
    <w:p w14:paraId="6CD84BAA" w14:textId="77777777" w:rsidR="004163E9" w:rsidRPr="00514DA8" w:rsidRDefault="004163E9" w:rsidP="004163E9">
      <w:pPr>
        <w:spacing w:after="0" w:line="240" w:lineRule="auto"/>
        <w:jc w:val="center"/>
        <w:rPr>
          <w:rFonts w:cs="Calibri"/>
        </w:rPr>
      </w:pPr>
      <w:r w:rsidRPr="00514DA8">
        <w:rPr>
          <w:rFonts w:cs="Calibri"/>
          <w:noProof/>
        </w:rPr>
        <w:drawing>
          <wp:inline distT="0" distB="0" distL="0" distR="0" wp14:anchorId="45094D15" wp14:editId="10DEF1CD">
            <wp:extent cx="5040000" cy="2856351"/>
            <wp:effectExtent l="0" t="0" r="8255" b="1270"/>
            <wp:docPr id="51054904" name="Immagine 7"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4904" name="Immagine 7" descr="Immagine che contiene testo, schermata, numero, Carattere&#10;&#10;Il contenuto generato dall'IA potrebbe non essere corret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0" cy="2856351"/>
                    </a:xfrm>
                    <a:prstGeom prst="rect">
                      <a:avLst/>
                    </a:prstGeom>
                    <a:noFill/>
                  </pic:spPr>
                </pic:pic>
              </a:graphicData>
            </a:graphic>
          </wp:inline>
        </w:drawing>
      </w:r>
    </w:p>
    <w:p w14:paraId="5C437C3C" w14:textId="77777777" w:rsidR="004163E9" w:rsidRDefault="004163E9" w:rsidP="00295B2D">
      <w:pPr>
        <w:spacing w:after="120"/>
        <w:jc w:val="center"/>
        <w:rPr>
          <w:rStyle w:val="Collegamentoipertestuale"/>
          <w:rFonts w:eastAsia="Calibri" w:cs="Calibri"/>
          <w:color w:val="auto"/>
          <w:u w:color="0563C1"/>
        </w:rPr>
      </w:pPr>
    </w:p>
    <w:p w14:paraId="4005DB49" w14:textId="77777777" w:rsidR="00D9056B" w:rsidRDefault="00D9056B" w:rsidP="004163E9">
      <w:pPr>
        <w:suppressAutoHyphens/>
        <w:jc w:val="center"/>
        <w:rPr>
          <w:rFonts w:eastAsia="Times New Roman" w:cs="Calibri"/>
          <w:b/>
          <w:bCs/>
          <w:color w:val="00457D"/>
        </w:rPr>
      </w:pPr>
    </w:p>
    <w:p w14:paraId="76BDF332" w14:textId="77777777" w:rsidR="00D9056B" w:rsidRDefault="00D9056B" w:rsidP="004163E9">
      <w:pPr>
        <w:suppressAutoHyphens/>
        <w:jc w:val="center"/>
        <w:rPr>
          <w:rFonts w:eastAsia="Times New Roman" w:cs="Calibri"/>
          <w:b/>
          <w:bCs/>
          <w:color w:val="00457D"/>
        </w:rPr>
      </w:pPr>
    </w:p>
    <w:p w14:paraId="3E4D559B" w14:textId="77777777" w:rsidR="00D9056B" w:rsidRDefault="00D9056B" w:rsidP="004163E9">
      <w:pPr>
        <w:suppressAutoHyphens/>
        <w:jc w:val="center"/>
        <w:rPr>
          <w:rFonts w:eastAsia="Times New Roman" w:cs="Calibri"/>
          <w:b/>
          <w:bCs/>
          <w:color w:val="00457D"/>
        </w:rPr>
      </w:pPr>
    </w:p>
    <w:p w14:paraId="3FBB432F" w14:textId="77777777" w:rsidR="00D9056B" w:rsidRDefault="00D9056B" w:rsidP="004163E9">
      <w:pPr>
        <w:suppressAutoHyphens/>
        <w:jc w:val="center"/>
        <w:rPr>
          <w:rFonts w:eastAsia="Times New Roman" w:cs="Calibri"/>
          <w:b/>
          <w:bCs/>
          <w:color w:val="00457D"/>
        </w:rPr>
      </w:pPr>
    </w:p>
    <w:p w14:paraId="2C41D75F" w14:textId="77777777" w:rsidR="00D9056B" w:rsidRDefault="00D9056B" w:rsidP="004163E9">
      <w:pPr>
        <w:suppressAutoHyphens/>
        <w:jc w:val="center"/>
        <w:rPr>
          <w:rFonts w:eastAsia="Times New Roman" w:cs="Calibri"/>
          <w:b/>
          <w:bCs/>
          <w:color w:val="00457D"/>
        </w:rPr>
      </w:pPr>
    </w:p>
    <w:p w14:paraId="3BFE6E40" w14:textId="77777777" w:rsidR="00D9056B" w:rsidRDefault="00D9056B" w:rsidP="004163E9">
      <w:pPr>
        <w:suppressAutoHyphens/>
        <w:jc w:val="center"/>
        <w:rPr>
          <w:rFonts w:eastAsia="Times New Roman" w:cs="Calibri"/>
          <w:b/>
          <w:bCs/>
          <w:color w:val="00457D"/>
        </w:rPr>
      </w:pPr>
    </w:p>
    <w:p w14:paraId="4914C4C1" w14:textId="77777777" w:rsidR="00D9056B" w:rsidRDefault="00D9056B" w:rsidP="004163E9">
      <w:pPr>
        <w:suppressAutoHyphens/>
        <w:jc w:val="center"/>
        <w:rPr>
          <w:rFonts w:eastAsia="Times New Roman" w:cs="Calibri"/>
          <w:b/>
          <w:bCs/>
          <w:color w:val="00457D"/>
        </w:rPr>
      </w:pPr>
    </w:p>
    <w:p w14:paraId="1ED194FD" w14:textId="77777777" w:rsidR="00D9056B" w:rsidRDefault="00D9056B" w:rsidP="004163E9">
      <w:pPr>
        <w:suppressAutoHyphens/>
        <w:jc w:val="center"/>
        <w:rPr>
          <w:rFonts w:eastAsia="Times New Roman" w:cs="Calibri"/>
          <w:b/>
          <w:bCs/>
          <w:color w:val="00457D"/>
        </w:rPr>
      </w:pPr>
    </w:p>
    <w:p w14:paraId="58EE6104" w14:textId="77777777" w:rsidR="00D9056B" w:rsidRDefault="00D9056B" w:rsidP="004163E9">
      <w:pPr>
        <w:suppressAutoHyphens/>
        <w:jc w:val="center"/>
        <w:rPr>
          <w:rFonts w:eastAsia="Times New Roman" w:cs="Calibri"/>
          <w:b/>
          <w:bCs/>
          <w:color w:val="00457D"/>
        </w:rPr>
      </w:pPr>
    </w:p>
    <w:p w14:paraId="680B6EAA" w14:textId="1D2AF29F" w:rsidR="004163E9" w:rsidRPr="00514DA8" w:rsidRDefault="004163E9" w:rsidP="004163E9">
      <w:pPr>
        <w:suppressAutoHyphens/>
        <w:jc w:val="center"/>
        <w:rPr>
          <w:rFonts w:cs="Calibri"/>
          <w:color w:val="00457D"/>
        </w:rPr>
      </w:pPr>
      <w:r w:rsidRPr="00514DA8">
        <w:rPr>
          <w:rFonts w:eastAsia="Times New Roman" w:cs="Calibri"/>
          <w:b/>
          <w:bCs/>
          <w:color w:val="00457D"/>
        </w:rPr>
        <w:lastRenderedPageBreak/>
        <w:t xml:space="preserve">Tabella </w:t>
      </w:r>
      <w:r w:rsidR="002B5FED">
        <w:rPr>
          <w:rFonts w:eastAsia="Times New Roman" w:cs="Calibri"/>
          <w:b/>
          <w:bCs/>
          <w:color w:val="00457D"/>
        </w:rPr>
        <w:t>4</w:t>
      </w:r>
      <w:r w:rsidRPr="00514DA8">
        <w:rPr>
          <w:rFonts w:eastAsia="Times New Roman" w:cs="Calibri"/>
          <w:b/>
          <w:bCs/>
          <w:color w:val="00457D"/>
        </w:rPr>
        <w:t>. Variazioni assolute 2011-2023 del numero di strutture per tipologia di assistenza erogata</w:t>
      </w:r>
      <w:r w:rsidRPr="00514DA8">
        <w:rPr>
          <w:rFonts w:eastAsia="Times New Roman" w:cs="Calibri"/>
          <w:b/>
          <w:bCs/>
          <w:color w:val="00457D"/>
        </w:rPr>
        <w:br/>
      </w:r>
      <w:r w:rsidRPr="00514DA8">
        <w:rPr>
          <w:rFonts w:eastAsia="Times New Roman" w:cs="Calibri"/>
          <w:color w:val="00457D"/>
        </w:rPr>
        <w:t>(elaborazione GIMBE su dati Ministero della Salute)</w:t>
      </w:r>
    </w:p>
    <w:tbl>
      <w:tblPr>
        <w:tblW w:w="6982"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2727"/>
        <w:gridCol w:w="1559"/>
        <w:gridCol w:w="1418"/>
        <w:gridCol w:w="1278"/>
      </w:tblGrid>
      <w:tr w:rsidR="004163E9" w:rsidRPr="00514DA8" w14:paraId="2C170E73" w14:textId="77777777" w:rsidTr="00052B40">
        <w:trPr>
          <w:trHeight w:val="300"/>
          <w:jc w:val="center"/>
        </w:trPr>
        <w:tc>
          <w:tcPr>
            <w:tcW w:w="2727" w:type="dxa"/>
            <w:tcBorders>
              <w:right w:val="single" w:sz="4" w:space="0" w:color="FFFFFF" w:themeColor="background1"/>
            </w:tcBorders>
            <w:shd w:val="clear" w:color="auto" w:fill="00457D"/>
            <w:noWrap/>
            <w:vAlign w:val="center"/>
          </w:tcPr>
          <w:p w14:paraId="70D67446" w14:textId="77777777" w:rsidR="004163E9" w:rsidRPr="00514DA8" w:rsidRDefault="004163E9" w:rsidP="00821C20">
            <w:pPr>
              <w:spacing w:after="0" w:line="240" w:lineRule="auto"/>
              <w:rPr>
                <w:rFonts w:eastAsia="Times New Roman" w:cs="Calibri"/>
                <w:b/>
                <w:bCs/>
                <w:color w:val="FFFFFF" w:themeColor="background1"/>
              </w:rPr>
            </w:pPr>
            <w:r w:rsidRPr="00514DA8">
              <w:rPr>
                <w:rFonts w:eastAsia="Times New Roman" w:cs="Calibri"/>
                <w:b/>
                <w:bCs/>
                <w:color w:val="FFFFFF" w:themeColor="background1"/>
              </w:rPr>
              <w:t>Tipologia di assistenza</w:t>
            </w:r>
          </w:p>
        </w:tc>
        <w:tc>
          <w:tcPr>
            <w:tcW w:w="1559" w:type="dxa"/>
            <w:tcBorders>
              <w:left w:val="single" w:sz="4" w:space="0" w:color="FFFFFF" w:themeColor="background1"/>
              <w:right w:val="single" w:sz="4" w:space="0" w:color="FFFFFF" w:themeColor="background1"/>
            </w:tcBorders>
            <w:shd w:val="clear" w:color="auto" w:fill="00457D"/>
            <w:noWrap/>
            <w:vAlign w:val="center"/>
          </w:tcPr>
          <w:p w14:paraId="6E378468" w14:textId="77777777" w:rsidR="004163E9" w:rsidRPr="00514DA8" w:rsidRDefault="004163E9" w:rsidP="00821C20">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Pubbliche</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62DF8809" w14:textId="77777777" w:rsidR="004163E9" w:rsidRPr="00514DA8" w:rsidRDefault="004163E9" w:rsidP="00821C20">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Private accreditate</w:t>
            </w:r>
          </w:p>
        </w:tc>
        <w:tc>
          <w:tcPr>
            <w:tcW w:w="1275" w:type="dxa"/>
            <w:tcBorders>
              <w:left w:val="single" w:sz="4" w:space="0" w:color="FFFFFF" w:themeColor="background1"/>
            </w:tcBorders>
            <w:shd w:val="clear" w:color="auto" w:fill="00457D"/>
            <w:noWrap/>
            <w:vAlign w:val="center"/>
          </w:tcPr>
          <w:p w14:paraId="34729DA8" w14:textId="77777777" w:rsidR="004163E9" w:rsidRPr="00514DA8" w:rsidRDefault="004163E9" w:rsidP="00821C20">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Totale</w:t>
            </w:r>
          </w:p>
        </w:tc>
      </w:tr>
      <w:tr w:rsidR="004163E9" w:rsidRPr="00514DA8" w14:paraId="275B531B" w14:textId="77777777" w:rsidTr="00B61C8E">
        <w:trPr>
          <w:trHeight w:val="340"/>
          <w:jc w:val="center"/>
        </w:trPr>
        <w:tc>
          <w:tcPr>
            <w:tcW w:w="2727" w:type="dxa"/>
            <w:noWrap/>
            <w:vAlign w:val="center"/>
            <w:hideMark/>
          </w:tcPr>
          <w:p w14:paraId="0B921225" w14:textId="77777777" w:rsidR="004163E9" w:rsidRPr="00514DA8" w:rsidRDefault="004163E9" w:rsidP="00821C20">
            <w:pPr>
              <w:spacing w:after="0" w:line="240" w:lineRule="auto"/>
              <w:rPr>
                <w:rFonts w:eastAsia="Times New Roman" w:cs="Calibri"/>
              </w:rPr>
            </w:pPr>
            <w:r w:rsidRPr="00514DA8">
              <w:rPr>
                <w:rFonts w:eastAsia="Times New Roman" w:cs="Calibri"/>
              </w:rPr>
              <w:t>Ospedaliera</w:t>
            </w:r>
          </w:p>
        </w:tc>
        <w:tc>
          <w:tcPr>
            <w:tcW w:w="1559" w:type="dxa"/>
            <w:noWrap/>
            <w:vAlign w:val="center"/>
            <w:hideMark/>
          </w:tcPr>
          <w:p w14:paraId="7DCECA0A" w14:textId="77777777" w:rsidR="004163E9" w:rsidRPr="00514DA8" w:rsidRDefault="004163E9" w:rsidP="00821C20">
            <w:pPr>
              <w:spacing w:after="0" w:line="240" w:lineRule="auto"/>
              <w:jc w:val="right"/>
              <w:rPr>
                <w:rFonts w:eastAsia="Times New Roman" w:cs="Calibri"/>
              </w:rPr>
            </w:pPr>
            <w:r w:rsidRPr="00514DA8">
              <w:rPr>
                <w:rFonts w:cs="Calibri"/>
              </w:rPr>
              <w:t>-84</w:t>
            </w:r>
          </w:p>
        </w:tc>
        <w:tc>
          <w:tcPr>
            <w:tcW w:w="1418" w:type="dxa"/>
            <w:noWrap/>
            <w:vAlign w:val="center"/>
            <w:hideMark/>
          </w:tcPr>
          <w:p w14:paraId="0129CF1B" w14:textId="77777777" w:rsidR="004163E9" w:rsidRPr="00514DA8" w:rsidRDefault="004163E9" w:rsidP="00821C20">
            <w:pPr>
              <w:spacing w:after="0" w:line="240" w:lineRule="auto"/>
              <w:jc w:val="right"/>
              <w:rPr>
                <w:rFonts w:eastAsia="Times New Roman" w:cs="Calibri"/>
              </w:rPr>
            </w:pPr>
            <w:r w:rsidRPr="00514DA8">
              <w:rPr>
                <w:rFonts w:cs="Calibri"/>
              </w:rPr>
              <w:t>-40</w:t>
            </w:r>
          </w:p>
        </w:tc>
        <w:tc>
          <w:tcPr>
            <w:tcW w:w="1275" w:type="dxa"/>
            <w:noWrap/>
            <w:vAlign w:val="center"/>
            <w:hideMark/>
          </w:tcPr>
          <w:p w14:paraId="3BFB00D2" w14:textId="77777777" w:rsidR="004163E9" w:rsidRPr="00514DA8" w:rsidRDefault="004163E9" w:rsidP="00821C20">
            <w:pPr>
              <w:spacing w:after="0" w:line="240" w:lineRule="auto"/>
              <w:jc w:val="right"/>
              <w:rPr>
                <w:rFonts w:eastAsia="Times New Roman" w:cs="Calibri"/>
              </w:rPr>
            </w:pPr>
            <w:r w:rsidRPr="00514DA8">
              <w:rPr>
                <w:rFonts w:cs="Calibri"/>
              </w:rPr>
              <w:t>-124</w:t>
            </w:r>
          </w:p>
        </w:tc>
      </w:tr>
      <w:tr w:rsidR="004163E9" w:rsidRPr="00514DA8" w14:paraId="223DC0B0" w14:textId="77777777" w:rsidTr="00B61C8E">
        <w:trPr>
          <w:trHeight w:val="340"/>
          <w:jc w:val="center"/>
        </w:trPr>
        <w:tc>
          <w:tcPr>
            <w:tcW w:w="2727" w:type="dxa"/>
            <w:noWrap/>
            <w:vAlign w:val="center"/>
            <w:hideMark/>
          </w:tcPr>
          <w:p w14:paraId="758FF771" w14:textId="77777777" w:rsidR="004163E9" w:rsidRPr="00514DA8" w:rsidRDefault="004163E9" w:rsidP="00821C20">
            <w:pPr>
              <w:spacing w:after="0" w:line="240" w:lineRule="auto"/>
              <w:rPr>
                <w:rFonts w:eastAsia="Times New Roman" w:cs="Calibri"/>
              </w:rPr>
            </w:pPr>
            <w:r w:rsidRPr="00514DA8">
              <w:rPr>
                <w:rFonts w:eastAsia="Times New Roman" w:cs="Calibri"/>
              </w:rPr>
              <w:t>Specialistica ambulatoriale</w:t>
            </w:r>
          </w:p>
        </w:tc>
        <w:tc>
          <w:tcPr>
            <w:tcW w:w="1559" w:type="dxa"/>
            <w:noWrap/>
            <w:vAlign w:val="center"/>
            <w:hideMark/>
          </w:tcPr>
          <w:p w14:paraId="2F149294" w14:textId="77777777" w:rsidR="004163E9" w:rsidRPr="00514DA8" w:rsidRDefault="004163E9" w:rsidP="00821C20">
            <w:pPr>
              <w:spacing w:after="0" w:line="240" w:lineRule="auto"/>
              <w:jc w:val="right"/>
              <w:rPr>
                <w:rFonts w:eastAsia="Times New Roman" w:cs="Calibri"/>
              </w:rPr>
            </w:pPr>
            <w:r w:rsidRPr="00514DA8">
              <w:rPr>
                <w:rFonts w:cs="Calibri"/>
              </w:rPr>
              <w:t>-219</w:t>
            </w:r>
          </w:p>
        </w:tc>
        <w:tc>
          <w:tcPr>
            <w:tcW w:w="1418" w:type="dxa"/>
            <w:noWrap/>
            <w:vAlign w:val="center"/>
            <w:hideMark/>
          </w:tcPr>
          <w:p w14:paraId="4347FA3A" w14:textId="77777777" w:rsidR="004163E9" w:rsidRPr="00514DA8" w:rsidRDefault="004163E9" w:rsidP="00821C20">
            <w:pPr>
              <w:spacing w:after="0" w:line="240" w:lineRule="auto"/>
              <w:jc w:val="right"/>
              <w:rPr>
                <w:rFonts w:eastAsia="Times New Roman" w:cs="Calibri"/>
              </w:rPr>
            </w:pPr>
            <w:r w:rsidRPr="00514DA8">
              <w:rPr>
                <w:rFonts w:cs="Calibri"/>
              </w:rPr>
              <w:t>-141</w:t>
            </w:r>
          </w:p>
        </w:tc>
        <w:tc>
          <w:tcPr>
            <w:tcW w:w="1275" w:type="dxa"/>
            <w:noWrap/>
            <w:vAlign w:val="center"/>
            <w:hideMark/>
          </w:tcPr>
          <w:p w14:paraId="3B576155" w14:textId="77777777" w:rsidR="004163E9" w:rsidRPr="00514DA8" w:rsidRDefault="004163E9" w:rsidP="00821C20">
            <w:pPr>
              <w:spacing w:after="0" w:line="240" w:lineRule="auto"/>
              <w:jc w:val="right"/>
              <w:rPr>
                <w:rFonts w:eastAsia="Times New Roman" w:cs="Calibri"/>
              </w:rPr>
            </w:pPr>
            <w:r w:rsidRPr="00514DA8">
              <w:rPr>
                <w:rFonts w:cs="Calibri"/>
              </w:rPr>
              <w:t>-360</w:t>
            </w:r>
          </w:p>
        </w:tc>
      </w:tr>
      <w:tr w:rsidR="004163E9" w:rsidRPr="00514DA8" w14:paraId="41ADCB1E" w14:textId="77777777" w:rsidTr="00B61C8E">
        <w:trPr>
          <w:trHeight w:val="340"/>
          <w:jc w:val="center"/>
        </w:trPr>
        <w:tc>
          <w:tcPr>
            <w:tcW w:w="2727" w:type="dxa"/>
            <w:noWrap/>
            <w:vAlign w:val="center"/>
            <w:hideMark/>
          </w:tcPr>
          <w:p w14:paraId="3615EC5E" w14:textId="77777777" w:rsidR="004163E9" w:rsidRPr="00514DA8" w:rsidRDefault="004163E9" w:rsidP="00821C20">
            <w:pPr>
              <w:spacing w:after="0" w:line="240" w:lineRule="auto"/>
              <w:rPr>
                <w:rFonts w:eastAsia="Times New Roman" w:cs="Calibri"/>
              </w:rPr>
            </w:pPr>
            <w:r w:rsidRPr="00514DA8">
              <w:rPr>
                <w:rFonts w:eastAsia="Times New Roman" w:cs="Calibri"/>
              </w:rPr>
              <w:t>Residenziale</w:t>
            </w:r>
          </w:p>
        </w:tc>
        <w:tc>
          <w:tcPr>
            <w:tcW w:w="1559" w:type="dxa"/>
            <w:noWrap/>
            <w:vAlign w:val="center"/>
            <w:hideMark/>
          </w:tcPr>
          <w:p w14:paraId="0219901E" w14:textId="77777777" w:rsidR="004163E9" w:rsidRPr="00514DA8" w:rsidRDefault="004163E9" w:rsidP="00821C20">
            <w:pPr>
              <w:spacing w:after="0" w:line="240" w:lineRule="auto"/>
              <w:jc w:val="right"/>
              <w:rPr>
                <w:rFonts w:eastAsia="Times New Roman" w:cs="Calibri"/>
              </w:rPr>
            </w:pPr>
            <w:r w:rsidRPr="00514DA8">
              <w:rPr>
                <w:rFonts w:cs="Calibri"/>
              </w:rPr>
              <w:t>-286</w:t>
            </w:r>
          </w:p>
        </w:tc>
        <w:tc>
          <w:tcPr>
            <w:tcW w:w="1418" w:type="dxa"/>
            <w:noWrap/>
            <w:vAlign w:val="center"/>
            <w:hideMark/>
          </w:tcPr>
          <w:p w14:paraId="29BA8AB1" w14:textId="77777777" w:rsidR="004163E9" w:rsidRPr="00514DA8" w:rsidRDefault="004163E9" w:rsidP="00821C20">
            <w:pPr>
              <w:spacing w:after="0" w:line="240" w:lineRule="auto"/>
              <w:jc w:val="right"/>
              <w:rPr>
                <w:rFonts w:eastAsia="Times New Roman" w:cs="Calibri"/>
              </w:rPr>
            </w:pPr>
            <w:r w:rsidRPr="00514DA8">
              <w:rPr>
                <w:rFonts w:cs="Calibri"/>
              </w:rPr>
              <w:t>+2.017</w:t>
            </w:r>
          </w:p>
        </w:tc>
        <w:tc>
          <w:tcPr>
            <w:tcW w:w="1275" w:type="dxa"/>
            <w:noWrap/>
            <w:vAlign w:val="center"/>
            <w:hideMark/>
          </w:tcPr>
          <w:p w14:paraId="74678031" w14:textId="77777777" w:rsidR="004163E9" w:rsidRPr="00514DA8" w:rsidRDefault="004163E9" w:rsidP="00821C20">
            <w:pPr>
              <w:spacing w:after="0" w:line="240" w:lineRule="auto"/>
              <w:jc w:val="right"/>
              <w:rPr>
                <w:rFonts w:eastAsia="Times New Roman" w:cs="Calibri"/>
              </w:rPr>
            </w:pPr>
            <w:r w:rsidRPr="00514DA8">
              <w:rPr>
                <w:rFonts w:cs="Calibri"/>
              </w:rPr>
              <w:t>+1.731</w:t>
            </w:r>
          </w:p>
        </w:tc>
      </w:tr>
      <w:tr w:rsidR="004163E9" w:rsidRPr="00514DA8" w14:paraId="49878D64" w14:textId="77777777" w:rsidTr="00B61C8E">
        <w:trPr>
          <w:trHeight w:val="340"/>
          <w:jc w:val="center"/>
        </w:trPr>
        <w:tc>
          <w:tcPr>
            <w:tcW w:w="2727" w:type="dxa"/>
            <w:noWrap/>
            <w:vAlign w:val="center"/>
            <w:hideMark/>
          </w:tcPr>
          <w:p w14:paraId="4356065B" w14:textId="77777777" w:rsidR="004163E9" w:rsidRPr="00514DA8" w:rsidRDefault="004163E9" w:rsidP="00821C20">
            <w:pPr>
              <w:spacing w:after="0" w:line="240" w:lineRule="auto"/>
              <w:rPr>
                <w:rFonts w:eastAsia="Times New Roman" w:cs="Calibri"/>
              </w:rPr>
            </w:pPr>
            <w:r w:rsidRPr="00514DA8">
              <w:rPr>
                <w:rFonts w:eastAsia="Times New Roman" w:cs="Calibri"/>
              </w:rPr>
              <w:t>Semi-residenziale</w:t>
            </w:r>
          </w:p>
        </w:tc>
        <w:tc>
          <w:tcPr>
            <w:tcW w:w="1559" w:type="dxa"/>
            <w:noWrap/>
            <w:vAlign w:val="center"/>
            <w:hideMark/>
          </w:tcPr>
          <w:p w14:paraId="563E9D56" w14:textId="77777777" w:rsidR="004163E9" w:rsidRPr="00514DA8" w:rsidRDefault="004163E9" w:rsidP="00821C20">
            <w:pPr>
              <w:spacing w:after="0" w:line="240" w:lineRule="auto"/>
              <w:jc w:val="right"/>
              <w:rPr>
                <w:rFonts w:eastAsia="Times New Roman" w:cs="Calibri"/>
              </w:rPr>
            </w:pPr>
            <w:r w:rsidRPr="00514DA8">
              <w:rPr>
                <w:rFonts w:cs="Calibri"/>
              </w:rPr>
              <w:t>-115</w:t>
            </w:r>
          </w:p>
        </w:tc>
        <w:tc>
          <w:tcPr>
            <w:tcW w:w="1418" w:type="dxa"/>
            <w:noWrap/>
            <w:vAlign w:val="center"/>
            <w:hideMark/>
          </w:tcPr>
          <w:p w14:paraId="3B26C2A3" w14:textId="77777777" w:rsidR="004163E9" w:rsidRPr="00514DA8" w:rsidRDefault="004163E9" w:rsidP="00821C20">
            <w:pPr>
              <w:spacing w:after="0" w:line="240" w:lineRule="auto"/>
              <w:jc w:val="right"/>
              <w:rPr>
                <w:rFonts w:eastAsia="Times New Roman" w:cs="Calibri"/>
              </w:rPr>
            </w:pPr>
            <w:r w:rsidRPr="00514DA8">
              <w:rPr>
                <w:rFonts w:cs="Calibri"/>
              </w:rPr>
              <w:t>+613</w:t>
            </w:r>
          </w:p>
        </w:tc>
        <w:tc>
          <w:tcPr>
            <w:tcW w:w="1275" w:type="dxa"/>
            <w:noWrap/>
            <w:vAlign w:val="center"/>
            <w:hideMark/>
          </w:tcPr>
          <w:p w14:paraId="5905AB40" w14:textId="77777777" w:rsidR="004163E9" w:rsidRPr="00514DA8" w:rsidRDefault="004163E9" w:rsidP="00821C20">
            <w:pPr>
              <w:spacing w:after="0" w:line="240" w:lineRule="auto"/>
              <w:jc w:val="right"/>
              <w:rPr>
                <w:rFonts w:eastAsia="Times New Roman" w:cs="Calibri"/>
              </w:rPr>
            </w:pPr>
            <w:r w:rsidRPr="00514DA8">
              <w:rPr>
                <w:rFonts w:cs="Calibri"/>
              </w:rPr>
              <w:t>+498</w:t>
            </w:r>
          </w:p>
        </w:tc>
      </w:tr>
      <w:tr w:rsidR="004163E9" w:rsidRPr="00514DA8" w14:paraId="04343F8F" w14:textId="77777777" w:rsidTr="00B61C8E">
        <w:trPr>
          <w:trHeight w:val="340"/>
          <w:jc w:val="center"/>
        </w:trPr>
        <w:tc>
          <w:tcPr>
            <w:tcW w:w="2727" w:type="dxa"/>
            <w:noWrap/>
            <w:vAlign w:val="center"/>
            <w:hideMark/>
          </w:tcPr>
          <w:p w14:paraId="704818AE" w14:textId="77777777" w:rsidR="004163E9" w:rsidRPr="00514DA8" w:rsidRDefault="004163E9" w:rsidP="00821C20">
            <w:pPr>
              <w:spacing w:after="0" w:line="240" w:lineRule="auto"/>
              <w:rPr>
                <w:rFonts w:eastAsia="Times New Roman" w:cs="Calibri"/>
              </w:rPr>
            </w:pPr>
            <w:r w:rsidRPr="00514DA8">
              <w:rPr>
                <w:rFonts w:eastAsia="Times New Roman" w:cs="Calibri"/>
              </w:rPr>
              <w:t>Riabilitativa</w:t>
            </w:r>
          </w:p>
        </w:tc>
        <w:tc>
          <w:tcPr>
            <w:tcW w:w="1559" w:type="dxa"/>
            <w:noWrap/>
            <w:vAlign w:val="center"/>
            <w:hideMark/>
          </w:tcPr>
          <w:p w14:paraId="18E7C5DF" w14:textId="77777777" w:rsidR="004163E9" w:rsidRPr="00514DA8" w:rsidRDefault="004163E9" w:rsidP="00821C20">
            <w:pPr>
              <w:spacing w:after="0" w:line="240" w:lineRule="auto"/>
              <w:jc w:val="right"/>
              <w:rPr>
                <w:rFonts w:eastAsia="Times New Roman" w:cs="Calibri"/>
              </w:rPr>
            </w:pPr>
            <w:r w:rsidRPr="00514DA8">
              <w:rPr>
                <w:rFonts w:cs="Calibri"/>
              </w:rPr>
              <w:t>+13</w:t>
            </w:r>
          </w:p>
        </w:tc>
        <w:tc>
          <w:tcPr>
            <w:tcW w:w="1418" w:type="dxa"/>
            <w:noWrap/>
            <w:vAlign w:val="center"/>
            <w:hideMark/>
          </w:tcPr>
          <w:p w14:paraId="0E9EBCD4" w14:textId="77777777" w:rsidR="004163E9" w:rsidRPr="00514DA8" w:rsidRDefault="004163E9" w:rsidP="00821C20">
            <w:pPr>
              <w:spacing w:after="0" w:line="240" w:lineRule="auto"/>
              <w:jc w:val="right"/>
              <w:rPr>
                <w:rFonts w:eastAsia="Times New Roman" w:cs="Calibri"/>
              </w:rPr>
            </w:pPr>
            <w:r w:rsidRPr="00514DA8">
              <w:rPr>
                <w:rFonts w:cs="Calibri"/>
              </w:rPr>
              <w:t>+197</w:t>
            </w:r>
          </w:p>
        </w:tc>
        <w:tc>
          <w:tcPr>
            <w:tcW w:w="1275" w:type="dxa"/>
            <w:noWrap/>
            <w:vAlign w:val="center"/>
            <w:hideMark/>
          </w:tcPr>
          <w:p w14:paraId="7ABEC90F" w14:textId="77777777" w:rsidR="004163E9" w:rsidRPr="00514DA8" w:rsidRDefault="004163E9" w:rsidP="00821C20">
            <w:pPr>
              <w:spacing w:after="0" w:line="240" w:lineRule="auto"/>
              <w:jc w:val="right"/>
              <w:rPr>
                <w:rFonts w:eastAsia="Times New Roman" w:cs="Calibri"/>
              </w:rPr>
            </w:pPr>
            <w:r w:rsidRPr="00514DA8">
              <w:rPr>
                <w:rFonts w:cs="Calibri"/>
              </w:rPr>
              <w:t>+210</w:t>
            </w:r>
          </w:p>
        </w:tc>
      </w:tr>
      <w:tr w:rsidR="004163E9" w:rsidRPr="00514DA8" w14:paraId="00233958" w14:textId="77777777" w:rsidTr="00B61C8E">
        <w:trPr>
          <w:trHeight w:val="340"/>
          <w:jc w:val="center"/>
        </w:trPr>
        <w:tc>
          <w:tcPr>
            <w:tcW w:w="2727" w:type="dxa"/>
            <w:noWrap/>
            <w:vAlign w:val="center"/>
            <w:hideMark/>
          </w:tcPr>
          <w:p w14:paraId="63771535" w14:textId="7C97092E" w:rsidR="004163E9" w:rsidRPr="00514DA8" w:rsidRDefault="004163E9" w:rsidP="00821C20">
            <w:pPr>
              <w:spacing w:after="0" w:line="240" w:lineRule="auto"/>
              <w:rPr>
                <w:rFonts w:eastAsia="Times New Roman" w:cs="Calibri"/>
              </w:rPr>
            </w:pPr>
            <w:r w:rsidRPr="00514DA8">
              <w:rPr>
                <w:rFonts w:eastAsia="Times New Roman" w:cs="Calibri"/>
              </w:rPr>
              <w:t>Altra assistenza territoriale</w:t>
            </w:r>
            <w:r w:rsidR="00052B40" w:rsidRPr="00052B40">
              <w:rPr>
                <w:rFonts w:eastAsia="Times New Roman" w:cs="Calibri"/>
                <w:vertAlign w:val="superscript"/>
              </w:rPr>
              <w:t>*</w:t>
            </w:r>
          </w:p>
        </w:tc>
        <w:tc>
          <w:tcPr>
            <w:tcW w:w="1559" w:type="dxa"/>
            <w:noWrap/>
            <w:vAlign w:val="center"/>
            <w:hideMark/>
          </w:tcPr>
          <w:p w14:paraId="6A757E4C" w14:textId="77777777" w:rsidR="004163E9" w:rsidRPr="00514DA8" w:rsidRDefault="004163E9" w:rsidP="00821C20">
            <w:pPr>
              <w:spacing w:after="0" w:line="240" w:lineRule="auto"/>
              <w:jc w:val="right"/>
              <w:rPr>
                <w:rFonts w:eastAsia="Times New Roman" w:cs="Calibri"/>
              </w:rPr>
            </w:pPr>
            <w:r w:rsidRPr="00514DA8">
              <w:rPr>
                <w:rFonts w:cs="Calibri"/>
              </w:rPr>
              <w:t>+913</w:t>
            </w:r>
          </w:p>
        </w:tc>
        <w:tc>
          <w:tcPr>
            <w:tcW w:w="1418" w:type="dxa"/>
            <w:noWrap/>
            <w:vAlign w:val="center"/>
            <w:hideMark/>
          </w:tcPr>
          <w:p w14:paraId="387B26F7" w14:textId="77777777" w:rsidR="004163E9" w:rsidRPr="00514DA8" w:rsidRDefault="004163E9" w:rsidP="00821C20">
            <w:pPr>
              <w:spacing w:after="0" w:line="240" w:lineRule="auto"/>
              <w:jc w:val="right"/>
              <w:rPr>
                <w:rFonts w:eastAsia="Times New Roman" w:cs="Calibri"/>
              </w:rPr>
            </w:pPr>
            <w:r w:rsidRPr="00514DA8">
              <w:rPr>
                <w:rFonts w:cs="Calibri"/>
              </w:rPr>
              <w:t>+246</w:t>
            </w:r>
          </w:p>
        </w:tc>
        <w:tc>
          <w:tcPr>
            <w:tcW w:w="1275" w:type="dxa"/>
            <w:noWrap/>
            <w:vAlign w:val="center"/>
            <w:hideMark/>
          </w:tcPr>
          <w:p w14:paraId="6792A726" w14:textId="77777777" w:rsidR="004163E9" w:rsidRPr="00514DA8" w:rsidRDefault="004163E9" w:rsidP="00821C20">
            <w:pPr>
              <w:spacing w:after="0" w:line="240" w:lineRule="auto"/>
              <w:jc w:val="right"/>
              <w:rPr>
                <w:rFonts w:eastAsia="Times New Roman" w:cs="Calibri"/>
              </w:rPr>
            </w:pPr>
            <w:r w:rsidRPr="00514DA8">
              <w:rPr>
                <w:rFonts w:cs="Calibri"/>
              </w:rPr>
              <w:t>+1.159</w:t>
            </w:r>
          </w:p>
        </w:tc>
      </w:tr>
      <w:tr w:rsidR="00052B40" w:rsidRPr="00514DA8" w14:paraId="12AC6CDA" w14:textId="77777777" w:rsidTr="00052B40">
        <w:trPr>
          <w:trHeight w:val="510"/>
          <w:jc w:val="center"/>
        </w:trPr>
        <w:tc>
          <w:tcPr>
            <w:tcW w:w="6982" w:type="dxa"/>
            <w:gridSpan w:val="4"/>
            <w:noWrap/>
            <w:vAlign w:val="center"/>
          </w:tcPr>
          <w:p w14:paraId="24DB788D" w14:textId="49482831" w:rsidR="00052B40" w:rsidRPr="00F74FC1" w:rsidRDefault="00052B40" w:rsidP="00312C90">
            <w:pPr>
              <w:spacing w:after="0" w:line="240" w:lineRule="auto"/>
              <w:rPr>
                <w:rFonts w:eastAsia="Times New Roman" w:cs="Calibri"/>
                <w:sz w:val="16"/>
                <w:szCs w:val="16"/>
              </w:rPr>
            </w:pPr>
            <w:r w:rsidRPr="00052B40">
              <w:rPr>
                <w:rFonts w:eastAsia="Times New Roman" w:cs="Calibri"/>
                <w:sz w:val="12"/>
                <w:szCs w:val="12"/>
                <w:vertAlign w:val="superscript"/>
              </w:rPr>
              <w:br/>
            </w:r>
            <w:r w:rsidRPr="00F74FC1">
              <w:rPr>
                <w:rFonts w:eastAsia="Times New Roman" w:cs="Calibri"/>
                <w:sz w:val="16"/>
                <w:szCs w:val="16"/>
                <w:vertAlign w:val="superscript"/>
              </w:rPr>
              <w:t>*</w:t>
            </w:r>
            <w:r w:rsidRPr="00F74FC1">
              <w:rPr>
                <w:rFonts w:eastAsia="Times New Roman" w:cs="Calibri"/>
                <w:sz w:val="16"/>
                <w:szCs w:val="16"/>
              </w:rPr>
              <w:t>Centri dialisi ad assistenza limitata, stabilimenti idrotermali, centri di salute mentale, consultori familiari e centri distrettuali.</w:t>
            </w:r>
          </w:p>
        </w:tc>
      </w:tr>
    </w:tbl>
    <w:p w14:paraId="1D09CA03" w14:textId="77777777" w:rsidR="004163E9" w:rsidRDefault="004163E9" w:rsidP="004163E9">
      <w:pPr>
        <w:spacing w:after="0" w:line="240" w:lineRule="auto"/>
        <w:jc w:val="center"/>
        <w:rPr>
          <w:rFonts w:cs="Calibri"/>
        </w:rPr>
      </w:pPr>
    </w:p>
    <w:p w14:paraId="6896AD2E" w14:textId="77777777" w:rsidR="0048071F" w:rsidRDefault="0048071F" w:rsidP="004163E9">
      <w:pPr>
        <w:suppressAutoHyphens/>
        <w:jc w:val="center"/>
        <w:rPr>
          <w:rFonts w:cs="Calibri"/>
          <w:b/>
          <w:bCs/>
          <w:color w:val="00457D"/>
        </w:rPr>
      </w:pPr>
    </w:p>
    <w:p w14:paraId="0519612D" w14:textId="306F809B" w:rsidR="004163E9" w:rsidRPr="004163E9" w:rsidRDefault="004163E9" w:rsidP="004163E9">
      <w:pPr>
        <w:suppressAutoHyphens/>
        <w:jc w:val="center"/>
        <w:rPr>
          <w:rFonts w:cs="Calibri"/>
          <w:b/>
          <w:bCs/>
          <w:color w:val="00457D"/>
        </w:rPr>
      </w:pPr>
      <w:r w:rsidRPr="00514DA8">
        <w:rPr>
          <w:rFonts w:cs="Calibri"/>
          <w:b/>
          <w:bCs/>
          <w:color w:val="00457D"/>
        </w:rPr>
        <w:t xml:space="preserve">Figura </w:t>
      </w:r>
      <w:r>
        <w:rPr>
          <w:rFonts w:cs="Calibri"/>
          <w:b/>
          <w:bCs/>
          <w:color w:val="00457D"/>
        </w:rPr>
        <w:t>3</w:t>
      </w:r>
      <w:r w:rsidRPr="00514DA8">
        <w:rPr>
          <w:rFonts w:cs="Calibri"/>
          <w:b/>
          <w:bCs/>
          <w:color w:val="00457D"/>
        </w:rPr>
        <w:t xml:space="preserve">. Variazione percentuale delle strutture pubbliche e private accreditate </w:t>
      </w:r>
      <w:r>
        <w:rPr>
          <w:rFonts w:cs="Calibri"/>
          <w:b/>
          <w:bCs/>
          <w:color w:val="00457D"/>
        </w:rPr>
        <w:br/>
      </w:r>
      <w:r w:rsidRPr="00514DA8">
        <w:rPr>
          <w:rFonts w:cs="Calibri"/>
          <w:b/>
          <w:bCs/>
          <w:color w:val="00457D"/>
        </w:rPr>
        <w:t>per tipologia di assistenza tra il 2011 e il 2023</w:t>
      </w:r>
      <w:r w:rsidRPr="00514DA8">
        <w:rPr>
          <w:rFonts w:cs="Calibri"/>
          <w:b/>
          <w:bCs/>
          <w:color w:val="00457D"/>
        </w:rPr>
        <w:br/>
      </w:r>
      <w:r w:rsidRPr="00514DA8">
        <w:rPr>
          <w:rFonts w:eastAsia="Times New Roman" w:cs="Calibri"/>
          <w:color w:val="00457D"/>
        </w:rPr>
        <w:t>(elaborazione GIMBE su dati Ministero della Salute)</w:t>
      </w:r>
    </w:p>
    <w:p w14:paraId="70D4297D" w14:textId="1B97A45E" w:rsidR="004163E9" w:rsidRPr="00514DA8" w:rsidRDefault="004163E9" w:rsidP="004163E9">
      <w:pPr>
        <w:spacing w:after="0" w:line="240" w:lineRule="auto"/>
        <w:jc w:val="center"/>
        <w:rPr>
          <w:rFonts w:cs="Calibri"/>
        </w:rPr>
      </w:pPr>
      <w:r w:rsidRPr="00514DA8">
        <w:rPr>
          <w:rFonts w:cs="Calibri"/>
          <w:noProof/>
        </w:rPr>
        <w:drawing>
          <wp:inline distT="0" distB="0" distL="0" distR="0" wp14:anchorId="77F67EDB" wp14:editId="466D8B66">
            <wp:extent cx="5040000" cy="3128346"/>
            <wp:effectExtent l="0" t="0" r="8255" b="0"/>
            <wp:docPr id="107784280" name="Immagine 8"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4280" name="Immagine 8" descr="Immagine che contiene testo, schermata, numero, Carattere&#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0000" cy="3128346"/>
                    </a:xfrm>
                    <a:prstGeom prst="rect">
                      <a:avLst/>
                    </a:prstGeom>
                    <a:noFill/>
                  </pic:spPr>
                </pic:pic>
              </a:graphicData>
            </a:graphic>
          </wp:inline>
        </w:drawing>
      </w:r>
    </w:p>
    <w:p w14:paraId="203DA3DC" w14:textId="29D6D951" w:rsidR="004163E9" w:rsidRDefault="004163E9" w:rsidP="00295B2D">
      <w:pPr>
        <w:spacing w:after="120"/>
        <w:jc w:val="center"/>
        <w:rPr>
          <w:rStyle w:val="Collegamentoipertestuale"/>
          <w:rFonts w:eastAsia="Calibri" w:cs="Calibri"/>
          <w:color w:val="auto"/>
          <w:u w:color="0563C1"/>
        </w:rPr>
      </w:pPr>
    </w:p>
    <w:p w14:paraId="7C1DC20B" w14:textId="77777777" w:rsidR="00D9056B" w:rsidRDefault="00D9056B" w:rsidP="008343E8">
      <w:pPr>
        <w:spacing w:after="0" w:line="240" w:lineRule="auto"/>
        <w:rPr>
          <w:rFonts w:cs="Calibri"/>
        </w:rPr>
      </w:pPr>
    </w:p>
    <w:p w14:paraId="1CAA1F60" w14:textId="13AA7AAE" w:rsidR="00D9056B" w:rsidRPr="00514DA8" w:rsidRDefault="00D9056B" w:rsidP="00D9056B">
      <w:pPr>
        <w:suppressAutoHyphens/>
        <w:jc w:val="center"/>
        <w:rPr>
          <w:rFonts w:cs="Calibri"/>
          <w:color w:val="00457D"/>
        </w:rPr>
      </w:pPr>
      <w:r w:rsidRPr="00514DA8">
        <w:rPr>
          <w:rFonts w:eastAsia="Times New Roman" w:cs="Calibri"/>
          <w:b/>
          <w:bCs/>
          <w:color w:val="00457D"/>
        </w:rPr>
        <w:t xml:space="preserve">Tabella </w:t>
      </w:r>
      <w:r w:rsidR="002B5FED">
        <w:rPr>
          <w:rFonts w:eastAsia="Times New Roman" w:cs="Calibri"/>
          <w:b/>
          <w:bCs/>
          <w:color w:val="00457D"/>
        </w:rPr>
        <w:t>5</w:t>
      </w:r>
      <w:r w:rsidRPr="00514DA8">
        <w:rPr>
          <w:rFonts w:eastAsia="Times New Roman" w:cs="Calibri"/>
          <w:b/>
          <w:bCs/>
          <w:color w:val="00457D"/>
        </w:rPr>
        <w:t xml:space="preserve">. </w:t>
      </w:r>
      <w:r w:rsidR="00EF0667">
        <w:rPr>
          <w:rFonts w:eastAsia="Times New Roman" w:cs="Calibri"/>
          <w:b/>
          <w:bCs/>
          <w:color w:val="00457D"/>
        </w:rPr>
        <w:t xml:space="preserve">Incrementi </w:t>
      </w:r>
      <w:r w:rsidRPr="00C73ED1">
        <w:rPr>
          <w:rFonts w:eastAsia="Times New Roman" w:cs="Calibri"/>
          <w:b/>
          <w:bCs/>
          <w:color w:val="00457D"/>
        </w:rPr>
        <w:t>del tetto di spesa per gli acquisti di prestazioni sanitarie da privati</w:t>
      </w:r>
    </w:p>
    <w:tbl>
      <w:tblPr>
        <w:tblW w:w="7220"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3391"/>
        <w:gridCol w:w="1418"/>
        <w:gridCol w:w="1275"/>
        <w:gridCol w:w="1136"/>
      </w:tblGrid>
      <w:tr w:rsidR="00D9056B" w:rsidRPr="00514DA8" w14:paraId="0FC65840" w14:textId="77777777" w:rsidTr="00EF0667">
        <w:trPr>
          <w:trHeight w:val="397"/>
          <w:jc w:val="center"/>
        </w:trPr>
        <w:tc>
          <w:tcPr>
            <w:tcW w:w="3391" w:type="dxa"/>
            <w:tcBorders>
              <w:right w:val="single" w:sz="4" w:space="0" w:color="FFFFFF" w:themeColor="background1"/>
            </w:tcBorders>
            <w:shd w:val="clear" w:color="auto" w:fill="00457D"/>
            <w:noWrap/>
            <w:vAlign w:val="center"/>
          </w:tcPr>
          <w:p w14:paraId="4582779F" w14:textId="77777777" w:rsidR="00D9056B" w:rsidRPr="00514DA8" w:rsidRDefault="00D9056B" w:rsidP="00821C20">
            <w:pPr>
              <w:spacing w:after="0" w:line="240" w:lineRule="auto"/>
              <w:rPr>
                <w:rFonts w:eastAsia="Times New Roman" w:cs="Calibri"/>
                <w:b/>
                <w:bCs/>
                <w:color w:val="FFFFFF" w:themeColor="background1"/>
              </w:rPr>
            </w:pPr>
            <w:r>
              <w:rPr>
                <w:rFonts w:eastAsia="Times New Roman" w:cs="Calibri"/>
                <w:b/>
                <w:bCs/>
                <w:color w:val="FFFFFF" w:themeColor="background1"/>
              </w:rPr>
              <w:t>Disposizione</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3933EF1F" w14:textId="77777777" w:rsidR="00D9056B" w:rsidRPr="00514DA8" w:rsidRDefault="00D9056B" w:rsidP="00821C20">
            <w:pPr>
              <w:spacing w:after="0" w:line="240" w:lineRule="auto"/>
              <w:jc w:val="center"/>
              <w:rPr>
                <w:rFonts w:eastAsia="Times New Roman" w:cs="Calibri"/>
                <w:b/>
                <w:bCs/>
                <w:color w:val="FFFFFF" w:themeColor="background1"/>
              </w:rPr>
            </w:pPr>
            <w:r>
              <w:rPr>
                <w:rFonts w:eastAsia="Times New Roman" w:cs="Calibri"/>
                <w:b/>
                <w:bCs/>
                <w:color w:val="FFFFFF" w:themeColor="background1"/>
              </w:rPr>
              <w:t>2024</w:t>
            </w:r>
          </w:p>
        </w:tc>
        <w:tc>
          <w:tcPr>
            <w:tcW w:w="1275" w:type="dxa"/>
            <w:tcBorders>
              <w:left w:val="single" w:sz="4" w:space="0" w:color="FFFFFF" w:themeColor="background1"/>
              <w:right w:val="single" w:sz="4" w:space="0" w:color="FFFFFF" w:themeColor="background1"/>
            </w:tcBorders>
            <w:shd w:val="clear" w:color="auto" w:fill="00457D"/>
            <w:noWrap/>
            <w:vAlign w:val="center"/>
          </w:tcPr>
          <w:p w14:paraId="1869425E" w14:textId="77777777" w:rsidR="00D9056B" w:rsidRPr="00514DA8" w:rsidRDefault="00D9056B" w:rsidP="00821C20">
            <w:pPr>
              <w:spacing w:after="0" w:line="240" w:lineRule="auto"/>
              <w:jc w:val="center"/>
              <w:rPr>
                <w:rFonts w:eastAsia="Times New Roman" w:cs="Calibri"/>
                <w:b/>
                <w:bCs/>
                <w:color w:val="FFFFFF" w:themeColor="background1"/>
              </w:rPr>
            </w:pPr>
            <w:r>
              <w:rPr>
                <w:rFonts w:eastAsia="Times New Roman" w:cs="Calibri"/>
                <w:b/>
                <w:bCs/>
                <w:color w:val="FFFFFF" w:themeColor="background1"/>
              </w:rPr>
              <w:t>2025</w:t>
            </w:r>
          </w:p>
        </w:tc>
        <w:tc>
          <w:tcPr>
            <w:tcW w:w="1134" w:type="dxa"/>
            <w:tcBorders>
              <w:left w:val="single" w:sz="4" w:space="0" w:color="FFFFFF" w:themeColor="background1"/>
            </w:tcBorders>
            <w:shd w:val="clear" w:color="auto" w:fill="00457D"/>
            <w:noWrap/>
            <w:vAlign w:val="center"/>
          </w:tcPr>
          <w:p w14:paraId="1923DC47" w14:textId="0FDB0965" w:rsidR="00D9056B" w:rsidRPr="00514DA8" w:rsidRDefault="00D9056B" w:rsidP="00821C20">
            <w:pPr>
              <w:spacing w:after="0" w:line="240" w:lineRule="auto"/>
              <w:jc w:val="center"/>
              <w:rPr>
                <w:rFonts w:eastAsia="Times New Roman" w:cs="Calibri"/>
                <w:b/>
                <w:bCs/>
                <w:color w:val="FFFFFF" w:themeColor="background1"/>
              </w:rPr>
            </w:pPr>
            <w:r>
              <w:rPr>
                <w:rFonts w:eastAsia="Times New Roman" w:cs="Calibri"/>
                <w:b/>
                <w:bCs/>
                <w:color w:val="FFFFFF" w:themeColor="background1"/>
              </w:rPr>
              <w:t>2026</w:t>
            </w:r>
            <w:r w:rsidR="002B5FED">
              <w:rPr>
                <w:rFonts w:eastAsia="Times New Roman" w:cs="Calibri"/>
                <w:b/>
                <w:bCs/>
                <w:color w:val="FFFFFF" w:themeColor="background1"/>
              </w:rPr>
              <w:t>*</w:t>
            </w:r>
          </w:p>
        </w:tc>
      </w:tr>
      <w:tr w:rsidR="00D9056B" w:rsidRPr="00514DA8" w14:paraId="7F0E15AF" w14:textId="77777777" w:rsidTr="00EF0667">
        <w:trPr>
          <w:trHeight w:val="397"/>
          <w:jc w:val="center"/>
        </w:trPr>
        <w:tc>
          <w:tcPr>
            <w:tcW w:w="3391" w:type="dxa"/>
            <w:noWrap/>
            <w:vAlign w:val="center"/>
            <w:hideMark/>
          </w:tcPr>
          <w:p w14:paraId="47345B87" w14:textId="77777777" w:rsidR="00D9056B" w:rsidRPr="00514DA8" w:rsidRDefault="00D9056B" w:rsidP="00821C20">
            <w:pPr>
              <w:spacing w:after="0" w:line="240" w:lineRule="auto"/>
              <w:rPr>
                <w:rFonts w:eastAsia="Times New Roman" w:cs="Calibri"/>
              </w:rPr>
            </w:pPr>
            <w:r>
              <w:rPr>
                <w:rFonts w:eastAsia="Times New Roman" w:cs="Calibri"/>
              </w:rPr>
              <w:t>Legge di Bilancio 2024 (c. 233)</w:t>
            </w:r>
          </w:p>
        </w:tc>
        <w:tc>
          <w:tcPr>
            <w:tcW w:w="1418" w:type="dxa"/>
            <w:noWrap/>
            <w:vAlign w:val="center"/>
            <w:hideMark/>
          </w:tcPr>
          <w:p w14:paraId="3EA82070" w14:textId="77777777" w:rsidR="00D9056B" w:rsidRPr="00514DA8" w:rsidRDefault="00D9056B" w:rsidP="00821C20">
            <w:pPr>
              <w:spacing w:after="0" w:line="240" w:lineRule="auto"/>
              <w:jc w:val="right"/>
              <w:rPr>
                <w:rFonts w:eastAsia="Times New Roman" w:cs="Calibri"/>
              </w:rPr>
            </w:pPr>
            <w:r>
              <w:rPr>
                <w:rFonts w:cs="Calibri"/>
              </w:rPr>
              <w:t>€ 123</w:t>
            </w:r>
          </w:p>
        </w:tc>
        <w:tc>
          <w:tcPr>
            <w:tcW w:w="1275" w:type="dxa"/>
            <w:noWrap/>
            <w:vAlign w:val="center"/>
            <w:hideMark/>
          </w:tcPr>
          <w:p w14:paraId="52F12CB9" w14:textId="77777777" w:rsidR="00D9056B" w:rsidRPr="00514DA8" w:rsidRDefault="00D9056B" w:rsidP="00821C20">
            <w:pPr>
              <w:spacing w:after="0" w:line="240" w:lineRule="auto"/>
              <w:jc w:val="right"/>
              <w:rPr>
                <w:rFonts w:eastAsia="Times New Roman" w:cs="Calibri"/>
              </w:rPr>
            </w:pPr>
            <w:r>
              <w:rPr>
                <w:rFonts w:cs="Calibri"/>
              </w:rPr>
              <w:t>€ 368</w:t>
            </w:r>
          </w:p>
        </w:tc>
        <w:tc>
          <w:tcPr>
            <w:tcW w:w="1134" w:type="dxa"/>
            <w:noWrap/>
            <w:vAlign w:val="center"/>
            <w:hideMark/>
          </w:tcPr>
          <w:p w14:paraId="094D8C5A" w14:textId="77777777" w:rsidR="00D9056B" w:rsidRPr="00514DA8" w:rsidRDefault="00D9056B" w:rsidP="00821C20">
            <w:pPr>
              <w:spacing w:after="0" w:line="240" w:lineRule="auto"/>
              <w:jc w:val="right"/>
              <w:rPr>
                <w:rFonts w:eastAsia="Times New Roman" w:cs="Calibri"/>
              </w:rPr>
            </w:pPr>
            <w:r>
              <w:rPr>
                <w:rFonts w:cs="Calibri"/>
              </w:rPr>
              <w:t>€ 490</w:t>
            </w:r>
          </w:p>
        </w:tc>
      </w:tr>
      <w:tr w:rsidR="00D9056B" w:rsidRPr="00514DA8" w14:paraId="2E3D0B10" w14:textId="77777777" w:rsidTr="00EF0667">
        <w:trPr>
          <w:trHeight w:val="397"/>
          <w:jc w:val="center"/>
        </w:trPr>
        <w:tc>
          <w:tcPr>
            <w:tcW w:w="3391" w:type="dxa"/>
            <w:noWrap/>
            <w:vAlign w:val="center"/>
          </w:tcPr>
          <w:p w14:paraId="5A62D53B" w14:textId="77777777" w:rsidR="00D9056B" w:rsidRDefault="00D9056B" w:rsidP="00821C20">
            <w:pPr>
              <w:spacing w:after="0" w:line="240" w:lineRule="auto"/>
              <w:rPr>
                <w:rFonts w:eastAsia="Times New Roman" w:cs="Calibri"/>
              </w:rPr>
            </w:pPr>
            <w:r>
              <w:rPr>
                <w:rFonts w:eastAsia="Times New Roman" w:cs="Calibri"/>
              </w:rPr>
              <w:t>Legge di Bilancio 2025 (c. 277)</w:t>
            </w:r>
          </w:p>
        </w:tc>
        <w:tc>
          <w:tcPr>
            <w:tcW w:w="1418" w:type="dxa"/>
            <w:noWrap/>
            <w:vAlign w:val="center"/>
          </w:tcPr>
          <w:p w14:paraId="1C9B1F9D" w14:textId="4BB4964C" w:rsidR="00D9056B" w:rsidRDefault="001E4A88" w:rsidP="001E4A88">
            <w:pPr>
              <w:spacing w:after="0" w:line="240" w:lineRule="auto"/>
              <w:jc w:val="center"/>
              <w:rPr>
                <w:rFonts w:cs="Calibri"/>
              </w:rPr>
            </w:pPr>
            <w:r>
              <w:rPr>
                <w:rFonts w:cs="Calibri"/>
              </w:rPr>
              <w:t>-</w:t>
            </w:r>
          </w:p>
        </w:tc>
        <w:tc>
          <w:tcPr>
            <w:tcW w:w="1275" w:type="dxa"/>
            <w:noWrap/>
            <w:vAlign w:val="center"/>
          </w:tcPr>
          <w:p w14:paraId="06188216" w14:textId="204EB44C" w:rsidR="00D9056B" w:rsidRDefault="00D9056B" w:rsidP="00821C20">
            <w:pPr>
              <w:spacing w:after="0" w:line="240" w:lineRule="auto"/>
              <w:jc w:val="right"/>
              <w:rPr>
                <w:rFonts w:cs="Calibri"/>
              </w:rPr>
            </w:pPr>
            <w:r>
              <w:rPr>
                <w:rFonts w:cs="Calibri"/>
              </w:rPr>
              <w:t>€ 61,5</w:t>
            </w:r>
          </w:p>
        </w:tc>
        <w:tc>
          <w:tcPr>
            <w:tcW w:w="1134" w:type="dxa"/>
            <w:noWrap/>
            <w:vAlign w:val="center"/>
          </w:tcPr>
          <w:p w14:paraId="7543345F" w14:textId="77777777" w:rsidR="00D9056B" w:rsidRDefault="00D9056B" w:rsidP="00821C20">
            <w:pPr>
              <w:spacing w:after="0" w:line="240" w:lineRule="auto"/>
              <w:jc w:val="right"/>
              <w:rPr>
                <w:rFonts w:cs="Calibri"/>
              </w:rPr>
            </w:pPr>
            <w:r>
              <w:rPr>
                <w:rFonts w:cs="Calibri"/>
              </w:rPr>
              <w:t>€ 123</w:t>
            </w:r>
          </w:p>
        </w:tc>
      </w:tr>
      <w:tr w:rsidR="001E4A88" w:rsidRPr="00514DA8" w14:paraId="7B2F9FDA" w14:textId="77777777" w:rsidTr="00EF0667">
        <w:trPr>
          <w:trHeight w:val="397"/>
          <w:jc w:val="center"/>
        </w:trPr>
        <w:tc>
          <w:tcPr>
            <w:tcW w:w="3391" w:type="dxa"/>
            <w:noWrap/>
            <w:vAlign w:val="center"/>
          </w:tcPr>
          <w:p w14:paraId="1B2F626A" w14:textId="49828262" w:rsidR="001E4A88" w:rsidRDefault="001E4A88" w:rsidP="00821C20">
            <w:pPr>
              <w:spacing w:after="0" w:line="240" w:lineRule="auto"/>
              <w:rPr>
                <w:rFonts w:eastAsia="Times New Roman" w:cs="Calibri"/>
              </w:rPr>
            </w:pPr>
            <w:proofErr w:type="spellStart"/>
            <w:r>
              <w:rPr>
                <w:rFonts w:eastAsia="Times New Roman" w:cs="Calibri"/>
              </w:rPr>
              <w:t>DdL</w:t>
            </w:r>
            <w:proofErr w:type="spellEnd"/>
            <w:r>
              <w:rPr>
                <w:rFonts w:eastAsia="Times New Roman" w:cs="Calibri"/>
              </w:rPr>
              <w:t xml:space="preserve"> </w:t>
            </w:r>
            <w:r w:rsidRPr="00BB393A">
              <w:rPr>
                <w:rFonts w:eastAsia="Times New Roman" w:cs="Calibri"/>
                <w:color w:val="auto"/>
              </w:rPr>
              <w:t xml:space="preserve">Legge di Bilancio 2026 (art. </w:t>
            </w:r>
            <w:r w:rsidR="00BB393A" w:rsidRPr="00BB393A">
              <w:rPr>
                <w:rFonts w:eastAsia="Times New Roman" w:cs="Calibri"/>
                <w:color w:val="auto"/>
              </w:rPr>
              <w:t>8</w:t>
            </w:r>
            <w:r w:rsidRPr="00BB393A">
              <w:rPr>
                <w:rFonts w:eastAsia="Times New Roman" w:cs="Calibri"/>
                <w:color w:val="auto"/>
              </w:rPr>
              <w:t>1)</w:t>
            </w:r>
          </w:p>
        </w:tc>
        <w:tc>
          <w:tcPr>
            <w:tcW w:w="1418" w:type="dxa"/>
            <w:noWrap/>
            <w:vAlign w:val="center"/>
          </w:tcPr>
          <w:p w14:paraId="03DF493D" w14:textId="647A87B2" w:rsidR="001E4A88" w:rsidRDefault="001E4A88" w:rsidP="001E4A88">
            <w:pPr>
              <w:spacing w:after="0" w:line="240" w:lineRule="auto"/>
              <w:jc w:val="center"/>
              <w:rPr>
                <w:rFonts w:cs="Calibri"/>
              </w:rPr>
            </w:pPr>
            <w:r>
              <w:rPr>
                <w:rFonts w:cs="Calibri"/>
              </w:rPr>
              <w:t>-</w:t>
            </w:r>
          </w:p>
        </w:tc>
        <w:tc>
          <w:tcPr>
            <w:tcW w:w="1275" w:type="dxa"/>
            <w:noWrap/>
            <w:vAlign w:val="center"/>
          </w:tcPr>
          <w:p w14:paraId="28095CA3" w14:textId="06E04317" w:rsidR="001E4A88" w:rsidRDefault="001E4A88" w:rsidP="001E4A88">
            <w:pPr>
              <w:spacing w:after="0" w:line="240" w:lineRule="auto"/>
              <w:jc w:val="center"/>
              <w:rPr>
                <w:rFonts w:cs="Calibri"/>
              </w:rPr>
            </w:pPr>
            <w:r>
              <w:rPr>
                <w:rFonts w:cs="Calibri"/>
              </w:rPr>
              <w:t>-</w:t>
            </w:r>
          </w:p>
        </w:tc>
        <w:tc>
          <w:tcPr>
            <w:tcW w:w="1134" w:type="dxa"/>
            <w:noWrap/>
            <w:vAlign w:val="center"/>
          </w:tcPr>
          <w:p w14:paraId="0A33AAE4" w14:textId="042B2969" w:rsidR="001E4A88" w:rsidRDefault="001E4A88" w:rsidP="00821C20">
            <w:pPr>
              <w:spacing w:after="0" w:line="240" w:lineRule="auto"/>
              <w:jc w:val="right"/>
              <w:rPr>
                <w:rFonts w:cs="Calibri"/>
              </w:rPr>
            </w:pPr>
            <w:r>
              <w:rPr>
                <w:rFonts w:cs="Calibri"/>
              </w:rPr>
              <w:t>€ 123</w:t>
            </w:r>
          </w:p>
        </w:tc>
      </w:tr>
      <w:tr w:rsidR="00D9056B" w:rsidRPr="00514DA8" w14:paraId="430B8CE6" w14:textId="77777777" w:rsidTr="00EF0667">
        <w:trPr>
          <w:trHeight w:val="397"/>
          <w:jc w:val="center"/>
        </w:trPr>
        <w:tc>
          <w:tcPr>
            <w:tcW w:w="7220" w:type="dxa"/>
            <w:gridSpan w:val="4"/>
            <w:noWrap/>
            <w:vAlign w:val="center"/>
            <w:hideMark/>
          </w:tcPr>
          <w:p w14:paraId="75F1EE06" w14:textId="08CAB46E" w:rsidR="002B5FED" w:rsidRPr="00F74FC1" w:rsidRDefault="002B5FED" w:rsidP="002B5FED">
            <w:pPr>
              <w:spacing w:after="0" w:line="240" w:lineRule="auto"/>
              <w:rPr>
                <w:rFonts w:eastAsia="Times New Roman" w:cs="Calibri"/>
                <w:iCs/>
                <w:sz w:val="16"/>
                <w:szCs w:val="16"/>
              </w:rPr>
            </w:pPr>
            <w:r w:rsidRPr="00F74FC1">
              <w:rPr>
                <w:rFonts w:eastAsia="Times New Roman" w:cs="Calibri"/>
                <w:iCs/>
                <w:sz w:val="16"/>
                <w:szCs w:val="16"/>
              </w:rPr>
              <w:t>*a decorrere</w:t>
            </w:r>
            <w:r w:rsidR="00DA62D4">
              <w:rPr>
                <w:rFonts w:eastAsia="Times New Roman" w:cs="Calibri"/>
                <w:iCs/>
                <w:sz w:val="16"/>
                <w:szCs w:val="16"/>
              </w:rPr>
              <w:t xml:space="preserve"> dal 2026</w:t>
            </w:r>
          </w:p>
          <w:p w14:paraId="76DE23AD" w14:textId="61041DA3" w:rsidR="00D9056B" w:rsidRPr="00B54359" w:rsidRDefault="00D9056B" w:rsidP="00B54359">
            <w:pPr>
              <w:spacing w:after="0" w:line="240" w:lineRule="auto"/>
              <w:jc w:val="right"/>
              <w:rPr>
                <w:rFonts w:eastAsia="Times New Roman" w:cs="Calibri"/>
                <w:i/>
                <w:iCs/>
                <w:sz w:val="20"/>
                <w:szCs w:val="20"/>
              </w:rPr>
            </w:pPr>
            <w:r w:rsidRPr="00B54359">
              <w:rPr>
                <w:rFonts w:eastAsia="Times New Roman" w:cs="Calibri"/>
                <w:i/>
                <w:iCs/>
                <w:sz w:val="20"/>
                <w:szCs w:val="20"/>
              </w:rPr>
              <w:t>Dati in milioni</w:t>
            </w:r>
          </w:p>
        </w:tc>
      </w:tr>
    </w:tbl>
    <w:p w14:paraId="73454DAF" w14:textId="77777777" w:rsidR="00D9056B" w:rsidRDefault="00D9056B" w:rsidP="00B54359">
      <w:pPr>
        <w:spacing w:after="0" w:line="240" w:lineRule="auto"/>
        <w:jc w:val="right"/>
        <w:rPr>
          <w:rStyle w:val="Collegamentoipertestuale"/>
          <w:rFonts w:eastAsia="Calibri" w:cs="Calibri"/>
          <w:color w:val="auto"/>
          <w:u w:color="0563C1"/>
        </w:rPr>
      </w:pPr>
    </w:p>
    <w:p w14:paraId="0F344DDB" w14:textId="77777777" w:rsidR="004163E9" w:rsidRPr="00C127AC" w:rsidRDefault="004163E9" w:rsidP="004163E9">
      <w:pPr>
        <w:suppressAutoHyphens/>
        <w:jc w:val="center"/>
        <w:rPr>
          <w:rFonts w:cs="Calibri"/>
          <w:b/>
          <w:bCs/>
          <w:color w:val="00457D"/>
        </w:rPr>
      </w:pPr>
      <w:r w:rsidRPr="00C127AC">
        <w:rPr>
          <w:rFonts w:cs="Calibri"/>
          <w:b/>
          <w:bCs/>
          <w:color w:val="00457D"/>
        </w:rPr>
        <w:t xml:space="preserve">Figura </w:t>
      </w:r>
      <w:r>
        <w:rPr>
          <w:rFonts w:cs="Calibri"/>
          <w:b/>
          <w:bCs/>
          <w:color w:val="00457D"/>
        </w:rPr>
        <w:t>4</w:t>
      </w:r>
      <w:r w:rsidRPr="00C127AC">
        <w:rPr>
          <w:rFonts w:cs="Calibri"/>
          <w:b/>
          <w:bCs/>
          <w:color w:val="00457D"/>
        </w:rPr>
        <w:t>. Spesa sanitaria pubblica destinata al privato accreditato e convenzionato 2012-2024</w:t>
      </w:r>
      <w:r>
        <w:rPr>
          <w:rFonts w:cs="Calibri"/>
          <w:b/>
          <w:bCs/>
          <w:color w:val="00457D"/>
        </w:rPr>
        <w:br/>
      </w:r>
      <w:r w:rsidRPr="00C127AC">
        <w:rPr>
          <w:rFonts w:eastAsia="Times New Roman" w:cs="Calibri"/>
          <w:color w:val="00457D"/>
        </w:rPr>
        <w:t>(elaborazione GIMBE su dati ISTAT)</w:t>
      </w:r>
    </w:p>
    <w:p w14:paraId="7F6EA771" w14:textId="73061C17" w:rsidR="004163E9" w:rsidRDefault="004163E9" w:rsidP="004163E9">
      <w:pPr>
        <w:suppressAutoHyphens/>
        <w:jc w:val="center"/>
        <w:rPr>
          <w:rFonts w:cs="Calibri"/>
          <w:color w:val="auto"/>
        </w:rPr>
      </w:pPr>
      <w:r w:rsidRPr="00174551">
        <w:rPr>
          <w:rFonts w:ascii="Cambria" w:hAnsi="Cambria" w:cstheme="minorHAnsi"/>
          <w:noProof/>
        </w:rPr>
        <w:lastRenderedPageBreak/>
        <w:drawing>
          <wp:inline distT="0" distB="0" distL="0" distR="0" wp14:anchorId="5EC15FEB" wp14:editId="3B89A84B">
            <wp:extent cx="5040000" cy="2984230"/>
            <wp:effectExtent l="0" t="0" r="8255" b="6985"/>
            <wp:docPr id="796299559" name="Immagine 8" descr="Immagine che contiene testo, schermat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99559" name="Immagine 8" descr="Immagine che contiene testo, schermata, Diagramma, Parallelo&#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0000" cy="2984230"/>
                    </a:xfrm>
                    <a:prstGeom prst="rect">
                      <a:avLst/>
                    </a:prstGeom>
                    <a:noFill/>
                  </pic:spPr>
                </pic:pic>
              </a:graphicData>
            </a:graphic>
          </wp:inline>
        </w:drawing>
      </w:r>
    </w:p>
    <w:p w14:paraId="0EC1F329" w14:textId="77777777" w:rsidR="0048071F" w:rsidRDefault="0048071F" w:rsidP="0048071F">
      <w:pPr>
        <w:spacing w:after="0" w:line="240" w:lineRule="auto"/>
        <w:jc w:val="center"/>
        <w:rPr>
          <w:rFonts w:cs="Calibri"/>
          <w:b/>
          <w:bCs/>
          <w:color w:val="00457D"/>
        </w:rPr>
      </w:pPr>
    </w:p>
    <w:p w14:paraId="4EDAE664" w14:textId="77777777" w:rsidR="0048071F" w:rsidRDefault="0048071F" w:rsidP="0048071F">
      <w:pPr>
        <w:spacing w:after="0" w:line="240" w:lineRule="auto"/>
        <w:jc w:val="center"/>
        <w:rPr>
          <w:rFonts w:cs="Calibri"/>
          <w:b/>
          <w:bCs/>
          <w:color w:val="00457D"/>
        </w:rPr>
      </w:pPr>
    </w:p>
    <w:p w14:paraId="1D0F6799" w14:textId="5715F1A8" w:rsidR="004163E9" w:rsidRPr="004163E9" w:rsidRDefault="004163E9" w:rsidP="0048071F">
      <w:pPr>
        <w:spacing w:after="0" w:line="240" w:lineRule="auto"/>
        <w:jc w:val="center"/>
        <w:rPr>
          <w:rFonts w:eastAsia="Times New Roman" w:cs="Calibri"/>
          <w:color w:val="00457D"/>
        </w:rPr>
      </w:pPr>
      <w:r w:rsidRPr="00470A90">
        <w:rPr>
          <w:rFonts w:cs="Calibri"/>
          <w:b/>
          <w:bCs/>
          <w:color w:val="00457D"/>
        </w:rPr>
        <w:t xml:space="preserve">Figura </w:t>
      </w:r>
      <w:r>
        <w:rPr>
          <w:rFonts w:cs="Calibri"/>
          <w:b/>
          <w:bCs/>
          <w:color w:val="00457D"/>
        </w:rPr>
        <w:t>5</w:t>
      </w:r>
      <w:r w:rsidRPr="00470A90">
        <w:rPr>
          <w:rFonts w:cs="Calibri"/>
          <w:b/>
          <w:bCs/>
          <w:color w:val="00457D"/>
        </w:rPr>
        <w:t>. Spesa per le altre prestazioni sociali in natura da privato in percentuale della spesa sanitaria totale di Conto Economico per Regione</w:t>
      </w:r>
      <w:r w:rsidRPr="00470A90">
        <w:rPr>
          <w:rFonts w:cs="Calibri"/>
          <w:b/>
          <w:bCs/>
          <w:color w:val="00457D"/>
        </w:rPr>
        <w:br/>
      </w:r>
      <w:r w:rsidRPr="00470A90">
        <w:rPr>
          <w:rFonts w:eastAsia="Times New Roman" w:cs="Calibri"/>
          <w:color w:val="00457D"/>
        </w:rPr>
        <w:t>(elaborazione GIMBE su dati CA-RGS</w:t>
      </w:r>
      <w:r w:rsidR="00374EDE">
        <w:rPr>
          <w:rFonts w:eastAsia="Times New Roman" w:cs="Calibri"/>
          <w:color w:val="00457D"/>
        </w:rPr>
        <w:t>, 2023</w:t>
      </w:r>
      <w:r w:rsidRPr="00470A90">
        <w:rPr>
          <w:rFonts w:eastAsia="Times New Roman" w:cs="Calibri"/>
          <w:color w:val="00457D"/>
        </w:rPr>
        <w:t>)</w:t>
      </w:r>
    </w:p>
    <w:p w14:paraId="520CB18F" w14:textId="77777777" w:rsidR="004163E9" w:rsidRPr="0076509B" w:rsidRDefault="004163E9" w:rsidP="004163E9">
      <w:pPr>
        <w:spacing w:before="120" w:after="0"/>
        <w:jc w:val="center"/>
        <w:rPr>
          <w:rFonts w:ascii="Cambria" w:hAnsi="Cambria" w:cstheme="minorHAnsi"/>
          <w:b/>
          <w:bCs/>
          <w:color w:val="00457D"/>
          <w:sz w:val="18"/>
          <w:szCs w:val="18"/>
          <w:highlight w:val="yellow"/>
        </w:rPr>
      </w:pPr>
      <w:r w:rsidRPr="001467DE">
        <w:rPr>
          <w:rFonts w:ascii="Cambria" w:hAnsi="Cambria" w:cstheme="minorHAnsi"/>
          <w:noProof/>
        </w:rPr>
        <w:drawing>
          <wp:inline distT="0" distB="0" distL="0" distR="0" wp14:anchorId="660F2397" wp14:editId="6DD534B0">
            <wp:extent cx="5040000" cy="4230360"/>
            <wp:effectExtent l="0" t="0" r="8255" b="0"/>
            <wp:docPr id="54676511" name="Immagine 9" descr="Immagine che contiene testo, schermata, diagramm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6511" name="Immagine 9" descr="Immagine che contiene testo, schermata, diagramma, Diagramma&#10;&#10;Il contenuto generato dall'IA potrebbe non essere corret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000" cy="4230360"/>
                    </a:xfrm>
                    <a:prstGeom prst="rect">
                      <a:avLst/>
                    </a:prstGeom>
                    <a:noFill/>
                  </pic:spPr>
                </pic:pic>
              </a:graphicData>
            </a:graphic>
          </wp:inline>
        </w:drawing>
      </w:r>
      <w:r w:rsidRPr="0076509B">
        <w:rPr>
          <w:rFonts w:ascii="Cambria" w:hAnsi="Cambria" w:cstheme="minorHAnsi"/>
          <w:b/>
          <w:bCs/>
          <w:color w:val="00457D"/>
          <w:sz w:val="18"/>
          <w:szCs w:val="18"/>
          <w:highlight w:val="yellow"/>
        </w:rPr>
        <w:t xml:space="preserve"> </w:t>
      </w:r>
    </w:p>
    <w:p w14:paraId="6C5A06C3" w14:textId="77777777" w:rsidR="004163E9" w:rsidRDefault="004163E9" w:rsidP="004163E9">
      <w:pPr>
        <w:suppressAutoHyphens/>
        <w:jc w:val="center"/>
        <w:rPr>
          <w:rFonts w:cs="Calibri"/>
          <w:color w:val="auto"/>
        </w:rPr>
      </w:pPr>
    </w:p>
    <w:p w14:paraId="503C32FB" w14:textId="4B013B28" w:rsidR="00196AA4" w:rsidRPr="00DC6791" w:rsidRDefault="00196AA4" w:rsidP="00196AA4">
      <w:pPr>
        <w:suppressAutoHyphens/>
        <w:jc w:val="center"/>
        <w:rPr>
          <w:rFonts w:cs="Calibri"/>
          <w:b/>
          <w:bCs/>
          <w:color w:val="00457D"/>
        </w:rPr>
      </w:pPr>
      <w:r w:rsidRPr="00DC6791">
        <w:rPr>
          <w:rFonts w:cs="Calibri"/>
          <w:b/>
          <w:bCs/>
          <w:color w:val="00457D"/>
        </w:rPr>
        <w:t xml:space="preserve">Figura </w:t>
      </w:r>
      <w:r>
        <w:rPr>
          <w:rFonts w:cs="Calibri"/>
          <w:b/>
          <w:bCs/>
          <w:color w:val="00457D"/>
        </w:rPr>
        <w:t>6</w:t>
      </w:r>
      <w:r w:rsidRPr="00DC6791">
        <w:rPr>
          <w:rFonts w:cs="Calibri"/>
          <w:b/>
          <w:bCs/>
          <w:color w:val="00457D"/>
        </w:rPr>
        <w:t>. Spesa out-of-pocket trasmessa al sistema Tessera Sanitaria da strutture private accreditate</w:t>
      </w:r>
      <w:r>
        <w:rPr>
          <w:rFonts w:cs="Calibri"/>
          <w:b/>
          <w:bCs/>
          <w:color w:val="00457D"/>
        </w:rPr>
        <w:t xml:space="preserve"> </w:t>
      </w:r>
      <w:r w:rsidRPr="00DC6791">
        <w:rPr>
          <w:rFonts w:cs="Calibri"/>
          <w:b/>
          <w:bCs/>
          <w:color w:val="00457D"/>
        </w:rPr>
        <w:t>e non accreditate (2016-2023)</w:t>
      </w:r>
      <w:r>
        <w:rPr>
          <w:rFonts w:cs="Calibri"/>
          <w:b/>
          <w:bCs/>
          <w:color w:val="00457D"/>
        </w:rPr>
        <w:br/>
      </w:r>
      <w:r w:rsidRPr="00DC6791">
        <w:rPr>
          <w:rFonts w:eastAsia="Times New Roman" w:cs="Calibri"/>
          <w:color w:val="00457D"/>
        </w:rPr>
        <w:t>(elaborazione GIMBE su dati RGS</w:t>
      </w:r>
      <w:r w:rsidR="00374EDE">
        <w:rPr>
          <w:rFonts w:eastAsia="Times New Roman" w:cs="Calibri"/>
          <w:color w:val="00457D"/>
        </w:rPr>
        <w:t xml:space="preserve"> 2023</w:t>
      </w:r>
      <w:r w:rsidRPr="00DC6791">
        <w:rPr>
          <w:rFonts w:eastAsia="Times New Roman" w:cs="Calibri"/>
          <w:color w:val="00457D"/>
        </w:rPr>
        <w:t>)</w:t>
      </w:r>
    </w:p>
    <w:p w14:paraId="2949A2B0" w14:textId="77777777" w:rsidR="00196AA4" w:rsidRPr="00DC6791" w:rsidRDefault="00196AA4" w:rsidP="00196AA4">
      <w:pPr>
        <w:suppressAutoHyphens/>
        <w:jc w:val="center"/>
        <w:rPr>
          <w:rFonts w:cs="Calibri"/>
          <w:color w:val="auto"/>
        </w:rPr>
      </w:pPr>
      <w:r w:rsidRPr="00A061A0">
        <w:rPr>
          <w:rFonts w:ascii="Cambria" w:hAnsi="Cambria"/>
          <w:noProof/>
          <w:spacing w:val="-2"/>
        </w:rPr>
        <w:lastRenderedPageBreak/>
        <w:drawing>
          <wp:inline distT="0" distB="0" distL="0" distR="0" wp14:anchorId="6E9B5E5C" wp14:editId="3AEDC701">
            <wp:extent cx="5040000" cy="2763318"/>
            <wp:effectExtent l="0" t="0" r="8255" b="0"/>
            <wp:docPr id="965963722" name="Immagine 8" descr="Immagine che contiene testo, schermata, diagramm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3722" name="Immagine 8" descr="Immagine che contiene testo, schermata, diagramma, linea&#10;&#10;Il contenuto generato dall'IA potrebbe non essere corr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0000" cy="2763318"/>
                    </a:xfrm>
                    <a:prstGeom prst="rect">
                      <a:avLst/>
                    </a:prstGeom>
                    <a:noFill/>
                  </pic:spPr>
                </pic:pic>
              </a:graphicData>
            </a:graphic>
          </wp:inline>
        </w:drawing>
      </w:r>
    </w:p>
    <w:p w14:paraId="0312B321" w14:textId="77777777" w:rsidR="004163E9" w:rsidRDefault="004163E9" w:rsidP="00295B2D">
      <w:pPr>
        <w:spacing w:after="120"/>
        <w:jc w:val="center"/>
        <w:rPr>
          <w:rStyle w:val="Collegamentoipertestuale"/>
          <w:rFonts w:eastAsia="Calibri" w:cs="Calibri"/>
          <w:color w:val="auto"/>
          <w:u w:color="0563C1"/>
        </w:rPr>
      </w:pPr>
    </w:p>
    <w:sectPr w:rsidR="004163E9" w:rsidSect="003242E5">
      <w:headerReference w:type="default" r:id="rId19"/>
      <w:pgSz w:w="11900" w:h="16840"/>
      <w:pgMar w:top="1171" w:right="1134" w:bottom="993" w:left="1134"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0B621" w16cid:durableId="2CCEEB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2A5A" w14:textId="77777777" w:rsidR="00F46195" w:rsidRDefault="00F46195">
      <w:pPr>
        <w:spacing w:after="0" w:line="240" w:lineRule="auto"/>
      </w:pPr>
      <w:r>
        <w:separator/>
      </w:r>
    </w:p>
  </w:endnote>
  <w:endnote w:type="continuationSeparator" w:id="0">
    <w:p w14:paraId="0A3F4F1E" w14:textId="77777777" w:rsidR="00F46195" w:rsidRDefault="00F4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B2A7" w14:textId="77777777" w:rsidR="00F46195" w:rsidRDefault="00F46195">
      <w:pPr>
        <w:spacing w:after="0" w:line="240" w:lineRule="auto"/>
      </w:pPr>
      <w:r>
        <w:separator/>
      </w:r>
    </w:p>
  </w:footnote>
  <w:footnote w:type="continuationSeparator" w:id="0">
    <w:p w14:paraId="53467F90" w14:textId="77777777" w:rsidR="00F46195" w:rsidRDefault="00F4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D40A" w14:textId="77777777" w:rsidR="00ED36FE" w:rsidRPr="00FE47E2" w:rsidRDefault="00ED36FE" w:rsidP="00FE47E2">
    <w:pPr>
      <w:pStyle w:val="Intestazione"/>
      <w:jc w:val="center"/>
      <w:rPr>
        <w:b/>
        <w:bCs/>
        <w:color w:val="FF0000"/>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844"/>
    <w:multiLevelType w:val="hybridMultilevel"/>
    <w:tmpl w:val="DA7A1DC4"/>
    <w:lvl w:ilvl="0" w:tplc="99E8F4FA">
      <w:start w:val="4"/>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F15DB"/>
    <w:multiLevelType w:val="hybridMultilevel"/>
    <w:tmpl w:val="5C6CF8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6911C3"/>
    <w:multiLevelType w:val="hybridMultilevel"/>
    <w:tmpl w:val="45B8F1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72004E8"/>
    <w:multiLevelType w:val="hybridMultilevel"/>
    <w:tmpl w:val="D040A854"/>
    <w:styleLink w:val="Stileimportato2"/>
    <w:lvl w:ilvl="0" w:tplc="1DBC225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74C63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DE7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94C8A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C812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5A4D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04A17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3C8E3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FE0B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4A5D83"/>
    <w:multiLevelType w:val="multilevel"/>
    <w:tmpl w:val="5AF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45BF1"/>
    <w:multiLevelType w:val="hybridMultilevel"/>
    <w:tmpl w:val="E7D0AB4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E755348"/>
    <w:multiLevelType w:val="hybridMultilevel"/>
    <w:tmpl w:val="E0860366"/>
    <w:lvl w:ilvl="0" w:tplc="ED0814B0">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A215A"/>
    <w:multiLevelType w:val="hybridMultilevel"/>
    <w:tmpl w:val="875436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5005B4"/>
    <w:multiLevelType w:val="hybridMultilevel"/>
    <w:tmpl w:val="2146EE9A"/>
    <w:lvl w:ilvl="0" w:tplc="503C8410">
      <w:start w:val="1"/>
      <w:numFmt w:val="bullet"/>
      <w:lvlText w:val=""/>
      <w:lvlJc w:val="left"/>
      <w:pPr>
        <w:ind w:left="360" w:hanging="360"/>
      </w:pPr>
      <w:rPr>
        <w:rFonts w:ascii="Symbol" w:hAnsi="Symbol" w:hint="default"/>
        <w:color w:val="00457D"/>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8800E53"/>
    <w:multiLevelType w:val="hybridMultilevel"/>
    <w:tmpl w:val="58948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A843EA"/>
    <w:multiLevelType w:val="hybridMultilevel"/>
    <w:tmpl w:val="3F8C4CC8"/>
    <w:styleLink w:val="Stileimportato1"/>
    <w:lvl w:ilvl="0" w:tplc="1130B08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64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A41F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65A9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66D5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B8BE4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CC80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CEC6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C6E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1213281"/>
    <w:multiLevelType w:val="hybridMultilevel"/>
    <w:tmpl w:val="7FB24E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A60586"/>
    <w:multiLevelType w:val="hybridMultilevel"/>
    <w:tmpl w:val="9FD068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64B40C1"/>
    <w:multiLevelType w:val="multilevel"/>
    <w:tmpl w:val="FA3C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348B2"/>
    <w:multiLevelType w:val="hybridMultilevel"/>
    <w:tmpl w:val="1532A6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91D7CCC"/>
    <w:multiLevelType w:val="hybridMultilevel"/>
    <w:tmpl w:val="BF3C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4252A1"/>
    <w:multiLevelType w:val="hybridMultilevel"/>
    <w:tmpl w:val="76506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F87F41"/>
    <w:multiLevelType w:val="hybridMultilevel"/>
    <w:tmpl w:val="8CAAD6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FFC156C"/>
    <w:multiLevelType w:val="hybridMultilevel"/>
    <w:tmpl w:val="EFAAE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0121F9"/>
    <w:multiLevelType w:val="hybridMultilevel"/>
    <w:tmpl w:val="F2148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8C3267"/>
    <w:multiLevelType w:val="hybridMultilevel"/>
    <w:tmpl w:val="9C340E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A8E0FD3"/>
    <w:multiLevelType w:val="hybridMultilevel"/>
    <w:tmpl w:val="921CA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F210A2"/>
    <w:multiLevelType w:val="hybridMultilevel"/>
    <w:tmpl w:val="BADC18F0"/>
    <w:lvl w:ilvl="0" w:tplc="FAA8C178">
      <w:start w:val="1"/>
      <w:numFmt w:val="bullet"/>
      <w:lvlText w:val=""/>
      <w:lvlJc w:val="left"/>
      <w:pPr>
        <w:ind w:left="360" w:hanging="360"/>
      </w:pPr>
      <w:rPr>
        <w:rFonts w:ascii="Symbol" w:hAnsi="Symbol" w:hint="default"/>
        <w:color w:val="00457D"/>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29A2F42"/>
    <w:multiLevelType w:val="multilevel"/>
    <w:tmpl w:val="8A80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12737"/>
    <w:multiLevelType w:val="hybridMultilevel"/>
    <w:tmpl w:val="4306A2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6647E53"/>
    <w:multiLevelType w:val="hybridMultilevel"/>
    <w:tmpl w:val="CF825126"/>
    <w:lvl w:ilvl="0" w:tplc="94088B88">
      <w:start w:val="1"/>
      <w:numFmt w:val="bullet"/>
      <w:lvlText w:val=""/>
      <w:lvlJc w:val="left"/>
      <w:pPr>
        <w:ind w:left="360" w:hanging="360"/>
      </w:pPr>
      <w:rPr>
        <w:rFonts w:ascii="Symbol" w:hAnsi="Symbol" w:hint="default"/>
        <w:color w:val="00457D"/>
      </w:rPr>
    </w:lvl>
    <w:lvl w:ilvl="1" w:tplc="47E23A18">
      <w:start w:val="1"/>
      <w:numFmt w:val="bullet"/>
      <w:lvlText w:val="o"/>
      <w:lvlJc w:val="left"/>
      <w:pPr>
        <w:ind w:left="1080" w:hanging="360"/>
      </w:pPr>
      <w:rPr>
        <w:rFonts w:ascii="Courier New" w:hAnsi="Courier New" w:cs="Courier New" w:hint="default"/>
      </w:rPr>
    </w:lvl>
    <w:lvl w:ilvl="2" w:tplc="FFB6B3EA" w:tentative="1">
      <w:start w:val="1"/>
      <w:numFmt w:val="bullet"/>
      <w:lvlText w:val=""/>
      <w:lvlJc w:val="left"/>
      <w:pPr>
        <w:ind w:left="1800" w:hanging="360"/>
      </w:pPr>
      <w:rPr>
        <w:rFonts w:ascii="Wingdings" w:hAnsi="Wingdings" w:hint="default"/>
      </w:rPr>
    </w:lvl>
    <w:lvl w:ilvl="3" w:tplc="C59445F0" w:tentative="1">
      <w:start w:val="1"/>
      <w:numFmt w:val="bullet"/>
      <w:lvlText w:val=""/>
      <w:lvlJc w:val="left"/>
      <w:pPr>
        <w:ind w:left="2520" w:hanging="360"/>
      </w:pPr>
      <w:rPr>
        <w:rFonts w:ascii="Symbol" w:hAnsi="Symbol" w:hint="default"/>
      </w:rPr>
    </w:lvl>
    <w:lvl w:ilvl="4" w:tplc="5A94383E" w:tentative="1">
      <w:start w:val="1"/>
      <w:numFmt w:val="bullet"/>
      <w:lvlText w:val="o"/>
      <w:lvlJc w:val="left"/>
      <w:pPr>
        <w:ind w:left="3240" w:hanging="360"/>
      </w:pPr>
      <w:rPr>
        <w:rFonts w:ascii="Courier New" w:hAnsi="Courier New" w:cs="Courier New" w:hint="default"/>
      </w:rPr>
    </w:lvl>
    <w:lvl w:ilvl="5" w:tplc="EC9A8550" w:tentative="1">
      <w:start w:val="1"/>
      <w:numFmt w:val="bullet"/>
      <w:lvlText w:val=""/>
      <w:lvlJc w:val="left"/>
      <w:pPr>
        <w:ind w:left="3960" w:hanging="360"/>
      </w:pPr>
      <w:rPr>
        <w:rFonts w:ascii="Wingdings" w:hAnsi="Wingdings" w:hint="default"/>
      </w:rPr>
    </w:lvl>
    <w:lvl w:ilvl="6" w:tplc="EE04B074" w:tentative="1">
      <w:start w:val="1"/>
      <w:numFmt w:val="bullet"/>
      <w:lvlText w:val=""/>
      <w:lvlJc w:val="left"/>
      <w:pPr>
        <w:ind w:left="4680" w:hanging="360"/>
      </w:pPr>
      <w:rPr>
        <w:rFonts w:ascii="Symbol" w:hAnsi="Symbol" w:hint="default"/>
      </w:rPr>
    </w:lvl>
    <w:lvl w:ilvl="7" w:tplc="E41A7F9E" w:tentative="1">
      <w:start w:val="1"/>
      <w:numFmt w:val="bullet"/>
      <w:lvlText w:val="o"/>
      <w:lvlJc w:val="left"/>
      <w:pPr>
        <w:ind w:left="5400" w:hanging="360"/>
      </w:pPr>
      <w:rPr>
        <w:rFonts w:ascii="Courier New" w:hAnsi="Courier New" w:cs="Courier New" w:hint="default"/>
      </w:rPr>
    </w:lvl>
    <w:lvl w:ilvl="8" w:tplc="5C56E388" w:tentative="1">
      <w:start w:val="1"/>
      <w:numFmt w:val="bullet"/>
      <w:lvlText w:val=""/>
      <w:lvlJc w:val="left"/>
      <w:pPr>
        <w:ind w:left="6120" w:hanging="360"/>
      </w:pPr>
      <w:rPr>
        <w:rFonts w:ascii="Wingdings" w:hAnsi="Wingdings" w:hint="default"/>
      </w:rPr>
    </w:lvl>
  </w:abstractNum>
  <w:abstractNum w:abstractNumId="26" w15:restartNumberingAfterBreak="0">
    <w:nsid w:val="58841B32"/>
    <w:multiLevelType w:val="hybridMultilevel"/>
    <w:tmpl w:val="933E44F0"/>
    <w:lvl w:ilvl="0" w:tplc="F62A5A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D387395"/>
    <w:multiLevelType w:val="hybridMultilevel"/>
    <w:tmpl w:val="9EEC40D8"/>
    <w:lvl w:ilvl="0" w:tplc="2DE0794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EAD5C18"/>
    <w:multiLevelType w:val="hybridMultilevel"/>
    <w:tmpl w:val="AED473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19A28DD"/>
    <w:multiLevelType w:val="hybridMultilevel"/>
    <w:tmpl w:val="B56094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A5D3C09"/>
    <w:multiLevelType w:val="hybridMultilevel"/>
    <w:tmpl w:val="BE509A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2643A23"/>
    <w:multiLevelType w:val="hybridMultilevel"/>
    <w:tmpl w:val="B194FC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50D3DA4"/>
    <w:multiLevelType w:val="hybridMultilevel"/>
    <w:tmpl w:val="EC2AB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16529D"/>
    <w:multiLevelType w:val="hybridMultilevel"/>
    <w:tmpl w:val="A50C3322"/>
    <w:lvl w:ilvl="0" w:tplc="D72654E0">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7"/>
  </w:num>
  <w:num w:numId="4">
    <w:abstractNumId w:val="12"/>
  </w:num>
  <w:num w:numId="5">
    <w:abstractNumId w:val="31"/>
  </w:num>
  <w:num w:numId="6">
    <w:abstractNumId w:val="27"/>
  </w:num>
  <w:num w:numId="7">
    <w:abstractNumId w:val="1"/>
  </w:num>
  <w:num w:numId="8">
    <w:abstractNumId w:val="18"/>
  </w:num>
  <w:num w:numId="9">
    <w:abstractNumId w:val="9"/>
  </w:num>
  <w:num w:numId="10">
    <w:abstractNumId w:val="0"/>
  </w:num>
  <w:num w:numId="11">
    <w:abstractNumId w:val="33"/>
  </w:num>
  <w:num w:numId="12">
    <w:abstractNumId w:val="14"/>
  </w:num>
  <w:num w:numId="13">
    <w:abstractNumId w:val="21"/>
  </w:num>
  <w:num w:numId="14">
    <w:abstractNumId w:val="5"/>
  </w:num>
  <w:num w:numId="15">
    <w:abstractNumId w:val="7"/>
  </w:num>
  <w:num w:numId="16">
    <w:abstractNumId w:val="28"/>
  </w:num>
  <w:num w:numId="17">
    <w:abstractNumId w:val="20"/>
  </w:num>
  <w:num w:numId="18">
    <w:abstractNumId w:val="29"/>
  </w:num>
  <w:num w:numId="19">
    <w:abstractNumId w:val="26"/>
  </w:num>
  <w:num w:numId="20">
    <w:abstractNumId w:val="4"/>
  </w:num>
  <w:num w:numId="21">
    <w:abstractNumId w:val="13"/>
  </w:num>
  <w:num w:numId="22">
    <w:abstractNumId w:val="23"/>
  </w:num>
  <w:num w:numId="23">
    <w:abstractNumId w:val="2"/>
  </w:num>
  <w:num w:numId="24">
    <w:abstractNumId w:val="6"/>
  </w:num>
  <w:num w:numId="25">
    <w:abstractNumId w:val="16"/>
  </w:num>
  <w:num w:numId="26">
    <w:abstractNumId w:val="19"/>
  </w:num>
  <w:num w:numId="27">
    <w:abstractNumId w:val="15"/>
  </w:num>
  <w:num w:numId="28">
    <w:abstractNumId w:val="11"/>
  </w:num>
  <w:num w:numId="29">
    <w:abstractNumId w:val="30"/>
  </w:num>
  <w:num w:numId="30">
    <w:abstractNumId w:val="24"/>
  </w:num>
  <w:num w:numId="31">
    <w:abstractNumId w:val="32"/>
  </w:num>
  <w:num w:numId="32">
    <w:abstractNumId w:val="8"/>
  </w:num>
  <w:num w:numId="33">
    <w:abstractNumId w:val="22"/>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2B"/>
    <w:rsid w:val="00000AC6"/>
    <w:rsid w:val="00000FEF"/>
    <w:rsid w:val="0000152E"/>
    <w:rsid w:val="00001DEE"/>
    <w:rsid w:val="00001EE2"/>
    <w:rsid w:val="000022A7"/>
    <w:rsid w:val="00002300"/>
    <w:rsid w:val="0000244C"/>
    <w:rsid w:val="000027F8"/>
    <w:rsid w:val="00002C6F"/>
    <w:rsid w:val="00002EAC"/>
    <w:rsid w:val="000035D6"/>
    <w:rsid w:val="00004388"/>
    <w:rsid w:val="000043C6"/>
    <w:rsid w:val="000044AB"/>
    <w:rsid w:val="0000466F"/>
    <w:rsid w:val="00004BE3"/>
    <w:rsid w:val="00004BF7"/>
    <w:rsid w:val="00004BFB"/>
    <w:rsid w:val="00004CA3"/>
    <w:rsid w:val="00004D92"/>
    <w:rsid w:val="00004E1F"/>
    <w:rsid w:val="00005129"/>
    <w:rsid w:val="00005172"/>
    <w:rsid w:val="00005223"/>
    <w:rsid w:val="000056DE"/>
    <w:rsid w:val="000066F6"/>
    <w:rsid w:val="00006E6F"/>
    <w:rsid w:val="0000714A"/>
    <w:rsid w:val="000078FA"/>
    <w:rsid w:val="00007BF9"/>
    <w:rsid w:val="00007D52"/>
    <w:rsid w:val="00007E4C"/>
    <w:rsid w:val="00010548"/>
    <w:rsid w:val="00010BCC"/>
    <w:rsid w:val="00010DD5"/>
    <w:rsid w:val="00010F65"/>
    <w:rsid w:val="00011126"/>
    <w:rsid w:val="0001119D"/>
    <w:rsid w:val="0001122C"/>
    <w:rsid w:val="0001155F"/>
    <w:rsid w:val="00011791"/>
    <w:rsid w:val="00011904"/>
    <w:rsid w:val="00011E61"/>
    <w:rsid w:val="00011F4F"/>
    <w:rsid w:val="00012113"/>
    <w:rsid w:val="0001299A"/>
    <w:rsid w:val="00012B67"/>
    <w:rsid w:val="00012FB8"/>
    <w:rsid w:val="0001337E"/>
    <w:rsid w:val="0001360D"/>
    <w:rsid w:val="00013655"/>
    <w:rsid w:val="000141F4"/>
    <w:rsid w:val="00014385"/>
    <w:rsid w:val="000146E0"/>
    <w:rsid w:val="00014C7B"/>
    <w:rsid w:val="00015574"/>
    <w:rsid w:val="00015BAE"/>
    <w:rsid w:val="00016007"/>
    <w:rsid w:val="000161C0"/>
    <w:rsid w:val="0001653F"/>
    <w:rsid w:val="000165C3"/>
    <w:rsid w:val="00016690"/>
    <w:rsid w:val="00016D33"/>
    <w:rsid w:val="00016F1A"/>
    <w:rsid w:val="000173CA"/>
    <w:rsid w:val="00017890"/>
    <w:rsid w:val="0002043C"/>
    <w:rsid w:val="000206F4"/>
    <w:rsid w:val="000210A8"/>
    <w:rsid w:val="0002125E"/>
    <w:rsid w:val="0002172D"/>
    <w:rsid w:val="00021744"/>
    <w:rsid w:val="00021C19"/>
    <w:rsid w:val="00021D57"/>
    <w:rsid w:val="000222A5"/>
    <w:rsid w:val="00022775"/>
    <w:rsid w:val="00023187"/>
    <w:rsid w:val="00023784"/>
    <w:rsid w:val="000237F0"/>
    <w:rsid w:val="00023CE6"/>
    <w:rsid w:val="0002401A"/>
    <w:rsid w:val="00024578"/>
    <w:rsid w:val="0002480E"/>
    <w:rsid w:val="00024C2D"/>
    <w:rsid w:val="00024FD2"/>
    <w:rsid w:val="0002522B"/>
    <w:rsid w:val="00026518"/>
    <w:rsid w:val="00026849"/>
    <w:rsid w:val="00026D65"/>
    <w:rsid w:val="00027033"/>
    <w:rsid w:val="000270FC"/>
    <w:rsid w:val="000276DE"/>
    <w:rsid w:val="0003003F"/>
    <w:rsid w:val="000300C2"/>
    <w:rsid w:val="00030535"/>
    <w:rsid w:val="000308C1"/>
    <w:rsid w:val="0003144B"/>
    <w:rsid w:val="00031CD6"/>
    <w:rsid w:val="00032112"/>
    <w:rsid w:val="0003262E"/>
    <w:rsid w:val="00032658"/>
    <w:rsid w:val="000328DE"/>
    <w:rsid w:val="00033800"/>
    <w:rsid w:val="00033A78"/>
    <w:rsid w:val="00033B15"/>
    <w:rsid w:val="00033CE4"/>
    <w:rsid w:val="000341D8"/>
    <w:rsid w:val="0003499E"/>
    <w:rsid w:val="00034A98"/>
    <w:rsid w:val="0003516A"/>
    <w:rsid w:val="000352B4"/>
    <w:rsid w:val="000354CC"/>
    <w:rsid w:val="000356DF"/>
    <w:rsid w:val="00036428"/>
    <w:rsid w:val="000365C2"/>
    <w:rsid w:val="00036D4B"/>
    <w:rsid w:val="00036D6B"/>
    <w:rsid w:val="000373F1"/>
    <w:rsid w:val="00037451"/>
    <w:rsid w:val="00037A0A"/>
    <w:rsid w:val="00037F01"/>
    <w:rsid w:val="00040108"/>
    <w:rsid w:val="000403D3"/>
    <w:rsid w:val="00040742"/>
    <w:rsid w:val="00040BB6"/>
    <w:rsid w:val="00040D5E"/>
    <w:rsid w:val="000410EA"/>
    <w:rsid w:val="000415C2"/>
    <w:rsid w:val="00041695"/>
    <w:rsid w:val="00041719"/>
    <w:rsid w:val="00041D6E"/>
    <w:rsid w:val="000421A9"/>
    <w:rsid w:val="0004228D"/>
    <w:rsid w:val="00042A2C"/>
    <w:rsid w:val="00042E7E"/>
    <w:rsid w:val="000430E9"/>
    <w:rsid w:val="00043C39"/>
    <w:rsid w:val="00043E3C"/>
    <w:rsid w:val="00044665"/>
    <w:rsid w:val="00044ABB"/>
    <w:rsid w:val="00044AE1"/>
    <w:rsid w:val="00044C9B"/>
    <w:rsid w:val="00044EB9"/>
    <w:rsid w:val="00045076"/>
    <w:rsid w:val="000453E7"/>
    <w:rsid w:val="0004577B"/>
    <w:rsid w:val="00045A6A"/>
    <w:rsid w:val="000460D4"/>
    <w:rsid w:val="000461C4"/>
    <w:rsid w:val="0004620F"/>
    <w:rsid w:val="000469C2"/>
    <w:rsid w:val="00046ABA"/>
    <w:rsid w:val="00046B65"/>
    <w:rsid w:val="0004747C"/>
    <w:rsid w:val="000474FB"/>
    <w:rsid w:val="0004762F"/>
    <w:rsid w:val="0004768A"/>
    <w:rsid w:val="00047BCE"/>
    <w:rsid w:val="0005001A"/>
    <w:rsid w:val="00051038"/>
    <w:rsid w:val="00051094"/>
    <w:rsid w:val="00051744"/>
    <w:rsid w:val="0005206B"/>
    <w:rsid w:val="000523C5"/>
    <w:rsid w:val="000523DF"/>
    <w:rsid w:val="0005246D"/>
    <w:rsid w:val="00052578"/>
    <w:rsid w:val="00052B40"/>
    <w:rsid w:val="000531D1"/>
    <w:rsid w:val="00053240"/>
    <w:rsid w:val="000542D3"/>
    <w:rsid w:val="0005433B"/>
    <w:rsid w:val="000549DB"/>
    <w:rsid w:val="00054A26"/>
    <w:rsid w:val="00054D1D"/>
    <w:rsid w:val="00054F9E"/>
    <w:rsid w:val="000552D4"/>
    <w:rsid w:val="000552E2"/>
    <w:rsid w:val="0005536A"/>
    <w:rsid w:val="00055B91"/>
    <w:rsid w:val="0005613E"/>
    <w:rsid w:val="0005670B"/>
    <w:rsid w:val="00056AE2"/>
    <w:rsid w:val="00056C03"/>
    <w:rsid w:val="000572F4"/>
    <w:rsid w:val="00057324"/>
    <w:rsid w:val="0005772C"/>
    <w:rsid w:val="00057A50"/>
    <w:rsid w:val="00057C36"/>
    <w:rsid w:val="00057E5F"/>
    <w:rsid w:val="00057F3D"/>
    <w:rsid w:val="00060118"/>
    <w:rsid w:val="00060277"/>
    <w:rsid w:val="00060339"/>
    <w:rsid w:val="0006040F"/>
    <w:rsid w:val="0006050E"/>
    <w:rsid w:val="00060B0B"/>
    <w:rsid w:val="00060FAC"/>
    <w:rsid w:val="00061288"/>
    <w:rsid w:val="00061385"/>
    <w:rsid w:val="00061647"/>
    <w:rsid w:val="00061AF7"/>
    <w:rsid w:val="00061D4E"/>
    <w:rsid w:val="00062223"/>
    <w:rsid w:val="000625F5"/>
    <w:rsid w:val="00062A6E"/>
    <w:rsid w:val="00063061"/>
    <w:rsid w:val="00063092"/>
    <w:rsid w:val="000636C7"/>
    <w:rsid w:val="00063723"/>
    <w:rsid w:val="00063DA8"/>
    <w:rsid w:val="000642D1"/>
    <w:rsid w:val="0006525F"/>
    <w:rsid w:val="000653E7"/>
    <w:rsid w:val="0006599B"/>
    <w:rsid w:val="00065C95"/>
    <w:rsid w:val="00065D70"/>
    <w:rsid w:val="00065F46"/>
    <w:rsid w:val="00066602"/>
    <w:rsid w:val="0006669C"/>
    <w:rsid w:val="000668DA"/>
    <w:rsid w:val="00066A75"/>
    <w:rsid w:val="00067039"/>
    <w:rsid w:val="000673B6"/>
    <w:rsid w:val="00067438"/>
    <w:rsid w:val="000675C4"/>
    <w:rsid w:val="00067699"/>
    <w:rsid w:val="00067A2E"/>
    <w:rsid w:val="00067B8B"/>
    <w:rsid w:val="0007009C"/>
    <w:rsid w:val="000708F4"/>
    <w:rsid w:val="000709E9"/>
    <w:rsid w:val="00070D71"/>
    <w:rsid w:val="0007138B"/>
    <w:rsid w:val="00071568"/>
    <w:rsid w:val="00071626"/>
    <w:rsid w:val="00071A13"/>
    <w:rsid w:val="00071C3B"/>
    <w:rsid w:val="0007243C"/>
    <w:rsid w:val="00072AFD"/>
    <w:rsid w:val="00072C04"/>
    <w:rsid w:val="00072F7C"/>
    <w:rsid w:val="00073524"/>
    <w:rsid w:val="00073532"/>
    <w:rsid w:val="00073A8A"/>
    <w:rsid w:val="00073DFF"/>
    <w:rsid w:val="000740D3"/>
    <w:rsid w:val="000743B7"/>
    <w:rsid w:val="000747A9"/>
    <w:rsid w:val="00074E5F"/>
    <w:rsid w:val="00074FDD"/>
    <w:rsid w:val="000753BA"/>
    <w:rsid w:val="0007555B"/>
    <w:rsid w:val="00075694"/>
    <w:rsid w:val="00075EF2"/>
    <w:rsid w:val="0007615C"/>
    <w:rsid w:val="00076216"/>
    <w:rsid w:val="000762C3"/>
    <w:rsid w:val="00077B4C"/>
    <w:rsid w:val="00077B7F"/>
    <w:rsid w:val="00077BF8"/>
    <w:rsid w:val="00077DC5"/>
    <w:rsid w:val="00080225"/>
    <w:rsid w:val="000803DA"/>
    <w:rsid w:val="0008040C"/>
    <w:rsid w:val="00080BE8"/>
    <w:rsid w:val="00080F14"/>
    <w:rsid w:val="00081240"/>
    <w:rsid w:val="0008128A"/>
    <w:rsid w:val="000812C3"/>
    <w:rsid w:val="000814C4"/>
    <w:rsid w:val="000814F9"/>
    <w:rsid w:val="00081550"/>
    <w:rsid w:val="00081B96"/>
    <w:rsid w:val="00082127"/>
    <w:rsid w:val="0008254A"/>
    <w:rsid w:val="0008271E"/>
    <w:rsid w:val="00082EC2"/>
    <w:rsid w:val="0008362E"/>
    <w:rsid w:val="00083804"/>
    <w:rsid w:val="00083DE2"/>
    <w:rsid w:val="000844AE"/>
    <w:rsid w:val="0008457A"/>
    <w:rsid w:val="00084764"/>
    <w:rsid w:val="0008493E"/>
    <w:rsid w:val="00084E0B"/>
    <w:rsid w:val="00085386"/>
    <w:rsid w:val="00085756"/>
    <w:rsid w:val="00085776"/>
    <w:rsid w:val="00085AF6"/>
    <w:rsid w:val="00085D13"/>
    <w:rsid w:val="000867DD"/>
    <w:rsid w:val="000871FB"/>
    <w:rsid w:val="00087236"/>
    <w:rsid w:val="00087529"/>
    <w:rsid w:val="0008778C"/>
    <w:rsid w:val="00087B77"/>
    <w:rsid w:val="00087ED7"/>
    <w:rsid w:val="00091A87"/>
    <w:rsid w:val="00091AEA"/>
    <w:rsid w:val="00091D56"/>
    <w:rsid w:val="00091F84"/>
    <w:rsid w:val="00092022"/>
    <w:rsid w:val="000923C5"/>
    <w:rsid w:val="0009249D"/>
    <w:rsid w:val="0009296B"/>
    <w:rsid w:val="00092A35"/>
    <w:rsid w:val="00093476"/>
    <w:rsid w:val="00093487"/>
    <w:rsid w:val="00093AE7"/>
    <w:rsid w:val="0009411D"/>
    <w:rsid w:val="00094B7F"/>
    <w:rsid w:val="00095584"/>
    <w:rsid w:val="00095588"/>
    <w:rsid w:val="00095667"/>
    <w:rsid w:val="00095DC5"/>
    <w:rsid w:val="00096350"/>
    <w:rsid w:val="00096577"/>
    <w:rsid w:val="00096BD0"/>
    <w:rsid w:val="000A00BA"/>
    <w:rsid w:val="000A0218"/>
    <w:rsid w:val="000A0380"/>
    <w:rsid w:val="000A04CD"/>
    <w:rsid w:val="000A0559"/>
    <w:rsid w:val="000A08BA"/>
    <w:rsid w:val="000A0920"/>
    <w:rsid w:val="000A0EDA"/>
    <w:rsid w:val="000A1093"/>
    <w:rsid w:val="000A1424"/>
    <w:rsid w:val="000A1486"/>
    <w:rsid w:val="000A1DAA"/>
    <w:rsid w:val="000A26E8"/>
    <w:rsid w:val="000A283D"/>
    <w:rsid w:val="000A2FF0"/>
    <w:rsid w:val="000A3264"/>
    <w:rsid w:val="000A3655"/>
    <w:rsid w:val="000A38ED"/>
    <w:rsid w:val="000A39B8"/>
    <w:rsid w:val="000A3AC9"/>
    <w:rsid w:val="000A403F"/>
    <w:rsid w:val="000A422E"/>
    <w:rsid w:val="000A46D5"/>
    <w:rsid w:val="000A471A"/>
    <w:rsid w:val="000A4BEE"/>
    <w:rsid w:val="000A53F4"/>
    <w:rsid w:val="000A57A1"/>
    <w:rsid w:val="000A6296"/>
    <w:rsid w:val="000A63DD"/>
    <w:rsid w:val="000A6581"/>
    <w:rsid w:val="000A6DB2"/>
    <w:rsid w:val="000A72BA"/>
    <w:rsid w:val="000A7BB7"/>
    <w:rsid w:val="000A7D97"/>
    <w:rsid w:val="000A7DDA"/>
    <w:rsid w:val="000A7E95"/>
    <w:rsid w:val="000A7EA7"/>
    <w:rsid w:val="000B0339"/>
    <w:rsid w:val="000B0548"/>
    <w:rsid w:val="000B0AC0"/>
    <w:rsid w:val="000B0CE9"/>
    <w:rsid w:val="000B119C"/>
    <w:rsid w:val="000B13AC"/>
    <w:rsid w:val="000B1995"/>
    <w:rsid w:val="000B1B66"/>
    <w:rsid w:val="000B1CAB"/>
    <w:rsid w:val="000B1D1D"/>
    <w:rsid w:val="000B211A"/>
    <w:rsid w:val="000B21CF"/>
    <w:rsid w:val="000B242E"/>
    <w:rsid w:val="000B2449"/>
    <w:rsid w:val="000B25F9"/>
    <w:rsid w:val="000B2F05"/>
    <w:rsid w:val="000B3CDF"/>
    <w:rsid w:val="000B4554"/>
    <w:rsid w:val="000B47B9"/>
    <w:rsid w:val="000B4A82"/>
    <w:rsid w:val="000B4CB2"/>
    <w:rsid w:val="000B53A4"/>
    <w:rsid w:val="000B53DF"/>
    <w:rsid w:val="000B54C3"/>
    <w:rsid w:val="000B5AC9"/>
    <w:rsid w:val="000B6238"/>
    <w:rsid w:val="000B68AC"/>
    <w:rsid w:val="000B6BAC"/>
    <w:rsid w:val="000B7CE3"/>
    <w:rsid w:val="000C07AC"/>
    <w:rsid w:val="000C0A45"/>
    <w:rsid w:val="000C0B9A"/>
    <w:rsid w:val="000C0DA8"/>
    <w:rsid w:val="000C1217"/>
    <w:rsid w:val="000C15A5"/>
    <w:rsid w:val="000C1CFE"/>
    <w:rsid w:val="000C1E98"/>
    <w:rsid w:val="000C22FE"/>
    <w:rsid w:val="000C2A6C"/>
    <w:rsid w:val="000C2BD2"/>
    <w:rsid w:val="000C2E80"/>
    <w:rsid w:val="000C3174"/>
    <w:rsid w:val="000C3C3C"/>
    <w:rsid w:val="000C3DE4"/>
    <w:rsid w:val="000C4285"/>
    <w:rsid w:val="000C46E0"/>
    <w:rsid w:val="000C5DA1"/>
    <w:rsid w:val="000C6119"/>
    <w:rsid w:val="000C635A"/>
    <w:rsid w:val="000C63F8"/>
    <w:rsid w:val="000C645E"/>
    <w:rsid w:val="000C68E3"/>
    <w:rsid w:val="000C6B69"/>
    <w:rsid w:val="000C6FC7"/>
    <w:rsid w:val="000C7105"/>
    <w:rsid w:val="000C789B"/>
    <w:rsid w:val="000C7906"/>
    <w:rsid w:val="000C7935"/>
    <w:rsid w:val="000C7A89"/>
    <w:rsid w:val="000C7C8F"/>
    <w:rsid w:val="000D0625"/>
    <w:rsid w:val="000D08C8"/>
    <w:rsid w:val="000D0980"/>
    <w:rsid w:val="000D1250"/>
    <w:rsid w:val="000D1503"/>
    <w:rsid w:val="000D1799"/>
    <w:rsid w:val="000D1F5C"/>
    <w:rsid w:val="000D24D7"/>
    <w:rsid w:val="000D2649"/>
    <w:rsid w:val="000D2A90"/>
    <w:rsid w:val="000D2CAA"/>
    <w:rsid w:val="000D2CB4"/>
    <w:rsid w:val="000D3B36"/>
    <w:rsid w:val="000D40B5"/>
    <w:rsid w:val="000D40CB"/>
    <w:rsid w:val="000D4255"/>
    <w:rsid w:val="000D4370"/>
    <w:rsid w:val="000D4745"/>
    <w:rsid w:val="000D47A4"/>
    <w:rsid w:val="000D4D0A"/>
    <w:rsid w:val="000D4F6F"/>
    <w:rsid w:val="000D57B4"/>
    <w:rsid w:val="000D5878"/>
    <w:rsid w:val="000D5B61"/>
    <w:rsid w:val="000D5BD3"/>
    <w:rsid w:val="000D5C61"/>
    <w:rsid w:val="000D5DD2"/>
    <w:rsid w:val="000D64E2"/>
    <w:rsid w:val="000D67CD"/>
    <w:rsid w:val="000D7077"/>
    <w:rsid w:val="000D75CD"/>
    <w:rsid w:val="000D7645"/>
    <w:rsid w:val="000D78A3"/>
    <w:rsid w:val="000D7A69"/>
    <w:rsid w:val="000D7DCE"/>
    <w:rsid w:val="000D7E45"/>
    <w:rsid w:val="000D7EE3"/>
    <w:rsid w:val="000E07A2"/>
    <w:rsid w:val="000E0B5A"/>
    <w:rsid w:val="000E0BCB"/>
    <w:rsid w:val="000E0C48"/>
    <w:rsid w:val="000E1A5A"/>
    <w:rsid w:val="000E1ABF"/>
    <w:rsid w:val="000E1B09"/>
    <w:rsid w:val="000E1C12"/>
    <w:rsid w:val="000E1D73"/>
    <w:rsid w:val="000E238A"/>
    <w:rsid w:val="000E2D17"/>
    <w:rsid w:val="000E3472"/>
    <w:rsid w:val="000E4163"/>
    <w:rsid w:val="000E476D"/>
    <w:rsid w:val="000E485E"/>
    <w:rsid w:val="000E4901"/>
    <w:rsid w:val="000E4A1A"/>
    <w:rsid w:val="000E506B"/>
    <w:rsid w:val="000E509B"/>
    <w:rsid w:val="000E5717"/>
    <w:rsid w:val="000E5ABA"/>
    <w:rsid w:val="000E60E1"/>
    <w:rsid w:val="000E60EB"/>
    <w:rsid w:val="000E6109"/>
    <w:rsid w:val="000E64DA"/>
    <w:rsid w:val="000E6573"/>
    <w:rsid w:val="000E6F3B"/>
    <w:rsid w:val="000E73F0"/>
    <w:rsid w:val="000E770E"/>
    <w:rsid w:val="000E781A"/>
    <w:rsid w:val="000E7A53"/>
    <w:rsid w:val="000F0385"/>
    <w:rsid w:val="000F0578"/>
    <w:rsid w:val="000F09AA"/>
    <w:rsid w:val="000F159D"/>
    <w:rsid w:val="000F1600"/>
    <w:rsid w:val="000F1839"/>
    <w:rsid w:val="000F187D"/>
    <w:rsid w:val="000F1EC4"/>
    <w:rsid w:val="000F2082"/>
    <w:rsid w:val="000F2197"/>
    <w:rsid w:val="000F2389"/>
    <w:rsid w:val="000F26AB"/>
    <w:rsid w:val="000F387B"/>
    <w:rsid w:val="000F3AC7"/>
    <w:rsid w:val="000F4209"/>
    <w:rsid w:val="000F4917"/>
    <w:rsid w:val="000F4A61"/>
    <w:rsid w:val="000F4ADE"/>
    <w:rsid w:val="000F5019"/>
    <w:rsid w:val="000F50A4"/>
    <w:rsid w:val="000F51DF"/>
    <w:rsid w:val="000F604A"/>
    <w:rsid w:val="000F63CB"/>
    <w:rsid w:val="000F6D38"/>
    <w:rsid w:val="000F6EBD"/>
    <w:rsid w:val="000F6FE7"/>
    <w:rsid w:val="000F704A"/>
    <w:rsid w:val="000F73C6"/>
    <w:rsid w:val="000F7752"/>
    <w:rsid w:val="001001F2"/>
    <w:rsid w:val="001004FC"/>
    <w:rsid w:val="00100D0A"/>
    <w:rsid w:val="00101309"/>
    <w:rsid w:val="001014E8"/>
    <w:rsid w:val="00101803"/>
    <w:rsid w:val="00101D87"/>
    <w:rsid w:val="00101EE1"/>
    <w:rsid w:val="00102089"/>
    <w:rsid w:val="00102103"/>
    <w:rsid w:val="001022BC"/>
    <w:rsid w:val="00102EF5"/>
    <w:rsid w:val="00103B2C"/>
    <w:rsid w:val="001043A8"/>
    <w:rsid w:val="001043C7"/>
    <w:rsid w:val="0010442F"/>
    <w:rsid w:val="001047B6"/>
    <w:rsid w:val="00104974"/>
    <w:rsid w:val="00104B88"/>
    <w:rsid w:val="00104DDA"/>
    <w:rsid w:val="00104E7E"/>
    <w:rsid w:val="0010568D"/>
    <w:rsid w:val="00105AEC"/>
    <w:rsid w:val="00106296"/>
    <w:rsid w:val="00106801"/>
    <w:rsid w:val="00106888"/>
    <w:rsid w:val="00106B84"/>
    <w:rsid w:val="00106E73"/>
    <w:rsid w:val="00107596"/>
    <w:rsid w:val="00110316"/>
    <w:rsid w:val="001104E4"/>
    <w:rsid w:val="00110DEC"/>
    <w:rsid w:val="00111ED5"/>
    <w:rsid w:val="00111EF8"/>
    <w:rsid w:val="00111F9A"/>
    <w:rsid w:val="00112328"/>
    <w:rsid w:val="00112605"/>
    <w:rsid w:val="001126A9"/>
    <w:rsid w:val="00112E06"/>
    <w:rsid w:val="00112EE0"/>
    <w:rsid w:val="001130FB"/>
    <w:rsid w:val="00113933"/>
    <w:rsid w:val="00113C22"/>
    <w:rsid w:val="00113C83"/>
    <w:rsid w:val="00113F04"/>
    <w:rsid w:val="00113F85"/>
    <w:rsid w:val="00114088"/>
    <w:rsid w:val="00114459"/>
    <w:rsid w:val="001146BA"/>
    <w:rsid w:val="00114908"/>
    <w:rsid w:val="00114A78"/>
    <w:rsid w:val="00114D03"/>
    <w:rsid w:val="00115B80"/>
    <w:rsid w:val="00115C48"/>
    <w:rsid w:val="00116006"/>
    <w:rsid w:val="00116B12"/>
    <w:rsid w:val="00116C56"/>
    <w:rsid w:val="00116C93"/>
    <w:rsid w:val="00116F70"/>
    <w:rsid w:val="001171F8"/>
    <w:rsid w:val="0011748C"/>
    <w:rsid w:val="0011771B"/>
    <w:rsid w:val="00117C6A"/>
    <w:rsid w:val="00117E10"/>
    <w:rsid w:val="0012022B"/>
    <w:rsid w:val="001203E4"/>
    <w:rsid w:val="00120890"/>
    <w:rsid w:val="0012099D"/>
    <w:rsid w:val="001209DC"/>
    <w:rsid w:val="00120DCD"/>
    <w:rsid w:val="00120F46"/>
    <w:rsid w:val="00121597"/>
    <w:rsid w:val="00121EB7"/>
    <w:rsid w:val="00122302"/>
    <w:rsid w:val="0012327E"/>
    <w:rsid w:val="0012383F"/>
    <w:rsid w:val="00123878"/>
    <w:rsid w:val="00123883"/>
    <w:rsid w:val="00123934"/>
    <w:rsid w:val="0012399B"/>
    <w:rsid w:val="00123A0D"/>
    <w:rsid w:val="00123B8F"/>
    <w:rsid w:val="0012405D"/>
    <w:rsid w:val="0012436D"/>
    <w:rsid w:val="00124831"/>
    <w:rsid w:val="00124890"/>
    <w:rsid w:val="00124C08"/>
    <w:rsid w:val="00124CB6"/>
    <w:rsid w:val="00124EFF"/>
    <w:rsid w:val="0012540D"/>
    <w:rsid w:val="00126291"/>
    <w:rsid w:val="00126938"/>
    <w:rsid w:val="00126C0E"/>
    <w:rsid w:val="00127096"/>
    <w:rsid w:val="00127307"/>
    <w:rsid w:val="0012752F"/>
    <w:rsid w:val="00127892"/>
    <w:rsid w:val="00127AA8"/>
    <w:rsid w:val="00130464"/>
    <w:rsid w:val="001304B0"/>
    <w:rsid w:val="0013062E"/>
    <w:rsid w:val="0013077F"/>
    <w:rsid w:val="00130833"/>
    <w:rsid w:val="00130B71"/>
    <w:rsid w:val="00130F3A"/>
    <w:rsid w:val="00131B77"/>
    <w:rsid w:val="00131B83"/>
    <w:rsid w:val="00131BD2"/>
    <w:rsid w:val="00131ECD"/>
    <w:rsid w:val="001324D5"/>
    <w:rsid w:val="0013273C"/>
    <w:rsid w:val="00132966"/>
    <w:rsid w:val="00132BF8"/>
    <w:rsid w:val="0013305B"/>
    <w:rsid w:val="001343AE"/>
    <w:rsid w:val="00134BAE"/>
    <w:rsid w:val="00134C04"/>
    <w:rsid w:val="00134D05"/>
    <w:rsid w:val="00135006"/>
    <w:rsid w:val="00135D77"/>
    <w:rsid w:val="00135DBC"/>
    <w:rsid w:val="00136112"/>
    <w:rsid w:val="00136196"/>
    <w:rsid w:val="0013649F"/>
    <w:rsid w:val="0013657D"/>
    <w:rsid w:val="00136581"/>
    <w:rsid w:val="001367B8"/>
    <w:rsid w:val="00136FF5"/>
    <w:rsid w:val="001378AD"/>
    <w:rsid w:val="00137E4A"/>
    <w:rsid w:val="00137F4E"/>
    <w:rsid w:val="0014006B"/>
    <w:rsid w:val="0014031D"/>
    <w:rsid w:val="00140D25"/>
    <w:rsid w:val="001410D3"/>
    <w:rsid w:val="00141267"/>
    <w:rsid w:val="0014184C"/>
    <w:rsid w:val="001418E1"/>
    <w:rsid w:val="00141D1E"/>
    <w:rsid w:val="00141DB8"/>
    <w:rsid w:val="00141E5C"/>
    <w:rsid w:val="00141E72"/>
    <w:rsid w:val="00141F0A"/>
    <w:rsid w:val="00141F2B"/>
    <w:rsid w:val="00141F2F"/>
    <w:rsid w:val="00141F5C"/>
    <w:rsid w:val="00142677"/>
    <w:rsid w:val="001429C0"/>
    <w:rsid w:val="00142E56"/>
    <w:rsid w:val="001434A9"/>
    <w:rsid w:val="00143D58"/>
    <w:rsid w:val="001440A0"/>
    <w:rsid w:val="0014443D"/>
    <w:rsid w:val="00144669"/>
    <w:rsid w:val="00144E5A"/>
    <w:rsid w:val="00144EC3"/>
    <w:rsid w:val="0014500F"/>
    <w:rsid w:val="00145457"/>
    <w:rsid w:val="00145BFE"/>
    <w:rsid w:val="00145D4E"/>
    <w:rsid w:val="00146286"/>
    <w:rsid w:val="001467DE"/>
    <w:rsid w:val="00146BF4"/>
    <w:rsid w:val="00146CE5"/>
    <w:rsid w:val="001470F6"/>
    <w:rsid w:val="00147243"/>
    <w:rsid w:val="001473B8"/>
    <w:rsid w:val="0014788C"/>
    <w:rsid w:val="0014798C"/>
    <w:rsid w:val="00147CF6"/>
    <w:rsid w:val="00147D1B"/>
    <w:rsid w:val="00150022"/>
    <w:rsid w:val="0015076A"/>
    <w:rsid w:val="00150920"/>
    <w:rsid w:val="00150E81"/>
    <w:rsid w:val="00150F3B"/>
    <w:rsid w:val="001513A9"/>
    <w:rsid w:val="0015187E"/>
    <w:rsid w:val="001518FD"/>
    <w:rsid w:val="001520F7"/>
    <w:rsid w:val="00152127"/>
    <w:rsid w:val="001524DF"/>
    <w:rsid w:val="001527E3"/>
    <w:rsid w:val="00152D1F"/>
    <w:rsid w:val="00152E67"/>
    <w:rsid w:val="001532BC"/>
    <w:rsid w:val="001533C7"/>
    <w:rsid w:val="001533DC"/>
    <w:rsid w:val="00153627"/>
    <w:rsid w:val="001536E7"/>
    <w:rsid w:val="00153B22"/>
    <w:rsid w:val="001546C9"/>
    <w:rsid w:val="00154EE5"/>
    <w:rsid w:val="0015611D"/>
    <w:rsid w:val="00156214"/>
    <w:rsid w:val="00157BAD"/>
    <w:rsid w:val="00157CBE"/>
    <w:rsid w:val="00157E6E"/>
    <w:rsid w:val="00157F8B"/>
    <w:rsid w:val="001603B8"/>
    <w:rsid w:val="00160B7B"/>
    <w:rsid w:val="00160F64"/>
    <w:rsid w:val="00161281"/>
    <w:rsid w:val="00161321"/>
    <w:rsid w:val="00161433"/>
    <w:rsid w:val="00161AEE"/>
    <w:rsid w:val="00161EA3"/>
    <w:rsid w:val="001626C3"/>
    <w:rsid w:val="00162B3C"/>
    <w:rsid w:val="00162BE4"/>
    <w:rsid w:val="00162D8C"/>
    <w:rsid w:val="0016301A"/>
    <w:rsid w:val="0016350E"/>
    <w:rsid w:val="00163B6F"/>
    <w:rsid w:val="00163CCF"/>
    <w:rsid w:val="00164036"/>
    <w:rsid w:val="001647A3"/>
    <w:rsid w:val="001649D7"/>
    <w:rsid w:val="00164A5D"/>
    <w:rsid w:val="00164D9A"/>
    <w:rsid w:val="00164F73"/>
    <w:rsid w:val="00165554"/>
    <w:rsid w:val="00165644"/>
    <w:rsid w:val="00165CBC"/>
    <w:rsid w:val="00165DE9"/>
    <w:rsid w:val="0016606E"/>
    <w:rsid w:val="0016633F"/>
    <w:rsid w:val="001667ED"/>
    <w:rsid w:val="00166F65"/>
    <w:rsid w:val="0016753E"/>
    <w:rsid w:val="0016781B"/>
    <w:rsid w:val="00167912"/>
    <w:rsid w:val="00167984"/>
    <w:rsid w:val="00167C65"/>
    <w:rsid w:val="00167F84"/>
    <w:rsid w:val="00170F6D"/>
    <w:rsid w:val="00171468"/>
    <w:rsid w:val="001715BB"/>
    <w:rsid w:val="00171FB8"/>
    <w:rsid w:val="0017205A"/>
    <w:rsid w:val="0017383E"/>
    <w:rsid w:val="00173D07"/>
    <w:rsid w:val="00173E38"/>
    <w:rsid w:val="00174551"/>
    <w:rsid w:val="001749DD"/>
    <w:rsid w:val="001753F4"/>
    <w:rsid w:val="001754E4"/>
    <w:rsid w:val="00175571"/>
    <w:rsid w:val="00175709"/>
    <w:rsid w:val="0017618E"/>
    <w:rsid w:val="00176234"/>
    <w:rsid w:val="00176453"/>
    <w:rsid w:val="00176590"/>
    <w:rsid w:val="00176B1E"/>
    <w:rsid w:val="001773CB"/>
    <w:rsid w:val="00177874"/>
    <w:rsid w:val="00177A04"/>
    <w:rsid w:val="00180318"/>
    <w:rsid w:val="001803BE"/>
    <w:rsid w:val="0018079D"/>
    <w:rsid w:val="00180FDE"/>
    <w:rsid w:val="00181419"/>
    <w:rsid w:val="00181755"/>
    <w:rsid w:val="00181994"/>
    <w:rsid w:val="00181F5C"/>
    <w:rsid w:val="0018231F"/>
    <w:rsid w:val="00182713"/>
    <w:rsid w:val="0018288F"/>
    <w:rsid w:val="00182A89"/>
    <w:rsid w:val="001832C2"/>
    <w:rsid w:val="00183B21"/>
    <w:rsid w:val="00183FA3"/>
    <w:rsid w:val="00184068"/>
    <w:rsid w:val="00184167"/>
    <w:rsid w:val="00184AE6"/>
    <w:rsid w:val="00184E2C"/>
    <w:rsid w:val="001857E7"/>
    <w:rsid w:val="0018599B"/>
    <w:rsid w:val="001859CB"/>
    <w:rsid w:val="00185D5F"/>
    <w:rsid w:val="00186142"/>
    <w:rsid w:val="00186681"/>
    <w:rsid w:val="00186853"/>
    <w:rsid w:val="00186E2D"/>
    <w:rsid w:val="00186FBE"/>
    <w:rsid w:val="00187664"/>
    <w:rsid w:val="001876F5"/>
    <w:rsid w:val="00187DC9"/>
    <w:rsid w:val="00187E43"/>
    <w:rsid w:val="00187EBF"/>
    <w:rsid w:val="00190841"/>
    <w:rsid w:val="0019090A"/>
    <w:rsid w:val="00190ADC"/>
    <w:rsid w:val="00190DB2"/>
    <w:rsid w:val="001913A9"/>
    <w:rsid w:val="00191918"/>
    <w:rsid w:val="00191D6B"/>
    <w:rsid w:val="00191EB1"/>
    <w:rsid w:val="001920E0"/>
    <w:rsid w:val="00192428"/>
    <w:rsid w:val="00192A72"/>
    <w:rsid w:val="00192BC2"/>
    <w:rsid w:val="0019345D"/>
    <w:rsid w:val="00193C26"/>
    <w:rsid w:val="00194070"/>
    <w:rsid w:val="001940FA"/>
    <w:rsid w:val="001944B8"/>
    <w:rsid w:val="00194F60"/>
    <w:rsid w:val="001956DC"/>
    <w:rsid w:val="001956DE"/>
    <w:rsid w:val="00195DFE"/>
    <w:rsid w:val="0019613B"/>
    <w:rsid w:val="00196AA4"/>
    <w:rsid w:val="00196E72"/>
    <w:rsid w:val="00197134"/>
    <w:rsid w:val="00197435"/>
    <w:rsid w:val="001A0090"/>
    <w:rsid w:val="001A09E4"/>
    <w:rsid w:val="001A0E76"/>
    <w:rsid w:val="001A1015"/>
    <w:rsid w:val="001A156C"/>
    <w:rsid w:val="001A1A34"/>
    <w:rsid w:val="001A1D07"/>
    <w:rsid w:val="001A1D6C"/>
    <w:rsid w:val="001A229B"/>
    <w:rsid w:val="001A25C7"/>
    <w:rsid w:val="001A2A7F"/>
    <w:rsid w:val="001A2CC0"/>
    <w:rsid w:val="001A2F1B"/>
    <w:rsid w:val="001A2F4F"/>
    <w:rsid w:val="001A3091"/>
    <w:rsid w:val="001A30F3"/>
    <w:rsid w:val="001A3572"/>
    <w:rsid w:val="001A37AC"/>
    <w:rsid w:val="001A3E0F"/>
    <w:rsid w:val="001A3E43"/>
    <w:rsid w:val="001A49EA"/>
    <w:rsid w:val="001A4ADB"/>
    <w:rsid w:val="001A503E"/>
    <w:rsid w:val="001A50D6"/>
    <w:rsid w:val="001A5556"/>
    <w:rsid w:val="001A5713"/>
    <w:rsid w:val="001A59C9"/>
    <w:rsid w:val="001A5A00"/>
    <w:rsid w:val="001A5F48"/>
    <w:rsid w:val="001A633C"/>
    <w:rsid w:val="001A6459"/>
    <w:rsid w:val="001A65C5"/>
    <w:rsid w:val="001A670F"/>
    <w:rsid w:val="001A6AD7"/>
    <w:rsid w:val="001A6B1D"/>
    <w:rsid w:val="001A6C96"/>
    <w:rsid w:val="001A7237"/>
    <w:rsid w:val="001A780A"/>
    <w:rsid w:val="001A78A9"/>
    <w:rsid w:val="001A791A"/>
    <w:rsid w:val="001A7CDE"/>
    <w:rsid w:val="001B0254"/>
    <w:rsid w:val="001B0691"/>
    <w:rsid w:val="001B0764"/>
    <w:rsid w:val="001B0D13"/>
    <w:rsid w:val="001B1084"/>
    <w:rsid w:val="001B1836"/>
    <w:rsid w:val="001B18C2"/>
    <w:rsid w:val="001B1992"/>
    <w:rsid w:val="001B28CF"/>
    <w:rsid w:val="001B2B3C"/>
    <w:rsid w:val="001B2CE3"/>
    <w:rsid w:val="001B2EDF"/>
    <w:rsid w:val="001B3047"/>
    <w:rsid w:val="001B3764"/>
    <w:rsid w:val="001B3D34"/>
    <w:rsid w:val="001B3DE6"/>
    <w:rsid w:val="001B3E50"/>
    <w:rsid w:val="001B405E"/>
    <w:rsid w:val="001B4527"/>
    <w:rsid w:val="001B4571"/>
    <w:rsid w:val="001B4670"/>
    <w:rsid w:val="001B4693"/>
    <w:rsid w:val="001B4998"/>
    <w:rsid w:val="001B4F73"/>
    <w:rsid w:val="001B51CC"/>
    <w:rsid w:val="001B5571"/>
    <w:rsid w:val="001B5BA0"/>
    <w:rsid w:val="001B6D8F"/>
    <w:rsid w:val="001B71EA"/>
    <w:rsid w:val="001B723C"/>
    <w:rsid w:val="001B75D8"/>
    <w:rsid w:val="001B763F"/>
    <w:rsid w:val="001B7C9B"/>
    <w:rsid w:val="001C0240"/>
    <w:rsid w:val="001C082E"/>
    <w:rsid w:val="001C09EC"/>
    <w:rsid w:val="001C0EBF"/>
    <w:rsid w:val="001C0FDD"/>
    <w:rsid w:val="001C167C"/>
    <w:rsid w:val="001C20F5"/>
    <w:rsid w:val="001C2EFF"/>
    <w:rsid w:val="001C3537"/>
    <w:rsid w:val="001C37E7"/>
    <w:rsid w:val="001C3A33"/>
    <w:rsid w:val="001C3B3C"/>
    <w:rsid w:val="001C3D01"/>
    <w:rsid w:val="001C3E66"/>
    <w:rsid w:val="001C4316"/>
    <w:rsid w:val="001C4680"/>
    <w:rsid w:val="001C5612"/>
    <w:rsid w:val="001C5B0D"/>
    <w:rsid w:val="001C5BD4"/>
    <w:rsid w:val="001C5BEA"/>
    <w:rsid w:val="001C6234"/>
    <w:rsid w:val="001C6990"/>
    <w:rsid w:val="001C6ED6"/>
    <w:rsid w:val="001C70B3"/>
    <w:rsid w:val="001C786C"/>
    <w:rsid w:val="001C7926"/>
    <w:rsid w:val="001C7E16"/>
    <w:rsid w:val="001D0234"/>
    <w:rsid w:val="001D082E"/>
    <w:rsid w:val="001D0883"/>
    <w:rsid w:val="001D0943"/>
    <w:rsid w:val="001D0E98"/>
    <w:rsid w:val="001D1070"/>
    <w:rsid w:val="001D12A5"/>
    <w:rsid w:val="001D13C8"/>
    <w:rsid w:val="001D177C"/>
    <w:rsid w:val="001D1905"/>
    <w:rsid w:val="001D1D16"/>
    <w:rsid w:val="001D2139"/>
    <w:rsid w:val="001D213D"/>
    <w:rsid w:val="001D224C"/>
    <w:rsid w:val="001D22BD"/>
    <w:rsid w:val="001D26AD"/>
    <w:rsid w:val="001D26EF"/>
    <w:rsid w:val="001D28BD"/>
    <w:rsid w:val="001D28D1"/>
    <w:rsid w:val="001D33A7"/>
    <w:rsid w:val="001D4639"/>
    <w:rsid w:val="001D48D0"/>
    <w:rsid w:val="001D48DB"/>
    <w:rsid w:val="001D4C72"/>
    <w:rsid w:val="001D4DDE"/>
    <w:rsid w:val="001D5639"/>
    <w:rsid w:val="001D5B10"/>
    <w:rsid w:val="001D5E5A"/>
    <w:rsid w:val="001D6F38"/>
    <w:rsid w:val="001D7137"/>
    <w:rsid w:val="001D750A"/>
    <w:rsid w:val="001D7E62"/>
    <w:rsid w:val="001D7FE5"/>
    <w:rsid w:val="001E015E"/>
    <w:rsid w:val="001E0808"/>
    <w:rsid w:val="001E1327"/>
    <w:rsid w:val="001E17A5"/>
    <w:rsid w:val="001E1950"/>
    <w:rsid w:val="001E1F74"/>
    <w:rsid w:val="001E1FB2"/>
    <w:rsid w:val="001E2196"/>
    <w:rsid w:val="001E2453"/>
    <w:rsid w:val="001E297F"/>
    <w:rsid w:val="001E2FD8"/>
    <w:rsid w:val="001E2FE1"/>
    <w:rsid w:val="001E3402"/>
    <w:rsid w:val="001E35E7"/>
    <w:rsid w:val="001E3708"/>
    <w:rsid w:val="001E3B61"/>
    <w:rsid w:val="001E4088"/>
    <w:rsid w:val="001E4641"/>
    <w:rsid w:val="001E4724"/>
    <w:rsid w:val="001E481E"/>
    <w:rsid w:val="001E49E6"/>
    <w:rsid w:val="001E4A88"/>
    <w:rsid w:val="001E4ABD"/>
    <w:rsid w:val="001E4E8A"/>
    <w:rsid w:val="001E509A"/>
    <w:rsid w:val="001E5259"/>
    <w:rsid w:val="001E5653"/>
    <w:rsid w:val="001E5951"/>
    <w:rsid w:val="001E5977"/>
    <w:rsid w:val="001E5BC9"/>
    <w:rsid w:val="001E6097"/>
    <w:rsid w:val="001E6262"/>
    <w:rsid w:val="001E65B8"/>
    <w:rsid w:val="001E75D7"/>
    <w:rsid w:val="001E7651"/>
    <w:rsid w:val="001E7AB9"/>
    <w:rsid w:val="001E7D8F"/>
    <w:rsid w:val="001F00E4"/>
    <w:rsid w:val="001F0400"/>
    <w:rsid w:val="001F058A"/>
    <w:rsid w:val="001F0985"/>
    <w:rsid w:val="001F0A9B"/>
    <w:rsid w:val="001F1170"/>
    <w:rsid w:val="001F1661"/>
    <w:rsid w:val="001F1DD8"/>
    <w:rsid w:val="001F1DEB"/>
    <w:rsid w:val="001F1E82"/>
    <w:rsid w:val="001F1E85"/>
    <w:rsid w:val="001F2A2D"/>
    <w:rsid w:val="001F2BEC"/>
    <w:rsid w:val="001F2C8A"/>
    <w:rsid w:val="001F2C8F"/>
    <w:rsid w:val="001F2E94"/>
    <w:rsid w:val="001F30E7"/>
    <w:rsid w:val="001F3785"/>
    <w:rsid w:val="001F37EB"/>
    <w:rsid w:val="001F4334"/>
    <w:rsid w:val="001F4740"/>
    <w:rsid w:val="001F48D1"/>
    <w:rsid w:val="001F4A7E"/>
    <w:rsid w:val="001F4AD2"/>
    <w:rsid w:val="001F50EF"/>
    <w:rsid w:val="001F571F"/>
    <w:rsid w:val="001F63AA"/>
    <w:rsid w:val="001F64EF"/>
    <w:rsid w:val="001F65A3"/>
    <w:rsid w:val="001F668D"/>
    <w:rsid w:val="001F67CE"/>
    <w:rsid w:val="001F6835"/>
    <w:rsid w:val="001F7135"/>
    <w:rsid w:val="001F7366"/>
    <w:rsid w:val="001F7612"/>
    <w:rsid w:val="001F7B77"/>
    <w:rsid w:val="001F7D0D"/>
    <w:rsid w:val="00200155"/>
    <w:rsid w:val="0020026D"/>
    <w:rsid w:val="00200400"/>
    <w:rsid w:val="002004B7"/>
    <w:rsid w:val="002006FB"/>
    <w:rsid w:val="002008E2"/>
    <w:rsid w:val="00200B0A"/>
    <w:rsid w:val="00200C16"/>
    <w:rsid w:val="00200DB8"/>
    <w:rsid w:val="00201768"/>
    <w:rsid w:val="0020178B"/>
    <w:rsid w:val="00201A2D"/>
    <w:rsid w:val="00201D62"/>
    <w:rsid w:val="00201D86"/>
    <w:rsid w:val="0020209A"/>
    <w:rsid w:val="0020223B"/>
    <w:rsid w:val="0020277B"/>
    <w:rsid w:val="00202793"/>
    <w:rsid w:val="002027A6"/>
    <w:rsid w:val="00202BB4"/>
    <w:rsid w:val="00202D0A"/>
    <w:rsid w:val="00204993"/>
    <w:rsid w:val="00204BD9"/>
    <w:rsid w:val="00204D79"/>
    <w:rsid w:val="002051BF"/>
    <w:rsid w:val="002054E6"/>
    <w:rsid w:val="002059AE"/>
    <w:rsid w:val="00205B01"/>
    <w:rsid w:val="0020699D"/>
    <w:rsid w:val="002069C7"/>
    <w:rsid w:val="002075B3"/>
    <w:rsid w:val="00207C45"/>
    <w:rsid w:val="00207D85"/>
    <w:rsid w:val="00207EFE"/>
    <w:rsid w:val="00210040"/>
    <w:rsid w:val="002101D9"/>
    <w:rsid w:val="00210AF9"/>
    <w:rsid w:val="002110E3"/>
    <w:rsid w:val="00211453"/>
    <w:rsid w:val="00211923"/>
    <w:rsid w:val="00211CA6"/>
    <w:rsid w:val="002122FF"/>
    <w:rsid w:val="002127CE"/>
    <w:rsid w:val="002127D1"/>
    <w:rsid w:val="00212F66"/>
    <w:rsid w:val="00213464"/>
    <w:rsid w:val="00213683"/>
    <w:rsid w:val="00213768"/>
    <w:rsid w:val="00213DE0"/>
    <w:rsid w:val="00213F85"/>
    <w:rsid w:val="00213F93"/>
    <w:rsid w:val="002142D7"/>
    <w:rsid w:val="00214B7C"/>
    <w:rsid w:val="0021525D"/>
    <w:rsid w:val="0021548B"/>
    <w:rsid w:val="002158E7"/>
    <w:rsid w:val="002163FF"/>
    <w:rsid w:val="00216973"/>
    <w:rsid w:val="00216F85"/>
    <w:rsid w:val="00217016"/>
    <w:rsid w:val="002171F6"/>
    <w:rsid w:val="00217A58"/>
    <w:rsid w:val="00217C57"/>
    <w:rsid w:val="002200E0"/>
    <w:rsid w:val="002202C1"/>
    <w:rsid w:val="00220BCF"/>
    <w:rsid w:val="00221030"/>
    <w:rsid w:val="00221367"/>
    <w:rsid w:val="002218CF"/>
    <w:rsid w:val="00221BE2"/>
    <w:rsid w:val="002222F6"/>
    <w:rsid w:val="00222E8B"/>
    <w:rsid w:val="0022308F"/>
    <w:rsid w:val="00223DBB"/>
    <w:rsid w:val="00223F5C"/>
    <w:rsid w:val="00224600"/>
    <w:rsid w:val="00224675"/>
    <w:rsid w:val="00224799"/>
    <w:rsid w:val="0022481D"/>
    <w:rsid w:val="00224BA2"/>
    <w:rsid w:val="0022517F"/>
    <w:rsid w:val="00225293"/>
    <w:rsid w:val="00225384"/>
    <w:rsid w:val="0022544D"/>
    <w:rsid w:val="00225701"/>
    <w:rsid w:val="00225AC6"/>
    <w:rsid w:val="00225CF0"/>
    <w:rsid w:val="00226698"/>
    <w:rsid w:val="00226C11"/>
    <w:rsid w:val="00226EB0"/>
    <w:rsid w:val="002273FA"/>
    <w:rsid w:val="00227577"/>
    <w:rsid w:val="00230E81"/>
    <w:rsid w:val="002317EA"/>
    <w:rsid w:val="00231857"/>
    <w:rsid w:val="00231A20"/>
    <w:rsid w:val="00231B4B"/>
    <w:rsid w:val="002329EC"/>
    <w:rsid w:val="002330ED"/>
    <w:rsid w:val="002330F2"/>
    <w:rsid w:val="00234360"/>
    <w:rsid w:val="00234498"/>
    <w:rsid w:val="002344C4"/>
    <w:rsid w:val="002348D4"/>
    <w:rsid w:val="002348FC"/>
    <w:rsid w:val="002349E6"/>
    <w:rsid w:val="00234AD6"/>
    <w:rsid w:val="00234B97"/>
    <w:rsid w:val="00234E8A"/>
    <w:rsid w:val="002351A0"/>
    <w:rsid w:val="00235468"/>
    <w:rsid w:val="00235552"/>
    <w:rsid w:val="00235E4D"/>
    <w:rsid w:val="002364C2"/>
    <w:rsid w:val="00236626"/>
    <w:rsid w:val="0023670C"/>
    <w:rsid w:val="002369FF"/>
    <w:rsid w:val="00236FB0"/>
    <w:rsid w:val="0023721D"/>
    <w:rsid w:val="00237F69"/>
    <w:rsid w:val="00240195"/>
    <w:rsid w:val="002408C1"/>
    <w:rsid w:val="00240B0C"/>
    <w:rsid w:val="00240E09"/>
    <w:rsid w:val="00240E19"/>
    <w:rsid w:val="00240E86"/>
    <w:rsid w:val="00240FF0"/>
    <w:rsid w:val="00241542"/>
    <w:rsid w:val="0024188A"/>
    <w:rsid w:val="00241C80"/>
    <w:rsid w:val="00241E23"/>
    <w:rsid w:val="002427A3"/>
    <w:rsid w:val="0024292A"/>
    <w:rsid w:val="00242954"/>
    <w:rsid w:val="00242AB2"/>
    <w:rsid w:val="00242B30"/>
    <w:rsid w:val="00242C77"/>
    <w:rsid w:val="00242F2C"/>
    <w:rsid w:val="00242F8F"/>
    <w:rsid w:val="00243535"/>
    <w:rsid w:val="002436F6"/>
    <w:rsid w:val="00243949"/>
    <w:rsid w:val="00244012"/>
    <w:rsid w:val="0024483B"/>
    <w:rsid w:val="00244900"/>
    <w:rsid w:val="00244983"/>
    <w:rsid w:val="00244BD1"/>
    <w:rsid w:val="00244CFB"/>
    <w:rsid w:val="00245030"/>
    <w:rsid w:val="0024593A"/>
    <w:rsid w:val="00245DC3"/>
    <w:rsid w:val="00246244"/>
    <w:rsid w:val="002462E0"/>
    <w:rsid w:val="00246954"/>
    <w:rsid w:val="0024739E"/>
    <w:rsid w:val="00247670"/>
    <w:rsid w:val="00247B4B"/>
    <w:rsid w:val="00247BA3"/>
    <w:rsid w:val="00247C58"/>
    <w:rsid w:val="00247F6D"/>
    <w:rsid w:val="00250437"/>
    <w:rsid w:val="002515D1"/>
    <w:rsid w:val="002517CA"/>
    <w:rsid w:val="00251947"/>
    <w:rsid w:val="002519DD"/>
    <w:rsid w:val="00251A96"/>
    <w:rsid w:val="002521BC"/>
    <w:rsid w:val="00252425"/>
    <w:rsid w:val="00252D32"/>
    <w:rsid w:val="002531FE"/>
    <w:rsid w:val="0025323D"/>
    <w:rsid w:val="00253D36"/>
    <w:rsid w:val="00253DD5"/>
    <w:rsid w:val="00253F40"/>
    <w:rsid w:val="002540D8"/>
    <w:rsid w:val="00254613"/>
    <w:rsid w:val="00254684"/>
    <w:rsid w:val="00254744"/>
    <w:rsid w:val="002549B0"/>
    <w:rsid w:val="00254CC7"/>
    <w:rsid w:val="00254DBE"/>
    <w:rsid w:val="00255240"/>
    <w:rsid w:val="002557F4"/>
    <w:rsid w:val="00255AE7"/>
    <w:rsid w:val="00255C56"/>
    <w:rsid w:val="00255CC7"/>
    <w:rsid w:val="00255DF3"/>
    <w:rsid w:val="002560A9"/>
    <w:rsid w:val="002569A9"/>
    <w:rsid w:val="00257103"/>
    <w:rsid w:val="00257143"/>
    <w:rsid w:val="002572A2"/>
    <w:rsid w:val="002573BE"/>
    <w:rsid w:val="00257704"/>
    <w:rsid w:val="00260115"/>
    <w:rsid w:val="002604DA"/>
    <w:rsid w:val="002611A3"/>
    <w:rsid w:val="00261A98"/>
    <w:rsid w:val="0026223C"/>
    <w:rsid w:val="00262272"/>
    <w:rsid w:val="00262672"/>
    <w:rsid w:val="00262781"/>
    <w:rsid w:val="00262E81"/>
    <w:rsid w:val="00262F80"/>
    <w:rsid w:val="002634E9"/>
    <w:rsid w:val="002634F1"/>
    <w:rsid w:val="00263869"/>
    <w:rsid w:val="00263A36"/>
    <w:rsid w:val="00263BCF"/>
    <w:rsid w:val="00263DA4"/>
    <w:rsid w:val="00263E9F"/>
    <w:rsid w:val="002642CF"/>
    <w:rsid w:val="00264591"/>
    <w:rsid w:val="0026464D"/>
    <w:rsid w:val="00264850"/>
    <w:rsid w:val="0026526E"/>
    <w:rsid w:val="00265C72"/>
    <w:rsid w:val="00265ECF"/>
    <w:rsid w:val="00266042"/>
    <w:rsid w:val="002660F1"/>
    <w:rsid w:val="00266358"/>
    <w:rsid w:val="00266588"/>
    <w:rsid w:val="002667D7"/>
    <w:rsid w:val="002669FF"/>
    <w:rsid w:val="00266ABF"/>
    <w:rsid w:val="00266BBA"/>
    <w:rsid w:val="00266BEA"/>
    <w:rsid w:val="00266D51"/>
    <w:rsid w:val="00266FB9"/>
    <w:rsid w:val="00266FBA"/>
    <w:rsid w:val="0026717A"/>
    <w:rsid w:val="0026724E"/>
    <w:rsid w:val="0026745D"/>
    <w:rsid w:val="0026757D"/>
    <w:rsid w:val="002676BD"/>
    <w:rsid w:val="0026792F"/>
    <w:rsid w:val="00267F98"/>
    <w:rsid w:val="00267FC6"/>
    <w:rsid w:val="002707C4"/>
    <w:rsid w:val="0027092B"/>
    <w:rsid w:val="0027145C"/>
    <w:rsid w:val="002717C8"/>
    <w:rsid w:val="00272094"/>
    <w:rsid w:val="002723FF"/>
    <w:rsid w:val="00273810"/>
    <w:rsid w:val="002739E8"/>
    <w:rsid w:val="002739EC"/>
    <w:rsid w:val="00273C01"/>
    <w:rsid w:val="00273C22"/>
    <w:rsid w:val="00273E32"/>
    <w:rsid w:val="00273F2E"/>
    <w:rsid w:val="00274658"/>
    <w:rsid w:val="00275060"/>
    <w:rsid w:val="002750DA"/>
    <w:rsid w:val="00275641"/>
    <w:rsid w:val="00275B6C"/>
    <w:rsid w:val="00275C72"/>
    <w:rsid w:val="00275FFE"/>
    <w:rsid w:val="002763EA"/>
    <w:rsid w:val="00276F49"/>
    <w:rsid w:val="00276FFD"/>
    <w:rsid w:val="002776BB"/>
    <w:rsid w:val="0027781E"/>
    <w:rsid w:val="00277B40"/>
    <w:rsid w:val="002801DE"/>
    <w:rsid w:val="002808D0"/>
    <w:rsid w:val="00281537"/>
    <w:rsid w:val="00282A5F"/>
    <w:rsid w:val="00282D8E"/>
    <w:rsid w:val="0028306E"/>
    <w:rsid w:val="002831C5"/>
    <w:rsid w:val="00283756"/>
    <w:rsid w:val="0028387B"/>
    <w:rsid w:val="00283CCD"/>
    <w:rsid w:val="002846B6"/>
    <w:rsid w:val="0028485A"/>
    <w:rsid w:val="00284E3A"/>
    <w:rsid w:val="002851AE"/>
    <w:rsid w:val="00285319"/>
    <w:rsid w:val="00286823"/>
    <w:rsid w:val="00286961"/>
    <w:rsid w:val="00286E9C"/>
    <w:rsid w:val="00286F0E"/>
    <w:rsid w:val="002870DE"/>
    <w:rsid w:val="0028739D"/>
    <w:rsid w:val="002876A6"/>
    <w:rsid w:val="002879EE"/>
    <w:rsid w:val="0029023D"/>
    <w:rsid w:val="0029053A"/>
    <w:rsid w:val="00290AD4"/>
    <w:rsid w:val="00290C3B"/>
    <w:rsid w:val="00290DF8"/>
    <w:rsid w:val="00290E33"/>
    <w:rsid w:val="00290E59"/>
    <w:rsid w:val="00291C61"/>
    <w:rsid w:val="00291CAF"/>
    <w:rsid w:val="00291E7C"/>
    <w:rsid w:val="00291ECD"/>
    <w:rsid w:val="0029275F"/>
    <w:rsid w:val="0029364F"/>
    <w:rsid w:val="002941EF"/>
    <w:rsid w:val="0029423D"/>
    <w:rsid w:val="00294E1A"/>
    <w:rsid w:val="0029562D"/>
    <w:rsid w:val="0029572C"/>
    <w:rsid w:val="00295927"/>
    <w:rsid w:val="00295B2D"/>
    <w:rsid w:val="00295CC4"/>
    <w:rsid w:val="00296666"/>
    <w:rsid w:val="00296AF1"/>
    <w:rsid w:val="00296BA2"/>
    <w:rsid w:val="00296E5F"/>
    <w:rsid w:val="002970AF"/>
    <w:rsid w:val="00297573"/>
    <w:rsid w:val="00297667"/>
    <w:rsid w:val="00297DEB"/>
    <w:rsid w:val="002A0446"/>
    <w:rsid w:val="002A0FB9"/>
    <w:rsid w:val="002A1091"/>
    <w:rsid w:val="002A1AA7"/>
    <w:rsid w:val="002A1EB7"/>
    <w:rsid w:val="002A2068"/>
    <w:rsid w:val="002A225E"/>
    <w:rsid w:val="002A22E3"/>
    <w:rsid w:val="002A22FA"/>
    <w:rsid w:val="002A2549"/>
    <w:rsid w:val="002A264E"/>
    <w:rsid w:val="002A275D"/>
    <w:rsid w:val="002A2883"/>
    <w:rsid w:val="002A2AF4"/>
    <w:rsid w:val="002A2C5B"/>
    <w:rsid w:val="002A2CA7"/>
    <w:rsid w:val="002A2D40"/>
    <w:rsid w:val="002A2D8E"/>
    <w:rsid w:val="002A300B"/>
    <w:rsid w:val="002A33EA"/>
    <w:rsid w:val="002A35BD"/>
    <w:rsid w:val="002A3E1B"/>
    <w:rsid w:val="002A3E82"/>
    <w:rsid w:val="002A3EF6"/>
    <w:rsid w:val="002A407A"/>
    <w:rsid w:val="002A4098"/>
    <w:rsid w:val="002A4509"/>
    <w:rsid w:val="002A4857"/>
    <w:rsid w:val="002A50E7"/>
    <w:rsid w:val="002A53C2"/>
    <w:rsid w:val="002A547B"/>
    <w:rsid w:val="002A5A1F"/>
    <w:rsid w:val="002A607A"/>
    <w:rsid w:val="002A60F0"/>
    <w:rsid w:val="002A62EC"/>
    <w:rsid w:val="002A6C07"/>
    <w:rsid w:val="002A6E01"/>
    <w:rsid w:val="002A6F90"/>
    <w:rsid w:val="002A7979"/>
    <w:rsid w:val="002A7BEE"/>
    <w:rsid w:val="002B0222"/>
    <w:rsid w:val="002B03E1"/>
    <w:rsid w:val="002B0423"/>
    <w:rsid w:val="002B0A30"/>
    <w:rsid w:val="002B0ADF"/>
    <w:rsid w:val="002B0C18"/>
    <w:rsid w:val="002B1F4C"/>
    <w:rsid w:val="002B20E2"/>
    <w:rsid w:val="002B2371"/>
    <w:rsid w:val="002B2992"/>
    <w:rsid w:val="002B29D9"/>
    <w:rsid w:val="002B2CCB"/>
    <w:rsid w:val="002B2D65"/>
    <w:rsid w:val="002B3E49"/>
    <w:rsid w:val="002B3EF3"/>
    <w:rsid w:val="002B47C0"/>
    <w:rsid w:val="002B4B14"/>
    <w:rsid w:val="002B4F83"/>
    <w:rsid w:val="002B50CC"/>
    <w:rsid w:val="002B538C"/>
    <w:rsid w:val="002B53AA"/>
    <w:rsid w:val="002B59E2"/>
    <w:rsid w:val="002B5AE9"/>
    <w:rsid w:val="002B5B57"/>
    <w:rsid w:val="002B5E81"/>
    <w:rsid w:val="002B5FED"/>
    <w:rsid w:val="002B65D5"/>
    <w:rsid w:val="002B66F4"/>
    <w:rsid w:val="002B6708"/>
    <w:rsid w:val="002B6B31"/>
    <w:rsid w:val="002B6D9F"/>
    <w:rsid w:val="002B6F33"/>
    <w:rsid w:val="002B70E1"/>
    <w:rsid w:val="002B713E"/>
    <w:rsid w:val="002B7A43"/>
    <w:rsid w:val="002B7BCF"/>
    <w:rsid w:val="002B7BFA"/>
    <w:rsid w:val="002B7F50"/>
    <w:rsid w:val="002C0EEE"/>
    <w:rsid w:val="002C1359"/>
    <w:rsid w:val="002C162D"/>
    <w:rsid w:val="002C16AA"/>
    <w:rsid w:val="002C1743"/>
    <w:rsid w:val="002C181E"/>
    <w:rsid w:val="002C19C1"/>
    <w:rsid w:val="002C1ADB"/>
    <w:rsid w:val="002C1E12"/>
    <w:rsid w:val="002C1EC3"/>
    <w:rsid w:val="002C23F8"/>
    <w:rsid w:val="002C24D2"/>
    <w:rsid w:val="002C29AD"/>
    <w:rsid w:val="002C2AF9"/>
    <w:rsid w:val="002C2DB1"/>
    <w:rsid w:val="002C311C"/>
    <w:rsid w:val="002C32A3"/>
    <w:rsid w:val="002C35FB"/>
    <w:rsid w:val="002C3E8F"/>
    <w:rsid w:val="002C43D7"/>
    <w:rsid w:val="002C449C"/>
    <w:rsid w:val="002C4B09"/>
    <w:rsid w:val="002C4CF0"/>
    <w:rsid w:val="002C507D"/>
    <w:rsid w:val="002C5910"/>
    <w:rsid w:val="002C5A44"/>
    <w:rsid w:val="002C5E04"/>
    <w:rsid w:val="002C638D"/>
    <w:rsid w:val="002C672C"/>
    <w:rsid w:val="002C6B93"/>
    <w:rsid w:val="002C7BFD"/>
    <w:rsid w:val="002C7D11"/>
    <w:rsid w:val="002D0F1A"/>
    <w:rsid w:val="002D10DE"/>
    <w:rsid w:val="002D13D6"/>
    <w:rsid w:val="002D15EC"/>
    <w:rsid w:val="002D19DA"/>
    <w:rsid w:val="002D1ACC"/>
    <w:rsid w:val="002D1C92"/>
    <w:rsid w:val="002D270C"/>
    <w:rsid w:val="002D287E"/>
    <w:rsid w:val="002D288E"/>
    <w:rsid w:val="002D2BBD"/>
    <w:rsid w:val="002D30A6"/>
    <w:rsid w:val="002D3737"/>
    <w:rsid w:val="002D37CB"/>
    <w:rsid w:val="002D3B15"/>
    <w:rsid w:val="002D3DC4"/>
    <w:rsid w:val="002D3E70"/>
    <w:rsid w:val="002D4262"/>
    <w:rsid w:val="002D44A2"/>
    <w:rsid w:val="002D4591"/>
    <w:rsid w:val="002D49A9"/>
    <w:rsid w:val="002D4D52"/>
    <w:rsid w:val="002D4F74"/>
    <w:rsid w:val="002D5544"/>
    <w:rsid w:val="002D5592"/>
    <w:rsid w:val="002D5D9D"/>
    <w:rsid w:val="002D61FA"/>
    <w:rsid w:val="002D66EF"/>
    <w:rsid w:val="002D6B47"/>
    <w:rsid w:val="002D6D0C"/>
    <w:rsid w:val="002D7021"/>
    <w:rsid w:val="002D7B0F"/>
    <w:rsid w:val="002E0B40"/>
    <w:rsid w:val="002E0CF7"/>
    <w:rsid w:val="002E1056"/>
    <w:rsid w:val="002E11E1"/>
    <w:rsid w:val="002E1532"/>
    <w:rsid w:val="002E1669"/>
    <w:rsid w:val="002E1943"/>
    <w:rsid w:val="002E1C4C"/>
    <w:rsid w:val="002E20A7"/>
    <w:rsid w:val="002E2285"/>
    <w:rsid w:val="002E236F"/>
    <w:rsid w:val="002E23AD"/>
    <w:rsid w:val="002E246A"/>
    <w:rsid w:val="002E3070"/>
    <w:rsid w:val="002E30C9"/>
    <w:rsid w:val="002E37EA"/>
    <w:rsid w:val="002E3A5D"/>
    <w:rsid w:val="002E42FC"/>
    <w:rsid w:val="002E452A"/>
    <w:rsid w:val="002E4A74"/>
    <w:rsid w:val="002E50BF"/>
    <w:rsid w:val="002E5283"/>
    <w:rsid w:val="002E6239"/>
    <w:rsid w:val="002E63F1"/>
    <w:rsid w:val="002E66FE"/>
    <w:rsid w:val="002E6D4D"/>
    <w:rsid w:val="002E712C"/>
    <w:rsid w:val="002E732B"/>
    <w:rsid w:val="002E76BD"/>
    <w:rsid w:val="002E7A19"/>
    <w:rsid w:val="002E7BAF"/>
    <w:rsid w:val="002E7C81"/>
    <w:rsid w:val="002E7DDE"/>
    <w:rsid w:val="002E7ECE"/>
    <w:rsid w:val="002F074D"/>
    <w:rsid w:val="002F0760"/>
    <w:rsid w:val="002F0B13"/>
    <w:rsid w:val="002F11EA"/>
    <w:rsid w:val="002F1553"/>
    <w:rsid w:val="002F1A2D"/>
    <w:rsid w:val="002F1D1A"/>
    <w:rsid w:val="002F1D9A"/>
    <w:rsid w:val="002F219F"/>
    <w:rsid w:val="002F262E"/>
    <w:rsid w:val="002F2E6E"/>
    <w:rsid w:val="002F33CD"/>
    <w:rsid w:val="002F3559"/>
    <w:rsid w:val="002F3638"/>
    <w:rsid w:val="002F3B46"/>
    <w:rsid w:val="002F4065"/>
    <w:rsid w:val="002F4085"/>
    <w:rsid w:val="002F4AE2"/>
    <w:rsid w:val="002F5241"/>
    <w:rsid w:val="002F5606"/>
    <w:rsid w:val="002F58DD"/>
    <w:rsid w:val="002F6010"/>
    <w:rsid w:val="002F60B6"/>
    <w:rsid w:val="002F6277"/>
    <w:rsid w:val="002F6530"/>
    <w:rsid w:val="002F6B9C"/>
    <w:rsid w:val="002F6D59"/>
    <w:rsid w:val="002F6DDF"/>
    <w:rsid w:val="002F7651"/>
    <w:rsid w:val="002F76B6"/>
    <w:rsid w:val="002F7DC0"/>
    <w:rsid w:val="002F7E69"/>
    <w:rsid w:val="002F7EF9"/>
    <w:rsid w:val="003000D5"/>
    <w:rsid w:val="00300770"/>
    <w:rsid w:val="00300992"/>
    <w:rsid w:val="00301185"/>
    <w:rsid w:val="00301555"/>
    <w:rsid w:val="0030169F"/>
    <w:rsid w:val="003019E4"/>
    <w:rsid w:val="00301A05"/>
    <w:rsid w:val="00301F67"/>
    <w:rsid w:val="00302173"/>
    <w:rsid w:val="00302774"/>
    <w:rsid w:val="00302A3A"/>
    <w:rsid w:val="00302DFF"/>
    <w:rsid w:val="00302EDE"/>
    <w:rsid w:val="003033A7"/>
    <w:rsid w:val="00303588"/>
    <w:rsid w:val="00303A73"/>
    <w:rsid w:val="00303AA0"/>
    <w:rsid w:val="00304225"/>
    <w:rsid w:val="003043B5"/>
    <w:rsid w:val="00304637"/>
    <w:rsid w:val="0030477C"/>
    <w:rsid w:val="00304954"/>
    <w:rsid w:val="00304975"/>
    <w:rsid w:val="003049F6"/>
    <w:rsid w:val="00305881"/>
    <w:rsid w:val="00305989"/>
    <w:rsid w:val="00305C43"/>
    <w:rsid w:val="00305D40"/>
    <w:rsid w:val="00305FD6"/>
    <w:rsid w:val="00306191"/>
    <w:rsid w:val="00306478"/>
    <w:rsid w:val="00306641"/>
    <w:rsid w:val="003068D2"/>
    <w:rsid w:val="00306EC3"/>
    <w:rsid w:val="00307388"/>
    <w:rsid w:val="00307483"/>
    <w:rsid w:val="003076C1"/>
    <w:rsid w:val="003077EF"/>
    <w:rsid w:val="0031018A"/>
    <w:rsid w:val="00310448"/>
    <w:rsid w:val="00310449"/>
    <w:rsid w:val="003106B8"/>
    <w:rsid w:val="00310997"/>
    <w:rsid w:val="003113FC"/>
    <w:rsid w:val="003120AF"/>
    <w:rsid w:val="00312170"/>
    <w:rsid w:val="0031239E"/>
    <w:rsid w:val="00312A53"/>
    <w:rsid w:val="00312D49"/>
    <w:rsid w:val="00312E2D"/>
    <w:rsid w:val="00312EB1"/>
    <w:rsid w:val="00312EE4"/>
    <w:rsid w:val="00312EEA"/>
    <w:rsid w:val="0031336F"/>
    <w:rsid w:val="003144C1"/>
    <w:rsid w:val="00314727"/>
    <w:rsid w:val="003148FC"/>
    <w:rsid w:val="00314B03"/>
    <w:rsid w:val="003151A6"/>
    <w:rsid w:val="003159C9"/>
    <w:rsid w:val="00315A37"/>
    <w:rsid w:val="00315CB0"/>
    <w:rsid w:val="003160B6"/>
    <w:rsid w:val="003163EB"/>
    <w:rsid w:val="0031655F"/>
    <w:rsid w:val="003166AD"/>
    <w:rsid w:val="00317002"/>
    <w:rsid w:val="00317292"/>
    <w:rsid w:val="0031750E"/>
    <w:rsid w:val="003178F9"/>
    <w:rsid w:val="00317A4C"/>
    <w:rsid w:val="00317E3D"/>
    <w:rsid w:val="003201CB"/>
    <w:rsid w:val="0032065D"/>
    <w:rsid w:val="00320817"/>
    <w:rsid w:val="00320D4F"/>
    <w:rsid w:val="00320D92"/>
    <w:rsid w:val="00321016"/>
    <w:rsid w:val="00321347"/>
    <w:rsid w:val="00321C2D"/>
    <w:rsid w:val="00321CCA"/>
    <w:rsid w:val="00321D29"/>
    <w:rsid w:val="0032209F"/>
    <w:rsid w:val="00322491"/>
    <w:rsid w:val="00322631"/>
    <w:rsid w:val="00322C39"/>
    <w:rsid w:val="00322F21"/>
    <w:rsid w:val="0032323D"/>
    <w:rsid w:val="0032415F"/>
    <w:rsid w:val="003242E5"/>
    <w:rsid w:val="003245C8"/>
    <w:rsid w:val="00324695"/>
    <w:rsid w:val="0032483C"/>
    <w:rsid w:val="00325786"/>
    <w:rsid w:val="00325B76"/>
    <w:rsid w:val="00325C89"/>
    <w:rsid w:val="00325D76"/>
    <w:rsid w:val="00325DA1"/>
    <w:rsid w:val="00326421"/>
    <w:rsid w:val="00326426"/>
    <w:rsid w:val="0032674E"/>
    <w:rsid w:val="003267E9"/>
    <w:rsid w:val="00326AB4"/>
    <w:rsid w:val="00326BD3"/>
    <w:rsid w:val="003274E5"/>
    <w:rsid w:val="003275A7"/>
    <w:rsid w:val="0032773F"/>
    <w:rsid w:val="003300CE"/>
    <w:rsid w:val="00330F1C"/>
    <w:rsid w:val="00330F23"/>
    <w:rsid w:val="0033197D"/>
    <w:rsid w:val="00331A02"/>
    <w:rsid w:val="003322C4"/>
    <w:rsid w:val="003326E7"/>
    <w:rsid w:val="00332BC9"/>
    <w:rsid w:val="00332E22"/>
    <w:rsid w:val="00332FBA"/>
    <w:rsid w:val="003332F1"/>
    <w:rsid w:val="00333BB6"/>
    <w:rsid w:val="00333C20"/>
    <w:rsid w:val="00333D4F"/>
    <w:rsid w:val="00333EDF"/>
    <w:rsid w:val="0033410A"/>
    <w:rsid w:val="00334710"/>
    <w:rsid w:val="003350E5"/>
    <w:rsid w:val="0033511B"/>
    <w:rsid w:val="0033518C"/>
    <w:rsid w:val="003352D2"/>
    <w:rsid w:val="00335805"/>
    <w:rsid w:val="0033609D"/>
    <w:rsid w:val="00336D4F"/>
    <w:rsid w:val="00337022"/>
    <w:rsid w:val="00337427"/>
    <w:rsid w:val="003375DC"/>
    <w:rsid w:val="00337B53"/>
    <w:rsid w:val="003400D2"/>
    <w:rsid w:val="00340152"/>
    <w:rsid w:val="0034018D"/>
    <w:rsid w:val="00340216"/>
    <w:rsid w:val="00340395"/>
    <w:rsid w:val="003408FB"/>
    <w:rsid w:val="00340B2D"/>
    <w:rsid w:val="00341180"/>
    <w:rsid w:val="0034119B"/>
    <w:rsid w:val="00341691"/>
    <w:rsid w:val="003416F0"/>
    <w:rsid w:val="00341B6E"/>
    <w:rsid w:val="00342065"/>
    <w:rsid w:val="0034228C"/>
    <w:rsid w:val="003422C4"/>
    <w:rsid w:val="003423BA"/>
    <w:rsid w:val="00342417"/>
    <w:rsid w:val="00342468"/>
    <w:rsid w:val="003425B7"/>
    <w:rsid w:val="00342741"/>
    <w:rsid w:val="00342969"/>
    <w:rsid w:val="00342A3A"/>
    <w:rsid w:val="00342CD9"/>
    <w:rsid w:val="0034324C"/>
    <w:rsid w:val="003441F6"/>
    <w:rsid w:val="0034437A"/>
    <w:rsid w:val="00344B54"/>
    <w:rsid w:val="00344D84"/>
    <w:rsid w:val="00345444"/>
    <w:rsid w:val="00345585"/>
    <w:rsid w:val="0034565E"/>
    <w:rsid w:val="003456B2"/>
    <w:rsid w:val="003457D9"/>
    <w:rsid w:val="00345B29"/>
    <w:rsid w:val="00346171"/>
    <w:rsid w:val="003461BD"/>
    <w:rsid w:val="00347032"/>
    <w:rsid w:val="003477C3"/>
    <w:rsid w:val="00347D79"/>
    <w:rsid w:val="00347F09"/>
    <w:rsid w:val="00347F76"/>
    <w:rsid w:val="00350108"/>
    <w:rsid w:val="0035087A"/>
    <w:rsid w:val="003512AA"/>
    <w:rsid w:val="00351478"/>
    <w:rsid w:val="0035163C"/>
    <w:rsid w:val="0035170A"/>
    <w:rsid w:val="00351746"/>
    <w:rsid w:val="00351791"/>
    <w:rsid w:val="00351971"/>
    <w:rsid w:val="003519B6"/>
    <w:rsid w:val="00351F33"/>
    <w:rsid w:val="00352843"/>
    <w:rsid w:val="00352DAD"/>
    <w:rsid w:val="0035322C"/>
    <w:rsid w:val="0035332A"/>
    <w:rsid w:val="003534DD"/>
    <w:rsid w:val="00353AFE"/>
    <w:rsid w:val="00353CBD"/>
    <w:rsid w:val="003540FA"/>
    <w:rsid w:val="003541B6"/>
    <w:rsid w:val="003548C2"/>
    <w:rsid w:val="003549B1"/>
    <w:rsid w:val="00354B9D"/>
    <w:rsid w:val="0035543D"/>
    <w:rsid w:val="003558E1"/>
    <w:rsid w:val="00355C24"/>
    <w:rsid w:val="00355C99"/>
    <w:rsid w:val="00356213"/>
    <w:rsid w:val="003562C6"/>
    <w:rsid w:val="003565D0"/>
    <w:rsid w:val="003565F0"/>
    <w:rsid w:val="00357327"/>
    <w:rsid w:val="00357363"/>
    <w:rsid w:val="00357B80"/>
    <w:rsid w:val="003608D9"/>
    <w:rsid w:val="00360D63"/>
    <w:rsid w:val="00360F67"/>
    <w:rsid w:val="00361268"/>
    <w:rsid w:val="003612F6"/>
    <w:rsid w:val="003613D7"/>
    <w:rsid w:val="003614B8"/>
    <w:rsid w:val="0036171D"/>
    <w:rsid w:val="00361905"/>
    <w:rsid w:val="00361F36"/>
    <w:rsid w:val="00361FB1"/>
    <w:rsid w:val="003621FC"/>
    <w:rsid w:val="003628BF"/>
    <w:rsid w:val="00362BBB"/>
    <w:rsid w:val="00362CAB"/>
    <w:rsid w:val="00362D82"/>
    <w:rsid w:val="00362FDB"/>
    <w:rsid w:val="00363039"/>
    <w:rsid w:val="003631E5"/>
    <w:rsid w:val="003633D3"/>
    <w:rsid w:val="0036469A"/>
    <w:rsid w:val="003649A1"/>
    <w:rsid w:val="00364ED4"/>
    <w:rsid w:val="00364FC4"/>
    <w:rsid w:val="0036518B"/>
    <w:rsid w:val="00365280"/>
    <w:rsid w:val="0036535A"/>
    <w:rsid w:val="00365498"/>
    <w:rsid w:val="0036634C"/>
    <w:rsid w:val="00366778"/>
    <w:rsid w:val="00366CCB"/>
    <w:rsid w:val="00367020"/>
    <w:rsid w:val="0036706D"/>
    <w:rsid w:val="003677C4"/>
    <w:rsid w:val="00367AEB"/>
    <w:rsid w:val="00367BA7"/>
    <w:rsid w:val="0037023A"/>
    <w:rsid w:val="0037026E"/>
    <w:rsid w:val="003709B0"/>
    <w:rsid w:val="00370E12"/>
    <w:rsid w:val="00370F56"/>
    <w:rsid w:val="003710DA"/>
    <w:rsid w:val="003719ED"/>
    <w:rsid w:val="00371C1D"/>
    <w:rsid w:val="00371FE0"/>
    <w:rsid w:val="003726E1"/>
    <w:rsid w:val="003727A7"/>
    <w:rsid w:val="00372AFA"/>
    <w:rsid w:val="00372B2C"/>
    <w:rsid w:val="0037304B"/>
    <w:rsid w:val="00373C60"/>
    <w:rsid w:val="00373CA2"/>
    <w:rsid w:val="00373DE4"/>
    <w:rsid w:val="00374139"/>
    <w:rsid w:val="0037430E"/>
    <w:rsid w:val="003744DF"/>
    <w:rsid w:val="003745D1"/>
    <w:rsid w:val="0037469D"/>
    <w:rsid w:val="003747F1"/>
    <w:rsid w:val="00374CF3"/>
    <w:rsid w:val="00374EDE"/>
    <w:rsid w:val="0037564C"/>
    <w:rsid w:val="003763C5"/>
    <w:rsid w:val="00376A63"/>
    <w:rsid w:val="00376B57"/>
    <w:rsid w:val="00376B91"/>
    <w:rsid w:val="00376BC9"/>
    <w:rsid w:val="00376E88"/>
    <w:rsid w:val="0037738D"/>
    <w:rsid w:val="003778CE"/>
    <w:rsid w:val="00377CFE"/>
    <w:rsid w:val="00377FB3"/>
    <w:rsid w:val="00380127"/>
    <w:rsid w:val="00380531"/>
    <w:rsid w:val="00380AA0"/>
    <w:rsid w:val="003810E3"/>
    <w:rsid w:val="0038177E"/>
    <w:rsid w:val="00381AB9"/>
    <w:rsid w:val="00381C87"/>
    <w:rsid w:val="00382074"/>
    <w:rsid w:val="00382557"/>
    <w:rsid w:val="003836BB"/>
    <w:rsid w:val="00383728"/>
    <w:rsid w:val="0038374F"/>
    <w:rsid w:val="00383868"/>
    <w:rsid w:val="00383A18"/>
    <w:rsid w:val="00383A7C"/>
    <w:rsid w:val="00383EAE"/>
    <w:rsid w:val="00383FBD"/>
    <w:rsid w:val="00384423"/>
    <w:rsid w:val="00384CAF"/>
    <w:rsid w:val="00385025"/>
    <w:rsid w:val="00385142"/>
    <w:rsid w:val="003853B3"/>
    <w:rsid w:val="0038565D"/>
    <w:rsid w:val="00385AE9"/>
    <w:rsid w:val="00385C48"/>
    <w:rsid w:val="00386356"/>
    <w:rsid w:val="0038657C"/>
    <w:rsid w:val="00386C62"/>
    <w:rsid w:val="00386D12"/>
    <w:rsid w:val="00386DF1"/>
    <w:rsid w:val="003874BF"/>
    <w:rsid w:val="003874D0"/>
    <w:rsid w:val="003879A8"/>
    <w:rsid w:val="00387BB8"/>
    <w:rsid w:val="00387C86"/>
    <w:rsid w:val="00387D4E"/>
    <w:rsid w:val="00387EA5"/>
    <w:rsid w:val="00387ED6"/>
    <w:rsid w:val="003906D7"/>
    <w:rsid w:val="003908B8"/>
    <w:rsid w:val="003908DD"/>
    <w:rsid w:val="00390A09"/>
    <w:rsid w:val="00390F8F"/>
    <w:rsid w:val="00391515"/>
    <w:rsid w:val="00391856"/>
    <w:rsid w:val="00391BD8"/>
    <w:rsid w:val="00391D3F"/>
    <w:rsid w:val="00392041"/>
    <w:rsid w:val="003920FB"/>
    <w:rsid w:val="0039217B"/>
    <w:rsid w:val="0039246E"/>
    <w:rsid w:val="003924CD"/>
    <w:rsid w:val="00392D49"/>
    <w:rsid w:val="003932D6"/>
    <w:rsid w:val="0039345B"/>
    <w:rsid w:val="00393652"/>
    <w:rsid w:val="00393F02"/>
    <w:rsid w:val="00393F63"/>
    <w:rsid w:val="00394375"/>
    <w:rsid w:val="00394447"/>
    <w:rsid w:val="00394878"/>
    <w:rsid w:val="00394992"/>
    <w:rsid w:val="00394CE5"/>
    <w:rsid w:val="00394FF8"/>
    <w:rsid w:val="0039505A"/>
    <w:rsid w:val="003950EC"/>
    <w:rsid w:val="003955C4"/>
    <w:rsid w:val="00395E21"/>
    <w:rsid w:val="00396346"/>
    <w:rsid w:val="003965BE"/>
    <w:rsid w:val="00396D1B"/>
    <w:rsid w:val="003971ED"/>
    <w:rsid w:val="00397CA5"/>
    <w:rsid w:val="003A051C"/>
    <w:rsid w:val="003A0661"/>
    <w:rsid w:val="003A0B96"/>
    <w:rsid w:val="003A0BC9"/>
    <w:rsid w:val="003A0D49"/>
    <w:rsid w:val="003A149B"/>
    <w:rsid w:val="003A16E4"/>
    <w:rsid w:val="003A1AA3"/>
    <w:rsid w:val="003A1AD0"/>
    <w:rsid w:val="003A1C93"/>
    <w:rsid w:val="003A2395"/>
    <w:rsid w:val="003A26DB"/>
    <w:rsid w:val="003A27B9"/>
    <w:rsid w:val="003A2F35"/>
    <w:rsid w:val="003A3751"/>
    <w:rsid w:val="003A3BE0"/>
    <w:rsid w:val="003A409F"/>
    <w:rsid w:val="003A422A"/>
    <w:rsid w:val="003A4755"/>
    <w:rsid w:val="003A4F6A"/>
    <w:rsid w:val="003A5301"/>
    <w:rsid w:val="003A5C42"/>
    <w:rsid w:val="003A5F87"/>
    <w:rsid w:val="003A60C1"/>
    <w:rsid w:val="003A6257"/>
    <w:rsid w:val="003A62BF"/>
    <w:rsid w:val="003A67DD"/>
    <w:rsid w:val="003A72B8"/>
    <w:rsid w:val="003A742F"/>
    <w:rsid w:val="003A7981"/>
    <w:rsid w:val="003B0176"/>
    <w:rsid w:val="003B025A"/>
    <w:rsid w:val="003B0299"/>
    <w:rsid w:val="003B02F3"/>
    <w:rsid w:val="003B0352"/>
    <w:rsid w:val="003B037E"/>
    <w:rsid w:val="003B0622"/>
    <w:rsid w:val="003B068B"/>
    <w:rsid w:val="003B088B"/>
    <w:rsid w:val="003B0A0E"/>
    <w:rsid w:val="003B0F67"/>
    <w:rsid w:val="003B19AE"/>
    <w:rsid w:val="003B1EF7"/>
    <w:rsid w:val="003B28FB"/>
    <w:rsid w:val="003B29E6"/>
    <w:rsid w:val="003B2AE4"/>
    <w:rsid w:val="003B2DE3"/>
    <w:rsid w:val="003B3D1D"/>
    <w:rsid w:val="003B3D8B"/>
    <w:rsid w:val="003B4640"/>
    <w:rsid w:val="003B4853"/>
    <w:rsid w:val="003B4A61"/>
    <w:rsid w:val="003B4F88"/>
    <w:rsid w:val="003B531F"/>
    <w:rsid w:val="003B53A4"/>
    <w:rsid w:val="003B5D78"/>
    <w:rsid w:val="003B5F29"/>
    <w:rsid w:val="003B632B"/>
    <w:rsid w:val="003B6513"/>
    <w:rsid w:val="003B6B24"/>
    <w:rsid w:val="003B6F85"/>
    <w:rsid w:val="003B71C4"/>
    <w:rsid w:val="003B720F"/>
    <w:rsid w:val="003B7CBE"/>
    <w:rsid w:val="003B7CD9"/>
    <w:rsid w:val="003B7E9B"/>
    <w:rsid w:val="003C0321"/>
    <w:rsid w:val="003C0756"/>
    <w:rsid w:val="003C09B5"/>
    <w:rsid w:val="003C0BF8"/>
    <w:rsid w:val="003C0C5D"/>
    <w:rsid w:val="003C113B"/>
    <w:rsid w:val="003C1341"/>
    <w:rsid w:val="003C17AF"/>
    <w:rsid w:val="003C186F"/>
    <w:rsid w:val="003C1BE8"/>
    <w:rsid w:val="003C1C73"/>
    <w:rsid w:val="003C1DF7"/>
    <w:rsid w:val="003C2801"/>
    <w:rsid w:val="003C29FE"/>
    <w:rsid w:val="003C2A58"/>
    <w:rsid w:val="003C2DBB"/>
    <w:rsid w:val="003C39C4"/>
    <w:rsid w:val="003C3E71"/>
    <w:rsid w:val="003C3FE2"/>
    <w:rsid w:val="003C47EA"/>
    <w:rsid w:val="003C4AF9"/>
    <w:rsid w:val="003C4E72"/>
    <w:rsid w:val="003C595D"/>
    <w:rsid w:val="003C5AEF"/>
    <w:rsid w:val="003C5BC9"/>
    <w:rsid w:val="003C620D"/>
    <w:rsid w:val="003C69BE"/>
    <w:rsid w:val="003C6C3F"/>
    <w:rsid w:val="003C724A"/>
    <w:rsid w:val="003C7263"/>
    <w:rsid w:val="003C7588"/>
    <w:rsid w:val="003C7892"/>
    <w:rsid w:val="003D049D"/>
    <w:rsid w:val="003D05A8"/>
    <w:rsid w:val="003D1170"/>
    <w:rsid w:val="003D18B2"/>
    <w:rsid w:val="003D201A"/>
    <w:rsid w:val="003D226B"/>
    <w:rsid w:val="003D2641"/>
    <w:rsid w:val="003D28CD"/>
    <w:rsid w:val="003D29ED"/>
    <w:rsid w:val="003D2A0B"/>
    <w:rsid w:val="003D2DFE"/>
    <w:rsid w:val="003D3137"/>
    <w:rsid w:val="003D353F"/>
    <w:rsid w:val="003D3799"/>
    <w:rsid w:val="003D3E69"/>
    <w:rsid w:val="003D3EE4"/>
    <w:rsid w:val="003D4011"/>
    <w:rsid w:val="003D4106"/>
    <w:rsid w:val="003D430C"/>
    <w:rsid w:val="003D4657"/>
    <w:rsid w:val="003D4BA4"/>
    <w:rsid w:val="003D4BF6"/>
    <w:rsid w:val="003D4D75"/>
    <w:rsid w:val="003D514B"/>
    <w:rsid w:val="003D5252"/>
    <w:rsid w:val="003D5397"/>
    <w:rsid w:val="003D5649"/>
    <w:rsid w:val="003D65D6"/>
    <w:rsid w:val="003D66C3"/>
    <w:rsid w:val="003D6F40"/>
    <w:rsid w:val="003D7565"/>
    <w:rsid w:val="003D75C5"/>
    <w:rsid w:val="003D760D"/>
    <w:rsid w:val="003D7A97"/>
    <w:rsid w:val="003D7D3B"/>
    <w:rsid w:val="003E0032"/>
    <w:rsid w:val="003E083A"/>
    <w:rsid w:val="003E0E1F"/>
    <w:rsid w:val="003E10F4"/>
    <w:rsid w:val="003E1BA0"/>
    <w:rsid w:val="003E1DB5"/>
    <w:rsid w:val="003E200D"/>
    <w:rsid w:val="003E230A"/>
    <w:rsid w:val="003E23F2"/>
    <w:rsid w:val="003E25C2"/>
    <w:rsid w:val="003E2622"/>
    <w:rsid w:val="003E293F"/>
    <w:rsid w:val="003E2B08"/>
    <w:rsid w:val="003E33FF"/>
    <w:rsid w:val="003E3422"/>
    <w:rsid w:val="003E35A0"/>
    <w:rsid w:val="003E3679"/>
    <w:rsid w:val="003E3C44"/>
    <w:rsid w:val="003E3DB8"/>
    <w:rsid w:val="003E3EB4"/>
    <w:rsid w:val="003E3FDD"/>
    <w:rsid w:val="003E42E2"/>
    <w:rsid w:val="003E4477"/>
    <w:rsid w:val="003E4620"/>
    <w:rsid w:val="003E487B"/>
    <w:rsid w:val="003E49D4"/>
    <w:rsid w:val="003E4B31"/>
    <w:rsid w:val="003E512B"/>
    <w:rsid w:val="003E513C"/>
    <w:rsid w:val="003E5392"/>
    <w:rsid w:val="003E5430"/>
    <w:rsid w:val="003E5A8B"/>
    <w:rsid w:val="003E5AB8"/>
    <w:rsid w:val="003E5D4D"/>
    <w:rsid w:val="003E5E24"/>
    <w:rsid w:val="003E5FE5"/>
    <w:rsid w:val="003E609A"/>
    <w:rsid w:val="003E6288"/>
    <w:rsid w:val="003E690F"/>
    <w:rsid w:val="003E6CDA"/>
    <w:rsid w:val="003E6CFB"/>
    <w:rsid w:val="003E6E27"/>
    <w:rsid w:val="003E6F3B"/>
    <w:rsid w:val="003E742D"/>
    <w:rsid w:val="003E77B8"/>
    <w:rsid w:val="003F042E"/>
    <w:rsid w:val="003F07EE"/>
    <w:rsid w:val="003F08D1"/>
    <w:rsid w:val="003F0B7E"/>
    <w:rsid w:val="003F0E49"/>
    <w:rsid w:val="003F0EDE"/>
    <w:rsid w:val="003F1259"/>
    <w:rsid w:val="003F1D57"/>
    <w:rsid w:val="003F1E58"/>
    <w:rsid w:val="003F2282"/>
    <w:rsid w:val="003F23CF"/>
    <w:rsid w:val="003F26A1"/>
    <w:rsid w:val="003F28D2"/>
    <w:rsid w:val="003F2987"/>
    <w:rsid w:val="003F2A02"/>
    <w:rsid w:val="003F2CF1"/>
    <w:rsid w:val="003F3257"/>
    <w:rsid w:val="003F3D44"/>
    <w:rsid w:val="003F434E"/>
    <w:rsid w:val="003F45A7"/>
    <w:rsid w:val="003F499D"/>
    <w:rsid w:val="003F49EE"/>
    <w:rsid w:val="003F4A6B"/>
    <w:rsid w:val="003F4BBB"/>
    <w:rsid w:val="003F5167"/>
    <w:rsid w:val="003F534E"/>
    <w:rsid w:val="003F5612"/>
    <w:rsid w:val="003F5B60"/>
    <w:rsid w:val="003F5F79"/>
    <w:rsid w:val="003F5FD1"/>
    <w:rsid w:val="003F6849"/>
    <w:rsid w:val="003F68CF"/>
    <w:rsid w:val="003F6A5F"/>
    <w:rsid w:val="003F6A89"/>
    <w:rsid w:val="003F6B59"/>
    <w:rsid w:val="003F6C05"/>
    <w:rsid w:val="003F7223"/>
    <w:rsid w:val="003F7469"/>
    <w:rsid w:val="003F7493"/>
    <w:rsid w:val="003F7555"/>
    <w:rsid w:val="003F77B9"/>
    <w:rsid w:val="003F7B63"/>
    <w:rsid w:val="003F7EB1"/>
    <w:rsid w:val="00400A44"/>
    <w:rsid w:val="00400FA8"/>
    <w:rsid w:val="0040126F"/>
    <w:rsid w:val="0040150E"/>
    <w:rsid w:val="00401646"/>
    <w:rsid w:val="0040190A"/>
    <w:rsid w:val="00401A10"/>
    <w:rsid w:val="00401C4B"/>
    <w:rsid w:val="0040228B"/>
    <w:rsid w:val="004024E8"/>
    <w:rsid w:val="00402E63"/>
    <w:rsid w:val="00403151"/>
    <w:rsid w:val="00403284"/>
    <w:rsid w:val="00403312"/>
    <w:rsid w:val="0040351E"/>
    <w:rsid w:val="0040373F"/>
    <w:rsid w:val="00403A5D"/>
    <w:rsid w:val="00403BEB"/>
    <w:rsid w:val="00403D87"/>
    <w:rsid w:val="00403F26"/>
    <w:rsid w:val="0040407A"/>
    <w:rsid w:val="004041F5"/>
    <w:rsid w:val="004044E5"/>
    <w:rsid w:val="00405588"/>
    <w:rsid w:val="004055EE"/>
    <w:rsid w:val="00405E36"/>
    <w:rsid w:val="00406554"/>
    <w:rsid w:val="004066D0"/>
    <w:rsid w:val="004067C7"/>
    <w:rsid w:val="004071AC"/>
    <w:rsid w:val="00407426"/>
    <w:rsid w:val="004074D6"/>
    <w:rsid w:val="0040785A"/>
    <w:rsid w:val="00407F58"/>
    <w:rsid w:val="0041023E"/>
    <w:rsid w:val="00410408"/>
    <w:rsid w:val="00410DFB"/>
    <w:rsid w:val="00410FBD"/>
    <w:rsid w:val="00412252"/>
    <w:rsid w:val="00412386"/>
    <w:rsid w:val="0041272D"/>
    <w:rsid w:val="004127E6"/>
    <w:rsid w:val="004129D3"/>
    <w:rsid w:val="00412F07"/>
    <w:rsid w:val="0041325C"/>
    <w:rsid w:val="00413476"/>
    <w:rsid w:val="00413741"/>
    <w:rsid w:val="0041381B"/>
    <w:rsid w:val="00413881"/>
    <w:rsid w:val="00413A1F"/>
    <w:rsid w:val="00413AEA"/>
    <w:rsid w:val="00414033"/>
    <w:rsid w:val="00414839"/>
    <w:rsid w:val="0041483C"/>
    <w:rsid w:val="00414912"/>
    <w:rsid w:val="004149C0"/>
    <w:rsid w:val="00414E88"/>
    <w:rsid w:val="004150D5"/>
    <w:rsid w:val="004155C3"/>
    <w:rsid w:val="00415695"/>
    <w:rsid w:val="004156CA"/>
    <w:rsid w:val="00415795"/>
    <w:rsid w:val="004159AC"/>
    <w:rsid w:val="00415E66"/>
    <w:rsid w:val="004163E9"/>
    <w:rsid w:val="004167BB"/>
    <w:rsid w:val="00417011"/>
    <w:rsid w:val="00417326"/>
    <w:rsid w:val="004177D9"/>
    <w:rsid w:val="00417C5E"/>
    <w:rsid w:val="00417D75"/>
    <w:rsid w:val="00417F28"/>
    <w:rsid w:val="00420736"/>
    <w:rsid w:val="00421389"/>
    <w:rsid w:val="00421D4B"/>
    <w:rsid w:val="004222A8"/>
    <w:rsid w:val="0042267C"/>
    <w:rsid w:val="00422C9D"/>
    <w:rsid w:val="00422E3F"/>
    <w:rsid w:val="004230E7"/>
    <w:rsid w:val="0042340E"/>
    <w:rsid w:val="004235BB"/>
    <w:rsid w:val="004238EE"/>
    <w:rsid w:val="00423AFE"/>
    <w:rsid w:val="00423EC1"/>
    <w:rsid w:val="00424065"/>
    <w:rsid w:val="00424111"/>
    <w:rsid w:val="004241EE"/>
    <w:rsid w:val="004243B2"/>
    <w:rsid w:val="00424CCD"/>
    <w:rsid w:val="0042539D"/>
    <w:rsid w:val="00425442"/>
    <w:rsid w:val="004254C7"/>
    <w:rsid w:val="0042568F"/>
    <w:rsid w:val="004258BF"/>
    <w:rsid w:val="00426290"/>
    <w:rsid w:val="004262FC"/>
    <w:rsid w:val="004310D7"/>
    <w:rsid w:val="00431177"/>
    <w:rsid w:val="00431179"/>
    <w:rsid w:val="004315A5"/>
    <w:rsid w:val="004317DC"/>
    <w:rsid w:val="004318F8"/>
    <w:rsid w:val="00431BFD"/>
    <w:rsid w:val="004320EA"/>
    <w:rsid w:val="0043242C"/>
    <w:rsid w:val="00432503"/>
    <w:rsid w:val="00432864"/>
    <w:rsid w:val="0043299D"/>
    <w:rsid w:val="00432A50"/>
    <w:rsid w:val="00432C1D"/>
    <w:rsid w:val="00432D77"/>
    <w:rsid w:val="00433412"/>
    <w:rsid w:val="00434350"/>
    <w:rsid w:val="0043457E"/>
    <w:rsid w:val="004345F5"/>
    <w:rsid w:val="00434788"/>
    <w:rsid w:val="00434FB1"/>
    <w:rsid w:val="00435333"/>
    <w:rsid w:val="00435897"/>
    <w:rsid w:val="004358B8"/>
    <w:rsid w:val="00435DD8"/>
    <w:rsid w:val="004363B6"/>
    <w:rsid w:val="00436475"/>
    <w:rsid w:val="0043665F"/>
    <w:rsid w:val="00436B6D"/>
    <w:rsid w:val="00436E3F"/>
    <w:rsid w:val="00436FD3"/>
    <w:rsid w:val="00437754"/>
    <w:rsid w:val="0043788D"/>
    <w:rsid w:val="00437B7B"/>
    <w:rsid w:val="00440059"/>
    <w:rsid w:val="0044051F"/>
    <w:rsid w:val="004405AB"/>
    <w:rsid w:val="00440642"/>
    <w:rsid w:val="00440DA1"/>
    <w:rsid w:val="00440DF1"/>
    <w:rsid w:val="004410BB"/>
    <w:rsid w:val="004417EA"/>
    <w:rsid w:val="00441E41"/>
    <w:rsid w:val="0044250C"/>
    <w:rsid w:val="0044264D"/>
    <w:rsid w:val="004428D2"/>
    <w:rsid w:val="00442B34"/>
    <w:rsid w:val="00442C9D"/>
    <w:rsid w:val="00442D2F"/>
    <w:rsid w:val="00442D9F"/>
    <w:rsid w:val="004431E1"/>
    <w:rsid w:val="00443A0B"/>
    <w:rsid w:val="00443AF2"/>
    <w:rsid w:val="00443EDD"/>
    <w:rsid w:val="00443F5B"/>
    <w:rsid w:val="004445AB"/>
    <w:rsid w:val="00444814"/>
    <w:rsid w:val="00444CD7"/>
    <w:rsid w:val="00444DCE"/>
    <w:rsid w:val="0044576F"/>
    <w:rsid w:val="00445855"/>
    <w:rsid w:val="00445978"/>
    <w:rsid w:val="004459F8"/>
    <w:rsid w:val="00445D32"/>
    <w:rsid w:val="00445E8D"/>
    <w:rsid w:val="0044610C"/>
    <w:rsid w:val="00446432"/>
    <w:rsid w:val="00446894"/>
    <w:rsid w:val="00446B62"/>
    <w:rsid w:val="00446BB6"/>
    <w:rsid w:val="0044767D"/>
    <w:rsid w:val="00447C34"/>
    <w:rsid w:val="00447CB6"/>
    <w:rsid w:val="00450520"/>
    <w:rsid w:val="004505F5"/>
    <w:rsid w:val="00450606"/>
    <w:rsid w:val="00450FC6"/>
    <w:rsid w:val="0045113F"/>
    <w:rsid w:val="00451468"/>
    <w:rsid w:val="004516C9"/>
    <w:rsid w:val="00451CF0"/>
    <w:rsid w:val="00451EEA"/>
    <w:rsid w:val="004525A4"/>
    <w:rsid w:val="004531C0"/>
    <w:rsid w:val="00453366"/>
    <w:rsid w:val="00453495"/>
    <w:rsid w:val="004535DC"/>
    <w:rsid w:val="004539C5"/>
    <w:rsid w:val="00453C39"/>
    <w:rsid w:val="0045421C"/>
    <w:rsid w:val="00454452"/>
    <w:rsid w:val="004546F9"/>
    <w:rsid w:val="00454CA9"/>
    <w:rsid w:val="004550B5"/>
    <w:rsid w:val="004556A7"/>
    <w:rsid w:val="00455764"/>
    <w:rsid w:val="0045576F"/>
    <w:rsid w:val="00455AE7"/>
    <w:rsid w:val="00455C5F"/>
    <w:rsid w:val="00455E13"/>
    <w:rsid w:val="00455EA4"/>
    <w:rsid w:val="00455FD5"/>
    <w:rsid w:val="00456203"/>
    <w:rsid w:val="00456315"/>
    <w:rsid w:val="00456BBB"/>
    <w:rsid w:val="00456E52"/>
    <w:rsid w:val="00456F5B"/>
    <w:rsid w:val="00457225"/>
    <w:rsid w:val="004572B2"/>
    <w:rsid w:val="00457621"/>
    <w:rsid w:val="00457942"/>
    <w:rsid w:val="00460941"/>
    <w:rsid w:val="00460996"/>
    <w:rsid w:val="00460B6D"/>
    <w:rsid w:val="00460D0D"/>
    <w:rsid w:val="00460F8A"/>
    <w:rsid w:val="0046121C"/>
    <w:rsid w:val="00461433"/>
    <w:rsid w:val="00461489"/>
    <w:rsid w:val="004619B5"/>
    <w:rsid w:val="00461CEA"/>
    <w:rsid w:val="00462A52"/>
    <w:rsid w:val="00463698"/>
    <w:rsid w:val="00463709"/>
    <w:rsid w:val="00463915"/>
    <w:rsid w:val="004642E7"/>
    <w:rsid w:val="004649CA"/>
    <w:rsid w:val="004649D9"/>
    <w:rsid w:val="00464AB0"/>
    <w:rsid w:val="00464CCF"/>
    <w:rsid w:val="00464EDD"/>
    <w:rsid w:val="00465051"/>
    <w:rsid w:val="00465094"/>
    <w:rsid w:val="00465213"/>
    <w:rsid w:val="00465C37"/>
    <w:rsid w:val="00465DF9"/>
    <w:rsid w:val="004668E6"/>
    <w:rsid w:val="00466C2D"/>
    <w:rsid w:val="00466F0E"/>
    <w:rsid w:val="00467781"/>
    <w:rsid w:val="00467C34"/>
    <w:rsid w:val="00470813"/>
    <w:rsid w:val="004708F2"/>
    <w:rsid w:val="004709FB"/>
    <w:rsid w:val="00470A90"/>
    <w:rsid w:val="00470C75"/>
    <w:rsid w:val="00470CE3"/>
    <w:rsid w:val="00471002"/>
    <w:rsid w:val="004712F1"/>
    <w:rsid w:val="004717D4"/>
    <w:rsid w:val="0047216B"/>
    <w:rsid w:val="00472289"/>
    <w:rsid w:val="00472A13"/>
    <w:rsid w:val="00472A43"/>
    <w:rsid w:val="00472A5B"/>
    <w:rsid w:val="00472EB8"/>
    <w:rsid w:val="00472EFF"/>
    <w:rsid w:val="00473630"/>
    <w:rsid w:val="004737B2"/>
    <w:rsid w:val="004738AC"/>
    <w:rsid w:val="004738E2"/>
    <w:rsid w:val="00474D7E"/>
    <w:rsid w:val="00475624"/>
    <w:rsid w:val="004759A5"/>
    <w:rsid w:val="00475F33"/>
    <w:rsid w:val="00476376"/>
    <w:rsid w:val="0047647F"/>
    <w:rsid w:val="004765D7"/>
    <w:rsid w:val="004768F4"/>
    <w:rsid w:val="00476C32"/>
    <w:rsid w:val="00476C5F"/>
    <w:rsid w:val="00476F59"/>
    <w:rsid w:val="004770F1"/>
    <w:rsid w:val="0047724F"/>
    <w:rsid w:val="00477725"/>
    <w:rsid w:val="0047778D"/>
    <w:rsid w:val="004777C6"/>
    <w:rsid w:val="00477B40"/>
    <w:rsid w:val="00477B91"/>
    <w:rsid w:val="00477E2C"/>
    <w:rsid w:val="00477F83"/>
    <w:rsid w:val="00477F84"/>
    <w:rsid w:val="0048071C"/>
    <w:rsid w:val="0048071F"/>
    <w:rsid w:val="00480E53"/>
    <w:rsid w:val="004813DC"/>
    <w:rsid w:val="0048182D"/>
    <w:rsid w:val="00481B8E"/>
    <w:rsid w:val="00481C78"/>
    <w:rsid w:val="00481DB1"/>
    <w:rsid w:val="00481FF9"/>
    <w:rsid w:val="004821B7"/>
    <w:rsid w:val="004824A1"/>
    <w:rsid w:val="004824DB"/>
    <w:rsid w:val="0048254D"/>
    <w:rsid w:val="0048276B"/>
    <w:rsid w:val="00482785"/>
    <w:rsid w:val="00482E79"/>
    <w:rsid w:val="00482EB4"/>
    <w:rsid w:val="0048371B"/>
    <w:rsid w:val="00483722"/>
    <w:rsid w:val="00483C7A"/>
    <w:rsid w:val="00483FB7"/>
    <w:rsid w:val="0048430C"/>
    <w:rsid w:val="00484427"/>
    <w:rsid w:val="00484921"/>
    <w:rsid w:val="0048493A"/>
    <w:rsid w:val="00484A42"/>
    <w:rsid w:val="00485372"/>
    <w:rsid w:val="00485811"/>
    <w:rsid w:val="004858C1"/>
    <w:rsid w:val="00486077"/>
    <w:rsid w:val="0048658E"/>
    <w:rsid w:val="004865A6"/>
    <w:rsid w:val="00486623"/>
    <w:rsid w:val="004867DF"/>
    <w:rsid w:val="004867E3"/>
    <w:rsid w:val="00486A0F"/>
    <w:rsid w:val="00486DBE"/>
    <w:rsid w:val="0048730A"/>
    <w:rsid w:val="0048747E"/>
    <w:rsid w:val="004875F7"/>
    <w:rsid w:val="00487710"/>
    <w:rsid w:val="0048771D"/>
    <w:rsid w:val="00487CF1"/>
    <w:rsid w:val="00487D77"/>
    <w:rsid w:val="00490739"/>
    <w:rsid w:val="004909F9"/>
    <w:rsid w:val="00490CAB"/>
    <w:rsid w:val="0049135C"/>
    <w:rsid w:val="00491484"/>
    <w:rsid w:val="004919DD"/>
    <w:rsid w:val="00491C1A"/>
    <w:rsid w:val="004920AE"/>
    <w:rsid w:val="0049213B"/>
    <w:rsid w:val="0049218A"/>
    <w:rsid w:val="004921A6"/>
    <w:rsid w:val="0049267B"/>
    <w:rsid w:val="004929EF"/>
    <w:rsid w:val="00492A5B"/>
    <w:rsid w:val="00492C7A"/>
    <w:rsid w:val="00493216"/>
    <w:rsid w:val="00493451"/>
    <w:rsid w:val="004936D6"/>
    <w:rsid w:val="004939F2"/>
    <w:rsid w:val="00494847"/>
    <w:rsid w:val="00494E98"/>
    <w:rsid w:val="00495029"/>
    <w:rsid w:val="004953B1"/>
    <w:rsid w:val="0049544D"/>
    <w:rsid w:val="0049549E"/>
    <w:rsid w:val="00495A9F"/>
    <w:rsid w:val="004960A6"/>
    <w:rsid w:val="00496B48"/>
    <w:rsid w:val="00497B80"/>
    <w:rsid w:val="00497D65"/>
    <w:rsid w:val="00497E19"/>
    <w:rsid w:val="004A07F8"/>
    <w:rsid w:val="004A0F1A"/>
    <w:rsid w:val="004A1261"/>
    <w:rsid w:val="004A178B"/>
    <w:rsid w:val="004A19D1"/>
    <w:rsid w:val="004A1BE0"/>
    <w:rsid w:val="004A249A"/>
    <w:rsid w:val="004A28D7"/>
    <w:rsid w:val="004A2F59"/>
    <w:rsid w:val="004A3027"/>
    <w:rsid w:val="004A309A"/>
    <w:rsid w:val="004A3673"/>
    <w:rsid w:val="004A39DE"/>
    <w:rsid w:val="004A3B4B"/>
    <w:rsid w:val="004A41B2"/>
    <w:rsid w:val="004A447F"/>
    <w:rsid w:val="004A5007"/>
    <w:rsid w:val="004A51BE"/>
    <w:rsid w:val="004A553F"/>
    <w:rsid w:val="004A5CAE"/>
    <w:rsid w:val="004A5D10"/>
    <w:rsid w:val="004A5D67"/>
    <w:rsid w:val="004A671F"/>
    <w:rsid w:val="004A702F"/>
    <w:rsid w:val="004A7619"/>
    <w:rsid w:val="004A7793"/>
    <w:rsid w:val="004A7B51"/>
    <w:rsid w:val="004A7CFD"/>
    <w:rsid w:val="004A7D59"/>
    <w:rsid w:val="004A7D7C"/>
    <w:rsid w:val="004B0168"/>
    <w:rsid w:val="004B0317"/>
    <w:rsid w:val="004B07AC"/>
    <w:rsid w:val="004B0AA5"/>
    <w:rsid w:val="004B102C"/>
    <w:rsid w:val="004B10E8"/>
    <w:rsid w:val="004B1263"/>
    <w:rsid w:val="004B1639"/>
    <w:rsid w:val="004B1C0C"/>
    <w:rsid w:val="004B1E0F"/>
    <w:rsid w:val="004B248A"/>
    <w:rsid w:val="004B316D"/>
    <w:rsid w:val="004B3E0A"/>
    <w:rsid w:val="004B3EBB"/>
    <w:rsid w:val="004B48EC"/>
    <w:rsid w:val="004B4E20"/>
    <w:rsid w:val="004B4ECE"/>
    <w:rsid w:val="004B50C4"/>
    <w:rsid w:val="004B512D"/>
    <w:rsid w:val="004B5C6E"/>
    <w:rsid w:val="004B5CB6"/>
    <w:rsid w:val="004B6407"/>
    <w:rsid w:val="004B6438"/>
    <w:rsid w:val="004B677F"/>
    <w:rsid w:val="004B6A39"/>
    <w:rsid w:val="004B6B3C"/>
    <w:rsid w:val="004B6CE0"/>
    <w:rsid w:val="004B6DC2"/>
    <w:rsid w:val="004B7A79"/>
    <w:rsid w:val="004C00B7"/>
    <w:rsid w:val="004C0E68"/>
    <w:rsid w:val="004C0E6D"/>
    <w:rsid w:val="004C1380"/>
    <w:rsid w:val="004C18D7"/>
    <w:rsid w:val="004C2708"/>
    <w:rsid w:val="004C284A"/>
    <w:rsid w:val="004C3357"/>
    <w:rsid w:val="004C373C"/>
    <w:rsid w:val="004C3A30"/>
    <w:rsid w:val="004C3F74"/>
    <w:rsid w:val="004C4242"/>
    <w:rsid w:val="004C45D1"/>
    <w:rsid w:val="004C465D"/>
    <w:rsid w:val="004C49FA"/>
    <w:rsid w:val="004C54D7"/>
    <w:rsid w:val="004C59D8"/>
    <w:rsid w:val="004C62E3"/>
    <w:rsid w:val="004C63BE"/>
    <w:rsid w:val="004C68B9"/>
    <w:rsid w:val="004C6AAC"/>
    <w:rsid w:val="004C70BD"/>
    <w:rsid w:val="004C7110"/>
    <w:rsid w:val="004C731C"/>
    <w:rsid w:val="004C75FC"/>
    <w:rsid w:val="004C7639"/>
    <w:rsid w:val="004C774D"/>
    <w:rsid w:val="004C7BD4"/>
    <w:rsid w:val="004C7D51"/>
    <w:rsid w:val="004C7EE1"/>
    <w:rsid w:val="004D0234"/>
    <w:rsid w:val="004D0247"/>
    <w:rsid w:val="004D0641"/>
    <w:rsid w:val="004D0801"/>
    <w:rsid w:val="004D090A"/>
    <w:rsid w:val="004D0D54"/>
    <w:rsid w:val="004D0E27"/>
    <w:rsid w:val="004D0E65"/>
    <w:rsid w:val="004D0E8A"/>
    <w:rsid w:val="004D0F04"/>
    <w:rsid w:val="004D0F5A"/>
    <w:rsid w:val="004D1056"/>
    <w:rsid w:val="004D16FF"/>
    <w:rsid w:val="004D1763"/>
    <w:rsid w:val="004D1B4B"/>
    <w:rsid w:val="004D1C78"/>
    <w:rsid w:val="004D1FF6"/>
    <w:rsid w:val="004D242C"/>
    <w:rsid w:val="004D25FE"/>
    <w:rsid w:val="004D26F0"/>
    <w:rsid w:val="004D291A"/>
    <w:rsid w:val="004D2A97"/>
    <w:rsid w:val="004D2B28"/>
    <w:rsid w:val="004D2B35"/>
    <w:rsid w:val="004D2BB2"/>
    <w:rsid w:val="004D2E6B"/>
    <w:rsid w:val="004D3112"/>
    <w:rsid w:val="004D39E9"/>
    <w:rsid w:val="004D3AEE"/>
    <w:rsid w:val="004D3C41"/>
    <w:rsid w:val="004D3CD7"/>
    <w:rsid w:val="004D3DFD"/>
    <w:rsid w:val="004D415A"/>
    <w:rsid w:val="004D49EC"/>
    <w:rsid w:val="004D4C65"/>
    <w:rsid w:val="004D517B"/>
    <w:rsid w:val="004D52D6"/>
    <w:rsid w:val="004D5525"/>
    <w:rsid w:val="004D562D"/>
    <w:rsid w:val="004D5881"/>
    <w:rsid w:val="004D5CB3"/>
    <w:rsid w:val="004D5CBF"/>
    <w:rsid w:val="004D60C7"/>
    <w:rsid w:val="004D63D7"/>
    <w:rsid w:val="004D6EF4"/>
    <w:rsid w:val="004D7ABD"/>
    <w:rsid w:val="004D7C29"/>
    <w:rsid w:val="004D7E87"/>
    <w:rsid w:val="004E0063"/>
    <w:rsid w:val="004E08A7"/>
    <w:rsid w:val="004E0DD7"/>
    <w:rsid w:val="004E102A"/>
    <w:rsid w:val="004E10EB"/>
    <w:rsid w:val="004E117D"/>
    <w:rsid w:val="004E18F8"/>
    <w:rsid w:val="004E1B35"/>
    <w:rsid w:val="004E200C"/>
    <w:rsid w:val="004E220C"/>
    <w:rsid w:val="004E289D"/>
    <w:rsid w:val="004E28C6"/>
    <w:rsid w:val="004E29E9"/>
    <w:rsid w:val="004E31E4"/>
    <w:rsid w:val="004E39C2"/>
    <w:rsid w:val="004E3F56"/>
    <w:rsid w:val="004E3F72"/>
    <w:rsid w:val="004E4163"/>
    <w:rsid w:val="004E439D"/>
    <w:rsid w:val="004E43E7"/>
    <w:rsid w:val="004E49F5"/>
    <w:rsid w:val="004E4ABF"/>
    <w:rsid w:val="004E506C"/>
    <w:rsid w:val="004E555F"/>
    <w:rsid w:val="004E556B"/>
    <w:rsid w:val="004E5576"/>
    <w:rsid w:val="004E6084"/>
    <w:rsid w:val="004E61A3"/>
    <w:rsid w:val="004E6816"/>
    <w:rsid w:val="004E6C61"/>
    <w:rsid w:val="004E792C"/>
    <w:rsid w:val="004E7F6E"/>
    <w:rsid w:val="004F00F6"/>
    <w:rsid w:val="004F0655"/>
    <w:rsid w:val="004F0669"/>
    <w:rsid w:val="004F074C"/>
    <w:rsid w:val="004F07A7"/>
    <w:rsid w:val="004F0A96"/>
    <w:rsid w:val="004F0F06"/>
    <w:rsid w:val="004F1605"/>
    <w:rsid w:val="004F17AF"/>
    <w:rsid w:val="004F2030"/>
    <w:rsid w:val="004F2D69"/>
    <w:rsid w:val="004F2DBC"/>
    <w:rsid w:val="004F2DDA"/>
    <w:rsid w:val="004F2E6B"/>
    <w:rsid w:val="004F368B"/>
    <w:rsid w:val="004F372D"/>
    <w:rsid w:val="004F39CD"/>
    <w:rsid w:val="004F4754"/>
    <w:rsid w:val="004F475D"/>
    <w:rsid w:val="004F4849"/>
    <w:rsid w:val="004F4A0A"/>
    <w:rsid w:val="004F50A4"/>
    <w:rsid w:val="004F5848"/>
    <w:rsid w:val="004F58B7"/>
    <w:rsid w:val="004F5DA1"/>
    <w:rsid w:val="004F5F7E"/>
    <w:rsid w:val="004F61D8"/>
    <w:rsid w:val="004F6556"/>
    <w:rsid w:val="004F6B16"/>
    <w:rsid w:val="004F6E84"/>
    <w:rsid w:val="004F70C6"/>
    <w:rsid w:val="004F726D"/>
    <w:rsid w:val="004F798A"/>
    <w:rsid w:val="0050002C"/>
    <w:rsid w:val="00500148"/>
    <w:rsid w:val="00500374"/>
    <w:rsid w:val="00500C6B"/>
    <w:rsid w:val="00500CDB"/>
    <w:rsid w:val="005017E4"/>
    <w:rsid w:val="00501B5F"/>
    <w:rsid w:val="00501BC2"/>
    <w:rsid w:val="00502615"/>
    <w:rsid w:val="00502D2D"/>
    <w:rsid w:val="00502D2F"/>
    <w:rsid w:val="00502EE7"/>
    <w:rsid w:val="00503C5E"/>
    <w:rsid w:val="00504001"/>
    <w:rsid w:val="00504612"/>
    <w:rsid w:val="00504F29"/>
    <w:rsid w:val="00505266"/>
    <w:rsid w:val="00505750"/>
    <w:rsid w:val="00505A98"/>
    <w:rsid w:val="00505C8D"/>
    <w:rsid w:val="00505EB9"/>
    <w:rsid w:val="0050673A"/>
    <w:rsid w:val="00506825"/>
    <w:rsid w:val="0050695E"/>
    <w:rsid w:val="00506BF3"/>
    <w:rsid w:val="00507254"/>
    <w:rsid w:val="00507572"/>
    <w:rsid w:val="005076FF"/>
    <w:rsid w:val="00510F4E"/>
    <w:rsid w:val="005110E4"/>
    <w:rsid w:val="005115EE"/>
    <w:rsid w:val="00511981"/>
    <w:rsid w:val="00511BFE"/>
    <w:rsid w:val="00512377"/>
    <w:rsid w:val="00513024"/>
    <w:rsid w:val="00513780"/>
    <w:rsid w:val="00514193"/>
    <w:rsid w:val="005143A1"/>
    <w:rsid w:val="00514446"/>
    <w:rsid w:val="005145F6"/>
    <w:rsid w:val="00514813"/>
    <w:rsid w:val="00514887"/>
    <w:rsid w:val="00514D59"/>
    <w:rsid w:val="00514DA8"/>
    <w:rsid w:val="00514EE9"/>
    <w:rsid w:val="00514F57"/>
    <w:rsid w:val="00515051"/>
    <w:rsid w:val="00515A0B"/>
    <w:rsid w:val="00516482"/>
    <w:rsid w:val="00516521"/>
    <w:rsid w:val="00516F1E"/>
    <w:rsid w:val="00517884"/>
    <w:rsid w:val="005200F6"/>
    <w:rsid w:val="005200FB"/>
    <w:rsid w:val="00520323"/>
    <w:rsid w:val="0052050D"/>
    <w:rsid w:val="005206D7"/>
    <w:rsid w:val="005207B1"/>
    <w:rsid w:val="00520CC0"/>
    <w:rsid w:val="00520EE2"/>
    <w:rsid w:val="005211AB"/>
    <w:rsid w:val="005213D9"/>
    <w:rsid w:val="00521427"/>
    <w:rsid w:val="00521485"/>
    <w:rsid w:val="005216C3"/>
    <w:rsid w:val="005220BB"/>
    <w:rsid w:val="005223FE"/>
    <w:rsid w:val="00522C8C"/>
    <w:rsid w:val="005236EA"/>
    <w:rsid w:val="005239E5"/>
    <w:rsid w:val="00524787"/>
    <w:rsid w:val="00524CDB"/>
    <w:rsid w:val="00525431"/>
    <w:rsid w:val="005255DC"/>
    <w:rsid w:val="005256B0"/>
    <w:rsid w:val="005257AD"/>
    <w:rsid w:val="005258F7"/>
    <w:rsid w:val="00525A6E"/>
    <w:rsid w:val="0052642E"/>
    <w:rsid w:val="005265EC"/>
    <w:rsid w:val="005268E4"/>
    <w:rsid w:val="00526970"/>
    <w:rsid w:val="00526D10"/>
    <w:rsid w:val="00526D94"/>
    <w:rsid w:val="00526DCB"/>
    <w:rsid w:val="00526E14"/>
    <w:rsid w:val="00526FCF"/>
    <w:rsid w:val="00527260"/>
    <w:rsid w:val="005278CA"/>
    <w:rsid w:val="00527AB3"/>
    <w:rsid w:val="005302FF"/>
    <w:rsid w:val="0053071C"/>
    <w:rsid w:val="00530B7A"/>
    <w:rsid w:val="00530B88"/>
    <w:rsid w:val="00530C1A"/>
    <w:rsid w:val="00530C91"/>
    <w:rsid w:val="00530CC1"/>
    <w:rsid w:val="00530D8E"/>
    <w:rsid w:val="005310C3"/>
    <w:rsid w:val="00531712"/>
    <w:rsid w:val="0053183E"/>
    <w:rsid w:val="00531EFE"/>
    <w:rsid w:val="005322FE"/>
    <w:rsid w:val="00532486"/>
    <w:rsid w:val="00532767"/>
    <w:rsid w:val="005327A0"/>
    <w:rsid w:val="005329DE"/>
    <w:rsid w:val="00532DB6"/>
    <w:rsid w:val="0053386F"/>
    <w:rsid w:val="005338CD"/>
    <w:rsid w:val="00533987"/>
    <w:rsid w:val="00533A23"/>
    <w:rsid w:val="00533B1C"/>
    <w:rsid w:val="00533BE8"/>
    <w:rsid w:val="00533FCB"/>
    <w:rsid w:val="00534B47"/>
    <w:rsid w:val="00534C34"/>
    <w:rsid w:val="005354A9"/>
    <w:rsid w:val="00535520"/>
    <w:rsid w:val="0053578B"/>
    <w:rsid w:val="00535B9E"/>
    <w:rsid w:val="00535C86"/>
    <w:rsid w:val="00536034"/>
    <w:rsid w:val="00536342"/>
    <w:rsid w:val="0053669F"/>
    <w:rsid w:val="0053670D"/>
    <w:rsid w:val="00536726"/>
    <w:rsid w:val="00536BF2"/>
    <w:rsid w:val="00536DC0"/>
    <w:rsid w:val="00537521"/>
    <w:rsid w:val="005378B1"/>
    <w:rsid w:val="005402F8"/>
    <w:rsid w:val="00540E74"/>
    <w:rsid w:val="00540EB3"/>
    <w:rsid w:val="005416FD"/>
    <w:rsid w:val="00542349"/>
    <w:rsid w:val="0054238C"/>
    <w:rsid w:val="00542422"/>
    <w:rsid w:val="00542585"/>
    <w:rsid w:val="00542BA8"/>
    <w:rsid w:val="0054316E"/>
    <w:rsid w:val="005433E2"/>
    <w:rsid w:val="0054348A"/>
    <w:rsid w:val="00544029"/>
    <w:rsid w:val="00544321"/>
    <w:rsid w:val="00544794"/>
    <w:rsid w:val="00544A7D"/>
    <w:rsid w:val="00545404"/>
    <w:rsid w:val="00545408"/>
    <w:rsid w:val="005455CA"/>
    <w:rsid w:val="0054617C"/>
    <w:rsid w:val="00546FCB"/>
    <w:rsid w:val="00547203"/>
    <w:rsid w:val="00547B69"/>
    <w:rsid w:val="00547F28"/>
    <w:rsid w:val="00550D02"/>
    <w:rsid w:val="00550E9F"/>
    <w:rsid w:val="00551035"/>
    <w:rsid w:val="0055122E"/>
    <w:rsid w:val="00551283"/>
    <w:rsid w:val="00551C5F"/>
    <w:rsid w:val="00551C90"/>
    <w:rsid w:val="00551D92"/>
    <w:rsid w:val="005521C0"/>
    <w:rsid w:val="00552753"/>
    <w:rsid w:val="005529BC"/>
    <w:rsid w:val="00552BDA"/>
    <w:rsid w:val="00552FE0"/>
    <w:rsid w:val="00553106"/>
    <w:rsid w:val="00553542"/>
    <w:rsid w:val="00553823"/>
    <w:rsid w:val="00553D22"/>
    <w:rsid w:val="00553FF4"/>
    <w:rsid w:val="005549FE"/>
    <w:rsid w:val="00554C0B"/>
    <w:rsid w:val="00554DEA"/>
    <w:rsid w:val="00554F5B"/>
    <w:rsid w:val="005550B1"/>
    <w:rsid w:val="00555BDA"/>
    <w:rsid w:val="00555D82"/>
    <w:rsid w:val="005568AB"/>
    <w:rsid w:val="00556EDF"/>
    <w:rsid w:val="00556F81"/>
    <w:rsid w:val="00557000"/>
    <w:rsid w:val="00557045"/>
    <w:rsid w:val="005574C5"/>
    <w:rsid w:val="00557571"/>
    <w:rsid w:val="0055798A"/>
    <w:rsid w:val="00557ACD"/>
    <w:rsid w:val="00557B7E"/>
    <w:rsid w:val="00557FA5"/>
    <w:rsid w:val="0056003D"/>
    <w:rsid w:val="00560305"/>
    <w:rsid w:val="00560913"/>
    <w:rsid w:val="00560DC0"/>
    <w:rsid w:val="005618FA"/>
    <w:rsid w:val="00561D9B"/>
    <w:rsid w:val="0056268F"/>
    <w:rsid w:val="00562977"/>
    <w:rsid w:val="00562A00"/>
    <w:rsid w:val="0056300B"/>
    <w:rsid w:val="00563184"/>
    <w:rsid w:val="005636E4"/>
    <w:rsid w:val="00563ACE"/>
    <w:rsid w:val="00563C2C"/>
    <w:rsid w:val="00563D57"/>
    <w:rsid w:val="005644D5"/>
    <w:rsid w:val="00565708"/>
    <w:rsid w:val="00565C39"/>
    <w:rsid w:val="0056623C"/>
    <w:rsid w:val="00566BD9"/>
    <w:rsid w:val="005672CD"/>
    <w:rsid w:val="005674D3"/>
    <w:rsid w:val="005675F6"/>
    <w:rsid w:val="00567625"/>
    <w:rsid w:val="00567C14"/>
    <w:rsid w:val="00567F60"/>
    <w:rsid w:val="005703E3"/>
    <w:rsid w:val="00570647"/>
    <w:rsid w:val="00570A0E"/>
    <w:rsid w:val="005713EB"/>
    <w:rsid w:val="00571451"/>
    <w:rsid w:val="005717F3"/>
    <w:rsid w:val="00571B0C"/>
    <w:rsid w:val="005724C2"/>
    <w:rsid w:val="00572677"/>
    <w:rsid w:val="00572DD3"/>
    <w:rsid w:val="00572E55"/>
    <w:rsid w:val="00572FE4"/>
    <w:rsid w:val="0057319F"/>
    <w:rsid w:val="00573388"/>
    <w:rsid w:val="0057352F"/>
    <w:rsid w:val="005736A8"/>
    <w:rsid w:val="00573A0B"/>
    <w:rsid w:val="00573A36"/>
    <w:rsid w:val="00573B60"/>
    <w:rsid w:val="00573CC2"/>
    <w:rsid w:val="00574247"/>
    <w:rsid w:val="00574496"/>
    <w:rsid w:val="00574EAE"/>
    <w:rsid w:val="00575515"/>
    <w:rsid w:val="0057592B"/>
    <w:rsid w:val="00575C7D"/>
    <w:rsid w:val="00576241"/>
    <w:rsid w:val="00576364"/>
    <w:rsid w:val="00576516"/>
    <w:rsid w:val="0057742F"/>
    <w:rsid w:val="005776BB"/>
    <w:rsid w:val="0058020A"/>
    <w:rsid w:val="00580465"/>
    <w:rsid w:val="005806BC"/>
    <w:rsid w:val="00580D28"/>
    <w:rsid w:val="00581005"/>
    <w:rsid w:val="005818E6"/>
    <w:rsid w:val="00582285"/>
    <w:rsid w:val="005826A3"/>
    <w:rsid w:val="005829B3"/>
    <w:rsid w:val="00582A9A"/>
    <w:rsid w:val="00582BAE"/>
    <w:rsid w:val="00583951"/>
    <w:rsid w:val="0058400A"/>
    <w:rsid w:val="005842C5"/>
    <w:rsid w:val="00584564"/>
    <w:rsid w:val="005847C3"/>
    <w:rsid w:val="005848E5"/>
    <w:rsid w:val="00584F59"/>
    <w:rsid w:val="0058528A"/>
    <w:rsid w:val="0058541C"/>
    <w:rsid w:val="0058585F"/>
    <w:rsid w:val="005859AB"/>
    <w:rsid w:val="00585ADD"/>
    <w:rsid w:val="00585B70"/>
    <w:rsid w:val="00585D52"/>
    <w:rsid w:val="00586034"/>
    <w:rsid w:val="005862A2"/>
    <w:rsid w:val="0058640B"/>
    <w:rsid w:val="00586B93"/>
    <w:rsid w:val="00586DA3"/>
    <w:rsid w:val="00586DA6"/>
    <w:rsid w:val="00586E57"/>
    <w:rsid w:val="005870B9"/>
    <w:rsid w:val="0058746E"/>
    <w:rsid w:val="00587698"/>
    <w:rsid w:val="0058785D"/>
    <w:rsid w:val="005879A3"/>
    <w:rsid w:val="00590266"/>
    <w:rsid w:val="005906F8"/>
    <w:rsid w:val="005908B5"/>
    <w:rsid w:val="00590AE5"/>
    <w:rsid w:val="005912B5"/>
    <w:rsid w:val="005913E3"/>
    <w:rsid w:val="00591406"/>
    <w:rsid w:val="00592B6E"/>
    <w:rsid w:val="00592E13"/>
    <w:rsid w:val="005932CC"/>
    <w:rsid w:val="0059338C"/>
    <w:rsid w:val="00593578"/>
    <w:rsid w:val="00593AE5"/>
    <w:rsid w:val="00593C43"/>
    <w:rsid w:val="00594286"/>
    <w:rsid w:val="005943D6"/>
    <w:rsid w:val="00594AEA"/>
    <w:rsid w:val="00594D45"/>
    <w:rsid w:val="00594D89"/>
    <w:rsid w:val="00594FA3"/>
    <w:rsid w:val="005951A2"/>
    <w:rsid w:val="0059524A"/>
    <w:rsid w:val="005956D4"/>
    <w:rsid w:val="00595E1C"/>
    <w:rsid w:val="00595E53"/>
    <w:rsid w:val="00595F72"/>
    <w:rsid w:val="00596109"/>
    <w:rsid w:val="00596736"/>
    <w:rsid w:val="00596E5A"/>
    <w:rsid w:val="005970F9"/>
    <w:rsid w:val="00597390"/>
    <w:rsid w:val="005979AF"/>
    <w:rsid w:val="005979B2"/>
    <w:rsid w:val="005979DD"/>
    <w:rsid w:val="005A05A2"/>
    <w:rsid w:val="005A0E50"/>
    <w:rsid w:val="005A102B"/>
    <w:rsid w:val="005A115D"/>
    <w:rsid w:val="005A1294"/>
    <w:rsid w:val="005A1383"/>
    <w:rsid w:val="005A138A"/>
    <w:rsid w:val="005A14F7"/>
    <w:rsid w:val="005A162B"/>
    <w:rsid w:val="005A1817"/>
    <w:rsid w:val="005A1874"/>
    <w:rsid w:val="005A20FF"/>
    <w:rsid w:val="005A24AA"/>
    <w:rsid w:val="005A25A0"/>
    <w:rsid w:val="005A2F3C"/>
    <w:rsid w:val="005A2F89"/>
    <w:rsid w:val="005A3332"/>
    <w:rsid w:val="005A3333"/>
    <w:rsid w:val="005A34AB"/>
    <w:rsid w:val="005A3721"/>
    <w:rsid w:val="005A384A"/>
    <w:rsid w:val="005A3C0A"/>
    <w:rsid w:val="005A4287"/>
    <w:rsid w:val="005A42AD"/>
    <w:rsid w:val="005A434C"/>
    <w:rsid w:val="005A4746"/>
    <w:rsid w:val="005A4857"/>
    <w:rsid w:val="005A52DD"/>
    <w:rsid w:val="005A5433"/>
    <w:rsid w:val="005A57C5"/>
    <w:rsid w:val="005A6770"/>
    <w:rsid w:val="005A6DBB"/>
    <w:rsid w:val="005A7316"/>
    <w:rsid w:val="005A735E"/>
    <w:rsid w:val="005A755B"/>
    <w:rsid w:val="005A7880"/>
    <w:rsid w:val="005B011D"/>
    <w:rsid w:val="005B0774"/>
    <w:rsid w:val="005B083D"/>
    <w:rsid w:val="005B103D"/>
    <w:rsid w:val="005B129C"/>
    <w:rsid w:val="005B13D3"/>
    <w:rsid w:val="005B1AF1"/>
    <w:rsid w:val="005B2E83"/>
    <w:rsid w:val="005B3275"/>
    <w:rsid w:val="005B3D56"/>
    <w:rsid w:val="005B441B"/>
    <w:rsid w:val="005B44BB"/>
    <w:rsid w:val="005B44F2"/>
    <w:rsid w:val="005B469D"/>
    <w:rsid w:val="005B4786"/>
    <w:rsid w:val="005B48EF"/>
    <w:rsid w:val="005B49E8"/>
    <w:rsid w:val="005B4AE1"/>
    <w:rsid w:val="005B4F2F"/>
    <w:rsid w:val="005B4F47"/>
    <w:rsid w:val="005B5096"/>
    <w:rsid w:val="005B58F8"/>
    <w:rsid w:val="005B5A1D"/>
    <w:rsid w:val="005B5BD7"/>
    <w:rsid w:val="005B5DEC"/>
    <w:rsid w:val="005B5F58"/>
    <w:rsid w:val="005B6229"/>
    <w:rsid w:val="005B6490"/>
    <w:rsid w:val="005B67CC"/>
    <w:rsid w:val="005B6ACD"/>
    <w:rsid w:val="005B7EE7"/>
    <w:rsid w:val="005C09B4"/>
    <w:rsid w:val="005C1010"/>
    <w:rsid w:val="005C133E"/>
    <w:rsid w:val="005C1400"/>
    <w:rsid w:val="005C1BAF"/>
    <w:rsid w:val="005C1E30"/>
    <w:rsid w:val="005C1E56"/>
    <w:rsid w:val="005C2379"/>
    <w:rsid w:val="005C27CE"/>
    <w:rsid w:val="005C2C9D"/>
    <w:rsid w:val="005C2D0A"/>
    <w:rsid w:val="005C335F"/>
    <w:rsid w:val="005C3481"/>
    <w:rsid w:val="005C385F"/>
    <w:rsid w:val="005C3917"/>
    <w:rsid w:val="005C392C"/>
    <w:rsid w:val="005C3D6E"/>
    <w:rsid w:val="005C3DA8"/>
    <w:rsid w:val="005C40D9"/>
    <w:rsid w:val="005C41A8"/>
    <w:rsid w:val="005C4419"/>
    <w:rsid w:val="005C4488"/>
    <w:rsid w:val="005C459F"/>
    <w:rsid w:val="005C4E22"/>
    <w:rsid w:val="005C52AD"/>
    <w:rsid w:val="005C5884"/>
    <w:rsid w:val="005C59B7"/>
    <w:rsid w:val="005C61A2"/>
    <w:rsid w:val="005C6FBE"/>
    <w:rsid w:val="005C70EE"/>
    <w:rsid w:val="005C7C17"/>
    <w:rsid w:val="005C7E1F"/>
    <w:rsid w:val="005D08F1"/>
    <w:rsid w:val="005D09C5"/>
    <w:rsid w:val="005D0ED7"/>
    <w:rsid w:val="005D1496"/>
    <w:rsid w:val="005D1676"/>
    <w:rsid w:val="005D18C9"/>
    <w:rsid w:val="005D1A29"/>
    <w:rsid w:val="005D1D1E"/>
    <w:rsid w:val="005D1E21"/>
    <w:rsid w:val="005D214D"/>
    <w:rsid w:val="005D31A8"/>
    <w:rsid w:val="005D3686"/>
    <w:rsid w:val="005D485D"/>
    <w:rsid w:val="005D53DE"/>
    <w:rsid w:val="005D5B02"/>
    <w:rsid w:val="005D5B0A"/>
    <w:rsid w:val="005D5D21"/>
    <w:rsid w:val="005D5D86"/>
    <w:rsid w:val="005D5E08"/>
    <w:rsid w:val="005D5E18"/>
    <w:rsid w:val="005D63FA"/>
    <w:rsid w:val="005D672E"/>
    <w:rsid w:val="005D6FAA"/>
    <w:rsid w:val="005D750D"/>
    <w:rsid w:val="005D7810"/>
    <w:rsid w:val="005E050E"/>
    <w:rsid w:val="005E0753"/>
    <w:rsid w:val="005E0815"/>
    <w:rsid w:val="005E0EA1"/>
    <w:rsid w:val="005E19B1"/>
    <w:rsid w:val="005E19F0"/>
    <w:rsid w:val="005E1B40"/>
    <w:rsid w:val="005E1FCD"/>
    <w:rsid w:val="005E20FC"/>
    <w:rsid w:val="005E236E"/>
    <w:rsid w:val="005E23F3"/>
    <w:rsid w:val="005E26E5"/>
    <w:rsid w:val="005E2D81"/>
    <w:rsid w:val="005E3077"/>
    <w:rsid w:val="005E31E3"/>
    <w:rsid w:val="005E375E"/>
    <w:rsid w:val="005E3824"/>
    <w:rsid w:val="005E38B7"/>
    <w:rsid w:val="005E3BF0"/>
    <w:rsid w:val="005E3CC5"/>
    <w:rsid w:val="005E411F"/>
    <w:rsid w:val="005E4188"/>
    <w:rsid w:val="005E4426"/>
    <w:rsid w:val="005E4738"/>
    <w:rsid w:val="005E5272"/>
    <w:rsid w:val="005E593D"/>
    <w:rsid w:val="005E5FFA"/>
    <w:rsid w:val="005E64C5"/>
    <w:rsid w:val="005E7353"/>
    <w:rsid w:val="005E7D0A"/>
    <w:rsid w:val="005E7ECA"/>
    <w:rsid w:val="005E7EE5"/>
    <w:rsid w:val="005F08A7"/>
    <w:rsid w:val="005F0934"/>
    <w:rsid w:val="005F14E1"/>
    <w:rsid w:val="005F1527"/>
    <w:rsid w:val="005F1683"/>
    <w:rsid w:val="005F172A"/>
    <w:rsid w:val="005F1AA6"/>
    <w:rsid w:val="005F1BEA"/>
    <w:rsid w:val="005F1C90"/>
    <w:rsid w:val="005F25FD"/>
    <w:rsid w:val="005F2C47"/>
    <w:rsid w:val="005F2D91"/>
    <w:rsid w:val="005F2DD3"/>
    <w:rsid w:val="005F3196"/>
    <w:rsid w:val="005F3757"/>
    <w:rsid w:val="005F41F7"/>
    <w:rsid w:val="005F423E"/>
    <w:rsid w:val="005F43B2"/>
    <w:rsid w:val="005F47B7"/>
    <w:rsid w:val="005F48D1"/>
    <w:rsid w:val="005F493D"/>
    <w:rsid w:val="005F4AAD"/>
    <w:rsid w:val="005F5079"/>
    <w:rsid w:val="005F53D7"/>
    <w:rsid w:val="005F5521"/>
    <w:rsid w:val="005F57E7"/>
    <w:rsid w:val="005F5920"/>
    <w:rsid w:val="005F59C3"/>
    <w:rsid w:val="005F5E37"/>
    <w:rsid w:val="005F69C0"/>
    <w:rsid w:val="005F6C96"/>
    <w:rsid w:val="005F766B"/>
    <w:rsid w:val="005F7800"/>
    <w:rsid w:val="005F7E95"/>
    <w:rsid w:val="00600184"/>
    <w:rsid w:val="006001FA"/>
    <w:rsid w:val="006004C7"/>
    <w:rsid w:val="00601177"/>
    <w:rsid w:val="006013F1"/>
    <w:rsid w:val="006014F6"/>
    <w:rsid w:val="00601546"/>
    <w:rsid w:val="00601ECC"/>
    <w:rsid w:val="0060250A"/>
    <w:rsid w:val="006026F8"/>
    <w:rsid w:val="00602A79"/>
    <w:rsid w:val="00602E7A"/>
    <w:rsid w:val="00602FEA"/>
    <w:rsid w:val="006031AD"/>
    <w:rsid w:val="006037AE"/>
    <w:rsid w:val="00603956"/>
    <w:rsid w:val="006042E7"/>
    <w:rsid w:val="006049EE"/>
    <w:rsid w:val="00604FA6"/>
    <w:rsid w:val="00605781"/>
    <w:rsid w:val="00605A2A"/>
    <w:rsid w:val="00605B30"/>
    <w:rsid w:val="00605F09"/>
    <w:rsid w:val="0060662B"/>
    <w:rsid w:val="0060713D"/>
    <w:rsid w:val="00607BE6"/>
    <w:rsid w:val="00607C48"/>
    <w:rsid w:val="00607CBA"/>
    <w:rsid w:val="00610E6C"/>
    <w:rsid w:val="0061152F"/>
    <w:rsid w:val="00611AD3"/>
    <w:rsid w:val="00611C76"/>
    <w:rsid w:val="00612146"/>
    <w:rsid w:val="0061216F"/>
    <w:rsid w:val="006121D4"/>
    <w:rsid w:val="00612689"/>
    <w:rsid w:val="006126B5"/>
    <w:rsid w:val="006126E8"/>
    <w:rsid w:val="006126F6"/>
    <w:rsid w:val="00612F83"/>
    <w:rsid w:val="00613146"/>
    <w:rsid w:val="00613221"/>
    <w:rsid w:val="00613611"/>
    <w:rsid w:val="0061375F"/>
    <w:rsid w:val="00613848"/>
    <w:rsid w:val="006140B8"/>
    <w:rsid w:val="00614210"/>
    <w:rsid w:val="006147A5"/>
    <w:rsid w:val="00614835"/>
    <w:rsid w:val="00614FDF"/>
    <w:rsid w:val="00615130"/>
    <w:rsid w:val="006152F7"/>
    <w:rsid w:val="0061538A"/>
    <w:rsid w:val="0061581B"/>
    <w:rsid w:val="0061588C"/>
    <w:rsid w:val="00615B02"/>
    <w:rsid w:val="00615BC9"/>
    <w:rsid w:val="00615C81"/>
    <w:rsid w:val="00615DC1"/>
    <w:rsid w:val="006161D2"/>
    <w:rsid w:val="00616316"/>
    <w:rsid w:val="006163E5"/>
    <w:rsid w:val="0061675A"/>
    <w:rsid w:val="006173A3"/>
    <w:rsid w:val="00617672"/>
    <w:rsid w:val="006176B8"/>
    <w:rsid w:val="006179CD"/>
    <w:rsid w:val="00617ADC"/>
    <w:rsid w:val="00617D14"/>
    <w:rsid w:val="00617E17"/>
    <w:rsid w:val="006200DC"/>
    <w:rsid w:val="0062012B"/>
    <w:rsid w:val="006203EA"/>
    <w:rsid w:val="006204CC"/>
    <w:rsid w:val="00620FD1"/>
    <w:rsid w:val="00621196"/>
    <w:rsid w:val="00621273"/>
    <w:rsid w:val="006216EE"/>
    <w:rsid w:val="00621BD2"/>
    <w:rsid w:val="006222EF"/>
    <w:rsid w:val="00622506"/>
    <w:rsid w:val="006227AA"/>
    <w:rsid w:val="00622835"/>
    <w:rsid w:val="00622991"/>
    <w:rsid w:val="00622BE0"/>
    <w:rsid w:val="00623175"/>
    <w:rsid w:val="00623327"/>
    <w:rsid w:val="0062349A"/>
    <w:rsid w:val="006236A4"/>
    <w:rsid w:val="0062378B"/>
    <w:rsid w:val="006237F8"/>
    <w:rsid w:val="00623C8E"/>
    <w:rsid w:val="006245F7"/>
    <w:rsid w:val="00624679"/>
    <w:rsid w:val="00624898"/>
    <w:rsid w:val="006248CB"/>
    <w:rsid w:val="00624DFE"/>
    <w:rsid w:val="0062593A"/>
    <w:rsid w:val="00626103"/>
    <w:rsid w:val="0062682F"/>
    <w:rsid w:val="00626964"/>
    <w:rsid w:val="00626A1E"/>
    <w:rsid w:val="00627023"/>
    <w:rsid w:val="006270DF"/>
    <w:rsid w:val="00627460"/>
    <w:rsid w:val="00627F3B"/>
    <w:rsid w:val="00627F5D"/>
    <w:rsid w:val="00630C5C"/>
    <w:rsid w:val="00630E48"/>
    <w:rsid w:val="00630FF7"/>
    <w:rsid w:val="00631459"/>
    <w:rsid w:val="0063151F"/>
    <w:rsid w:val="00631870"/>
    <w:rsid w:val="006318D2"/>
    <w:rsid w:val="00631DF0"/>
    <w:rsid w:val="00632644"/>
    <w:rsid w:val="006326CC"/>
    <w:rsid w:val="00632798"/>
    <w:rsid w:val="00632B7B"/>
    <w:rsid w:val="00632BF7"/>
    <w:rsid w:val="00632CB0"/>
    <w:rsid w:val="00632D66"/>
    <w:rsid w:val="00633235"/>
    <w:rsid w:val="006334BF"/>
    <w:rsid w:val="0063393B"/>
    <w:rsid w:val="00633A4B"/>
    <w:rsid w:val="00633B10"/>
    <w:rsid w:val="00634030"/>
    <w:rsid w:val="00634433"/>
    <w:rsid w:val="006346CF"/>
    <w:rsid w:val="00634936"/>
    <w:rsid w:val="00634978"/>
    <w:rsid w:val="00634B11"/>
    <w:rsid w:val="00634E23"/>
    <w:rsid w:val="006352F9"/>
    <w:rsid w:val="00635705"/>
    <w:rsid w:val="006362D6"/>
    <w:rsid w:val="0063692A"/>
    <w:rsid w:val="006369E2"/>
    <w:rsid w:val="00636A1A"/>
    <w:rsid w:val="00636A4A"/>
    <w:rsid w:val="00636D6F"/>
    <w:rsid w:val="006370BE"/>
    <w:rsid w:val="006372AB"/>
    <w:rsid w:val="00637C16"/>
    <w:rsid w:val="00637D40"/>
    <w:rsid w:val="00637E61"/>
    <w:rsid w:val="00637ECB"/>
    <w:rsid w:val="00637F15"/>
    <w:rsid w:val="00640005"/>
    <w:rsid w:val="006404C4"/>
    <w:rsid w:val="006404C6"/>
    <w:rsid w:val="00640F0C"/>
    <w:rsid w:val="00640F5E"/>
    <w:rsid w:val="00641180"/>
    <w:rsid w:val="00641764"/>
    <w:rsid w:val="006417F5"/>
    <w:rsid w:val="00641859"/>
    <w:rsid w:val="00641BE8"/>
    <w:rsid w:val="00641C3F"/>
    <w:rsid w:val="00641EC1"/>
    <w:rsid w:val="00642640"/>
    <w:rsid w:val="0064366A"/>
    <w:rsid w:val="0064372C"/>
    <w:rsid w:val="00643731"/>
    <w:rsid w:val="00643937"/>
    <w:rsid w:val="00643C9B"/>
    <w:rsid w:val="00643D02"/>
    <w:rsid w:val="00643DAD"/>
    <w:rsid w:val="0064474F"/>
    <w:rsid w:val="00645982"/>
    <w:rsid w:val="00645CFD"/>
    <w:rsid w:val="00645D5D"/>
    <w:rsid w:val="0064624A"/>
    <w:rsid w:val="00646262"/>
    <w:rsid w:val="0064650F"/>
    <w:rsid w:val="0064670D"/>
    <w:rsid w:val="00646CE4"/>
    <w:rsid w:val="006473B3"/>
    <w:rsid w:val="006479B3"/>
    <w:rsid w:val="00647D99"/>
    <w:rsid w:val="00647FC0"/>
    <w:rsid w:val="006501A2"/>
    <w:rsid w:val="00650970"/>
    <w:rsid w:val="00650E66"/>
    <w:rsid w:val="00650ED3"/>
    <w:rsid w:val="00651045"/>
    <w:rsid w:val="00651334"/>
    <w:rsid w:val="00651524"/>
    <w:rsid w:val="00651CD4"/>
    <w:rsid w:val="00652231"/>
    <w:rsid w:val="00652242"/>
    <w:rsid w:val="006525C2"/>
    <w:rsid w:val="00652815"/>
    <w:rsid w:val="00652B36"/>
    <w:rsid w:val="00652B9B"/>
    <w:rsid w:val="0065334C"/>
    <w:rsid w:val="006533D4"/>
    <w:rsid w:val="00653636"/>
    <w:rsid w:val="0065366C"/>
    <w:rsid w:val="006537D6"/>
    <w:rsid w:val="0065388F"/>
    <w:rsid w:val="00653A32"/>
    <w:rsid w:val="00653AB9"/>
    <w:rsid w:val="0065477E"/>
    <w:rsid w:val="00654AD4"/>
    <w:rsid w:val="00654ECB"/>
    <w:rsid w:val="006557A4"/>
    <w:rsid w:val="00655803"/>
    <w:rsid w:val="00655A1E"/>
    <w:rsid w:val="00655FDE"/>
    <w:rsid w:val="00656118"/>
    <w:rsid w:val="00656E38"/>
    <w:rsid w:val="00656F03"/>
    <w:rsid w:val="00657CF1"/>
    <w:rsid w:val="00657DDC"/>
    <w:rsid w:val="006603AC"/>
    <w:rsid w:val="00660463"/>
    <w:rsid w:val="006608D4"/>
    <w:rsid w:val="00660954"/>
    <w:rsid w:val="00660C13"/>
    <w:rsid w:val="00660D76"/>
    <w:rsid w:val="0066101A"/>
    <w:rsid w:val="00661725"/>
    <w:rsid w:val="00662466"/>
    <w:rsid w:val="006625AC"/>
    <w:rsid w:val="0066298A"/>
    <w:rsid w:val="00662C1D"/>
    <w:rsid w:val="00662C85"/>
    <w:rsid w:val="00662EB9"/>
    <w:rsid w:val="006632AC"/>
    <w:rsid w:val="00663407"/>
    <w:rsid w:val="00663571"/>
    <w:rsid w:val="00663B72"/>
    <w:rsid w:val="00663DCF"/>
    <w:rsid w:val="0066407C"/>
    <w:rsid w:val="006642BB"/>
    <w:rsid w:val="006642F5"/>
    <w:rsid w:val="00664489"/>
    <w:rsid w:val="0066449E"/>
    <w:rsid w:val="00664A58"/>
    <w:rsid w:val="00664F82"/>
    <w:rsid w:val="00665647"/>
    <w:rsid w:val="00665951"/>
    <w:rsid w:val="006660F1"/>
    <w:rsid w:val="0066613E"/>
    <w:rsid w:val="00666174"/>
    <w:rsid w:val="006662C5"/>
    <w:rsid w:val="006666A9"/>
    <w:rsid w:val="00666867"/>
    <w:rsid w:val="00666904"/>
    <w:rsid w:val="00666A47"/>
    <w:rsid w:val="006674DF"/>
    <w:rsid w:val="0067046D"/>
    <w:rsid w:val="006706E8"/>
    <w:rsid w:val="00670CB5"/>
    <w:rsid w:val="00670CBD"/>
    <w:rsid w:val="00670CE4"/>
    <w:rsid w:val="006711B2"/>
    <w:rsid w:val="0067173B"/>
    <w:rsid w:val="00671784"/>
    <w:rsid w:val="00671935"/>
    <w:rsid w:val="006728CC"/>
    <w:rsid w:val="006729F0"/>
    <w:rsid w:val="00672BE3"/>
    <w:rsid w:val="00672C34"/>
    <w:rsid w:val="00672F5A"/>
    <w:rsid w:val="00673142"/>
    <w:rsid w:val="0067334A"/>
    <w:rsid w:val="0067368F"/>
    <w:rsid w:val="00673E96"/>
    <w:rsid w:val="006743B7"/>
    <w:rsid w:val="00674701"/>
    <w:rsid w:val="0067511C"/>
    <w:rsid w:val="0067561F"/>
    <w:rsid w:val="00675C87"/>
    <w:rsid w:val="00675E62"/>
    <w:rsid w:val="006761A1"/>
    <w:rsid w:val="00676314"/>
    <w:rsid w:val="006768B8"/>
    <w:rsid w:val="00676B7B"/>
    <w:rsid w:val="00676D06"/>
    <w:rsid w:val="006771CE"/>
    <w:rsid w:val="00677ADA"/>
    <w:rsid w:val="00677B01"/>
    <w:rsid w:val="00677F1E"/>
    <w:rsid w:val="00677F3D"/>
    <w:rsid w:val="0068026F"/>
    <w:rsid w:val="0068045C"/>
    <w:rsid w:val="0068123A"/>
    <w:rsid w:val="0068195B"/>
    <w:rsid w:val="006823AD"/>
    <w:rsid w:val="0068281C"/>
    <w:rsid w:val="00683123"/>
    <w:rsid w:val="0068372D"/>
    <w:rsid w:val="00684004"/>
    <w:rsid w:val="0068405E"/>
    <w:rsid w:val="00684381"/>
    <w:rsid w:val="0068472A"/>
    <w:rsid w:val="006847E4"/>
    <w:rsid w:val="006850DD"/>
    <w:rsid w:val="0068557B"/>
    <w:rsid w:val="00685ED0"/>
    <w:rsid w:val="006860D7"/>
    <w:rsid w:val="00686155"/>
    <w:rsid w:val="00686C1B"/>
    <w:rsid w:val="006875D7"/>
    <w:rsid w:val="006878E8"/>
    <w:rsid w:val="006901FD"/>
    <w:rsid w:val="006906DE"/>
    <w:rsid w:val="006908CD"/>
    <w:rsid w:val="00690B90"/>
    <w:rsid w:val="00690F64"/>
    <w:rsid w:val="00691000"/>
    <w:rsid w:val="006918C5"/>
    <w:rsid w:val="00691A52"/>
    <w:rsid w:val="00691E7E"/>
    <w:rsid w:val="00691E86"/>
    <w:rsid w:val="006927A5"/>
    <w:rsid w:val="00692A2C"/>
    <w:rsid w:val="00692CF0"/>
    <w:rsid w:val="00692DB1"/>
    <w:rsid w:val="006933AC"/>
    <w:rsid w:val="006934A7"/>
    <w:rsid w:val="00693BF3"/>
    <w:rsid w:val="00693F03"/>
    <w:rsid w:val="00694315"/>
    <w:rsid w:val="00694509"/>
    <w:rsid w:val="0069461F"/>
    <w:rsid w:val="00694ABC"/>
    <w:rsid w:val="00694B74"/>
    <w:rsid w:val="00694C16"/>
    <w:rsid w:val="00694C54"/>
    <w:rsid w:val="00694C8E"/>
    <w:rsid w:val="00694E91"/>
    <w:rsid w:val="00695005"/>
    <w:rsid w:val="006958CC"/>
    <w:rsid w:val="00695FCD"/>
    <w:rsid w:val="00696029"/>
    <w:rsid w:val="0069612A"/>
    <w:rsid w:val="00696746"/>
    <w:rsid w:val="006967B1"/>
    <w:rsid w:val="00696979"/>
    <w:rsid w:val="006971DF"/>
    <w:rsid w:val="00697B66"/>
    <w:rsid w:val="00697D9E"/>
    <w:rsid w:val="00697E35"/>
    <w:rsid w:val="006A02B7"/>
    <w:rsid w:val="006A03AB"/>
    <w:rsid w:val="006A070E"/>
    <w:rsid w:val="006A122A"/>
    <w:rsid w:val="006A145D"/>
    <w:rsid w:val="006A164A"/>
    <w:rsid w:val="006A2040"/>
    <w:rsid w:val="006A204B"/>
    <w:rsid w:val="006A22DD"/>
    <w:rsid w:val="006A2366"/>
    <w:rsid w:val="006A2AEF"/>
    <w:rsid w:val="006A2CD0"/>
    <w:rsid w:val="006A2F4C"/>
    <w:rsid w:val="006A305E"/>
    <w:rsid w:val="006A3236"/>
    <w:rsid w:val="006A3502"/>
    <w:rsid w:val="006A37A7"/>
    <w:rsid w:val="006A3AB0"/>
    <w:rsid w:val="006A3AEF"/>
    <w:rsid w:val="006A3C94"/>
    <w:rsid w:val="006A3F3C"/>
    <w:rsid w:val="006A46D6"/>
    <w:rsid w:val="006A4C22"/>
    <w:rsid w:val="006A5D49"/>
    <w:rsid w:val="006A6A5C"/>
    <w:rsid w:val="006A6B45"/>
    <w:rsid w:val="006A6CAC"/>
    <w:rsid w:val="006A7099"/>
    <w:rsid w:val="006A7F0E"/>
    <w:rsid w:val="006A7F61"/>
    <w:rsid w:val="006B059A"/>
    <w:rsid w:val="006B0B2B"/>
    <w:rsid w:val="006B0B88"/>
    <w:rsid w:val="006B0B94"/>
    <w:rsid w:val="006B0D74"/>
    <w:rsid w:val="006B0D7B"/>
    <w:rsid w:val="006B1CCB"/>
    <w:rsid w:val="006B1D23"/>
    <w:rsid w:val="006B1D96"/>
    <w:rsid w:val="006B2137"/>
    <w:rsid w:val="006B2A7B"/>
    <w:rsid w:val="006B30A2"/>
    <w:rsid w:val="006B328D"/>
    <w:rsid w:val="006B344A"/>
    <w:rsid w:val="006B3522"/>
    <w:rsid w:val="006B365C"/>
    <w:rsid w:val="006B3B3A"/>
    <w:rsid w:val="006B3B7F"/>
    <w:rsid w:val="006B4376"/>
    <w:rsid w:val="006B52DB"/>
    <w:rsid w:val="006B5BED"/>
    <w:rsid w:val="006B61DB"/>
    <w:rsid w:val="006B627D"/>
    <w:rsid w:val="006B64AD"/>
    <w:rsid w:val="006B6E29"/>
    <w:rsid w:val="006B7129"/>
    <w:rsid w:val="006B7597"/>
    <w:rsid w:val="006B75AC"/>
    <w:rsid w:val="006B772B"/>
    <w:rsid w:val="006B77FA"/>
    <w:rsid w:val="006C03EE"/>
    <w:rsid w:val="006C08D3"/>
    <w:rsid w:val="006C109C"/>
    <w:rsid w:val="006C142C"/>
    <w:rsid w:val="006C147D"/>
    <w:rsid w:val="006C178A"/>
    <w:rsid w:val="006C1898"/>
    <w:rsid w:val="006C1992"/>
    <w:rsid w:val="006C1AB3"/>
    <w:rsid w:val="006C1B58"/>
    <w:rsid w:val="006C20A6"/>
    <w:rsid w:val="006C20D3"/>
    <w:rsid w:val="006C2126"/>
    <w:rsid w:val="006C2782"/>
    <w:rsid w:val="006C2933"/>
    <w:rsid w:val="006C2AD5"/>
    <w:rsid w:val="006C2BF6"/>
    <w:rsid w:val="006C2C82"/>
    <w:rsid w:val="006C2E35"/>
    <w:rsid w:val="006C2FDF"/>
    <w:rsid w:val="006C322E"/>
    <w:rsid w:val="006C324F"/>
    <w:rsid w:val="006C32BF"/>
    <w:rsid w:val="006C3377"/>
    <w:rsid w:val="006C34BA"/>
    <w:rsid w:val="006C3678"/>
    <w:rsid w:val="006C3703"/>
    <w:rsid w:val="006C3AEE"/>
    <w:rsid w:val="006C3F83"/>
    <w:rsid w:val="006C412B"/>
    <w:rsid w:val="006C415C"/>
    <w:rsid w:val="006C45F4"/>
    <w:rsid w:val="006C4603"/>
    <w:rsid w:val="006C4B1A"/>
    <w:rsid w:val="006C515D"/>
    <w:rsid w:val="006C5FDC"/>
    <w:rsid w:val="006C6333"/>
    <w:rsid w:val="006C647A"/>
    <w:rsid w:val="006C6F0C"/>
    <w:rsid w:val="006C7761"/>
    <w:rsid w:val="006C787E"/>
    <w:rsid w:val="006C78E5"/>
    <w:rsid w:val="006C79D4"/>
    <w:rsid w:val="006C7C62"/>
    <w:rsid w:val="006D0DB7"/>
    <w:rsid w:val="006D1242"/>
    <w:rsid w:val="006D1931"/>
    <w:rsid w:val="006D1A79"/>
    <w:rsid w:val="006D1D6C"/>
    <w:rsid w:val="006D20F2"/>
    <w:rsid w:val="006D24FA"/>
    <w:rsid w:val="006D26E1"/>
    <w:rsid w:val="006D2706"/>
    <w:rsid w:val="006D2865"/>
    <w:rsid w:val="006D2CEA"/>
    <w:rsid w:val="006D2D8B"/>
    <w:rsid w:val="006D2E9D"/>
    <w:rsid w:val="006D32F4"/>
    <w:rsid w:val="006D3C23"/>
    <w:rsid w:val="006D4401"/>
    <w:rsid w:val="006D4E18"/>
    <w:rsid w:val="006D4FE3"/>
    <w:rsid w:val="006D5432"/>
    <w:rsid w:val="006D5BD9"/>
    <w:rsid w:val="006D608E"/>
    <w:rsid w:val="006D60A3"/>
    <w:rsid w:val="006D67CC"/>
    <w:rsid w:val="006D6A4B"/>
    <w:rsid w:val="006D749A"/>
    <w:rsid w:val="006D7865"/>
    <w:rsid w:val="006D7CA8"/>
    <w:rsid w:val="006E0007"/>
    <w:rsid w:val="006E14AA"/>
    <w:rsid w:val="006E178A"/>
    <w:rsid w:val="006E1DA9"/>
    <w:rsid w:val="006E1DF1"/>
    <w:rsid w:val="006E201D"/>
    <w:rsid w:val="006E29F7"/>
    <w:rsid w:val="006E2AC2"/>
    <w:rsid w:val="006E2BA6"/>
    <w:rsid w:val="006E2BC3"/>
    <w:rsid w:val="006E2D9D"/>
    <w:rsid w:val="006E2DDC"/>
    <w:rsid w:val="006E2E12"/>
    <w:rsid w:val="006E34DC"/>
    <w:rsid w:val="006E37F4"/>
    <w:rsid w:val="006E3DA9"/>
    <w:rsid w:val="006E4065"/>
    <w:rsid w:val="006E4555"/>
    <w:rsid w:val="006E4773"/>
    <w:rsid w:val="006E4B58"/>
    <w:rsid w:val="006E4E9A"/>
    <w:rsid w:val="006E4EC3"/>
    <w:rsid w:val="006E55DD"/>
    <w:rsid w:val="006E5F58"/>
    <w:rsid w:val="006E6438"/>
    <w:rsid w:val="006E6AFE"/>
    <w:rsid w:val="006E6EF5"/>
    <w:rsid w:val="006E6F2A"/>
    <w:rsid w:val="006E6F88"/>
    <w:rsid w:val="006E759D"/>
    <w:rsid w:val="006E75AD"/>
    <w:rsid w:val="006E7D40"/>
    <w:rsid w:val="006F0419"/>
    <w:rsid w:val="006F05AA"/>
    <w:rsid w:val="006F0750"/>
    <w:rsid w:val="006F0A90"/>
    <w:rsid w:val="006F190F"/>
    <w:rsid w:val="006F1B45"/>
    <w:rsid w:val="006F1E1A"/>
    <w:rsid w:val="006F2525"/>
    <w:rsid w:val="006F2768"/>
    <w:rsid w:val="006F29C7"/>
    <w:rsid w:val="006F2F78"/>
    <w:rsid w:val="006F3DD6"/>
    <w:rsid w:val="006F4447"/>
    <w:rsid w:val="006F46F1"/>
    <w:rsid w:val="006F4B6A"/>
    <w:rsid w:val="006F4D25"/>
    <w:rsid w:val="006F5548"/>
    <w:rsid w:val="006F581B"/>
    <w:rsid w:val="006F58B0"/>
    <w:rsid w:val="006F5A3D"/>
    <w:rsid w:val="006F5F89"/>
    <w:rsid w:val="006F601F"/>
    <w:rsid w:val="006F626D"/>
    <w:rsid w:val="006F6446"/>
    <w:rsid w:val="006F6B3E"/>
    <w:rsid w:val="006F6EE6"/>
    <w:rsid w:val="006F6F16"/>
    <w:rsid w:val="006F7494"/>
    <w:rsid w:val="006F76CB"/>
    <w:rsid w:val="006F7DB6"/>
    <w:rsid w:val="006F7DC2"/>
    <w:rsid w:val="00700DD0"/>
    <w:rsid w:val="00701098"/>
    <w:rsid w:val="0070117D"/>
    <w:rsid w:val="007013E8"/>
    <w:rsid w:val="00701952"/>
    <w:rsid w:val="00701D95"/>
    <w:rsid w:val="00701FEB"/>
    <w:rsid w:val="007022B0"/>
    <w:rsid w:val="00702A63"/>
    <w:rsid w:val="00702CF9"/>
    <w:rsid w:val="00702D43"/>
    <w:rsid w:val="00703113"/>
    <w:rsid w:val="007044C6"/>
    <w:rsid w:val="00705146"/>
    <w:rsid w:val="007059AB"/>
    <w:rsid w:val="00705A25"/>
    <w:rsid w:val="00705BEA"/>
    <w:rsid w:val="00706165"/>
    <w:rsid w:val="00706C1F"/>
    <w:rsid w:val="0070701C"/>
    <w:rsid w:val="00707485"/>
    <w:rsid w:val="00707895"/>
    <w:rsid w:val="007078DA"/>
    <w:rsid w:val="00707C7F"/>
    <w:rsid w:val="007101B3"/>
    <w:rsid w:val="00710276"/>
    <w:rsid w:val="00710506"/>
    <w:rsid w:val="00710899"/>
    <w:rsid w:val="00710B07"/>
    <w:rsid w:val="00710CF6"/>
    <w:rsid w:val="007111CC"/>
    <w:rsid w:val="007112EB"/>
    <w:rsid w:val="00711B02"/>
    <w:rsid w:val="0071234A"/>
    <w:rsid w:val="0071252F"/>
    <w:rsid w:val="007126C0"/>
    <w:rsid w:val="0071308F"/>
    <w:rsid w:val="0071337F"/>
    <w:rsid w:val="00713404"/>
    <w:rsid w:val="007135C5"/>
    <w:rsid w:val="00713A73"/>
    <w:rsid w:val="00713E29"/>
    <w:rsid w:val="00713F55"/>
    <w:rsid w:val="007145F8"/>
    <w:rsid w:val="00714732"/>
    <w:rsid w:val="00714C4E"/>
    <w:rsid w:val="0071529D"/>
    <w:rsid w:val="007156CD"/>
    <w:rsid w:val="007159C2"/>
    <w:rsid w:val="00715C90"/>
    <w:rsid w:val="00715CA2"/>
    <w:rsid w:val="00715F55"/>
    <w:rsid w:val="00716000"/>
    <w:rsid w:val="0071628A"/>
    <w:rsid w:val="007162CC"/>
    <w:rsid w:val="00716422"/>
    <w:rsid w:val="00716676"/>
    <w:rsid w:val="007167B5"/>
    <w:rsid w:val="00716FA6"/>
    <w:rsid w:val="00717415"/>
    <w:rsid w:val="007176F0"/>
    <w:rsid w:val="0072059E"/>
    <w:rsid w:val="00720639"/>
    <w:rsid w:val="00720758"/>
    <w:rsid w:val="00720EB2"/>
    <w:rsid w:val="0072103C"/>
    <w:rsid w:val="00721048"/>
    <w:rsid w:val="00721D49"/>
    <w:rsid w:val="007227F2"/>
    <w:rsid w:val="00722960"/>
    <w:rsid w:val="007230A4"/>
    <w:rsid w:val="007232FF"/>
    <w:rsid w:val="007237EA"/>
    <w:rsid w:val="00723881"/>
    <w:rsid w:val="007238C7"/>
    <w:rsid w:val="007243DC"/>
    <w:rsid w:val="007249EF"/>
    <w:rsid w:val="00724FE4"/>
    <w:rsid w:val="00725181"/>
    <w:rsid w:val="007256C7"/>
    <w:rsid w:val="00725ACF"/>
    <w:rsid w:val="00725AE5"/>
    <w:rsid w:val="007267B6"/>
    <w:rsid w:val="00726D38"/>
    <w:rsid w:val="00726EC3"/>
    <w:rsid w:val="00726EE0"/>
    <w:rsid w:val="00726F0D"/>
    <w:rsid w:val="00727126"/>
    <w:rsid w:val="007273EF"/>
    <w:rsid w:val="007275D3"/>
    <w:rsid w:val="007277B1"/>
    <w:rsid w:val="00727AAF"/>
    <w:rsid w:val="00727B91"/>
    <w:rsid w:val="00730711"/>
    <w:rsid w:val="007308B2"/>
    <w:rsid w:val="00730DC9"/>
    <w:rsid w:val="00731284"/>
    <w:rsid w:val="0073141E"/>
    <w:rsid w:val="00731555"/>
    <w:rsid w:val="00731562"/>
    <w:rsid w:val="00731A0F"/>
    <w:rsid w:val="0073276E"/>
    <w:rsid w:val="007328D1"/>
    <w:rsid w:val="00732D46"/>
    <w:rsid w:val="00732E1A"/>
    <w:rsid w:val="007330B1"/>
    <w:rsid w:val="0073314B"/>
    <w:rsid w:val="00733177"/>
    <w:rsid w:val="00733281"/>
    <w:rsid w:val="007334AB"/>
    <w:rsid w:val="00733812"/>
    <w:rsid w:val="00733C9C"/>
    <w:rsid w:val="00733D7C"/>
    <w:rsid w:val="00733DB9"/>
    <w:rsid w:val="00733EC8"/>
    <w:rsid w:val="00733EDF"/>
    <w:rsid w:val="007341AB"/>
    <w:rsid w:val="00734685"/>
    <w:rsid w:val="00734C40"/>
    <w:rsid w:val="007355A6"/>
    <w:rsid w:val="0073582A"/>
    <w:rsid w:val="00735872"/>
    <w:rsid w:val="00735B0D"/>
    <w:rsid w:val="00736022"/>
    <w:rsid w:val="0073616E"/>
    <w:rsid w:val="007362C3"/>
    <w:rsid w:val="007365A5"/>
    <w:rsid w:val="00736664"/>
    <w:rsid w:val="00736793"/>
    <w:rsid w:val="007368A7"/>
    <w:rsid w:val="00736B4B"/>
    <w:rsid w:val="00736C14"/>
    <w:rsid w:val="007373ED"/>
    <w:rsid w:val="007373EE"/>
    <w:rsid w:val="00737649"/>
    <w:rsid w:val="00737DCD"/>
    <w:rsid w:val="007403B2"/>
    <w:rsid w:val="007407A5"/>
    <w:rsid w:val="007413E6"/>
    <w:rsid w:val="00741566"/>
    <w:rsid w:val="00741649"/>
    <w:rsid w:val="00741703"/>
    <w:rsid w:val="00741B18"/>
    <w:rsid w:val="00741B46"/>
    <w:rsid w:val="00742773"/>
    <w:rsid w:val="0074278C"/>
    <w:rsid w:val="007433AC"/>
    <w:rsid w:val="007433EA"/>
    <w:rsid w:val="00743F51"/>
    <w:rsid w:val="00744140"/>
    <w:rsid w:val="00744BCD"/>
    <w:rsid w:val="00744FC9"/>
    <w:rsid w:val="007451AC"/>
    <w:rsid w:val="00745607"/>
    <w:rsid w:val="0074566E"/>
    <w:rsid w:val="007459B0"/>
    <w:rsid w:val="00745BD1"/>
    <w:rsid w:val="00745CA0"/>
    <w:rsid w:val="00745D53"/>
    <w:rsid w:val="0074611E"/>
    <w:rsid w:val="00746998"/>
    <w:rsid w:val="00746D21"/>
    <w:rsid w:val="0074714C"/>
    <w:rsid w:val="00747697"/>
    <w:rsid w:val="00747B61"/>
    <w:rsid w:val="00750B6D"/>
    <w:rsid w:val="00750C06"/>
    <w:rsid w:val="00750DA1"/>
    <w:rsid w:val="0075139D"/>
    <w:rsid w:val="0075163A"/>
    <w:rsid w:val="00751A64"/>
    <w:rsid w:val="00751CC5"/>
    <w:rsid w:val="00751D3E"/>
    <w:rsid w:val="007526C9"/>
    <w:rsid w:val="00752906"/>
    <w:rsid w:val="00752DD8"/>
    <w:rsid w:val="0075307A"/>
    <w:rsid w:val="00753203"/>
    <w:rsid w:val="00753285"/>
    <w:rsid w:val="00753317"/>
    <w:rsid w:val="00753DEA"/>
    <w:rsid w:val="00753E57"/>
    <w:rsid w:val="00754631"/>
    <w:rsid w:val="00754E89"/>
    <w:rsid w:val="00754FB8"/>
    <w:rsid w:val="007553D7"/>
    <w:rsid w:val="00755427"/>
    <w:rsid w:val="00755580"/>
    <w:rsid w:val="007562B5"/>
    <w:rsid w:val="00756515"/>
    <w:rsid w:val="007567B7"/>
    <w:rsid w:val="00756894"/>
    <w:rsid w:val="00756F25"/>
    <w:rsid w:val="007575B8"/>
    <w:rsid w:val="00757965"/>
    <w:rsid w:val="00757CE0"/>
    <w:rsid w:val="00760751"/>
    <w:rsid w:val="00760883"/>
    <w:rsid w:val="00760CD8"/>
    <w:rsid w:val="00760FA9"/>
    <w:rsid w:val="0076144A"/>
    <w:rsid w:val="00761498"/>
    <w:rsid w:val="007618E2"/>
    <w:rsid w:val="007625BD"/>
    <w:rsid w:val="007627B7"/>
    <w:rsid w:val="00763128"/>
    <w:rsid w:val="007631BC"/>
    <w:rsid w:val="007633D4"/>
    <w:rsid w:val="007634C0"/>
    <w:rsid w:val="007634CD"/>
    <w:rsid w:val="007636F9"/>
    <w:rsid w:val="00763956"/>
    <w:rsid w:val="00763B97"/>
    <w:rsid w:val="00764162"/>
    <w:rsid w:val="007643CC"/>
    <w:rsid w:val="0076453A"/>
    <w:rsid w:val="0076460C"/>
    <w:rsid w:val="00764772"/>
    <w:rsid w:val="007649D3"/>
    <w:rsid w:val="007650C6"/>
    <w:rsid w:val="00765343"/>
    <w:rsid w:val="007654A2"/>
    <w:rsid w:val="007654DA"/>
    <w:rsid w:val="0076578A"/>
    <w:rsid w:val="00765822"/>
    <w:rsid w:val="00765C16"/>
    <w:rsid w:val="00766299"/>
    <w:rsid w:val="007663B3"/>
    <w:rsid w:val="00766982"/>
    <w:rsid w:val="00766C89"/>
    <w:rsid w:val="00767214"/>
    <w:rsid w:val="007672F4"/>
    <w:rsid w:val="007700E8"/>
    <w:rsid w:val="007702E4"/>
    <w:rsid w:val="00770441"/>
    <w:rsid w:val="00770468"/>
    <w:rsid w:val="00770A3F"/>
    <w:rsid w:val="00770A60"/>
    <w:rsid w:val="007713D9"/>
    <w:rsid w:val="00772548"/>
    <w:rsid w:val="007726C7"/>
    <w:rsid w:val="007740D1"/>
    <w:rsid w:val="00774250"/>
    <w:rsid w:val="00774A36"/>
    <w:rsid w:val="00775180"/>
    <w:rsid w:val="00775550"/>
    <w:rsid w:val="007756ED"/>
    <w:rsid w:val="00775DC3"/>
    <w:rsid w:val="00775ED7"/>
    <w:rsid w:val="00776CF4"/>
    <w:rsid w:val="00776FE3"/>
    <w:rsid w:val="007776DB"/>
    <w:rsid w:val="00777916"/>
    <w:rsid w:val="00777B99"/>
    <w:rsid w:val="00777C82"/>
    <w:rsid w:val="0078021F"/>
    <w:rsid w:val="00781526"/>
    <w:rsid w:val="0078205D"/>
    <w:rsid w:val="007825E9"/>
    <w:rsid w:val="00782610"/>
    <w:rsid w:val="00782A95"/>
    <w:rsid w:val="00782F7C"/>
    <w:rsid w:val="00783011"/>
    <w:rsid w:val="007831C1"/>
    <w:rsid w:val="00783670"/>
    <w:rsid w:val="00783A99"/>
    <w:rsid w:val="00784341"/>
    <w:rsid w:val="00784AC9"/>
    <w:rsid w:val="00784D8D"/>
    <w:rsid w:val="00784E4D"/>
    <w:rsid w:val="0078582D"/>
    <w:rsid w:val="007860EE"/>
    <w:rsid w:val="007869FF"/>
    <w:rsid w:val="00786FCF"/>
    <w:rsid w:val="0078704D"/>
    <w:rsid w:val="00787D95"/>
    <w:rsid w:val="00787EE9"/>
    <w:rsid w:val="00787EED"/>
    <w:rsid w:val="007901B2"/>
    <w:rsid w:val="007902CA"/>
    <w:rsid w:val="00790569"/>
    <w:rsid w:val="00790AC7"/>
    <w:rsid w:val="00790EA2"/>
    <w:rsid w:val="0079118B"/>
    <w:rsid w:val="0079133E"/>
    <w:rsid w:val="007915AC"/>
    <w:rsid w:val="007917C5"/>
    <w:rsid w:val="00791C99"/>
    <w:rsid w:val="00791E54"/>
    <w:rsid w:val="00792075"/>
    <w:rsid w:val="0079245C"/>
    <w:rsid w:val="00792893"/>
    <w:rsid w:val="00792A25"/>
    <w:rsid w:val="0079301A"/>
    <w:rsid w:val="00793687"/>
    <w:rsid w:val="00793694"/>
    <w:rsid w:val="007936A8"/>
    <w:rsid w:val="00793A6D"/>
    <w:rsid w:val="00793BD4"/>
    <w:rsid w:val="00793D2F"/>
    <w:rsid w:val="00793FA3"/>
    <w:rsid w:val="00794484"/>
    <w:rsid w:val="007945DD"/>
    <w:rsid w:val="007946AF"/>
    <w:rsid w:val="00794F6E"/>
    <w:rsid w:val="007954B2"/>
    <w:rsid w:val="00795D4B"/>
    <w:rsid w:val="00796271"/>
    <w:rsid w:val="00796514"/>
    <w:rsid w:val="00796744"/>
    <w:rsid w:val="00796F41"/>
    <w:rsid w:val="00797493"/>
    <w:rsid w:val="00797AB7"/>
    <w:rsid w:val="007A01BF"/>
    <w:rsid w:val="007A03E9"/>
    <w:rsid w:val="007A0D05"/>
    <w:rsid w:val="007A0D8A"/>
    <w:rsid w:val="007A1207"/>
    <w:rsid w:val="007A2309"/>
    <w:rsid w:val="007A2861"/>
    <w:rsid w:val="007A2A7B"/>
    <w:rsid w:val="007A2B0B"/>
    <w:rsid w:val="007A2D20"/>
    <w:rsid w:val="007A2D4F"/>
    <w:rsid w:val="007A3184"/>
    <w:rsid w:val="007A3A16"/>
    <w:rsid w:val="007A3E8B"/>
    <w:rsid w:val="007A3F1B"/>
    <w:rsid w:val="007A4321"/>
    <w:rsid w:val="007A45A3"/>
    <w:rsid w:val="007A4810"/>
    <w:rsid w:val="007A4C12"/>
    <w:rsid w:val="007A4E68"/>
    <w:rsid w:val="007A5044"/>
    <w:rsid w:val="007A5AB5"/>
    <w:rsid w:val="007A5AF9"/>
    <w:rsid w:val="007A5E5B"/>
    <w:rsid w:val="007A5EDD"/>
    <w:rsid w:val="007A602C"/>
    <w:rsid w:val="007A6076"/>
    <w:rsid w:val="007A6242"/>
    <w:rsid w:val="007A62FB"/>
    <w:rsid w:val="007A631E"/>
    <w:rsid w:val="007A69F8"/>
    <w:rsid w:val="007A6C37"/>
    <w:rsid w:val="007A6E24"/>
    <w:rsid w:val="007A75F7"/>
    <w:rsid w:val="007A7FFB"/>
    <w:rsid w:val="007B0611"/>
    <w:rsid w:val="007B06BC"/>
    <w:rsid w:val="007B07C6"/>
    <w:rsid w:val="007B0A1A"/>
    <w:rsid w:val="007B0BD2"/>
    <w:rsid w:val="007B1735"/>
    <w:rsid w:val="007B1C55"/>
    <w:rsid w:val="007B2AD3"/>
    <w:rsid w:val="007B2B6D"/>
    <w:rsid w:val="007B2C2A"/>
    <w:rsid w:val="007B2CD4"/>
    <w:rsid w:val="007B33B7"/>
    <w:rsid w:val="007B36FD"/>
    <w:rsid w:val="007B398D"/>
    <w:rsid w:val="007B3A23"/>
    <w:rsid w:val="007B3DD3"/>
    <w:rsid w:val="007B43CC"/>
    <w:rsid w:val="007B4655"/>
    <w:rsid w:val="007B4A30"/>
    <w:rsid w:val="007B4B60"/>
    <w:rsid w:val="007B4ED5"/>
    <w:rsid w:val="007B5BBD"/>
    <w:rsid w:val="007B5FFB"/>
    <w:rsid w:val="007B682B"/>
    <w:rsid w:val="007B6BF5"/>
    <w:rsid w:val="007B6CD8"/>
    <w:rsid w:val="007B6DAF"/>
    <w:rsid w:val="007B730F"/>
    <w:rsid w:val="007B777F"/>
    <w:rsid w:val="007B77F0"/>
    <w:rsid w:val="007C0872"/>
    <w:rsid w:val="007C10A6"/>
    <w:rsid w:val="007C1124"/>
    <w:rsid w:val="007C11CB"/>
    <w:rsid w:val="007C148E"/>
    <w:rsid w:val="007C16E7"/>
    <w:rsid w:val="007C1D27"/>
    <w:rsid w:val="007C22C2"/>
    <w:rsid w:val="007C27F4"/>
    <w:rsid w:val="007C295E"/>
    <w:rsid w:val="007C319B"/>
    <w:rsid w:val="007C40EE"/>
    <w:rsid w:val="007C4150"/>
    <w:rsid w:val="007C4320"/>
    <w:rsid w:val="007C4457"/>
    <w:rsid w:val="007C48EA"/>
    <w:rsid w:val="007C4C94"/>
    <w:rsid w:val="007C4ED4"/>
    <w:rsid w:val="007C52BF"/>
    <w:rsid w:val="007C5375"/>
    <w:rsid w:val="007C5961"/>
    <w:rsid w:val="007C59CB"/>
    <w:rsid w:val="007C5E45"/>
    <w:rsid w:val="007C602D"/>
    <w:rsid w:val="007C6181"/>
    <w:rsid w:val="007C6E4D"/>
    <w:rsid w:val="007C7630"/>
    <w:rsid w:val="007C7B5B"/>
    <w:rsid w:val="007C7C66"/>
    <w:rsid w:val="007C7E75"/>
    <w:rsid w:val="007D02E7"/>
    <w:rsid w:val="007D03C2"/>
    <w:rsid w:val="007D04B4"/>
    <w:rsid w:val="007D093A"/>
    <w:rsid w:val="007D0AAB"/>
    <w:rsid w:val="007D0B01"/>
    <w:rsid w:val="007D101B"/>
    <w:rsid w:val="007D10E0"/>
    <w:rsid w:val="007D1231"/>
    <w:rsid w:val="007D1633"/>
    <w:rsid w:val="007D1A69"/>
    <w:rsid w:val="007D2352"/>
    <w:rsid w:val="007D2680"/>
    <w:rsid w:val="007D29FD"/>
    <w:rsid w:val="007D2BB8"/>
    <w:rsid w:val="007D2BED"/>
    <w:rsid w:val="007D2CB1"/>
    <w:rsid w:val="007D2D9C"/>
    <w:rsid w:val="007D2FBF"/>
    <w:rsid w:val="007D3167"/>
    <w:rsid w:val="007D3363"/>
    <w:rsid w:val="007D35EE"/>
    <w:rsid w:val="007D3BDB"/>
    <w:rsid w:val="007D40E0"/>
    <w:rsid w:val="007D47A3"/>
    <w:rsid w:val="007D50FA"/>
    <w:rsid w:val="007D5A05"/>
    <w:rsid w:val="007D5B87"/>
    <w:rsid w:val="007D5BB8"/>
    <w:rsid w:val="007D5F8C"/>
    <w:rsid w:val="007D6671"/>
    <w:rsid w:val="007D6795"/>
    <w:rsid w:val="007D6C09"/>
    <w:rsid w:val="007D70D0"/>
    <w:rsid w:val="007D79B3"/>
    <w:rsid w:val="007D7CCE"/>
    <w:rsid w:val="007D7E38"/>
    <w:rsid w:val="007E039F"/>
    <w:rsid w:val="007E07AE"/>
    <w:rsid w:val="007E0931"/>
    <w:rsid w:val="007E098F"/>
    <w:rsid w:val="007E0A27"/>
    <w:rsid w:val="007E1912"/>
    <w:rsid w:val="007E1A33"/>
    <w:rsid w:val="007E1AAC"/>
    <w:rsid w:val="007E1E21"/>
    <w:rsid w:val="007E1F3B"/>
    <w:rsid w:val="007E2283"/>
    <w:rsid w:val="007E2586"/>
    <w:rsid w:val="007E2785"/>
    <w:rsid w:val="007E2D98"/>
    <w:rsid w:val="007E2E6E"/>
    <w:rsid w:val="007E30D5"/>
    <w:rsid w:val="007E34D2"/>
    <w:rsid w:val="007E354A"/>
    <w:rsid w:val="007E3BE5"/>
    <w:rsid w:val="007E3D23"/>
    <w:rsid w:val="007E445B"/>
    <w:rsid w:val="007E4710"/>
    <w:rsid w:val="007E4775"/>
    <w:rsid w:val="007E5441"/>
    <w:rsid w:val="007E5D35"/>
    <w:rsid w:val="007E61A7"/>
    <w:rsid w:val="007E6274"/>
    <w:rsid w:val="007E629F"/>
    <w:rsid w:val="007E6506"/>
    <w:rsid w:val="007E6E8F"/>
    <w:rsid w:val="007E73DE"/>
    <w:rsid w:val="007E75F4"/>
    <w:rsid w:val="007E79D7"/>
    <w:rsid w:val="007F0E09"/>
    <w:rsid w:val="007F0FDA"/>
    <w:rsid w:val="007F1012"/>
    <w:rsid w:val="007F139F"/>
    <w:rsid w:val="007F1BAD"/>
    <w:rsid w:val="007F1C01"/>
    <w:rsid w:val="007F1D21"/>
    <w:rsid w:val="007F1D74"/>
    <w:rsid w:val="007F1FA7"/>
    <w:rsid w:val="007F2079"/>
    <w:rsid w:val="007F22DF"/>
    <w:rsid w:val="007F3431"/>
    <w:rsid w:val="007F368C"/>
    <w:rsid w:val="007F391B"/>
    <w:rsid w:val="007F3C98"/>
    <w:rsid w:val="007F3F55"/>
    <w:rsid w:val="007F4973"/>
    <w:rsid w:val="007F4A99"/>
    <w:rsid w:val="007F4BE5"/>
    <w:rsid w:val="007F4CB5"/>
    <w:rsid w:val="007F4E31"/>
    <w:rsid w:val="007F4EC6"/>
    <w:rsid w:val="007F5982"/>
    <w:rsid w:val="007F5B75"/>
    <w:rsid w:val="007F5EB4"/>
    <w:rsid w:val="007F6B7E"/>
    <w:rsid w:val="007F6C2C"/>
    <w:rsid w:val="007F6D39"/>
    <w:rsid w:val="007F7897"/>
    <w:rsid w:val="007F79CD"/>
    <w:rsid w:val="007F79F1"/>
    <w:rsid w:val="007F7AC7"/>
    <w:rsid w:val="0080004F"/>
    <w:rsid w:val="008002F6"/>
    <w:rsid w:val="008005C0"/>
    <w:rsid w:val="00801062"/>
    <w:rsid w:val="00801454"/>
    <w:rsid w:val="008016DF"/>
    <w:rsid w:val="0080178D"/>
    <w:rsid w:val="00801B23"/>
    <w:rsid w:val="00801F3C"/>
    <w:rsid w:val="008020E7"/>
    <w:rsid w:val="008021FA"/>
    <w:rsid w:val="00802898"/>
    <w:rsid w:val="00802B83"/>
    <w:rsid w:val="008030A9"/>
    <w:rsid w:val="00803C45"/>
    <w:rsid w:val="00803E96"/>
    <w:rsid w:val="0080409E"/>
    <w:rsid w:val="0080443D"/>
    <w:rsid w:val="008048C9"/>
    <w:rsid w:val="008049CF"/>
    <w:rsid w:val="00804F16"/>
    <w:rsid w:val="0080523E"/>
    <w:rsid w:val="00805B06"/>
    <w:rsid w:val="008061CC"/>
    <w:rsid w:val="008061EC"/>
    <w:rsid w:val="00806579"/>
    <w:rsid w:val="00806810"/>
    <w:rsid w:val="00806876"/>
    <w:rsid w:val="00806974"/>
    <w:rsid w:val="00806CA9"/>
    <w:rsid w:val="00807A3F"/>
    <w:rsid w:val="00810122"/>
    <w:rsid w:val="00810AA6"/>
    <w:rsid w:val="00811174"/>
    <w:rsid w:val="00811762"/>
    <w:rsid w:val="008119C5"/>
    <w:rsid w:val="00811B49"/>
    <w:rsid w:val="00811CBC"/>
    <w:rsid w:val="00811E23"/>
    <w:rsid w:val="00812023"/>
    <w:rsid w:val="00812121"/>
    <w:rsid w:val="0081273D"/>
    <w:rsid w:val="008127B8"/>
    <w:rsid w:val="00812F04"/>
    <w:rsid w:val="008134AE"/>
    <w:rsid w:val="00813661"/>
    <w:rsid w:val="008139B1"/>
    <w:rsid w:val="00813DD6"/>
    <w:rsid w:val="00813F9F"/>
    <w:rsid w:val="00814084"/>
    <w:rsid w:val="00814786"/>
    <w:rsid w:val="00814A5F"/>
    <w:rsid w:val="00814DCC"/>
    <w:rsid w:val="008150A5"/>
    <w:rsid w:val="0081511D"/>
    <w:rsid w:val="00815D0F"/>
    <w:rsid w:val="00815D17"/>
    <w:rsid w:val="00815E48"/>
    <w:rsid w:val="00815F20"/>
    <w:rsid w:val="008160C8"/>
    <w:rsid w:val="0081624D"/>
    <w:rsid w:val="008163F2"/>
    <w:rsid w:val="00816802"/>
    <w:rsid w:val="00816811"/>
    <w:rsid w:val="008178D9"/>
    <w:rsid w:val="00820300"/>
    <w:rsid w:val="008204D8"/>
    <w:rsid w:val="00820B56"/>
    <w:rsid w:val="00821434"/>
    <w:rsid w:val="0082158B"/>
    <w:rsid w:val="00821C20"/>
    <w:rsid w:val="00821C5E"/>
    <w:rsid w:val="00821D50"/>
    <w:rsid w:val="00821F4F"/>
    <w:rsid w:val="00822041"/>
    <w:rsid w:val="00822759"/>
    <w:rsid w:val="008227A5"/>
    <w:rsid w:val="00822DC8"/>
    <w:rsid w:val="00822E56"/>
    <w:rsid w:val="0082308F"/>
    <w:rsid w:val="00823F0E"/>
    <w:rsid w:val="008240ED"/>
    <w:rsid w:val="0082448E"/>
    <w:rsid w:val="0082469B"/>
    <w:rsid w:val="00824DF6"/>
    <w:rsid w:val="0082558A"/>
    <w:rsid w:val="00825B12"/>
    <w:rsid w:val="00825C99"/>
    <w:rsid w:val="0082624D"/>
    <w:rsid w:val="00826C47"/>
    <w:rsid w:val="00826D21"/>
    <w:rsid w:val="00826F29"/>
    <w:rsid w:val="00827407"/>
    <w:rsid w:val="00827B8E"/>
    <w:rsid w:val="00830F30"/>
    <w:rsid w:val="008318E5"/>
    <w:rsid w:val="0083203D"/>
    <w:rsid w:val="008327BE"/>
    <w:rsid w:val="008328B2"/>
    <w:rsid w:val="00832C1A"/>
    <w:rsid w:val="00833396"/>
    <w:rsid w:val="0083354D"/>
    <w:rsid w:val="00833A0A"/>
    <w:rsid w:val="00833D33"/>
    <w:rsid w:val="008343E8"/>
    <w:rsid w:val="00834C0D"/>
    <w:rsid w:val="00835514"/>
    <w:rsid w:val="008363A4"/>
    <w:rsid w:val="00836403"/>
    <w:rsid w:val="00836563"/>
    <w:rsid w:val="0083661E"/>
    <w:rsid w:val="00836759"/>
    <w:rsid w:val="00836C46"/>
    <w:rsid w:val="0083732C"/>
    <w:rsid w:val="008376AB"/>
    <w:rsid w:val="00837D1B"/>
    <w:rsid w:val="00837F1E"/>
    <w:rsid w:val="00840EBB"/>
    <w:rsid w:val="00841052"/>
    <w:rsid w:val="008416D6"/>
    <w:rsid w:val="00841840"/>
    <w:rsid w:val="0084210F"/>
    <w:rsid w:val="00842160"/>
    <w:rsid w:val="00842244"/>
    <w:rsid w:val="0084280A"/>
    <w:rsid w:val="0084299B"/>
    <w:rsid w:val="00842C8F"/>
    <w:rsid w:val="00842D49"/>
    <w:rsid w:val="008431AE"/>
    <w:rsid w:val="008434F4"/>
    <w:rsid w:val="008435DB"/>
    <w:rsid w:val="008436F7"/>
    <w:rsid w:val="00843AB0"/>
    <w:rsid w:val="00843B66"/>
    <w:rsid w:val="00843C5C"/>
    <w:rsid w:val="008444B0"/>
    <w:rsid w:val="00844619"/>
    <w:rsid w:val="0084461E"/>
    <w:rsid w:val="00844B03"/>
    <w:rsid w:val="0084504B"/>
    <w:rsid w:val="008456D9"/>
    <w:rsid w:val="0084571A"/>
    <w:rsid w:val="00845A3F"/>
    <w:rsid w:val="00845D3F"/>
    <w:rsid w:val="00845DCA"/>
    <w:rsid w:val="00845FAF"/>
    <w:rsid w:val="00846200"/>
    <w:rsid w:val="008463FF"/>
    <w:rsid w:val="0084641B"/>
    <w:rsid w:val="0084665B"/>
    <w:rsid w:val="00846966"/>
    <w:rsid w:val="008469B1"/>
    <w:rsid w:val="0085003A"/>
    <w:rsid w:val="008502AF"/>
    <w:rsid w:val="00850638"/>
    <w:rsid w:val="00851CCD"/>
    <w:rsid w:val="00851F17"/>
    <w:rsid w:val="008524E8"/>
    <w:rsid w:val="008525BF"/>
    <w:rsid w:val="0085291E"/>
    <w:rsid w:val="00852C4B"/>
    <w:rsid w:val="008530E1"/>
    <w:rsid w:val="0085391C"/>
    <w:rsid w:val="00853E22"/>
    <w:rsid w:val="00853E5F"/>
    <w:rsid w:val="00854714"/>
    <w:rsid w:val="00854918"/>
    <w:rsid w:val="0085491E"/>
    <w:rsid w:val="00854AB9"/>
    <w:rsid w:val="00854E5D"/>
    <w:rsid w:val="008551BE"/>
    <w:rsid w:val="008552D6"/>
    <w:rsid w:val="00855483"/>
    <w:rsid w:val="008555B3"/>
    <w:rsid w:val="00855694"/>
    <w:rsid w:val="00855BD1"/>
    <w:rsid w:val="0085631C"/>
    <w:rsid w:val="0085654E"/>
    <w:rsid w:val="0085655A"/>
    <w:rsid w:val="0085656F"/>
    <w:rsid w:val="00856744"/>
    <w:rsid w:val="008568BE"/>
    <w:rsid w:val="008573A3"/>
    <w:rsid w:val="008574A0"/>
    <w:rsid w:val="00857851"/>
    <w:rsid w:val="00857AB0"/>
    <w:rsid w:val="008602F0"/>
    <w:rsid w:val="00860765"/>
    <w:rsid w:val="00860D87"/>
    <w:rsid w:val="00860EFA"/>
    <w:rsid w:val="008610FE"/>
    <w:rsid w:val="00861201"/>
    <w:rsid w:val="008617F3"/>
    <w:rsid w:val="00861A3B"/>
    <w:rsid w:val="00861DB0"/>
    <w:rsid w:val="00862034"/>
    <w:rsid w:val="00862118"/>
    <w:rsid w:val="0086296C"/>
    <w:rsid w:val="00862A31"/>
    <w:rsid w:val="00863261"/>
    <w:rsid w:val="00864639"/>
    <w:rsid w:val="008649A8"/>
    <w:rsid w:val="00864A05"/>
    <w:rsid w:val="00864AA2"/>
    <w:rsid w:val="00865743"/>
    <w:rsid w:val="00865755"/>
    <w:rsid w:val="008660ED"/>
    <w:rsid w:val="008663EB"/>
    <w:rsid w:val="008663F2"/>
    <w:rsid w:val="0086656A"/>
    <w:rsid w:val="008665CF"/>
    <w:rsid w:val="00866738"/>
    <w:rsid w:val="0086698F"/>
    <w:rsid w:val="00866C02"/>
    <w:rsid w:val="00867307"/>
    <w:rsid w:val="008673F0"/>
    <w:rsid w:val="00867620"/>
    <w:rsid w:val="00867BB5"/>
    <w:rsid w:val="00867F5D"/>
    <w:rsid w:val="008703FF"/>
    <w:rsid w:val="00870474"/>
    <w:rsid w:val="00870763"/>
    <w:rsid w:val="0087078A"/>
    <w:rsid w:val="00870881"/>
    <w:rsid w:val="00870B15"/>
    <w:rsid w:val="0087125A"/>
    <w:rsid w:val="00871650"/>
    <w:rsid w:val="008717BA"/>
    <w:rsid w:val="00871A15"/>
    <w:rsid w:val="00872355"/>
    <w:rsid w:val="0087236F"/>
    <w:rsid w:val="00872CB5"/>
    <w:rsid w:val="00872D1C"/>
    <w:rsid w:val="008731C5"/>
    <w:rsid w:val="00873628"/>
    <w:rsid w:val="008738A0"/>
    <w:rsid w:val="00873D67"/>
    <w:rsid w:val="00873EED"/>
    <w:rsid w:val="00874044"/>
    <w:rsid w:val="008740CE"/>
    <w:rsid w:val="00874AEA"/>
    <w:rsid w:val="00874C62"/>
    <w:rsid w:val="00874C6D"/>
    <w:rsid w:val="008751B7"/>
    <w:rsid w:val="008752D5"/>
    <w:rsid w:val="0087532D"/>
    <w:rsid w:val="00875B0E"/>
    <w:rsid w:val="00875CFB"/>
    <w:rsid w:val="00875EAF"/>
    <w:rsid w:val="00875ED5"/>
    <w:rsid w:val="00876055"/>
    <w:rsid w:val="00876217"/>
    <w:rsid w:val="008762B7"/>
    <w:rsid w:val="00876CA0"/>
    <w:rsid w:val="00876E0A"/>
    <w:rsid w:val="008770CF"/>
    <w:rsid w:val="00877372"/>
    <w:rsid w:val="008777DB"/>
    <w:rsid w:val="00877870"/>
    <w:rsid w:val="00877BE6"/>
    <w:rsid w:val="00877FD1"/>
    <w:rsid w:val="008807AE"/>
    <w:rsid w:val="0088094C"/>
    <w:rsid w:val="00880B59"/>
    <w:rsid w:val="00880B5D"/>
    <w:rsid w:val="00880BAA"/>
    <w:rsid w:val="00880C14"/>
    <w:rsid w:val="00880C5E"/>
    <w:rsid w:val="00880CFC"/>
    <w:rsid w:val="0088142A"/>
    <w:rsid w:val="00881788"/>
    <w:rsid w:val="00881A83"/>
    <w:rsid w:val="008820F4"/>
    <w:rsid w:val="008823A3"/>
    <w:rsid w:val="0088256B"/>
    <w:rsid w:val="00882603"/>
    <w:rsid w:val="008827A7"/>
    <w:rsid w:val="008828C6"/>
    <w:rsid w:val="008828FB"/>
    <w:rsid w:val="0088305F"/>
    <w:rsid w:val="00883080"/>
    <w:rsid w:val="00883786"/>
    <w:rsid w:val="00883915"/>
    <w:rsid w:val="00883C70"/>
    <w:rsid w:val="00883E2B"/>
    <w:rsid w:val="00883FD1"/>
    <w:rsid w:val="008847E4"/>
    <w:rsid w:val="00884B82"/>
    <w:rsid w:val="00884F48"/>
    <w:rsid w:val="008855CC"/>
    <w:rsid w:val="008856BE"/>
    <w:rsid w:val="00885CF3"/>
    <w:rsid w:val="00885D48"/>
    <w:rsid w:val="00885FFC"/>
    <w:rsid w:val="008864FB"/>
    <w:rsid w:val="008866A2"/>
    <w:rsid w:val="008867EF"/>
    <w:rsid w:val="0088732A"/>
    <w:rsid w:val="00887401"/>
    <w:rsid w:val="008876C8"/>
    <w:rsid w:val="008904B8"/>
    <w:rsid w:val="0089060C"/>
    <w:rsid w:val="00890638"/>
    <w:rsid w:val="00890825"/>
    <w:rsid w:val="00890898"/>
    <w:rsid w:val="00890A42"/>
    <w:rsid w:val="00890E7D"/>
    <w:rsid w:val="008910DD"/>
    <w:rsid w:val="00891337"/>
    <w:rsid w:val="008918BC"/>
    <w:rsid w:val="00891DCD"/>
    <w:rsid w:val="008924AD"/>
    <w:rsid w:val="00892532"/>
    <w:rsid w:val="008927DE"/>
    <w:rsid w:val="00892EBC"/>
    <w:rsid w:val="0089305C"/>
    <w:rsid w:val="0089369A"/>
    <w:rsid w:val="008943CE"/>
    <w:rsid w:val="0089471B"/>
    <w:rsid w:val="008947F5"/>
    <w:rsid w:val="008948AD"/>
    <w:rsid w:val="00894BA6"/>
    <w:rsid w:val="00894C91"/>
    <w:rsid w:val="00894D8D"/>
    <w:rsid w:val="00894EC8"/>
    <w:rsid w:val="008955B7"/>
    <w:rsid w:val="008955DE"/>
    <w:rsid w:val="008956F8"/>
    <w:rsid w:val="00896078"/>
    <w:rsid w:val="008962F3"/>
    <w:rsid w:val="008966F1"/>
    <w:rsid w:val="00896A21"/>
    <w:rsid w:val="008972E3"/>
    <w:rsid w:val="0089751D"/>
    <w:rsid w:val="008A00D7"/>
    <w:rsid w:val="008A0293"/>
    <w:rsid w:val="008A0975"/>
    <w:rsid w:val="008A0CE3"/>
    <w:rsid w:val="008A1064"/>
    <w:rsid w:val="008A108D"/>
    <w:rsid w:val="008A1771"/>
    <w:rsid w:val="008A19F3"/>
    <w:rsid w:val="008A1ACA"/>
    <w:rsid w:val="008A1F7C"/>
    <w:rsid w:val="008A2274"/>
    <w:rsid w:val="008A228F"/>
    <w:rsid w:val="008A2301"/>
    <w:rsid w:val="008A297F"/>
    <w:rsid w:val="008A299E"/>
    <w:rsid w:val="008A2D98"/>
    <w:rsid w:val="008A308B"/>
    <w:rsid w:val="008A337C"/>
    <w:rsid w:val="008A3887"/>
    <w:rsid w:val="008A3B8C"/>
    <w:rsid w:val="008A44E1"/>
    <w:rsid w:val="008A45B8"/>
    <w:rsid w:val="008A5F85"/>
    <w:rsid w:val="008A6515"/>
    <w:rsid w:val="008A6540"/>
    <w:rsid w:val="008A658E"/>
    <w:rsid w:val="008A68D1"/>
    <w:rsid w:val="008A6C7F"/>
    <w:rsid w:val="008A6E52"/>
    <w:rsid w:val="008A6FA8"/>
    <w:rsid w:val="008A7115"/>
    <w:rsid w:val="008A735F"/>
    <w:rsid w:val="008A7927"/>
    <w:rsid w:val="008A7A0C"/>
    <w:rsid w:val="008A7B7E"/>
    <w:rsid w:val="008A7E9D"/>
    <w:rsid w:val="008B0A8F"/>
    <w:rsid w:val="008B0CE2"/>
    <w:rsid w:val="008B1464"/>
    <w:rsid w:val="008B15D8"/>
    <w:rsid w:val="008B17A0"/>
    <w:rsid w:val="008B192E"/>
    <w:rsid w:val="008B1D8F"/>
    <w:rsid w:val="008B22E8"/>
    <w:rsid w:val="008B2AAF"/>
    <w:rsid w:val="008B335B"/>
    <w:rsid w:val="008B33A7"/>
    <w:rsid w:val="008B3468"/>
    <w:rsid w:val="008B3569"/>
    <w:rsid w:val="008B3B5E"/>
    <w:rsid w:val="008B3D30"/>
    <w:rsid w:val="008B3E08"/>
    <w:rsid w:val="008B3F6E"/>
    <w:rsid w:val="008B4CFE"/>
    <w:rsid w:val="008B5202"/>
    <w:rsid w:val="008B55E5"/>
    <w:rsid w:val="008B5868"/>
    <w:rsid w:val="008B58B8"/>
    <w:rsid w:val="008B58F8"/>
    <w:rsid w:val="008B5E4E"/>
    <w:rsid w:val="008B5F68"/>
    <w:rsid w:val="008B625F"/>
    <w:rsid w:val="008B68E4"/>
    <w:rsid w:val="008B6CDC"/>
    <w:rsid w:val="008B7225"/>
    <w:rsid w:val="008B7528"/>
    <w:rsid w:val="008B7B4B"/>
    <w:rsid w:val="008B7BA5"/>
    <w:rsid w:val="008C0406"/>
    <w:rsid w:val="008C05C3"/>
    <w:rsid w:val="008C0877"/>
    <w:rsid w:val="008C0B86"/>
    <w:rsid w:val="008C0F27"/>
    <w:rsid w:val="008C1196"/>
    <w:rsid w:val="008C14BF"/>
    <w:rsid w:val="008C1577"/>
    <w:rsid w:val="008C1A88"/>
    <w:rsid w:val="008C1AE2"/>
    <w:rsid w:val="008C1B1B"/>
    <w:rsid w:val="008C1B5D"/>
    <w:rsid w:val="008C1F7C"/>
    <w:rsid w:val="008C20AE"/>
    <w:rsid w:val="008C27CE"/>
    <w:rsid w:val="008C2832"/>
    <w:rsid w:val="008C2F55"/>
    <w:rsid w:val="008C30CF"/>
    <w:rsid w:val="008C30DD"/>
    <w:rsid w:val="008C3364"/>
    <w:rsid w:val="008C3373"/>
    <w:rsid w:val="008C3392"/>
    <w:rsid w:val="008C369D"/>
    <w:rsid w:val="008C4763"/>
    <w:rsid w:val="008C48CF"/>
    <w:rsid w:val="008C4A18"/>
    <w:rsid w:val="008C4B91"/>
    <w:rsid w:val="008C501E"/>
    <w:rsid w:val="008C577D"/>
    <w:rsid w:val="008C5BE0"/>
    <w:rsid w:val="008C5CB5"/>
    <w:rsid w:val="008C5E4E"/>
    <w:rsid w:val="008C626F"/>
    <w:rsid w:val="008C6321"/>
    <w:rsid w:val="008C677D"/>
    <w:rsid w:val="008C684A"/>
    <w:rsid w:val="008C698C"/>
    <w:rsid w:val="008C6E0A"/>
    <w:rsid w:val="008C7820"/>
    <w:rsid w:val="008C7A58"/>
    <w:rsid w:val="008D00D2"/>
    <w:rsid w:val="008D030B"/>
    <w:rsid w:val="008D1AB3"/>
    <w:rsid w:val="008D21DE"/>
    <w:rsid w:val="008D22CA"/>
    <w:rsid w:val="008D2843"/>
    <w:rsid w:val="008D2E90"/>
    <w:rsid w:val="008D351A"/>
    <w:rsid w:val="008D395A"/>
    <w:rsid w:val="008D3A27"/>
    <w:rsid w:val="008D3BD7"/>
    <w:rsid w:val="008D3CA5"/>
    <w:rsid w:val="008D416C"/>
    <w:rsid w:val="008D42B1"/>
    <w:rsid w:val="008D4D59"/>
    <w:rsid w:val="008D5B8B"/>
    <w:rsid w:val="008D5E84"/>
    <w:rsid w:val="008D5FB8"/>
    <w:rsid w:val="008D5FF3"/>
    <w:rsid w:val="008D6312"/>
    <w:rsid w:val="008D6B31"/>
    <w:rsid w:val="008D7030"/>
    <w:rsid w:val="008D746D"/>
    <w:rsid w:val="008D74A2"/>
    <w:rsid w:val="008D799E"/>
    <w:rsid w:val="008D7A16"/>
    <w:rsid w:val="008D7A1D"/>
    <w:rsid w:val="008D7A28"/>
    <w:rsid w:val="008D7A8C"/>
    <w:rsid w:val="008D7B00"/>
    <w:rsid w:val="008E0517"/>
    <w:rsid w:val="008E0766"/>
    <w:rsid w:val="008E0F18"/>
    <w:rsid w:val="008E1A1B"/>
    <w:rsid w:val="008E1AE2"/>
    <w:rsid w:val="008E1CD0"/>
    <w:rsid w:val="008E2386"/>
    <w:rsid w:val="008E25A7"/>
    <w:rsid w:val="008E2689"/>
    <w:rsid w:val="008E304D"/>
    <w:rsid w:val="008E33A1"/>
    <w:rsid w:val="008E3703"/>
    <w:rsid w:val="008E370A"/>
    <w:rsid w:val="008E3BA0"/>
    <w:rsid w:val="008E3E46"/>
    <w:rsid w:val="008E4092"/>
    <w:rsid w:val="008E4B12"/>
    <w:rsid w:val="008E4F8F"/>
    <w:rsid w:val="008E50A0"/>
    <w:rsid w:val="008E5147"/>
    <w:rsid w:val="008E5740"/>
    <w:rsid w:val="008E5BF6"/>
    <w:rsid w:val="008E5F98"/>
    <w:rsid w:val="008E677C"/>
    <w:rsid w:val="008E68B1"/>
    <w:rsid w:val="008E6A8F"/>
    <w:rsid w:val="008E7049"/>
    <w:rsid w:val="008E70C3"/>
    <w:rsid w:val="008E7419"/>
    <w:rsid w:val="008E7C06"/>
    <w:rsid w:val="008E7C09"/>
    <w:rsid w:val="008F01DF"/>
    <w:rsid w:val="008F022F"/>
    <w:rsid w:val="008F02F9"/>
    <w:rsid w:val="008F039D"/>
    <w:rsid w:val="008F04B0"/>
    <w:rsid w:val="008F0934"/>
    <w:rsid w:val="008F0A73"/>
    <w:rsid w:val="008F11C8"/>
    <w:rsid w:val="008F1232"/>
    <w:rsid w:val="008F1521"/>
    <w:rsid w:val="008F2195"/>
    <w:rsid w:val="008F284F"/>
    <w:rsid w:val="008F29A1"/>
    <w:rsid w:val="008F2AB2"/>
    <w:rsid w:val="008F30BE"/>
    <w:rsid w:val="008F321C"/>
    <w:rsid w:val="008F3730"/>
    <w:rsid w:val="008F3DF3"/>
    <w:rsid w:val="008F4153"/>
    <w:rsid w:val="008F41E1"/>
    <w:rsid w:val="008F4656"/>
    <w:rsid w:val="008F4EDC"/>
    <w:rsid w:val="008F54DA"/>
    <w:rsid w:val="008F569F"/>
    <w:rsid w:val="008F62E0"/>
    <w:rsid w:val="008F6638"/>
    <w:rsid w:val="008F66E7"/>
    <w:rsid w:val="008F68A8"/>
    <w:rsid w:val="008F76A3"/>
    <w:rsid w:val="00900394"/>
    <w:rsid w:val="00900B1E"/>
    <w:rsid w:val="00900C2C"/>
    <w:rsid w:val="00900FCD"/>
    <w:rsid w:val="00901193"/>
    <w:rsid w:val="0090125D"/>
    <w:rsid w:val="00901A64"/>
    <w:rsid w:val="00901ABE"/>
    <w:rsid w:val="00901DF5"/>
    <w:rsid w:val="00902C3F"/>
    <w:rsid w:val="0090300F"/>
    <w:rsid w:val="009032F3"/>
    <w:rsid w:val="00903588"/>
    <w:rsid w:val="009039F1"/>
    <w:rsid w:val="00903B7D"/>
    <w:rsid w:val="00903DE5"/>
    <w:rsid w:val="009041E2"/>
    <w:rsid w:val="00904498"/>
    <w:rsid w:val="00904C80"/>
    <w:rsid w:val="00904EB9"/>
    <w:rsid w:val="00905176"/>
    <w:rsid w:val="0090550A"/>
    <w:rsid w:val="009057D9"/>
    <w:rsid w:val="009057E2"/>
    <w:rsid w:val="00905F33"/>
    <w:rsid w:val="00905FCC"/>
    <w:rsid w:val="009060B1"/>
    <w:rsid w:val="009061FE"/>
    <w:rsid w:val="009062E9"/>
    <w:rsid w:val="00906BDB"/>
    <w:rsid w:val="00906FB7"/>
    <w:rsid w:val="00907107"/>
    <w:rsid w:val="00907463"/>
    <w:rsid w:val="0090773E"/>
    <w:rsid w:val="00907D11"/>
    <w:rsid w:val="0091082C"/>
    <w:rsid w:val="0091097D"/>
    <w:rsid w:val="00910EAA"/>
    <w:rsid w:val="00910F5F"/>
    <w:rsid w:val="009115A3"/>
    <w:rsid w:val="0091168C"/>
    <w:rsid w:val="009117ED"/>
    <w:rsid w:val="00911864"/>
    <w:rsid w:val="00911933"/>
    <w:rsid w:val="00912454"/>
    <w:rsid w:val="009125F6"/>
    <w:rsid w:val="00912637"/>
    <w:rsid w:val="009129F1"/>
    <w:rsid w:val="00913182"/>
    <w:rsid w:val="00913ACC"/>
    <w:rsid w:val="00913BEB"/>
    <w:rsid w:val="00913E30"/>
    <w:rsid w:val="00914317"/>
    <w:rsid w:val="00914EEE"/>
    <w:rsid w:val="009150D4"/>
    <w:rsid w:val="009152C6"/>
    <w:rsid w:val="00915E90"/>
    <w:rsid w:val="00916768"/>
    <w:rsid w:val="00916DF2"/>
    <w:rsid w:val="00916F3D"/>
    <w:rsid w:val="00917010"/>
    <w:rsid w:val="009170E4"/>
    <w:rsid w:val="00917691"/>
    <w:rsid w:val="00917B70"/>
    <w:rsid w:val="0092027C"/>
    <w:rsid w:val="00920965"/>
    <w:rsid w:val="00920ABD"/>
    <w:rsid w:val="00920F25"/>
    <w:rsid w:val="00921171"/>
    <w:rsid w:val="009216B6"/>
    <w:rsid w:val="00922A53"/>
    <w:rsid w:val="00922D7D"/>
    <w:rsid w:val="00922E39"/>
    <w:rsid w:val="0092307C"/>
    <w:rsid w:val="009231D3"/>
    <w:rsid w:val="00923333"/>
    <w:rsid w:val="0092344C"/>
    <w:rsid w:val="0092387F"/>
    <w:rsid w:val="00923885"/>
    <w:rsid w:val="009238F9"/>
    <w:rsid w:val="00923E84"/>
    <w:rsid w:val="009240AB"/>
    <w:rsid w:val="009244F7"/>
    <w:rsid w:val="00924945"/>
    <w:rsid w:val="00924D28"/>
    <w:rsid w:val="00924D62"/>
    <w:rsid w:val="00925262"/>
    <w:rsid w:val="0092555D"/>
    <w:rsid w:val="00925643"/>
    <w:rsid w:val="0092593F"/>
    <w:rsid w:val="009259F3"/>
    <w:rsid w:val="009260B9"/>
    <w:rsid w:val="009267AB"/>
    <w:rsid w:val="009269C8"/>
    <w:rsid w:val="00927315"/>
    <w:rsid w:val="00927630"/>
    <w:rsid w:val="00927D5F"/>
    <w:rsid w:val="00930098"/>
    <w:rsid w:val="00930C08"/>
    <w:rsid w:val="00930D8E"/>
    <w:rsid w:val="0093102A"/>
    <w:rsid w:val="00931072"/>
    <w:rsid w:val="00931764"/>
    <w:rsid w:val="00931814"/>
    <w:rsid w:val="00931C11"/>
    <w:rsid w:val="0093219B"/>
    <w:rsid w:val="009322D3"/>
    <w:rsid w:val="009326A6"/>
    <w:rsid w:val="009329CD"/>
    <w:rsid w:val="00932D7B"/>
    <w:rsid w:val="00932E57"/>
    <w:rsid w:val="009332D3"/>
    <w:rsid w:val="0093388F"/>
    <w:rsid w:val="00933948"/>
    <w:rsid w:val="00933AAF"/>
    <w:rsid w:val="00933FD7"/>
    <w:rsid w:val="0093401D"/>
    <w:rsid w:val="009341DB"/>
    <w:rsid w:val="0093429F"/>
    <w:rsid w:val="009346D0"/>
    <w:rsid w:val="00934A7C"/>
    <w:rsid w:val="00935100"/>
    <w:rsid w:val="00935328"/>
    <w:rsid w:val="00935401"/>
    <w:rsid w:val="009358D0"/>
    <w:rsid w:val="00935AA3"/>
    <w:rsid w:val="00936213"/>
    <w:rsid w:val="009362CC"/>
    <w:rsid w:val="0093662D"/>
    <w:rsid w:val="00936B4D"/>
    <w:rsid w:val="00936BBD"/>
    <w:rsid w:val="00936C2E"/>
    <w:rsid w:val="00936D85"/>
    <w:rsid w:val="00937240"/>
    <w:rsid w:val="009373D9"/>
    <w:rsid w:val="009374B5"/>
    <w:rsid w:val="0093751A"/>
    <w:rsid w:val="009377F9"/>
    <w:rsid w:val="00937D72"/>
    <w:rsid w:val="009403CB"/>
    <w:rsid w:val="00940E5B"/>
    <w:rsid w:val="00941445"/>
    <w:rsid w:val="00941662"/>
    <w:rsid w:val="00941A30"/>
    <w:rsid w:val="009422CF"/>
    <w:rsid w:val="009427FE"/>
    <w:rsid w:val="00942B70"/>
    <w:rsid w:val="00942F02"/>
    <w:rsid w:val="009437EC"/>
    <w:rsid w:val="00943843"/>
    <w:rsid w:val="00943F90"/>
    <w:rsid w:val="00944092"/>
    <w:rsid w:val="009450D2"/>
    <w:rsid w:val="009454D3"/>
    <w:rsid w:val="009458C8"/>
    <w:rsid w:val="00945A99"/>
    <w:rsid w:val="00945FC3"/>
    <w:rsid w:val="00945FDF"/>
    <w:rsid w:val="00946299"/>
    <w:rsid w:val="0094638F"/>
    <w:rsid w:val="009466A4"/>
    <w:rsid w:val="00946F06"/>
    <w:rsid w:val="00946F37"/>
    <w:rsid w:val="00947096"/>
    <w:rsid w:val="00947330"/>
    <w:rsid w:val="00947865"/>
    <w:rsid w:val="00947B4E"/>
    <w:rsid w:val="009503DA"/>
    <w:rsid w:val="00950BAE"/>
    <w:rsid w:val="009511EF"/>
    <w:rsid w:val="009516EB"/>
    <w:rsid w:val="0095177B"/>
    <w:rsid w:val="00951CAA"/>
    <w:rsid w:val="00951CD5"/>
    <w:rsid w:val="00951F69"/>
    <w:rsid w:val="009522A1"/>
    <w:rsid w:val="00952462"/>
    <w:rsid w:val="0095311B"/>
    <w:rsid w:val="00953951"/>
    <w:rsid w:val="00953D24"/>
    <w:rsid w:val="00954497"/>
    <w:rsid w:val="00955021"/>
    <w:rsid w:val="0095508A"/>
    <w:rsid w:val="00955123"/>
    <w:rsid w:val="00955124"/>
    <w:rsid w:val="00955671"/>
    <w:rsid w:val="009557AA"/>
    <w:rsid w:val="00955ADC"/>
    <w:rsid w:val="00955B70"/>
    <w:rsid w:val="00955C34"/>
    <w:rsid w:val="009562A0"/>
    <w:rsid w:val="0095662D"/>
    <w:rsid w:val="00956F70"/>
    <w:rsid w:val="00956FC5"/>
    <w:rsid w:val="0095741F"/>
    <w:rsid w:val="00957702"/>
    <w:rsid w:val="00957769"/>
    <w:rsid w:val="00957BAF"/>
    <w:rsid w:val="00957E32"/>
    <w:rsid w:val="00957FD4"/>
    <w:rsid w:val="0096026D"/>
    <w:rsid w:val="0096086B"/>
    <w:rsid w:val="00960BCD"/>
    <w:rsid w:val="00960D54"/>
    <w:rsid w:val="00960F07"/>
    <w:rsid w:val="00960FEE"/>
    <w:rsid w:val="00961084"/>
    <w:rsid w:val="009615E5"/>
    <w:rsid w:val="009615E6"/>
    <w:rsid w:val="0096190C"/>
    <w:rsid w:val="009619D7"/>
    <w:rsid w:val="00961BF7"/>
    <w:rsid w:val="00961C02"/>
    <w:rsid w:val="00961D34"/>
    <w:rsid w:val="00962117"/>
    <w:rsid w:val="009624DD"/>
    <w:rsid w:val="00962F4F"/>
    <w:rsid w:val="009630F6"/>
    <w:rsid w:val="0096318D"/>
    <w:rsid w:val="0096365C"/>
    <w:rsid w:val="0096434D"/>
    <w:rsid w:val="009643C6"/>
    <w:rsid w:val="009647B8"/>
    <w:rsid w:val="00964BAA"/>
    <w:rsid w:val="0096539F"/>
    <w:rsid w:val="0096573D"/>
    <w:rsid w:val="0096597E"/>
    <w:rsid w:val="00966416"/>
    <w:rsid w:val="0096654A"/>
    <w:rsid w:val="00966C7E"/>
    <w:rsid w:val="009670AB"/>
    <w:rsid w:val="00967927"/>
    <w:rsid w:val="0096796F"/>
    <w:rsid w:val="00967A0C"/>
    <w:rsid w:val="00967CED"/>
    <w:rsid w:val="009706A0"/>
    <w:rsid w:val="00970EC3"/>
    <w:rsid w:val="009714D8"/>
    <w:rsid w:val="00971726"/>
    <w:rsid w:val="00971802"/>
    <w:rsid w:val="009719B5"/>
    <w:rsid w:val="00971D6F"/>
    <w:rsid w:val="00972196"/>
    <w:rsid w:val="00972412"/>
    <w:rsid w:val="009726A7"/>
    <w:rsid w:val="00972DD8"/>
    <w:rsid w:val="00972F01"/>
    <w:rsid w:val="00973B91"/>
    <w:rsid w:val="00973BE7"/>
    <w:rsid w:val="00973EE1"/>
    <w:rsid w:val="009744EE"/>
    <w:rsid w:val="00974518"/>
    <w:rsid w:val="0097494A"/>
    <w:rsid w:val="00974995"/>
    <w:rsid w:val="00974AEA"/>
    <w:rsid w:val="00974C66"/>
    <w:rsid w:val="00974D06"/>
    <w:rsid w:val="00974E24"/>
    <w:rsid w:val="0097500A"/>
    <w:rsid w:val="009753F0"/>
    <w:rsid w:val="00975994"/>
    <w:rsid w:val="00975A2D"/>
    <w:rsid w:val="00975FC3"/>
    <w:rsid w:val="009762C3"/>
    <w:rsid w:val="00977496"/>
    <w:rsid w:val="009775C7"/>
    <w:rsid w:val="009775E6"/>
    <w:rsid w:val="0097785F"/>
    <w:rsid w:val="00977923"/>
    <w:rsid w:val="00977B13"/>
    <w:rsid w:val="00977E03"/>
    <w:rsid w:val="00980148"/>
    <w:rsid w:val="009803E1"/>
    <w:rsid w:val="009809FC"/>
    <w:rsid w:val="00980BB4"/>
    <w:rsid w:val="00981668"/>
    <w:rsid w:val="00981B80"/>
    <w:rsid w:val="00981D63"/>
    <w:rsid w:val="00981E1A"/>
    <w:rsid w:val="0098244A"/>
    <w:rsid w:val="00982691"/>
    <w:rsid w:val="0098299E"/>
    <w:rsid w:val="00982AA4"/>
    <w:rsid w:val="00982C0A"/>
    <w:rsid w:val="00982C68"/>
    <w:rsid w:val="00982E58"/>
    <w:rsid w:val="00982FBA"/>
    <w:rsid w:val="00983518"/>
    <w:rsid w:val="00983763"/>
    <w:rsid w:val="00983C2E"/>
    <w:rsid w:val="00984496"/>
    <w:rsid w:val="0098460C"/>
    <w:rsid w:val="0098487C"/>
    <w:rsid w:val="00984930"/>
    <w:rsid w:val="00984C2B"/>
    <w:rsid w:val="00984E02"/>
    <w:rsid w:val="00984FFB"/>
    <w:rsid w:val="009850EA"/>
    <w:rsid w:val="009851D2"/>
    <w:rsid w:val="009856C9"/>
    <w:rsid w:val="009857B3"/>
    <w:rsid w:val="00985B1A"/>
    <w:rsid w:val="00985B24"/>
    <w:rsid w:val="00985E6B"/>
    <w:rsid w:val="00985F02"/>
    <w:rsid w:val="00986267"/>
    <w:rsid w:val="00986C25"/>
    <w:rsid w:val="00986E45"/>
    <w:rsid w:val="009870F4"/>
    <w:rsid w:val="0098713B"/>
    <w:rsid w:val="00987198"/>
    <w:rsid w:val="00987798"/>
    <w:rsid w:val="0098786F"/>
    <w:rsid w:val="0098799E"/>
    <w:rsid w:val="00987BBA"/>
    <w:rsid w:val="0099024A"/>
    <w:rsid w:val="00990312"/>
    <w:rsid w:val="0099046E"/>
    <w:rsid w:val="009905F1"/>
    <w:rsid w:val="00990A83"/>
    <w:rsid w:val="00991024"/>
    <w:rsid w:val="009918AA"/>
    <w:rsid w:val="00991CB2"/>
    <w:rsid w:val="00991D73"/>
    <w:rsid w:val="00991EB1"/>
    <w:rsid w:val="00991EFB"/>
    <w:rsid w:val="0099249B"/>
    <w:rsid w:val="00992766"/>
    <w:rsid w:val="00992960"/>
    <w:rsid w:val="00992CAE"/>
    <w:rsid w:val="00992CD0"/>
    <w:rsid w:val="00992CF1"/>
    <w:rsid w:val="00992FDA"/>
    <w:rsid w:val="00993209"/>
    <w:rsid w:val="00993265"/>
    <w:rsid w:val="00993472"/>
    <w:rsid w:val="00993DFA"/>
    <w:rsid w:val="00993E22"/>
    <w:rsid w:val="00994471"/>
    <w:rsid w:val="00994E73"/>
    <w:rsid w:val="00994E84"/>
    <w:rsid w:val="00995EA6"/>
    <w:rsid w:val="0099603C"/>
    <w:rsid w:val="00996B6E"/>
    <w:rsid w:val="009972A4"/>
    <w:rsid w:val="00997759"/>
    <w:rsid w:val="00997A7C"/>
    <w:rsid w:val="00997C03"/>
    <w:rsid w:val="00997E0C"/>
    <w:rsid w:val="00997E70"/>
    <w:rsid w:val="009A174E"/>
    <w:rsid w:val="009A1AD6"/>
    <w:rsid w:val="009A1C72"/>
    <w:rsid w:val="009A1DFB"/>
    <w:rsid w:val="009A1E61"/>
    <w:rsid w:val="009A2286"/>
    <w:rsid w:val="009A25F3"/>
    <w:rsid w:val="009A260C"/>
    <w:rsid w:val="009A293A"/>
    <w:rsid w:val="009A3154"/>
    <w:rsid w:val="009A341F"/>
    <w:rsid w:val="009A34E5"/>
    <w:rsid w:val="009A389D"/>
    <w:rsid w:val="009A3BFF"/>
    <w:rsid w:val="009A3C74"/>
    <w:rsid w:val="009A4229"/>
    <w:rsid w:val="009A4F94"/>
    <w:rsid w:val="009A505C"/>
    <w:rsid w:val="009A51FA"/>
    <w:rsid w:val="009A54FF"/>
    <w:rsid w:val="009A5F9F"/>
    <w:rsid w:val="009A60DA"/>
    <w:rsid w:val="009A614F"/>
    <w:rsid w:val="009A623F"/>
    <w:rsid w:val="009A647E"/>
    <w:rsid w:val="009A6621"/>
    <w:rsid w:val="009A6947"/>
    <w:rsid w:val="009A72B7"/>
    <w:rsid w:val="009A79D2"/>
    <w:rsid w:val="009A7BFF"/>
    <w:rsid w:val="009A7FF4"/>
    <w:rsid w:val="009B067C"/>
    <w:rsid w:val="009B084D"/>
    <w:rsid w:val="009B085E"/>
    <w:rsid w:val="009B13A0"/>
    <w:rsid w:val="009B26E3"/>
    <w:rsid w:val="009B286F"/>
    <w:rsid w:val="009B2C8D"/>
    <w:rsid w:val="009B2F08"/>
    <w:rsid w:val="009B3379"/>
    <w:rsid w:val="009B337A"/>
    <w:rsid w:val="009B356B"/>
    <w:rsid w:val="009B371B"/>
    <w:rsid w:val="009B392C"/>
    <w:rsid w:val="009B4B46"/>
    <w:rsid w:val="009B563A"/>
    <w:rsid w:val="009B582D"/>
    <w:rsid w:val="009B5DA0"/>
    <w:rsid w:val="009B60E1"/>
    <w:rsid w:val="009B6252"/>
    <w:rsid w:val="009B6A59"/>
    <w:rsid w:val="009B71E8"/>
    <w:rsid w:val="009B72F0"/>
    <w:rsid w:val="009B7C08"/>
    <w:rsid w:val="009B7CBC"/>
    <w:rsid w:val="009B7DFF"/>
    <w:rsid w:val="009C0E68"/>
    <w:rsid w:val="009C0F77"/>
    <w:rsid w:val="009C12C5"/>
    <w:rsid w:val="009C1627"/>
    <w:rsid w:val="009C1A64"/>
    <w:rsid w:val="009C1CD8"/>
    <w:rsid w:val="009C1DD1"/>
    <w:rsid w:val="009C213D"/>
    <w:rsid w:val="009C2257"/>
    <w:rsid w:val="009C264C"/>
    <w:rsid w:val="009C2A60"/>
    <w:rsid w:val="009C2E47"/>
    <w:rsid w:val="009C32CB"/>
    <w:rsid w:val="009C335E"/>
    <w:rsid w:val="009C36F3"/>
    <w:rsid w:val="009C37A0"/>
    <w:rsid w:val="009C41D8"/>
    <w:rsid w:val="009C4397"/>
    <w:rsid w:val="009C44AB"/>
    <w:rsid w:val="009C44C5"/>
    <w:rsid w:val="009C468E"/>
    <w:rsid w:val="009C46A5"/>
    <w:rsid w:val="009C4704"/>
    <w:rsid w:val="009C48C9"/>
    <w:rsid w:val="009C4904"/>
    <w:rsid w:val="009C4D56"/>
    <w:rsid w:val="009C7A93"/>
    <w:rsid w:val="009D052A"/>
    <w:rsid w:val="009D0980"/>
    <w:rsid w:val="009D09F0"/>
    <w:rsid w:val="009D0C36"/>
    <w:rsid w:val="009D1413"/>
    <w:rsid w:val="009D1699"/>
    <w:rsid w:val="009D28AD"/>
    <w:rsid w:val="009D28F9"/>
    <w:rsid w:val="009D2A6C"/>
    <w:rsid w:val="009D348E"/>
    <w:rsid w:val="009D4010"/>
    <w:rsid w:val="009D4682"/>
    <w:rsid w:val="009D4A03"/>
    <w:rsid w:val="009D4FEE"/>
    <w:rsid w:val="009D5082"/>
    <w:rsid w:val="009D50D1"/>
    <w:rsid w:val="009D560A"/>
    <w:rsid w:val="009D5A67"/>
    <w:rsid w:val="009D5C3E"/>
    <w:rsid w:val="009D5C70"/>
    <w:rsid w:val="009D6CD6"/>
    <w:rsid w:val="009D710A"/>
    <w:rsid w:val="009D726A"/>
    <w:rsid w:val="009D72EC"/>
    <w:rsid w:val="009D74BC"/>
    <w:rsid w:val="009D753A"/>
    <w:rsid w:val="009D776A"/>
    <w:rsid w:val="009D77C3"/>
    <w:rsid w:val="009D7904"/>
    <w:rsid w:val="009D7C07"/>
    <w:rsid w:val="009E0CAE"/>
    <w:rsid w:val="009E269C"/>
    <w:rsid w:val="009E2750"/>
    <w:rsid w:val="009E27B4"/>
    <w:rsid w:val="009E2B37"/>
    <w:rsid w:val="009E2F89"/>
    <w:rsid w:val="009E36BA"/>
    <w:rsid w:val="009E40E3"/>
    <w:rsid w:val="009E41F3"/>
    <w:rsid w:val="009E42F7"/>
    <w:rsid w:val="009E4BD3"/>
    <w:rsid w:val="009E4CC9"/>
    <w:rsid w:val="009E53C6"/>
    <w:rsid w:val="009E6107"/>
    <w:rsid w:val="009E649B"/>
    <w:rsid w:val="009E6B01"/>
    <w:rsid w:val="009E6CF1"/>
    <w:rsid w:val="009E6E5C"/>
    <w:rsid w:val="009E72FB"/>
    <w:rsid w:val="009E7E3F"/>
    <w:rsid w:val="009F0FD6"/>
    <w:rsid w:val="009F12CA"/>
    <w:rsid w:val="009F1734"/>
    <w:rsid w:val="009F18AC"/>
    <w:rsid w:val="009F2420"/>
    <w:rsid w:val="009F3002"/>
    <w:rsid w:val="009F31F4"/>
    <w:rsid w:val="009F33ED"/>
    <w:rsid w:val="009F35BB"/>
    <w:rsid w:val="009F36A8"/>
    <w:rsid w:val="009F4D03"/>
    <w:rsid w:val="009F5279"/>
    <w:rsid w:val="009F551C"/>
    <w:rsid w:val="009F592F"/>
    <w:rsid w:val="009F5E07"/>
    <w:rsid w:val="009F5E5D"/>
    <w:rsid w:val="009F5E8D"/>
    <w:rsid w:val="009F6044"/>
    <w:rsid w:val="009F62FA"/>
    <w:rsid w:val="009F66D4"/>
    <w:rsid w:val="009F6A3E"/>
    <w:rsid w:val="009F73FD"/>
    <w:rsid w:val="009F764A"/>
    <w:rsid w:val="009F7725"/>
    <w:rsid w:val="009F77A2"/>
    <w:rsid w:val="009F7D31"/>
    <w:rsid w:val="009F7F37"/>
    <w:rsid w:val="00A008B6"/>
    <w:rsid w:val="00A00F54"/>
    <w:rsid w:val="00A014E1"/>
    <w:rsid w:val="00A01528"/>
    <w:rsid w:val="00A0155A"/>
    <w:rsid w:val="00A01571"/>
    <w:rsid w:val="00A018E7"/>
    <w:rsid w:val="00A01E6F"/>
    <w:rsid w:val="00A02234"/>
    <w:rsid w:val="00A02710"/>
    <w:rsid w:val="00A02B6E"/>
    <w:rsid w:val="00A02FE6"/>
    <w:rsid w:val="00A0358E"/>
    <w:rsid w:val="00A03998"/>
    <w:rsid w:val="00A03AAC"/>
    <w:rsid w:val="00A03BAF"/>
    <w:rsid w:val="00A03F9C"/>
    <w:rsid w:val="00A0466D"/>
    <w:rsid w:val="00A047C6"/>
    <w:rsid w:val="00A0532F"/>
    <w:rsid w:val="00A0578F"/>
    <w:rsid w:val="00A058D9"/>
    <w:rsid w:val="00A05C76"/>
    <w:rsid w:val="00A061A0"/>
    <w:rsid w:val="00A06A84"/>
    <w:rsid w:val="00A06C04"/>
    <w:rsid w:val="00A06C7A"/>
    <w:rsid w:val="00A06D49"/>
    <w:rsid w:val="00A074E5"/>
    <w:rsid w:val="00A075B8"/>
    <w:rsid w:val="00A07987"/>
    <w:rsid w:val="00A10167"/>
    <w:rsid w:val="00A10216"/>
    <w:rsid w:val="00A10626"/>
    <w:rsid w:val="00A108BA"/>
    <w:rsid w:val="00A10CAD"/>
    <w:rsid w:val="00A10F2D"/>
    <w:rsid w:val="00A10F86"/>
    <w:rsid w:val="00A110E9"/>
    <w:rsid w:val="00A110EF"/>
    <w:rsid w:val="00A112B6"/>
    <w:rsid w:val="00A119AD"/>
    <w:rsid w:val="00A1200D"/>
    <w:rsid w:val="00A122CF"/>
    <w:rsid w:val="00A123C5"/>
    <w:rsid w:val="00A123DF"/>
    <w:rsid w:val="00A1291F"/>
    <w:rsid w:val="00A12C1B"/>
    <w:rsid w:val="00A12ECD"/>
    <w:rsid w:val="00A13012"/>
    <w:rsid w:val="00A13127"/>
    <w:rsid w:val="00A13133"/>
    <w:rsid w:val="00A13153"/>
    <w:rsid w:val="00A133AA"/>
    <w:rsid w:val="00A1387C"/>
    <w:rsid w:val="00A13A12"/>
    <w:rsid w:val="00A13AE3"/>
    <w:rsid w:val="00A13E57"/>
    <w:rsid w:val="00A13EAB"/>
    <w:rsid w:val="00A13F38"/>
    <w:rsid w:val="00A14669"/>
    <w:rsid w:val="00A1494D"/>
    <w:rsid w:val="00A14B22"/>
    <w:rsid w:val="00A14CE0"/>
    <w:rsid w:val="00A15056"/>
    <w:rsid w:val="00A15098"/>
    <w:rsid w:val="00A150BB"/>
    <w:rsid w:val="00A15244"/>
    <w:rsid w:val="00A153C5"/>
    <w:rsid w:val="00A15BB4"/>
    <w:rsid w:val="00A16018"/>
    <w:rsid w:val="00A160F0"/>
    <w:rsid w:val="00A16713"/>
    <w:rsid w:val="00A168AD"/>
    <w:rsid w:val="00A16B30"/>
    <w:rsid w:val="00A16BE4"/>
    <w:rsid w:val="00A16ECC"/>
    <w:rsid w:val="00A16EF0"/>
    <w:rsid w:val="00A1731E"/>
    <w:rsid w:val="00A17AAF"/>
    <w:rsid w:val="00A200F8"/>
    <w:rsid w:val="00A2014E"/>
    <w:rsid w:val="00A20652"/>
    <w:rsid w:val="00A20EFA"/>
    <w:rsid w:val="00A2132D"/>
    <w:rsid w:val="00A220DC"/>
    <w:rsid w:val="00A226C5"/>
    <w:rsid w:val="00A22979"/>
    <w:rsid w:val="00A22CB8"/>
    <w:rsid w:val="00A22D49"/>
    <w:rsid w:val="00A230BC"/>
    <w:rsid w:val="00A230CD"/>
    <w:rsid w:val="00A23A35"/>
    <w:rsid w:val="00A23E61"/>
    <w:rsid w:val="00A24D7C"/>
    <w:rsid w:val="00A25280"/>
    <w:rsid w:val="00A25828"/>
    <w:rsid w:val="00A25891"/>
    <w:rsid w:val="00A25D04"/>
    <w:rsid w:val="00A25F58"/>
    <w:rsid w:val="00A26307"/>
    <w:rsid w:val="00A263C6"/>
    <w:rsid w:val="00A2657B"/>
    <w:rsid w:val="00A26998"/>
    <w:rsid w:val="00A269CF"/>
    <w:rsid w:val="00A26D24"/>
    <w:rsid w:val="00A27021"/>
    <w:rsid w:val="00A2742D"/>
    <w:rsid w:val="00A278C0"/>
    <w:rsid w:val="00A27AEF"/>
    <w:rsid w:val="00A27BA7"/>
    <w:rsid w:val="00A27C6A"/>
    <w:rsid w:val="00A30316"/>
    <w:rsid w:val="00A303CB"/>
    <w:rsid w:val="00A303F6"/>
    <w:rsid w:val="00A30596"/>
    <w:rsid w:val="00A3065C"/>
    <w:rsid w:val="00A306BD"/>
    <w:rsid w:val="00A309A5"/>
    <w:rsid w:val="00A309C8"/>
    <w:rsid w:val="00A314DD"/>
    <w:rsid w:val="00A31B1F"/>
    <w:rsid w:val="00A321C6"/>
    <w:rsid w:val="00A32AD4"/>
    <w:rsid w:val="00A3302D"/>
    <w:rsid w:val="00A33529"/>
    <w:rsid w:val="00A33BE7"/>
    <w:rsid w:val="00A33C4B"/>
    <w:rsid w:val="00A33F59"/>
    <w:rsid w:val="00A3467B"/>
    <w:rsid w:val="00A346DD"/>
    <w:rsid w:val="00A34912"/>
    <w:rsid w:val="00A34FF9"/>
    <w:rsid w:val="00A3560E"/>
    <w:rsid w:val="00A3576D"/>
    <w:rsid w:val="00A359A1"/>
    <w:rsid w:val="00A36317"/>
    <w:rsid w:val="00A36909"/>
    <w:rsid w:val="00A36B95"/>
    <w:rsid w:val="00A3777A"/>
    <w:rsid w:val="00A37905"/>
    <w:rsid w:val="00A37B69"/>
    <w:rsid w:val="00A37F61"/>
    <w:rsid w:val="00A403C6"/>
    <w:rsid w:val="00A40861"/>
    <w:rsid w:val="00A40977"/>
    <w:rsid w:val="00A40A07"/>
    <w:rsid w:val="00A40F01"/>
    <w:rsid w:val="00A4125A"/>
    <w:rsid w:val="00A42390"/>
    <w:rsid w:val="00A4253C"/>
    <w:rsid w:val="00A42754"/>
    <w:rsid w:val="00A4282C"/>
    <w:rsid w:val="00A42F56"/>
    <w:rsid w:val="00A438B3"/>
    <w:rsid w:val="00A43AD7"/>
    <w:rsid w:val="00A43FB6"/>
    <w:rsid w:val="00A442BE"/>
    <w:rsid w:val="00A44550"/>
    <w:rsid w:val="00A44B67"/>
    <w:rsid w:val="00A44EAA"/>
    <w:rsid w:val="00A44EAC"/>
    <w:rsid w:val="00A44EE1"/>
    <w:rsid w:val="00A455C9"/>
    <w:rsid w:val="00A45C23"/>
    <w:rsid w:val="00A46150"/>
    <w:rsid w:val="00A462EE"/>
    <w:rsid w:val="00A46611"/>
    <w:rsid w:val="00A46946"/>
    <w:rsid w:val="00A46CEC"/>
    <w:rsid w:val="00A46DB8"/>
    <w:rsid w:val="00A46E1B"/>
    <w:rsid w:val="00A46F1D"/>
    <w:rsid w:val="00A47155"/>
    <w:rsid w:val="00A47310"/>
    <w:rsid w:val="00A474BF"/>
    <w:rsid w:val="00A47542"/>
    <w:rsid w:val="00A475A4"/>
    <w:rsid w:val="00A478B0"/>
    <w:rsid w:val="00A47A26"/>
    <w:rsid w:val="00A47A28"/>
    <w:rsid w:val="00A47A38"/>
    <w:rsid w:val="00A47F6F"/>
    <w:rsid w:val="00A50135"/>
    <w:rsid w:val="00A50579"/>
    <w:rsid w:val="00A5060E"/>
    <w:rsid w:val="00A5083C"/>
    <w:rsid w:val="00A50CC8"/>
    <w:rsid w:val="00A50F88"/>
    <w:rsid w:val="00A51744"/>
    <w:rsid w:val="00A51B01"/>
    <w:rsid w:val="00A51CC9"/>
    <w:rsid w:val="00A51DC5"/>
    <w:rsid w:val="00A525F7"/>
    <w:rsid w:val="00A52B8F"/>
    <w:rsid w:val="00A52BDE"/>
    <w:rsid w:val="00A52D83"/>
    <w:rsid w:val="00A52E27"/>
    <w:rsid w:val="00A5313A"/>
    <w:rsid w:val="00A53412"/>
    <w:rsid w:val="00A537F4"/>
    <w:rsid w:val="00A53C37"/>
    <w:rsid w:val="00A5410B"/>
    <w:rsid w:val="00A54479"/>
    <w:rsid w:val="00A553F8"/>
    <w:rsid w:val="00A554EF"/>
    <w:rsid w:val="00A5557A"/>
    <w:rsid w:val="00A5573C"/>
    <w:rsid w:val="00A5586E"/>
    <w:rsid w:val="00A564F2"/>
    <w:rsid w:val="00A56ABF"/>
    <w:rsid w:val="00A56B5E"/>
    <w:rsid w:val="00A56D3A"/>
    <w:rsid w:val="00A57606"/>
    <w:rsid w:val="00A576FD"/>
    <w:rsid w:val="00A5775A"/>
    <w:rsid w:val="00A57927"/>
    <w:rsid w:val="00A5799D"/>
    <w:rsid w:val="00A57B1C"/>
    <w:rsid w:val="00A57B6F"/>
    <w:rsid w:val="00A6001D"/>
    <w:rsid w:val="00A605F7"/>
    <w:rsid w:val="00A606A9"/>
    <w:rsid w:val="00A60A03"/>
    <w:rsid w:val="00A60B78"/>
    <w:rsid w:val="00A60D85"/>
    <w:rsid w:val="00A61C84"/>
    <w:rsid w:val="00A61D31"/>
    <w:rsid w:val="00A62994"/>
    <w:rsid w:val="00A637CB"/>
    <w:rsid w:val="00A639D7"/>
    <w:rsid w:val="00A63DE4"/>
    <w:rsid w:val="00A63F18"/>
    <w:rsid w:val="00A64725"/>
    <w:rsid w:val="00A64E1C"/>
    <w:rsid w:val="00A64FB3"/>
    <w:rsid w:val="00A65035"/>
    <w:rsid w:val="00A65245"/>
    <w:rsid w:val="00A65462"/>
    <w:rsid w:val="00A65888"/>
    <w:rsid w:val="00A65C98"/>
    <w:rsid w:val="00A65DC3"/>
    <w:rsid w:val="00A66463"/>
    <w:rsid w:val="00A664EE"/>
    <w:rsid w:val="00A66BCF"/>
    <w:rsid w:val="00A66D71"/>
    <w:rsid w:val="00A67207"/>
    <w:rsid w:val="00A6727B"/>
    <w:rsid w:val="00A6754C"/>
    <w:rsid w:val="00A700EF"/>
    <w:rsid w:val="00A701A5"/>
    <w:rsid w:val="00A70227"/>
    <w:rsid w:val="00A702A7"/>
    <w:rsid w:val="00A703AA"/>
    <w:rsid w:val="00A703E5"/>
    <w:rsid w:val="00A7130A"/>
    <w:rsid w:val="00A72492"/>
    <w:rsid w:val="00A72D3F"/>
    <w:rsid w:val="00A73136"/>
    <w:rsid w:val="00A73635"/>
    <w:rsid w:val="00A73C5F"/>
    <w:rsid w:val="00A73E4D"/>
    <w:rsid w:val="00A7416B"/>
    <w:rsid w:val="00A741DF"/>
    <w:rsid w:val="00A74245"/>
    <w:rsid w:val="00A74C39"/>
    <w:rsid w:val="00A75312"/>
    <w:rsid w:val="00A75868"/>
    <w:rsid w:val="00A75A30"/>
    <w:rsid w:val="00A75E66"/>
    <w:rsid w:val="00A76391"/>
    <w:rsid w:val="00A76666"/>
    <w:rsid w:val="00A76BCB"/>
    <w:rsid w:val="00A76E11"/>
    <w:rsid w:val="00A77605"/>
    <w:rsid w:val="00A7772E"/>
    <w:rsid w:val="00A77BBF"/>
    <w:rsid w:val="00A77EC1"/>
    <w:rsid w:val="00A77F9A"/>
    <w:rsid w:val="00A80043"/>
    <w:rsid w:val="00A80B27"/>
    <w:rsid w:val="00A80E20"/>
    <w:rsid w:val="00A80FB6"/>
    <w:rsid w:val="00A818EE"/>
    <w:rsid w:val="00A81E2A"/>
    <w:rsid w:val="00A8223F"/>
    <w:rsid w:val="00A82694"/>
    <w:rsid w:val="00A82A97"/>
    <w:rsid w:val="00A8339F"/>
    <w:rsid w:val="00A83A50"/>
    <w:rsid w:val="00A83A80"/>
    <w:rsid w:val="00A84014"/>
    <w:rsid w:val="00A8444F"/>
    <w:rsid w:val="00A8448A"/>
    <w:rsid w:val="00A844BE"/>
    <w:rsid w:val="00A846D6"/>
    <w:rsid w:val="00A84D81"/>
    <w:rsid w:val="00A85051"/>
    <w:rsid w:val="00A85428"/>
    <w:rsid w:val="00A860A9"/>
    <w:rsid w:val="00A864F4"/>
    <w:rsid w:val="00A86B88"/>
    <w:rsid w:val="00A86CE3"/>
    <w:rsid w:val="00A8700B"/>
    <w:rsid w:val="00A8716F"/>
    <w:rsid w:val="00A87194"/>
    <w:rsid w:val="00A875A4"/>
    <w:rsid w:val="00A876BA"/>
    <w:rsid w:val="00A879D6"/>
    <w:rsid w:val="00A87AF2"/>
    <w:rsid w:val="00A9001F"/>
    <w:rsid w:val="00A90702"/>
    <w:rsid w:val="00A90A08"/>
    <w:rsid w:val="00A912AC"/>
    <w:rsid w:val="00A914AC"/>
    <w:rsid w:val="00A91602"/>
    <w:rsid w:val="00A91D76"/>
    <w:rsid w:val="00A92B5F"/>
    <w:rsid w:val="00A93443"/>
    <w:rsid w:val="00A94175"/>
    <w:rsid w:val="00A941CA"/>
    <w:rsid w:val="00A941F4"/>
    <w:rsid w:val="00A94F9E"/>
    <w:rsid w:val="00A951A4"/>
    <w:rsid w:val="00A95538"/>
    <w:rsid w:val="00A9563B"/>
    <w:rsid w:val="00A95AB8"/>
    <w:rsid w:val="00A96032"/>
    <w:rsid w:val="00A96F41"/>
    <w:rsid w:val="00A97DDB"/>
    <w:rsid w:val="00AA006A"/>
    <w:rsid w:val="00AA0080"/>
    <w:rsid w:val="00AA00FA"/>
    <w:rsid w:val="00AA014E"/>
    <w:rsid w:val="00AA044F"/>
    <w:rsid w:val="00AA0600"/>
    <w:rsid w:val="00AA118D"/>
    <w:rsid w:val="00AA149F"/>
    <w:rsid w:val="00AA1561"/>
    <w:rsid w:val="00AA1CAC"/>
    <w:rsid w:val="00AA1E07"/>
    <w:rsid w:val="00AA2065"/>
    <w:rsid w:val="00AA20B8"/>
    <w:rsid w:val="00AA212C"/>
    <w:rsid w:val="00AA33DA"/>
    <w:rsid w:val="00AA34AE"/>
    <w:rsid w:val="00AA3622"/>
    <w:rsid w:val="00AA367C"/>
    <w:rsid w:val="00AA3849"/>
    <w:rsid w:val="00AA3B0A"/>
    <w:rsid w:val="00AA3F44"/>
    <w:rsid w:val="00AA4374"/>
    <w:rsid w:val="00AA58B0"/>
    <w:rsid w:val="00AA6053"/>
    <w:rsid w:val="00AA6389"/>
    <w:rsid w:val="00AA64E5"/>
    <w:rsid w:val="00AA686E"/>
    <w:rsid w:val="00AA6A3C"/>
    <w:rsid w:val="00AA6C06"/>
    <w:rsid w:val="00AA70A1"/>
    <w:rsid w:val="00AA762E"/>
    <w:rsid w:val="00AA7725"/>
    <w:rsid w:val="00AA7784"/>
    <w:rsid w:val="00AA77BD"/>
    <w:rsid w:val="00AA7D8D"/>
    <w:rsid w:val="00AA7DC2"/>
    <w:rsid w:val="00AB009D"/>
    <w:rsid w:val="00AB00A1"/>
    <w:rsid w:val="00AB099B"/>
    <w:rsid w:val="00AB0C65"/>
    <w:rsid w:val="00AB1094"/>
    <w:rsid w:val="00AB1454"/>
    <w:rsid w:val="00AB14F1"/>
    <w:rsid w:val="00AB1727"/>
    <w:rsid w:val="00AB1BD7"/>
    <w:rsid w:val="00AB1F2B"/>
    <w:rsid w:val="00AB2290"/>
    <w:rsid w:val="00AB2BE7"/>
    <w:rsid w:val="00AB2D59"/>
    <w:rsid w:val="00AB3133"/>
    <w:rsid w:val="00AB3895"/>
    <w:rsid w:val="00AB3A26"/>
    <w:rsid w:val="00AB4945"/>
    <w:rsid w:val="00AB4E9F"/>
    <w:rsid w:val="00AB5205"/>
    <w:rsid w:val="00AB6121"/>
    <w:rsid w:val="00AB62F8"/>
    <w:rsid w:val="00AB6F68"/>
    <w:rsid w:val="00AB70E8"/>
    <w:rsid w:val="00AC009C"/>
    <w:rsid w:val="00AC04E9"/>
    <w:rsid w:val="00AC08CB"/>
    <w:rsid w:val="00AC0C0A"/>
    <w:rsid w:val="00AC1167"/>
    <w:rsid w:val="00AC12CD"/>
    <w:rsid w:val="00AC1587"/>
    <w:rsid w:val="00AC1851"/>
    <w:rsid w:val="00AC1A43"/>
    <w:rsid w:val="00AC1B85"/>
    <w:rsid w:val="00AC1B99"/>
    <w:rsid w:val="00AC1C9A"/>
    <w:rsid w:val="00AC22AB"/>
    <w:rsid w:val="00AC2737"/>
    <w:rsid w:val="00AC2A01"/>
    <w:rsid w:val="00AC2B7E"/>
    <w:rsid w:val="00AC2D32"/>
    <w:rsid w:val="00AC2F43"/>
    <w:rsid w:val="00AC30EB"/>
    <w:rsid w:val="00AC32E6"/>
    <w:rsid w:val="00AC32F3"/>
    <w:rsid w:val="00AC337B"/>
    <w:rsid w:val="00AC37CB"/>
    <w:rsid w:val="00AC3B84"/>
    <w:rsid w:val="00AC3DFF"/>
    <w:rsid w:val="00AC43DF"/>
    <w:rsid w:val="00AC451C"/>
    <w:rsid w:val="00AC516D"/>
    <w:rsid w:val="00AC5AEE"/>
    <w:rsid w:val="00AC5C5B"/>
    <w:rsid w:val="00AC5F05"/>
    <w:rsid w:val="00AC62A8"/>
    <w:rsid w:val="00AC68EF"/>
    <w:rsid w:val="00AC6CE2"/>
    <w:rsid w:val="00AC6F29"/>
    <w:rsid w:val="00AC7250"/>
    <w:rsid w:val="00AC7409"/>
    <w:rsid w:val="00AC7AE1"/>
    <w:rsid w:val="00AC7C5D"/>
    <w:rsid w:val="00AD04AB"/>
    <w:rsid w:val="00AD04E8"/>
    <w:rsid w:val="00AD0AB0"/>
    <w:rsid w:val="00AD0D1E"/>
    <w:rsid w:val="00AD0D2B"/>
    <w:rsid w:val="00AD1007"/>
    <w:rsid w:val="00AD1316"/>
    <w:rsid w:val="00AD17D6"/>
    <w:rsid w:val="00AD1A67"/>
    <w:rsid w:val="00AD1B15"/>
    <w:rsid w:val="00AD1DD0"/>
    <w:rsid w:val="00AD1E09"/>
    <w:rsid w:val="00AD1E10"/>
    <w:rsid w:val="00AD2111"/>
    <w:rsid w:val="00AD2CBB"/>
    <w:rsid w:val="00AD2CE2"/>
    <w:rsid w:val="00AD2EF1"/>
    <w:rsid w:val="00AD383A"/>
    <w:rsid w:val="00AD3978"/>
    <w:rsid w:val="00AD3E3C"/>
    <w:rsid w:val="00AD43B2"/>
    <w:rsid w:val="00AD46ED"/>
    <w:rsid w:val="00AD4768"/>
    <w:rsid w:val="00AD4BCC"/>
    <w:rsid w:val="00AD4F13"/>
    <w:rsid w:val="00AD55CB"/>
    <w:rsid w:val="00AD55D2"/>
    <w:rsid w:val="00AD5756"/>
    <w:rsid w:val="00AD5A55"/>
    <w:rsid w:val="00AD5A92"/>
    <w:rsid w:val="00AD5B7E"/>
    <w:rsid w:val="00AD5CBB"/>
    <w:rsid w:val="00AD5E21"/>
    <w:rsid w:val="00AD5EDF"/>
    <w:rsid w:val="00AD67F0"/>
    <w:rsid w:val="00AD68DD"/>
    <w:rsid w:val="00AD691D"/>
    <w:rsid w:val="00AD6EBB"/>
    <w:rsid w:val="00AD7144"/>
    <w:rsid w:val="00AD7329"/>
    <w:rsid w:val="00AD73ED"/>
    <w:rsid w:val="00AD7568"/>
    <w:rsid w:val="00AD757E"/>
    <w:rsid w:val="00AD7BF0"/>
    <w:rsid w:val="00AD7CEF"/>
    <w:rsid w:val="00AE02A2"/>
    <w:rsid w:val="00AE03CF"/>
    <w:rsid w:val="00AE0B11"/>
    <w:rsid w:val="00AE152F"/>
    <w:rsid w:val="00AE1781"/>
    <w:rsid w:val="00AE1959"/>
    <w:rsid w:val="00AE1BD7"/>
    <w:rsid w:val="00AE2266"/>
    <w:rsid w:val="00AE2767"/>
    <w:rsid w:val="00AE3036"/>
    <w:rsid w:val="00AE3042"/>
    <w:rsid w:val="00AE340B"/>
    <w:rsid w:val="00AE3B6B"/>
    <w:rsid w:val="00AE3BDB"/>
    <w:rsid w:val="00AE3C3E"/>
    <w:rsid w:val="00AE3E22"/>
    <w:rsid w:val="00AE3E7F"/>
    <w:rsid w:val="00AE3EC3"/>
    <w:rsid w:val="00AE41A0"/>
    <w:rsid w:val="00AE47EE"/>
    <w:rsid w:val="00AE4D1D"/>
    <w:rsid w:val="00AE4F91"/>
    <w:rsid w:val="00AE54C6"/>
    <w:rsid w:val="00AE5586"/>
    <w:rsid w:val="00AE5B4A"/>
    <w:rsid w:val="00AE5F52"/>
    <w:rsid w:val="00AE61EF"/>
    <w:rsid w:val="00AE6245"/>
    <w:rsid w:val="00AE6977"/>
    <w:rsid w:val="00AE6A72"/>
    <w:rsid w:val="00AE6EE4"/>
    <w:rsid w:val="00AE71DA"/>
    <w:rsid w:val="00AE776F"/>
    <w:rsid w:val="00AE7B93"/>
    <w:rsid w:val="00AE7D92"/>
    <w:rsid w:val="00AE7E12"/>
    <w:rsid w:val="00AF00A2"/>
    <w:rsid w:val="00AF0139"/>
    <w:rsid w:val="00AF02FD"/>
    <w:rsid w:val="00AF0411"/>
    <w:rsid w:val="00AF08E9"/>
    <w:rsid w:val="00AF0A66"/>
    <w:rsid w:val="00AF0BEB"/>
    <w:rsid w:val="00AF0F8E"/>
    <w:rsid w:val="00AF1020"/>
    <w:rsid w:val="00AF1238"/>
    <w:rsid w:val="00AF12C3"/>
    <w:rsid w:val="00AF16A2"/>
    <w:rsid w:val="00AF19B7"/>
    <w:rsid w:val="00AF1AC2"/>
    <w:rsid w:val="00AF1BF0"/>
    <w:rsid w:val="00AF20A2"/>
    <w:rsid w:val="00AF2607"/>
    <w:rsid w:val="00AF2C65"/>
    <w:rsid w:val="00AF30DA"/>
    <w:rsid w:val="00AF32CC"/>
    <w:rsid w:val="00AF32E5"/>
    <w:rsid w:val="00AF398B"/>
    <w:rsid w:val="00AF3E34"/>
    <w:rsid w:val="00AF3F59"/>
    <w:rsid w:val="00AF3F93"/>
    <w:rsid w:val="00AF40DE"/>
    <w:rsid w:val="00AF4503"/>
    <w:rsid w:val="00AF47DF"/>
    <w:rsid w:val="00AF5D96"/>
    <w:rsid w:val="00AF5F63"/>
    <w:rsid w:val="00AF6134"/>
    <w:rsid w:val="00AF6256"/>
    <w:rsid w:val="00AF658F"/>
    <w:rsid w:val="00AF6A85"/>
    <w:rsid w:val="00AF6AB2"/>
    <w:rsid w:val="00AF6DA9"/>
    <w:rsid w:val="00AF6DD7"/>
    <w:rsid w:val="00AF733D"/>
    <w:rsid w:val="00AF7343"/>
    <w:rsid w:val="00AF7B6E"/>
    <w:rsid w:val="00B00C4C"/>
    <w:rsid w:val="00B00E7E"/>
    <w:rsid w:val="00B00E96"/>
    <w:rsid w:val="00B00F13"/>
    <w:rsid w:val="00B00FE9"/>
    <w:rsid w:val="00B017CC"/>
    <w:rsid w:val="00B018B9"/>
    <w:rsid w:val="00B01FE0"/>
    <w:rsid w:val="00B02115"/>
    <w:rsid w:val="00B023BD"/>
    <w:rsid w:val="00B02529"/>
    <w:rsid w:val="00B02538"/>
    <w:rsid w:val="00B02692"/>
    <w:rsid w:val="00B02719"/>
    <w:rsid w:val="00B02B17"/>
    <w:rsid w:val="00B031B5"/>
    <w:rsid w:val="00B0337D"/>
    <w:rsid w:val="00B03E87"/>
    <w:rsid w:val="00B03FFD"/>
    <w:rsid w:val="00B04235"/>
    <w:rsid w:val="00B043C1"/>
    <w:rsid w:val="00B0473F"/>
    <w:rsid w:val="00B04959"/>
    <w:rsid w:val="00B05121"/>
    <w:rsid w:val="00B054AB"/>
    <w:rsid w:val="00B0577B"/>
    <w:rsid w:val="00B05F8A"/>
    <w:rsid w:val="00B0605D"/>
    <w:rsid w:val="00B063E2"/>
    <w:rsid w:val="00B06841"/>
    <w:rsid w:val="00B06EDB"/>
    <w:rsid w:val="00B06F10"/>
    <w:rsid w:val="00B070C5"/>
    <w:rsid w:val="00B07331"/>
    <w:rsid w:val="00B07EF4"/>
    <w:rsid w:val="00B1023B"/>
    <w:rsid w:val="00B103F7"/>
    <w:rsid w:val="00B10419"/>
    <w:rsid w:val="00B10D08"/>
    <w:rsid w:val="00B10EED"/>
    <w:rsid w:val="00B11517"/>
    <w:rsid w:val="00B11693"/>
    <w:rsid w:val="00B11F0A"/>
    <w:rsid w:val="00B12111"/>
    <w:rsid w:val="00B122E7"/>
    <w:rsid w:val="00B127CC"/>
    <w:rsid w:val="00B128AE"/>
    <w:rsid w:val="00B12B0E"/>
    <w:rsid w:val="00B12B5D"/>
    <w:rsid w:val="00B12C8F"/>
    <w:rsid w:val="00B132E7"/>
    <w:rsid w:val="00B1353C"/>
    <w:rsid w:val="00B137B8"/>
    <w:rsid w:val="00B13E97"/>
    <w:rsid w:val="00B13FB6"/>
    <w:rsid w:val="00B140FC"/>
    <w:rsid w:val="00B1439F"/>
    <w:rsid w:val="00B14C56"/>
    <w:rsid w:val="00B14C77"/>
    <w:rsid w:val="00B14D76"/>
    <w:rsid w:val="00B14DCD"/>
    <w:rsid w:val="00B14F8D"/>
    <w:rsid w:val="00B14FE6"/>
    <w:rsid w:val="00B153B3"/>
    <w:rsid w:val="00B1544D"/>
    <w:rsid w:val="00B157BD"/>
    <w:rsid w:val="00B15F44"/>
    <w:rsid w:val="00B16012"/>
    <w:rsid w:val="00B1638E"/>
    <w:rsid w:val="00B16548"/>
    <w:rsid w:val="00B16997"/>
    <w:rsid w:val="00B16FB1"/>
    <w:rsid w:val="00B17440"/>
    <w:rsid w:val="00B17820"/>
    <w:rsid w:val="00B178A8"/>
    <w:rsid w:val="00B17958"/>
    <w:rsid w:val="00B17F0A"/>
    <w:rsid w:val="00B17FEF"/>
    <w:rsid w:val="00B2019D"/>
    <w:rsid w:val="00B211E5"/>
    <w:rsid w:val="00B21D7D"/>
    <w:rsid w:val="00B2333C"/>
    <w:rsid w:val="00B23564"/>
    <w:rsid w:val="00B243A0"/>
    <w:rsid w:val="00B244B9"/>
    <w:rsid w:val="00B2456F"/>
    <w:rsid w:val="00B2469C"/>
    <w:rsid w:val="00B24D30"/>
    <w:rsid w:val="00B24DAE"/>
    <w:rsid w:val="00B25129"/>
    <w:rsid w:val="00B254AD"/>
    <w:rsid w:val="00B25A89"/>
    <w:rsid w:val="00B261CF"/>
    <w:rsid w:val="00B26205"/>
    <w:rsid w:val="00B26565"/>
    <w:rsid w:val="00B26784"/>
    <w:rsid w:val="00B2681A"/>
    <w:rsid w:val="00B274D2"/>
    <w:rsid w:val="00B27631"/>
    <w:rsid w:val="00B27853"/>
    <w:rsid w:val="00B278E3"/>
    <w:rsid w:val="00B27D7D"/>
    <w:rsid w:val="00B30028"/>
    <w:rsid w:val="00B305F0"/>
    <w:rsid w:val="00B30632"/>
    <w:rsid w:val="00B3066E"/>
    <w:rsid w:val="00B307DE"/>
    <w:rsid w:val="00B30901"/>
    <w:rsid w:val="00B30C5E"/>
    <w:rsid w:val="00B31176"/>
    <w:rsid w:val="00B31488"/>
    <w:rsid w:val="00B31940"/>
    <w:rsid w:val="00B31DC3"/>
    <w:rsid w:val="00B32455"/>
    <w:rsid w:val="00B324DC"/>
    <w:rsid w:val="00B325DD"/>
    <w:rsid w:val="00B32937"/>
    <w:rsid w:val="00B32A3E"/>
    <w:rsid w:val="00B32BE6"/>
    <w:rsid w:val="00B339C4"/>
    <w:rsid w:val="00B33C4C"/>
    <w:rsid w:val="00B33EDF"/>
    <w:rsid w:val="00B34124"/>
    <w:rsid w:val="00B34197"/>
    <w:rsid w:val="00B34469"/>
    <w:rsid w:val="00B34B5A"/>
    <w:rsid w:val="00B34C35"/>
    <w:rsid w:val="00B34C3D"/>
    <w:rsid w:val="00B34E04"/>
    <w:rsid w:val="00B34E2B"/>
    <w:rsid w:val="00B34EC0"/>
    <w:rsid w:val="00B352F6"/>
    <w:rsid w:val="00B3571C"/>
    <w:rsid w:val="00B35AE0"/>
    <w:rsid w:val="00B35D05"/>
    <w:rsid w:val="00B35D27"/>
    <w:rsid w:val="00B35FD1"/>
    <w:rsid w:val="00B35FF2"/>
    <w:rsid w:val="00B3612D"/>
    <w:rsid w:val="00B36516"/>
    <w:rsid w:val="00B366FB"/>
    <w:rsid w:val="00B36A58"/>
    <w:rsid w:val="00B37354"/>
    <w:rsid w:val="00B40E79"/>
    <w:rsid w:val="00B4181F"/>
    <w:rsid w:val="00B41973"/>
    <w:rsid w:val="00B41A4F"/>
    <w:rsid w:val="00B41C7F"/>
    <w:rsid w:val="00B41F6B"/>
    <w:rsid w:val="00B4215E"/>
    <w:rsid w:val="00B4242D"/>
    <w:rsid w:val="00B425C3"/>
    <w:rsid w:val="00B428BA"/>
    <w:rsid w:val="00B42CCD"/>
    <w:rsid w:val="00B42E1B"/>
    <w:rsid w:val="00B42E4C"/>
    <w:rsid w:val="00B4359A"/>
    <w:rsid w:val="00B4367F"/>
    <w:rsid w:val="00B43A83"/>
    <w:rsid w:val="00B43AF3"/>
    <w:rsid w:val="00B44123"/>
    <w:rsid w:val="00B443E3"/>
    <w:rsid w:val="00B4521A"/>
    <w:rsid w:val="00B46108"/>
    <w:rsid w:val="00B4610A"/>
    <w:rsid w:val="00B4655D"/>
    <w:rsid w:val="00B465E9"/>
    <w:rsid w:val="00B46AEB"/>
    <w:rsid w:val="00B46C56"/>
    <w:rsid w:val="00B46C85"/>
    <w:rsid w:val="00B46E4C"/>
    <w:rsid w:val="00B46F5D"/>
    <w:rsid w:val="00B46F7D"/>
    <w:rsid w:val="00B47135"/>
    <w:rsid w:val="00B47552"/>
    <w:rsid w:val="00B47865"/>
    <w:rsid w:val="00B5003D"/>
    <w:rsid w:val="00B50183"/>
    <w:rsid w:val="00B51419"/>
    <w:rsid w:val="00B514EF"/>
    <w:rsid w:val="00B51B74"/>
    <w:rsid w:val="00B51D71"/>
    <w:rsid w:val="00B520C2"/>
    <w:rsid w:val="00B52247"/>
    <w:rsid w:val="00B52252"/>
    <w:rsid w:val="00B529F8"/>
    <w:rsid w:val="00B52AF9"/>
    <w:rsid w:val="00B52FDE"/>
    <w:rsid w:val="00B53355"/>
    <w:rsid w:val="00B533A6"/>
    <w:rsid w:val="00B537A1"/>
    <w:rsid w:val="00B53C72"/>
    <w:rsid w:val="00B53CEF"/>
    <w:rsid w:val="00B54301"/>
    <w:rsid w:val="00B54359"/>
    <w:rsid w:val="00B5440F"/>
    <w:rsid w:val="00B544B1"/>
    <w:rsid w:val="00B54779"/>
    <w:rsid w:val="00B54DEE"/>
    <w:rsid w:val="00B54FC9"/>
    <w:rsid w:val="00B555ED"/>
    <w:rsid w:val="00B5580C"/>
    <w:rsid w:val="00B55DE0"/>
    <w:rsid w:val="00B561D7"/>
    <w:rsid w:val="00B56876"/>
    <w:rsid w:val="00B56CF1"/>
    <w:rsid w:val="00B570A6"/>
    <w:rsid w:val="00B601EA"/>
    <w:rsid w:val="00B60BF7"/>
    <w:rsid w:val="00B619C2"/>
    <w:rsid w:val="00B61C8E"/>
    <w:rsid w:val="00B61E79"/>
    <w:rsid w:val="00B61F26"/>
    <w:rsid w:val="00B6203D"/>
    <w:rsid w:val="00B620E7"/>
    <w:rsid w:val="00B62644"/>
    <w:rsid w:val="00B62A7C"/>
    <w:rsid w:val="00B62DBF"/>
    <w:rsid w:val="00B6335A"/>
    <w:rsid w:val="00B635A4"/>
    <w:rsid w:val="00B63EA1"/>
    <w:rsid w:val="00B64004"/>
    <w:rsid w:val="00B649A2"/>
    <w:rsid w:val="00B649F9"/>
    <w:rsid w:val="00B650C2"/>
    <w:rsid w:val="00B65333"/>
    <w:rsid w:val="00B655B5"/>
    <w:rsid w:val="00B6580E"/>
    <w:rsid w:val="00B65A9C"/>
    <w:rsid w:val="00B6608C"/>
    <w:rsid w:val="00B660BF"/>
    <w:rsid w:val="00B66203"/>
    <w:rsid w:val="00B6635F"/>
    <w:rsid w:val="00B667E8"/>
    <w:rsid w:val="00B668A8"/>
    <w:rsid w:val="00B66996"/>
    <w:rsid w:val="00B672EA"/>
    <w:rsid w:val="00B673FC"/>
    <w:rsid w:val="00B67538"/>
    <w:rsid w:val="00B6753D"/>
    <w:rsid w:val="00B67F5D"/>
    <w:rsid w:val="00B70699"/>
    <w:rsid w:val="00B70759"/>
    <w:rsid w:val="00B70844"/>
    <w:rsid w:val="00B71507"/>
    <w:rsid w:val="00B7174B"/>
    <w:rsid w:val="00B7198E"/>
    <w:rsid w:val="00B71C79"/>
    <w:rsid w:val="00B71E31"/>
    <w:rsid w:val="00B7201F"/>
    <w:rsid w:val="00B7225F"/>
    <w:rsid w:val="00B72563"/>
    <w:rsid w:val="00B72648"/>
    <w:rsid w:val="00B72828"/>
    <w:rsid w:val="00B728C4"/>
    <w:rsid w:val="00B7290D"/>
    <w:rsid w:val="00B7322A"/>
    <w:rsid w:val="00B735D1"/>
    <w:rsid w:val="00B736F5"/>
    <w:rsid w:val="00B73793"/>
    <w:rsid w:val="00B73A28"/>
    <w:rsid w:val="00B73D27"/>
    <w:rsid w:val="00B73E81"/>
    <w:rsid w:val="00B740D8"/>
    <w:rsid w:val="00B7494F"/>
    <w:rsid w:val="00B74A01"/>
    <w:rsid w:val="00B74A3E"/>
    <w:rsid w:val="00B74A7A"/>
    <w:rsid w:val="00B74CE2"/>
    <w:rsid w:val="00B74EC4"/>
    <w:rsid w:val="00B74FCA"/>
    <w:rsid w:val="00B75208"/>
    <w:rsid w:val="00B75916"/>
    <w:rsid w:val="00B75A29"/>
    <w:rsid w:val="00B75A9C"/>
    <w:rsid w:val="00B76193"/>
    <w:rsid w:val="00B763EF"/>
    <w:rsid w:val="00B7657B"/>
    <w:rsid w:val="00B77E16"/>
    <w:rsid w:val="00B77EC7"/>
    <w:rsid w:val="00B802E1"/>
    <w:rsid w:val="00B806DD"/>
    <w:rsid w:val="00B8084D"/>
    <w:rsid w:val="00B8087D"/>
    <w:rsid w:val="00B80C2A"/>
    <w:rsid w:val="00B80CBD"/>
    <w:rsid w:val="00B80EAA"/>
    <w:rsid w:val="00B81071"/>
    <w:rsid w:val="00B813D5"/>
    <w:rsid w:val="00B8174F"/>
    <w:rsid w:val="00B81B08"/>
    <w:rsid w:val="00B81BD0"/>
    <w:rsid w:val="00B81F4F"/>
    <w:rsid w:val="00B8200C"/>
    <w:rsid w:val="00B824A3"/>
    <w:rsid w:val="00B82687"/>
    <w:rsid w:val="00B82920"/>
    <w:rsid w:val="00B83207"/>
    <w:rsid w:val="00B8321C"/>
    <w:rsid w:val="00B8370F"/>
    <w:rsid w:val="00B83727"/>
    <w:rsid w:val="00B84259"/>
    <w:rsid w:val="00B842A4"/>
    <w:rsid w:val="00B85368"/>
    <w:rsid w:val="00B85577"/>
    <w:rsid w:val="00B85EBA"/>
    <w:rsid w:val="00B85EE3"/>
    <w:rsid w:val="00B86161"/>
    <w:rsid w:val="00B86338"/>
    <w:rsid w:val="00B869A2"/>
    <w:rsid w:val="00B86D74"/>
    <w:rsid w:val="00B86D95"/>
    <w:rsid w:val="00B86DE1"/>
    <w:rsid w:val="00B87B46"/>
    <w:rsid w:val="00B87C59"/>
    <w:rsid w:val="00B87F5E"/>
    <w:rsid w:val="00B90481"/>
    <w:rsid w:val="00B90BF4"/>
    <w:rsid w:val="00B90D08"/>
    <w:rsid w:val="00B91091"/>
    <w:rsid w:val="00B91772"/>
    <w:rsid w:val="00B91A74"/>
    <w:rsid w:val="00B91B82"/>
    <w:rsid w:val="00B91F2F"/>
    <w:rsid w:val="00B91F34"/>
    <w:rsid w:val="00B9213A"/>
    <w:rsid w:val="00B922F0"/>
    <w:rsid w:val="00B92354"/>
    <w:rsid w:val="00B92566"/>
    <w:rsid w:val="00B92843"/>
    <w:rsid w:val="00B928B4"/>
    <w:rsid w:val="00B92911"/>
    <w:rsid w:val="00B92CB4"/>
    <w:rsid w:val="00B92EA7"/>
    <w:rsid w:val="00B933EC"/>
    <w:rsid w:val="00B935C1"/>
    <w:rsid w:val="00B93BDF"/>
    <w:rsid w:val="00B94024"/>
    <w:rsid w:val="00B94292"/>
    <w:rsid w:val="00B94762"/>
    <w:rsid w:val="00B9485B"/>
    <w:rsid w:val="00B9490A"/>
    <w:rsid w:val="00B9495B"/>
    <w:rsid w:val="00B94B0A"/>
    <w:rsid w:val="00B950D8"/>
    <w:rsid w:val="00B951CE"/>
    <w:rsid w:val="00B951EB"/>
    <w:rsid w:val="00B952E3"/>
    <w:rsid w:val="00B9540E"/>
    <w:rsid w:val="00B955A1"/>
    <w:rsid w:val="00B9595D"/>
    <w:rsid w:val="00B95D69"/>
    <w:rsid w:val="00B95DDC"/>
    <w:rsid w:val="00B95F9B"/>
    <w:rsid w:val="00B967EC"/>
    <w:rsid w:val="00B9715F"/>
    <w:rsid w:val="00B97239"/>
    <w:rsid w:val="00B9753C"/>
    <w:rsid w:val="00B97935"/>
    <w:rsid w:val="00B97D01"/>
    <w:rsid w:val="00BA0010"/>
    <w:rsid w:val="00BA058F"/>
    <w:rsid w:val="00BA061F"/>
    <w:rsid w:val="00BA089C"/>
    <w:rsid w:val="00BA097A"/>
    <w:rsid w:val="00BA0BFE"/>
    <w:rsid w:val="00BA0E9E"/>
    <w:rsid w:val="00BA1634"/>
    <w:rsid w:val="00BA17A3"/>
    <w:rsid w:val="00BA17CB"/>
    <w:rsid w:val="00BA184B"/>
    <w:rsid w:val="00BA1894"/>
    <w:rsid w:val="00BA19EE"/>
    <w:rsid w:val="00BA1B1D"/>
    <w:rsid w:val="00BA1E82"/>
    <w:rsid w:val="00BA213A"/>
    <w:rsid w:val="00BA21DB"/>
    <w:rsid w:val="00BA2557"/>
    <w:rsid w:val="00BA25F4"/>
    <w:rsid w:val="00BA26D5"/>
    <w:rsid w:val="00BA2A77"/>
    <w:rsid w:val="00BA34FE"/>
    <w:rsid w:val="00BA37C0"/>
    <w:rsid w:val="00BA3B3D"/>
    <w:rsid w:val="00BA43D6"/>
    <w:rsid w:val="00BA4618"/>
    <w:rsid w:val="00BA51F3"/>
    <w:rsid w:val="00BA58BF"/>
    <w:rsid w:val="00BA58F9"/>
    <w:rsid w:val="00BA60C9"/>
    <w:rsid w:val="00BA64F7"/>
    <w:rsid w:val="00BA66B2"/>
    <w:rsid w:val="00BA7C18"/>
    <w:rsid w:val="00BA7CC8"/>
    <w:rsid w:val="00BA7D47"/>
    <w:rsid w:val="00BA7ED4"/>
    <w:rsid w:val="00BB04A6"/>
    <w:rsid w:val="00BB07D7"/>
    <w:rsid w:val="00BB07E0"/>
    <w:rsid w:val="00BB08B0"/>
    <w:rsid w:val="00BB0B64"/>
    <w:rsid w:val="00BB0DCF"/>
    <w:rsid w:val="00BB0F9F"/>
    <w:rsid w:val="00BB16C6"/>
    <w:rsid w:val="00BB1851"/>
    <w:rsid w:val="00BB2581"/>
    <w:rsid w:val="00BB25AC"/>
    <w:rsid w:val="00BB291E"/>
    <w:rsid w:val="00BB2AE2"/>
    <w:rsid w:val="00BB2DA8"/>
    <w:rsid w:val="00BB36DE"/>
    <w:rsid w:val="00BB383A"/>
    <w:rsid w:val="00BB393A"/>
    <w:rsid w:val="00BB3BA4"/>
    <w:rsid w:val="00BB4613"/>
    <w:rsid w:val="00BB49C3"/>
    <w:rsid w:val="00BB4E1A"/>
    <w:rsid w:val="00BB4EDB"/>
    <w:rsid w:val="00BB5F01"/>
    <w:rsid w:val="00BB60A5"/>
    <w:rsid w:val="00BB6150"/>
    <w:rsid w:val="00BB793E"/>
    <w:rsid w:val="00BB7B3C"/>
    <w:rsid w:val="00BC02B9"/>
    <w:rsid w:val="00BC0336"/>
    <w:rsid w:val="00BC0433"/>
    <w:rsid w:val="00BC0D14"/>
    <w:rsid w:val="00BC0D4D"/>
    <w:rsid w:val="00BC1EA5"/>
    <w:rsid w:val="00BC1FCA"/>
    <w:rsid w:val="00BC2289"/>
    <w:rsid w:val="00BC2423"/>
    <w:rsid w:val="00BC2E90"/>
    <w:rsid w:val="00BC307C"/>
    <w:rsid w:val="00BC338E"/>
    <w:rsid w:val="00BC33D8"/>
    <w:rsid w:val="00BC3552"/>
    <w:rsid w:val="00BC3557"/>
    <w:rsid w:val="00BC3716"/>
    <w:rsid w:val="00BC432F"/>
    <w:rsid w:val="00BC4CC8"/>
    <w:rsid w:val="00BC4D3E"/>
    <w:rsid w:val="00BC50FD"/>
    <w:rsid w:val="00BC5338"/>
    <w:rsid w:val="00BC5731"/>
    <w:rsid w:val="00BC5B3E"/>
    <w:rsid w:val="00BC660B"/>
    <w:rsid w:val="00BC6E79"/>
    <w:rsid w:val="00BC716A"/>
    <w:rsid w:val="00BC71E8"/>
    <w:rsid w:val="00BC73B6"/>
    <w:rsid w:val="00BC759D"/>
    <w:rsid w:val="00BC7745"/>
    <w:rsid w:val="00BC78FF"/>
    <w:rsid w:val="00BC7AB6"/>
    <w:rsid w:val="00BC7EC5"/>
    <w:rsid w:val="00BD0408"/>
    <w:rsid w:val="00BD0770"/>
    <w:rsid w:val="00BD0886"/>
    <w:rsid w:val="00BD0977"/>
    <w:rsid w:val="00BD0D3E"/>
    <w:rsid w:val="00BD0FD5"/>
    <w:rsid w:val="00BD112F"/>
    <w:rsid w:val="00BD1202"/>
    <w:rsid w:val="00BD15CE"/>
    <w:rsid w:val="00BD17DF"/>
    <w:rsid w:val="00BD1D0A"/>
    <w:rsid w:val="00BD1F43"/>
    <w:rsid w:val="00BD2319"/>
    <w:rsid w:val="00BD2355"/>
    <w:rsid w:val="00BD2487"/>
    <w:rsid w:val="00BD24DF"/>
    <w:rsid w:val="00BD27F8"/>
    <w:rsid w:val="00BD2818"/>
    <w:rsid w:val="00BD2CFE"/>
    <w:rsid w:val="00BD3048"/>
    <w:rsid w:val="00BD30B2"/>
    <w:rsid w:val="00BD32E9"/>
    <w:rsid w:val="00BD34B7"/>
    <w:rsid w:val="00BD36AF"/>
    <w:rsid w:val="00BD3A63"/>
    <w:rsid w:val="00BD3DC3"/>
    <w:rsid w:val="00BD3EB4"/>
    <w:rsid w:val="00BD3F2E"/>
    <w:rsid w:val="00BD3FEB"/>
    <w:rsid w:val="00BD4074"/>
    <w:rsid w:val="00BD4719"/>
    <w:rsid w:val="00BD4B09"/>
    <w:rsid w:val="00BD4BFC"/>
    <w:rsid w:val="00BD4CBD"/>
    <w:rsid w:val="00BD4CEC"/>
    <w:rsid w:val="00BD4F61"/>
    <w:rsid w:val="00BD5050"/>
    <w:rsid w:val="00BD50D0"/>
    <w:rsid w:val="00BD54ED"/>
    <w:rsid w:val="00BD58A3"/>
    <w:rsid w:val="00BD5A30"/>
    <w:rsid w:val="00BD5B00"/>
    <w:rsid w:val="00BD6745"/>
    <w:rsid w:val="00BD67DE"/>
    <w:rsid w:val="00BD684B"/>
    <w:rsid w:val="00BD6AC0"/>
    <w:rsid w:val="00BD6B22"/>
    <w:rsid w:val="00BD7112"/>
    <w:rsid w:val="00BD7295"/>
    <w:rsid w:val="00BD777C"/>
    <w:rsid w:val="00BD7869"/>
    <w:rsid w:val="00BD7ADC"/>
    <w:rsid w:val="00BD7DAB"/>
    <w:rsid w:val="00BE0225"/>
    <w:rsid w:val="00BE0251"/>
    <w:rsid w:val="00BE029A"/>
    <w:rsid w:val="00BE063D"/>
    <w:rsid w:val="00BE0820"/>
    <w:rsid w:val="00BE0964"/>
    <w:rsid w:val="00BE0D73"/>
    <w:rsid w:val="00BE0E22"/>
    <w:rsid w:val="00BE11EC"/>
    <w:rsid w:val="00BE1230"/>
    <w:rsid w:val="00BE1761"/>
    <w:rsid w:val="00BE21B7"/>
    <w:rsid w:val="00BE26B2"/>
    <w:rsid w:val="00BE2A2C"/>
    <w:rsid w:val="00BE32A5"/>
    <w:rsid w:val="00BE3414"/>
    <w:rsid w:val="00BE3893"/>
    <w:rsid w:val="00BE3A2F"/>
    <w:rsid w:val="00BE3E45"/>
    <w:rsid w:val="00BE3F28"/>
    <w:rsid w:val="00BE3F2B"/>
    <w:rsid w:val="00BE4240"/>
    <w:rsid w:val="00BE48B0"/>
    <w:rsid w:val="00BE4C36"/>
    <w:rsid w:val="00BE5078"/>
    <w:rsid w:val="00BE5150"/>
    <w:rsid w:val="00BE5310"/>
    <w:rsid w:val="00BE533A"/>
    <w:rsid w:val="00BE54A4"/>
    <w:rsid w:val="00BE569D"/>
    <w:rsid w:val="00BE5A42"/>
    <w:rsid w:val="00BE5EEC"/>
    <w:rsid w:val="00BE6589"/>
    <w:rsid w:val="00BE6B62"/>
    <w:rsid w:val="00BE6C5B"/>
    <w:rsid w:val="00BE6EF9"/>
    <w:rsid w:val="00BE6FC7"/>
    <w:rsid w:val="00BE73DF"/>
    <w:rsid w:val="00BE75C3"/>
    <w:rsid w:val="00BE774D"/>
    <w:rsid w:val="00BF05A8"/>
    <w:rsid w:val="00BF0643"/>
    <w:rsid w:val="00BF12A8"/>
    <w:rsid w:val="00BF1551"/>
    <w:rsid w:val="00BF16D0"/>
    <w:rsid w:val="00BF186E"/>
    <w:rsid w:val="00BF1CF7"/>
    <w:rsid w:val="00BF25EB"/>
    <w:rsid w:val="00BF264E"/>
    <w:rsid w:val="00BF270D"/>
    <w:rsid w:val="00BF2A6C"/>
    <w:rsid w:val="00BF35E2"/>
    <w:rsid w:val="00BF36B3"/>
    <w:rsid w:val="00BF3A91"/>
    <w:rsid w:val="00BF3BDA"/>
    <w:rsid w:val="00BF3EA8"/>
    <w:rsid w:val="00BF4567"/>
    <w:rsid w:val="00BF468F"/>
    <w:rsid w:val="00BF469C"/>
    <w:rsid w:val="00BF4F56"/>
    <w:rsid w:val="00BF51E1"/>
    <w:rsid w:val="00BF5464"/>
    <w:rsid w:val="00BF55B6"/>
    <w:rsid w:val="00BF5C23"/>
    <w:rsid w:val="00BF5F36"/>
    <w:rsid w:val="00BF670A"/>
    <w:rsid w:val="00BF6782"/>
    <w:rsid w:val="00BF7620"/>
    <w:rsid w:val="00BF7794"/>
    <w:rsid w:val="00BF792F"/>
    <w:rsid w:val="00BF7A2F"/>
    <w:rsid w:val="00C001EF"/>
    <w:rsid w:val="00C001FD"/>
    <w:rsid w:val="00C0038E"/>
    <w:rsid w:val="00C0045A"/>
    <w:rsid w:val="00C00927"/>
    <w:rsid w:val="00C00CFE"/>
    <w:rsid w:val="00C0168D"/>
    <w:rsid w:val="00C01D45"/>
    <w:rsid w:val="00C01EF6"/>
    <w:rsid w:val="00C0214B"/>
    <w:rsid w:val="00C02CEF"/>
    <w:rsid w:val="00C02E02"/>
    <w:rsid w:val="00C0305D"/>
    <w:rsid w:val="00C035AF"/>
    <w:rsid w:val="00C03625"/>
    <w:rsid w:val="00C0383E"/>
    <w:rsid w:val="00C03989"/>
    <w:rsid w:val="00C03B27"/>
    <w:rsid w:val="00C04230"/>
    <w:rsid w:val="00C0446E"/>
    <w:rsid w:val="00C045B2"/>
    <w:rsid w:val="00C04751"/>
    <w:rsid w:val="00C04958"/>
    <w:rsid w:val="00C049FB"/>
    <w:rsid w:val="00C04A14"/>
    <w:rsid w:val="00C05749"/>
    <w:rsid w:val="00C06174"/>
    <w:rsid w:val="00C06727"/>
    <w:rsid w:val="00C07B82"/>
    <w:rsid w:val="00C07E20"/>
    <w:rsid w:val="00C10209"/>
    <w:rsid w:val="00C10293"/>
    <w:rsid w:val="00C10469"/>
    <w:rsid w:val="00C10583"/>
    <w:rsid w:val="00C10693"/>
    <w:rsid w:val="00C10A03"/>
    <w:rsid w:val="00C10C95"/>
    <w:rsid w:val="00C10D93"/>
    <w:rsid w:val="00C11059"/>
    <w:rsid w:val="00C1127F"/>
    <w:rsid w:val="00C1167F"/>
    <w:rsid w:val="00C1172E"/>
    <w:rsid w:val="00C117F0"/>
    <w:rsid w:val="00C11847"/>
    <w:rsid w:val="00C1245A"/>
    <w:rsid w:val="00C127AC"/>
    <w:rsid w:val="00C129EF"/>
    <w:rsid w:val="00C12AB9"/>
    <w:rsid w:val="00C12EF1"/>
    <w:rsid w:val="00C13A5D"/>
    <w:rsid w:val="00C13A66"/>
    <w:rsid w:val="00C13AFF"/>
    <w:rsid w:val="00C14248"/>
    <w:rsid w:val="00C148D7"/>
    <w:rsid w:val="00C14970"/>
    <w:rsid w:val="00C15A11"/>
    <w:rsid w:val="00C15A30"/>
    <w:rsid w:val="00C15A3D"/>
    <w:rsid w:val="00C15EAF"/>
    <w:rsid w:val="00C15EB5"/>
    <w:rsid w:val="00C15F87"/>
    <w:rsid w:val="00C16112"/>
    <w:rsid w:val="00C1619D"/>
    <w:rsid w:val="00C16498"/>
    <w:rsid w:val="00C16995"/>
    <w:rsid w:val="00C17299"/>
    <w:rsid w:val="00C174AA"/>
    <w:rsid w:val="00C17A73"/>
    <w:rsid w:val="00C20A36"/>
    <w:rsid w:val="00C20AFC"/>
    <w:rsid w:val="00C20D17"/>
    <w:rsid w:val="00C20D68"/>
    <w:rsid w:val="00C2119E"/>
    <w:rsid w:val="00C2160C"/>
    <w:rsid w:val="00C21A63"/>
    <w:rsid w:val="00C21FE9"/>
    <w:rsid w:val="00C22224"/>
    <w:rsid w:val="00C22255"/>
    <w:rsid w:val="00C222DE"/>
    <w:rsid w:val="00C22774"/>
    <w:rsid w:val="00C22D98"/>
    <w:rsid w:val="00C22DEC"/>
    <w:rsid w:val="00C23202"/>
    <w:rsid w:val="00C23477"/>
    <w:rsid w:val="00C235D7"/>
    <w:rsid w:val="00C2456C"/>
    <w:rsid w:val="00C24A58"/>
    <w:rsid w:val="00C24D43"/>
    <w:rsid w:val="00C24DC9"/>
    <w:rsid w:val="00C2526A"/>
    <w:rsid w:val="00C252AC"/>
    <w:rsid w:val="00C2588C"/>
    <w:rsid w:val="00C25C15"/>
    <w:rsid w:val="00C25CCC"/>
    <w:rsid w:val="00C2644B"/>
    <w:rsid w:val="00C2652A"/>
    <w:rsid w:val="00C265DE"/>
    <w:rsid w:val="00C267E3"/>
    <w:rsid w:val="00C268DD"/>
    <w:rsid w:val="00C269AE"/>
    <w:rsid w:val="00C269F1"/>
    <w:rsid w:val="00C269F4"/>
    <w:rsid w:val="00C26D09"/>
    <w:rsid w:val="00C26E1B"/>
    <w:rsid w:val="00C26E40"/>
    <w:rsid w:val="00C26FE5"/>
    <w:rsid w:val="00C27708"/>
    <w:rsid w:val="00C27C15"/>
    <w:rsid w:val="00C27E98"/>
    <w:rsid w:val="00C27FC5"/>
    <w:rsid w:val="00C30159"/>
    <w:rsid w:val="00C305B1"/>
    <w:rsid w:val="00C30958"/>
    <w:rsid w:val="00C30D3B"/>
    <w:rsid w:val="00C31543"/>
    <w:rsid w:val="00C31A2B"/>
    <w:rsid w:val="00C31A5D"/>
    <w:rsid w:val="00C31F31"/>
    <w:rsid w:val="00C320D6"/>
    <w:rsid w:val="00C32134"/>
    <w:rsid w:val="00C325CC"/>
    <w:rsid w:val="00C33493"/>
    <w:rsid w:val="00C33661"/>
    <w:rsid w:val="00C3389D"/>
    <w:rsid w:val="00C33DF4"/>
    <w:rsid w:val="00C342EE"/>
    <w:rsid w:val="00C34439"/>
    <w:rsid w:val="00C34550"/>
    <w:rsid w:val="00C34741"/>
    <w:rsid w:val="00C34B5F"/>
    <w:rsid w:val="00C35270"/>
    <w:rsid w:val="00C3539E"/>
    <w:rsid w:val="00C356F9"/>
    <w:rsid w:val="00C359C9"/>
    <w:rsid w:val="00C3612A"/>
    <w:rsid w:val="00C36726"/>
    <w:rsid w:val="00C371BA"/>
    <w:rsid w:val="00C3738E"/>
    <w:rsid w:val="00C3740F"/>
    <w:rsid w:val="00C3782F"/>
    <w:rsid w:val="00C37A02"/>
    <w:rsid w:val="00C40581"/>
    <w:rsid w:val="00C40A92"/>
    <w:rsid w:val="00C40AE4"/>
    <w:rsid w:val="00C40B0B"/>
    <w:rsid w:val="00C41089"/>
    <w:rsid w:val="00C4182B"/>
    <w:rsid w:val="00C41B42"/>
    <w:rsid w:val="00C42751"/>
    <w:rsid w:val="00C42A06"/>
    <w:rsid w:val="00C4313A"/>
    <w:rsid w:val="00C4374D"/>
    <w:rsid w:val="00C43985"/>
    <w:rsid w:val="00C43BFF"/>
    <w:rsid w:val="00C43E99"/>
    <w:rsid w:val="00C44093"/>
    <w:rsid w:val="00C44288"/>
    <w:rsid w:val="00C44312"/>
    <w:rsid w:val="00C4440A"/>
    <w:rsid w:val="00C44A70"/>
    <w:rsid w:val="00C44F88"/>
    <w:rsid w:val="00C4525A"/>
    <w:rsid w:val="00C45A66"/>
    <w:rsid w:val="00C45B48"/>
    <w:rsid w:val="00C45FA1"/>
    <w:rsid w:val="00C464DA"/>
    <w:rsid w:val="00C46585"/>
    <w:rsid w:val="00C465BC"/>
    <w:rsid w:val="00C467E0"/>
    <w:rsid w:val="00C46A82"/>
    <w:rsid w:val="00C46BC2"/>
    <w:rsid w:val="00C46FF1"/>
    <w:rsid w:val="00C47174"/>
    <w:rsid w:val="00C47456"/>
    <w:rsid w:val="00C476D0"/>
    <w:rsid w:val="00C47A07"/>
    <w:rsid w:val="00C47B09"/>
    <w:rsid w:val="00C508D7"/>
    <w:rsid w:val="00C50ABD"/>
    <w:rsid w:val="00C50B1C"/>
    <w:rsid w:val="00C50BD9"/>
    <w:rsid w:val="00C510AB"/>
    <w:rsid w:val="00C514A2"/>
    <w:rsid w:val="00C516F3"/>
    <w:rsid w:val="00C51990"/>
    <w:rsid w:val="00C52085"/>
    <w:rsid w:val="00C5216E"/>
    <w:rsid w:val="00C523BD"/>
    <w:rsid w:val="00C524A1"/>
    <w:rsid w:val="00C526A6"/>
    <w:rsid w:val="00C5279E"/>
    <w:rsid w:val="00C52E4B"/>
    <w:rsid w:val="00C531A3"/>
    <w:rsid w:val="00C534E1"/>
    <w:rsid w:val="00C53812"/>
    <w:rsid w:val="00C54017"/>
    <w:rsid w:val="00C54223"/>
    <w:rsid w:val="00C544E5"/>
    <w:rsid w:val="00C5474A"/>
    <w:rsid w:val="00C54E12"/>
    <w:rsid w:val="00C54FAD"/>
    <w:rsid w:val="00C54FF5"/>
    <w:rsid w:val="00C550FD"/>
    <w:rsid w:val="00C55341"/>
    <w:rsid w:val="00C559EC"/>
    <w:rsid w:val="00C55EE6"/>
    <w:rsid w:val="00C5672F"/>
    <w:rsid w:val="00C569D7"/>
    <w:rsid w:val="00C56CEA"/>
    <w:rsid w:val="00C5723E"/>
    <w:rsid w:val="00C57BD2"/>
    <w:rsid w:val="00C57E6A"/>
    <w:rsid w:val="00C60299"/>
    <w:rsid w:val="00C604D7"/>
    <w:rsid w:val="00C60722"/>
    <w:rsid w:val="00C60962"/>
    <w:rsid w:val="00C6096C"/>
    <w:rsid w:val="00C60EC4"/>
    <w:rsid w:val="00C61628"/>
    <w:rsid w:val="00C61806"/>
    <w:rsid w:val="00C61A51"/>
    <w:rsid w:val="00C61C68"/>
    <w:rsid w:val="00C61D81"/>
    <w:rsid w:val="00C620B2"/>
    <w:rsid w:val="00C6227B"/>
    <w:rsid w:val="00C6239E"/>
    <w:rsid w:val="00C624D0"/>
    <w:rsid w:val="00C62BE4"/>
    <w:rsid w:val="00C62C39"/>
    <w:rsid w:val="00C62C92"/>
    <w:rsid w:val="00C63099"/>
    <w:rsid w:val="00C63306"/>
    <w:rsid w:val="00C6367C"/>
    <w:rsid w:val="00C63886"/>
    <w:rsid w:val="00C63AC6"/>
    <w:rsid w:val="00C63FE5"/>
    <w:rsid w:val="00C64286"/>
    <w:rsid w:val="00C64456"/>
    <w:rsid w:val="00C644BF"/>
    <w:rsid w:val="00C646B7"/>
    <w:rsid w:val="00C64A91"/>
    <w:rsid w:val="00C64C4D"/>
    <w:rsid w:val="00C65468"/>
    <w:rsid w:val="00C6598C"/>
    <w:rsid w:val="00C65BB3"/>
    <w:rsid w:val="00C6603F"/>
    <w:rsid w:val="00C6624D"/>
    <w:rsid w:val="00C66BFE"/>
    <w:rsid w:val="00C66C47"/>
    <w:rsid w:val="00C66DFD"/>
    <w:rsid w:val="00C66FE3"/>
    <w:rsid w:val="00C6715B"/>
    <w:rsid w:val="00C678EB"/>
    <w:rsid w:val="00C67DF9"/>
    <w:rsid w:val="00C70151"/>
    <w:rsid w:val="00C70295"/>
    <w:rsid w:val="00C702F9"/>
    <w:rsid w:val="00C706E5"/>
    <w:rsid w:val="00C70783"/>
    <w:rsid w:val="00C71231"/>
    <w:rsid w:val="00C717E5"/>
    <w:rsid w:val="00C718CD"/>
    <w:rsid w:val="00C71BE9"/>
    <w:rsid w:val="00C7209E"/>
    <w:rsid w:val="00C721BB"/>
    <w:rsid w:val="00C721C9"/>
    <w:rsid w:val="00C7276F"/>
    <w:rsid w:val="00C72B26"/>
    <w:rsid w:val="00C73150"/>
    <w:rsid w:val="00C73ED1"/>
    <w:rsid w:val="00C74120"/>
    <w:rsid w:val="00C744C9"/>
    <w:rsid w:val="00C747CD"/>
    <w:rsid w:val="00C74B26"/>
    <w:rsid w:val="00C74C64"/>
    <w:rsid w:val="00C75102"/>
    <w:rsid w:val="00C754E0"/>
    <w:rsid w:val="00C7585B"/>
    <w:rsid w:val="00C75B56"/>
    <w:rsid w:val="00C75E0E"/>
    <w:rsid w:val="00C75EC4"/>
    <w:rsid w:val="00C760F3"/>
    <w:rsid w:val="00C761A9"/>
    <w:rsid w:val="00C769AA"/>
    <w:rsid w:val="00C76A43"/>
    <w:rsid w:val="00C76CB4"/>
    <w:rsid w:val="00C76E03"/>
    <w:rsid w:val="00C76FBE"/>
    <w:rsid w:val="00C779BC"/>
    <w:rsid w:val="00C80863"/>
    <w:rsid w:val="00C808C1"/>
    <w:rsid w:val="00C808F8"/>
    <w:rsid w:val="00C80B72"/>
    <w:rsid w:val="00C8158C"/>
    <w:rsid w:val="00C817D6"/>
    <w:rsid w:val="00C81A82"/>
    <w:rsid w:val="00C8230F"/>
    <w:rsid w:val="00C82D0C"/>
    <w:rsid w:val="00C82E1B"/>
    <w:rsid w:val="00C83164"/>
    <w:rsid w:val="00C83217"/>
    <w:rsid w:val="00C837E1"/>
    <w:rsid w:val="00C837F0"/>
    <w:rsid w:val="00C839B2"/>
    <w:rsid w:val="00C83D13"/>
    <w:rsid w:val="00C84407"/>
    <w:rsid w:val="00C847B4"/>
    <w:rsid w:val="00C84825"/>
    <w:rsid w:val="00C84B6B"/>
    <w:rsid w:val="00C84C0B"/>
    <w:rsid w:val="00C85275"/>
    <w:rsid w:val="00C85367"/>
    <w:rsid w:val="00C853CC"/>
    <w:rsid w:val="00C855C0"/>
    <w:rsid w:val="00C85A8F"/>
    <w:rsid w:val="00C8606C"/>
    <w:rsid w:val="00C8615D"/>
    <w:rsid w:val="00C86339"/>
    <w:rsid w:val="00C86A59"/>
    <w:rsid w:val="00C86D05"/>
    <w:rsid w:val="00C86D2E"/>
    <w:rsid w:val="00C86D67"/>
    <w:rsid w:val="00C87080"/>
    <w:rsid w:val="00C87417"/>
    <w:rsid w:val="00C87919"/>
    <w:rsid w:val="00C879F1"/>
    <w:rsid w:val="00C87A9B"/>
    <w:rsid w:val="00C87C75"/>
    <w:rsid w:val="00C902F7"/>
    <w:rsid w:val="00C90441"/>
    <w:rsid w:val="00C904CF"/>
    <w:rsid w:val="00C90548"/>
    <w:rsid w:val="00C90A20"/>
    <w:rsid w:val="00C90B3B"/>
    <w:rsid w:val="00C90B7F"/>
    <w:rsid w:val="00C90EBB"/>
    <w:rsid w:val="00C90F39"/>
    <w:rsid w:val="00C91686"/>
    <w:rsid w:val="00C919A8"/>
    <w:rsid w:val="00C91DE7"/>
    <w:rsid w:val="00C91F33"/>
    <w:rsid w:val="00C92095"/>
    <w:rsid w:val="00C92230"/>
    <w:rsid w:val="00C92515"/>
    <w:rsid w:val="00C92FCC"/>
    <w:rsid w:val="00C93266"/>
    <w:rsid w:val="00C949EF"/>
    <w:rsid w:val="00C94E2D"/>
    <w:rsid w:val="00C954A4"/>
    <w:rsid w:val="00C95AC9"/>
    <w:rsid w:val="00C95BCB"/>
    <w:rsid w:val="00C95BFF"/>
    <w:rsid w:val="00C970A6"/>
    <w:rsid w:val="00C971AD"/>
    <w:rsid w:val="00C9732C"/>
    <w:rsid w:val="00C97388"/>
    <w:rsid w:val="00C974D4"/>
    <w:rsid w:val="00C9756D"/>
    <w:rsid w:val="00C976DA"/>
    <w:rsid w:val="00C97ADA"/>
    <w:rsid w:val="00C97E39"/>
    <w:rsid w:val="00CA0901"/>
    <w:rsid w:val="00CA1A31"/>
    <w:rsid w:val="00CA1CD4"/>
    <w:rsid w:val="00CA2259"/>
    <w:rsid w:val="00CA225A"/>
    <w:rsid w:val="00CA28B5"/>
    <w:rsid w:val="00CA324C"/>
    <w:rsid w:val="00CA3559"/>
    <w:rsid w:val="00CA3D49"/>
    <w:rsid w:val="00CA44B3"/>
    <w:rsid w:val="00CA4A08"/>
    <w:rsid w:val="00CA4B9C"/>
    <w:rsid w:val="00CA5502"/>
    <w:rsid w:val="00CA567A"/>
    <w:rsid w:val="00CA5C35"/>
    <w:rsid w:val="00CA6ACC"/>
    <w:rsid w:val="00CA73D7"/>
    <w:rsid w:val="00CA7733"/>
    <w:rsid w:val="00CA7ACB"/>
    <w:rsid w:val="00CB0D25"/>
    <w:rsid w:val="00CB0E1E"/>
    <w:rsid w:val="00CB100E"/>
    <w:rsid w:val="00CB10D7"/>
    <w:rsid w:val="00CB166A"/>
    <w:rsid w:val="00CB1863"/>
    <w:rsid w:val="00CB1ED3"/>
    <w:rsid w:val="00CB20B0"/>
    <w:rsid w:val="00CB22C5"/>
    <w:rsid w:val="00CB2555"/>
    <w:rsid w:val="00CB2673"/>
    <w:rsid w:val="00CB27A3"/>
    <w:rsid w:val="00CB2C68"/>
    <w:rsid w:val="00CB369B"/>
    <w:rsid w:val="00CB3727"/>
    <w:rsid w:val="00CB3942"/>
    <w:rsid w:val="00CB3BD4"/>
    <w:rsid w:val="00CB49DD"/>
    <w:rsid w:val="00CB4EB8"/>
    <w:rsid w:val="00CB5568"/>
    <w:rsid w:val="00CB5AF4"/>
    <w:rsid w:val="00CB5C32"/>
    <w:rsid w:val="00CB5CD3"/>
    <w:rsid w:val="00CB5E57"/>
    <w:rsid w:val="00CB6568"/>
    <w:rsid w:val="00CB68D9"/>
    <w:rsid w:val="00CB6BE6"/>
    <w:rsid w:val="00CB6D19"/>
    <w:rsid w:val="00CB6D2A"/>
    <w:rsid w:val="00CB7464"/>
    <w:rsid w:val="00CB759F"/>
    <w:rsid w:val="00CB7A6F"/>
    <w:rsid w:val="00CB7AA3"/>
    <w:rsid w:val="00CB7FD9"/>
    <w:rsid w:val="00CC0AB4"/>
    <w:rsid w:val="00CC0D8E"/>
    <w:rsid w:val="00CC0DB4"/>
    <w:rsid w:val="00CC2211"/>
    <w:rsid w:val="00CC246D"/>
    <w:rsid w:val="00CC253D"/>
    <w:rsid w:val="00CC2652"/>
    <w:rsid w:val="00CC292C"/>
    <w:rsid w:val="00CC2FB5"/>
    <w:rsid w:val="00CC31D0"/>
    <w:rsid w:val="00CC3244"/>
    <w:rsid w:val="00CC3384"/>
    <w:rsid w:val="00CC3450"/>
    <w:rsid w:val="00CC3EFF"/>
    <w:rsid w:val="00CC4C84"/>
    <w:rsid w:val="00CC4CA6"/>
    <w:rsid w:val="00CC5144"/>
    <w:rsid w:val="00CC5599"/>
    <w:rsid w:val="00CC5691"/>
    <w:rsid w:val="00CC587E"/>
    <w:rsid w:val="00CC5999"/>
    <w:rsid w:val="00CC620E"/>
    <w:rsid w:val="00CC6B80"/>
    <w:rsid w:val="00CC6E57"/>
    <w:rsid w:val="00CC6E95"/>
    <w:rsid w:val="00CC723C"/>
    <w:rsid w:val="00CC7315"/>
    <w:rsid w:val="00CC75F9"/>
    <w:rsid w:val="00CC7697"/>
    <w:rsid w:val="00CC7750"/>
    <w:rsid w:val="00CC7802"/>
    <w:rsid w:val="00CC7A39"/>
    <w:rsid w:val="00CD00DF"/>
    <w:rsid w:val="00CD03D4"/>
    <w:rsid w:val="00CD0474"/>
    <w:rsid w:val="00CD0695"/>
    <w:rsid w:val="00CD06DE"/>
    <w:rsid w:val="00CD0867"/>
    <w:rsid w:val="00CD09A4"/>
    <w:rsid w:val="00CD0E65"/>
    <w:rsid w:val="00CD10F7"/>
    <w:rsid w:val="00CD1D53"/>
    <w:rsid w:val="00CD2020"/>
    <w:rsid w:val="00CD229A"/>
    <w:rsid w:val="00CD2389"/>
    <w:rsid w:val="00CD29D5"/>
    <w:rsid w:val="00CD2BF7"/>
    <w:rsid w:val="00CD3191"/>
    <w:rsid w:val="00CD3234"/>
    <w:rsid w:val="00CD3475"/>
    <w:rsid w:val="00CD3658"/>
    <w:rsid w:val="00CD4019"/>
    <w:rsid w:val="00CD409D"/>
    <w:rsid w:val="00CD4775"/>
    <w:rsid w:val="00CD4AE6"/>
    <w:rsid w:val="00CD4B38"/>
    <w:rsid w:val="00CD4C52"/>
    <w:rsid w:val="00CD534A"/>
    <w:rsid w:val="00CD53ED"/>
    <w:rsid w:val="00CD5819"/>
    <w:rsid w:val="00CD582C"/>
    <w:rsid w:val="00CD5A84"/>
    <w:rsid w:val="00CD5C2C"/>
    <w:rsid w:val="00CD60F2"/>
    <w:rsid w:val="00CD68DE"/>
    <w:rsid w:val="00CD6F01"/>
    <w:rsid w:val="00CD70E8"/>
    <w:rsid w:val="00CD74C7"/>
    <w:rsid w:val="00CD7610"/>
    <w:rsid w:val="00CD774A"/>
    <w:rsid w:val="00CD7845"/>
    <w:rsid w:val="00CD788E"/>
    <w:rsid w:val="00CD7C39"/>
    <w:rsid w:val="00CE00B6"/>
    <w:rsid w:val="00CE06E9"/>
    <w:rsid w:val="00CE09E6"/>
    <w:rsid w:val="00CE0F85"/>
    <w:rsid w:val="00CE119C"/>
    <w:rsid w:val="00CE1C95"/>
    <w:rsid w:val="00CE2000"/>
    <w:rsid w:val="00CE229E"/>
    <w:rsid w:val="00CE26B3"/>
    <w:rsid w:val="00CE28AA"/>
    <w:rsid w:val="00CE344F"/>
    <w:rsid w:val="00CE3EAA"/>
    <w:rsid w:val="00CE4B95"/>
    <w:rsid w:val="00CE4FA2"/>
    <w:rsid w:val="00CE5192"/>
    <w:rsid w:val="00CE52BD"/>
    <w:rsid w:val="00CE547E"/>
    <w:rsid w:val="00CE577D"/>
    <w:rsid w:val="00CE58E8"/>
    <w:rsid w:val="00CE5B08"/>
    <w:rsid w:val="00CE5F5B"/>
    <w:rsid w:val="00CE61C0"/>
    <w:rsid w:val="00CE642A"/>
    <w:rsid w:val="00CE670D"/>
    <w:rsid w:val="00CE68CE"/>
    <w:rsid w:val="00CE69C7"/>
    <w:rsid w:val="00CE70ED"/>
    <w:rsid w:val="00CE71A8"/>
    <w:rsid w:val="00CE72C7"/>
    <w:rsid w:val="00CE7984"/>
    <w:rsid w:val="00CF02D1"/>
    <w:rsid w:val="00CF0486"/>
    <w:rsid w:val="00CF062A"/>
    <w:rsid w:val="00CF076F"/>
    <w:rsid w:val="00CF11B3"/>
    <w:rsid w:val="00CF1579"/>
    <w:rsid w:val="00CF2295"/>
    <w:rsid w:val="00CF24C5"/>
    <w:rsid w:val="00CF2577"/>
    <w:rsid w:val="00CF2721"/>
    <w:rsid w:val="00CF2B9A"/>
    <w:rsid w:val="00CF2BC0"/>
    <w:rsid w:val="00CF2C69"/>
    <w:rsid w:val="00CF3967"/>
    <w:rsid w:val="00CF3AB6"/>
    <w:rsid w:val="00CF456C"/>
    <w:rsid w:val="00CF49A5"/>
    <w:rsid w:val="00CF5475"/>
    <w:rsid w:val="00CF55FA"/>
    <w:rsid w:val="00CF5823"/>
    <w:rsid w:val="00CF5B4E"/>
    <w:rsid w:val="00CF5C83"/>
    <w:rsid w:val="00CF5DEA"/>
    <w:rsid w:val="00CF5DEB"/>
    <w:rsid w:val="00CF5DF7"/>
    <w:rsid w:val="00CF5EB0"/>
    <w:rsid w:val="00CF6143"/>
    <w:rsid w:val="00CF6793"/>
    <w:rsid w:val="00CF68DE"/>
    <w:rsid w:val="00CF698D"/>
    <w:rsid w:val="00CF6A71"/>
    <w:rsid w:val="00CF6B21"/>
    <w:rsid w:val="00CF6F3B"/>
    <w:rsid w:val="00CF6FB6"/>
    <w:rsid w:val="00CF7129"/>
    <w:rsid w:val="00CF72E9"/>
    <w:rsid w:val="00CF74E2"/>
    <w:rsid w:val="00CF7531"/>
    <w:rsid w:val="00D001BF"/>
    <w:rsid w:val="00D00D7E"/>
    <w:rsid w:val="00D00E9B"/>
    <w:rsid w:val="00D0129C"/>
    <w:rsid w:val="00D013D0"/>
    <w:rsid w:val="00D01A49"/>
    <w:rsid w:val="00D01B87"/>
    <w:rsid w:val="00D022C4"/>
    <w:rsid w:val="00D02493"/>
    <w:rsid w:val="00D025A2"/>
    <w:rsid w:val="00D02798"/>
    <w:rsid w:val="00D0282D"/>
    <w:rsid w:val="00D02D5E"/>
    <w:rsid w:val="00D02FFA"/>
    <w:rsid w:val="00D03026"/>
    <w:rsid w:val="00D0315E"/>
    <w:rsid w:val="00D0330D"/>
    <w:rsid w:val="00D0379C"/>
    <w:rsid w:val="00D03965"/>
    <w:rsid w:val="00D03C0F"/>
    <w:rsid w:val="00D0485D"/>
    <w:rsid w:val="00D04878"/>
    <w:rsid w:val="00D04B85"/>
    <w:rsid w:val="00D04C63"/>
    <w:rsid w:val="00D04E11"/>
    <w:rsid w:val="00D05AA8"/>
    <w:rsid w:val="00D067F0"/>
    <w:rsid w:val="00D06ADA"/>
    <w:rsid w:val="00D06F8F"/>
    <w:rsid w:val="00D076D7"/>
    <w:rsid w:val="00D078B4"/>
    <w:rsid w:val="00D07DCA"/>
    <w:rsid w:val="00D07F4C"/>
    <w:rsid w:val="00D1010A"/>
    <w:rsid w:val="00D104B3"/>
    <w:rsid w:val="00D10826"/>
    <w:rsid w:val="00D11146"/>
    <w:rsid w:val="00D126A3"/>
    <w:rsid w:val="00D12939"/>
    <w:rsid w:val="00D12B80"/>
    <w:rsid w:val="00D12CA3"/>
    <w:rsid w:val="00D131E9"/>
    <w:rsid w:val="00D1391B"/>
    <w:rsid w:val="00D139E9"/>
    <w:rsid w:val="00D13AD1"/>
    <w:rsid w:val="00D14AB1"/>
    <w:rsid w:val="00D14F46"/>
    <w:rsid w:val="00D1563D"/>
    <w:rsid w:val="00D15B52"/>
    <w:rsid w:val="00D1612B"/>
    <w:rsid w:val="00D1624F"/>
    <w:rsid w:val="00D162C6"/>
    <w:rsid w:val="00D16975"/>
    <w:rsid w:val="00D16AC5"/>
    <w:rsid w:val="00D16AD8"/>
    <w:rsid w:val="00D16E7A"/>
    <w:rsid w:val="00D16FE4"/>
    <w:rsid w:val="00D171D3"/>
    <w:rsid w:val="00D17415"/>
    <w:rsid w:val="00D174F8"/>
    <w:rsid w:val="00D175C4"/>
    <w:rsid w:val="00D200BE"/>
    <w:rsid w:val="00D2029E"/>
    <w:rsid w:val="00D203E1"/>
    <w:rsid w:val="00D205CA"/>
    <w:rsid w:val="00D20A66"/>
    <w:rsid w:val="00D20A7F"/>
    <w:rsid w:val="00D21777"/>
    <w:rsid w:val="00D21B11"/>
    <w:rsid w:val="00D21CBA"/>
    <w:rsid w:val="00D21CDD"/>
    <w:rsid w:val="00D21D64"/>
    <w:rsid w:val="00D225B0"/>
    <w:rsid w:val="00D22854"/>
    <w:rsid w:val="00D22D28"/>
    <w:rsid w:val="00D22FFF"/>
    <w:rsid w:val="00D23836"/>
    <w:rsid w:val="00D241E2"/>
    <w:rsid w:val="00D2445C"/>
    <w:rsid w:val="00D24941"/>
    <w:rsid w:val="00D24EBB"/>
    <w:rsid w:val="00D25531"/>
    <w:rsid w:val="00D257A4"/>
    <w:rsid w:val="00D25F6D"/>
    <w:rsid w:val="00D2625C"/>
    <w:rsid w:val="00D26546"/>
    <w:rsid w:val="00D2698E"/>
    <w:rsid w:val="00D26A8F"/>
    <w:rsid w:val="00D27153"/>
    <w:rsid w:val="00D278B3"/>
    <w:rsid w:val="00D300A3"/>
    <w:rsid w:val="00D3019A"/>
    <w:rsid w:val="00D30329"/>
    <w:rsid w:val="00D304E2"/>
    <w:rsid w:val="00D3059A"/>
    <w:rsid w:val="00D30930"/>
    <w:rsid w:val="00D30A5E"/>
    <w:rsid w:val="00D30B78"/>
    <w:rsid w:val="00D30E1F"/>
    <w:rsid w:val="00D3124D"/>
    <w:rsid w:val="00D31346"/>
    <w:rsid w:val="00D31365"/>
    <w:rsid w:val="00D316FA"/>
    <w:rsid w:val="00D31787"/>
    <w:rsid w:val="00D31922"/>
    <w:rsid w:val="00D31B2C"/>
    <w:rsid w:val="00D31DA5"/>
    <w:rsid w:val="00D32198"/>
    <w:rsid w:val="00D325D0"/>
    <w:rsid w:val="00D329BA"/>
    <w:rsid w:val="00D32E66"/>
    <w:rsid w:val="00D33606"/>
    <w:rsid w:val="00D33696"/>
    <w:rsid w:val="00D33951"/>
    <w:rsid w:val="00D33A53"/>
    <w:rsid w:val="00D33B2A"/>
    <w:rsid w:val="00D33B93"/>
    <w:rsid w:val="00D33DE3"/>
    <w:rsid w:val="00D33E52"/>
    <w:rsid w:val="00D34004"/>
    <w:rsid w:val="00D34302"/>
    <w:rsid w:val="00D3433F"/>
    <w:rsid w:val="00D3447A"/>
    <w:rsid w:val="00D345AE"/>
    <w:rsid w:val="00D348C9"/>
    <w:rsid w:val="00D34C6A"/>
    <w:rsid w:val="00D34DF9"/>
    <w:rsid w:val="00D3512D"/>
    <w:rsid w:val="00D353C6"/>
    <w:rsid w:val="00D35D51"/>
    <w:rsid w:val="00D35DA8"/>
    <w:rsid w:val="00D361BB"/>
    <w:rsid w:val="00D36466"/>
    <w:rsid w:val="00D36B44"/>
    <w:rsid w:val="00D379D3"/>
    <w:rsid w:val="00D379DD"/>
    <w:rsid w:val="00D37B58"/>
    <w:rsid w:val="00D37DB1"/>
    <w:rsid w:val="00D37F44"/>
    <w:rsid w:val="00D37FA9"/>
    <w:rsid w:val="00D405F9"/>
    <w:rsid w:val="00D405FC"/>
    <w:rsid w:val="00D40A35"/>
    <w:rsid w:val="00D4131E"/>
    <w:rsid w:val="00D4139A"/>
    <w:rsid w:val="00D41738"/>
    <w:rsid w:val="00D41BA2"/>
    <w:rsid w:val="00D42384"/>
    <w:rsid w:val="00D42465"/>
    <w:rsid w:val="00D42768"/>
    <w:rsid w:val="00D42875"/>
    <w:rsid w:val="00D42AAE"/>
    <w:rsid w:val="00D42DFF"/>
    <w:rsid w:val="00D431E6"/>
    <w:rsid w:val="00D43896"/>
    <w:rsid w:val="00D439F8"/>
    <w:rsid w:val="00D44AA7"/>
    <w:rsid w:val="00D44FB8"/>
    <w:rsid w:val="00D4502B"/>
    <w:rsid w:val="00D4528E"/>
    <w:rsid w:val="00D45C5F"/>
    <w:rsid w:val="00D46243"/>
    <w:rsid w:val="00D4626F"/>
    <w:rsid w:val="00D462EF"/>
    <w:rsid w:val="00D46786"/>
    <w:rsid w:val="00D46A80"/>
    <w:rsid w:val="00D46AF3"/>
    <w:rsid w:val="00D46B30"/>
    <w:rsid w:val="00D46D4D"/>
    <w:rsid w:val="00D47306"/>
    <w:rsid w:val="00D476FE"/>
    <w:rsid w:val="00D47DF0"/>
    <w:rsid w:val="00D5002E"/>
    <w:rsid w:val="00D501BF"/>
    <w:rsid w:val="00D50338"/>
    <w:rsid w:val="00D5044C"/>
    <w:rsid w:val="00D50EF0"/>
    <w:rsid w:val="00D50EF2"/>
    <w:rsid w:val="00D50FC1"/>
    <w:rsid w:val="00D511EF"/>
    <w:rsid w:val="00D513E3"/>
    <w:rsid w:val="00D517BC"/>
    <w:rsid w:val="00D51D9F"/>
    <w:rsid w:val="00D51E8A"/>
    <w:rsid w:val="00D5251A"/>
    <w:rsid w:val="00D52640"/>
    <w:rsid w:val="00D53036"/>
    <w:rsid w:val="00D534FC"/>
    <w:rsid w:val="00D538B5"/>
    <w:rsid w:val="00D53EB2"/>
    <w:rsid w:val="00D540E6"/>
    <w:rsid w:val="00D5452F"/>
    <w:rsid w:val="00D54B4A"/>
    <w:rsid w:val="00D54DDF"/>
    <w:rsid w:val="00D54EE8"/>
    <w:rsid w:val="00D55046"/>
    <w:rsid w:val="00D553C3"/>
    <w:rsid w:val="00D55535"/>
    <w:rsid w:val="00D557BC"/>
    <w:rsid w:val="00D557FA"/>
    <w:rsid w:val="00D557FB"/>
    <w:rsid w:val="00D55A25"/>
    <w:rsid w:val="00D55B2D"/>
    <w:rsid w:val="00D55C02"/>
    <w:rsid w:val="00D563B4"/>
    <w:rsid w:val="00D56BB9"/>
    <w:rsid w:val="00D56F39"/>
    <w:rsid w:val="00D571DB"/>
    <w:rsid w:val="00D5785E"/>
    <w:rsid w:val="00D578CA"/>
    <w:rsid w:val="00D57A60"/>
    <w:rsid w:val="00D57CA2"/>
    <w:rsid w:val="00D57ED4"/>
    <w:rsid w:val="00D57F08"/>
    <w:rsid w:val="00D6037C"/>
    <w:rsid w:val="00D60F5B"/>
    <w:rsid w:val="00D61209"/>
    <w:rsid w:val="00D614C6"/>
    <w:rsid w:val="00D614D3"/>
    <w:rsid w:val="00D616CF"/>
    <w:rsid w:val="00D61941"/>
    <w:rsid w:val="00D61C25"/>
    <w:rsid w:val="00D61EEA"/>
    <w:rsid w:val="00D62680"/>
    <w:rsid w:val="00D62A37"/>
    <w:rsid w:val="00D62CC9"/>
    <w:rsid w:val="00D62D11"/>
    <w:rsid w:val="00D6336F"/>
    <w:rsid w:val="00D635C0"/>
    <w:rsid w:val="00D63707"/>
    <w:rsid w:val="00D63D7A"/>
    <w:rsid w:val="00D645E9"/>
    <w:rsid w:val="00D648B7"/>
    <w:rsid w:val="00D649B1"/>
    <w:rsid w:val="00D64B17"/>
    <w:rsid w:val="00D64DEC"/>
    <w:rsid w:val="00D6523B"/>
    <w:rsid w:val="00D65692"/>
    <w:rsid w:val="00D6591D"/>
    <w:rsid w:val="00D65B96"/>
    <w:rsid w:val="00D65CB2"/>
    <w:rsid w:val="00D6645A"/>
    <w:rsid w:val="00D66484"/>
    <w:rsid w:val="00D66677"/>
    <w:rsid w:val="00D6718E"/>
    <w:rsid w:val="00D67C0E"/>
    <w:rsid w:val="00D67E30"/>
    <w:rsid w:val="00D67E77"/>
    <w:rsid w:val="00D707B3"/>
    <w:rsid w:val="00D71401"/>
    <w:rsid w:val="00D718F5"/>
    <w:rsid w:val="00D71D5B"/>
    <w:rsid w:val="00D71F7F"/>
    <w:rsid w:val="00D7203C"/>
    <w:rsid w:val="00D72067"/>
    <w:rsid w:val="00D722CE"/>
    <w:rsid w:val="00D72919"/>
    <w:rsid w:val="00D729A6"/>
    <w:rsid w:val="00D729B1"/>
    <w:rsid w:val="00D72D69"/>
    <w:rsid w:val="00D72E0F"/>
    <w:rsid w:val="00D73024"/>
    <w:rsid w:val="00D73048"/>
    <w:rsid w:val="00D731AA"/>
    <w:rsid w:val="00D73279"/>
    <w:rsid w:val="00D73CB0"/>
    <w:rsid w:val="00D744AC"/>
    <w:rsid w:val="00D745A8"/>
    <w:rsid w:val="00D74646"/>
    <w:rsid w:val="00D74F90"/>
    <w:rsid w:val="00D75179"/>
    <w:rsid w:val="00D75206"/>
    <w:rsid w:val="00D753F8"/>
    <w:rsid w:val="00D754AD"/>
    <w:rsid w:val="00D7558B"/>
    <w:rsid w:val="00D757EC"/>
    <w:rsid w:val="00D758FA"/>
    <w:rsid w:val="00D75ED9"/>
    <w:rsid w:val="00D76356"/>
    <w:rsid w:val="00D76765"/>
    <w:rsid w:val="00D76A19"/>
    <w:rsid w:val="00D76A6B"/>
    <w:rsid w:val="00D7724D"/>
    <w:rsid w:val="00D77446"/>
    <w:rsid w:val="00D7796E"/>
    <w:rsid w:val="00D77BFB"/>
    <w:rsid w:val="00D77D4F"/>
    <w:rsid w:val="00D77EAE"/>
    <w:rsid w:val="00D80DD9"/>
    <w:rsid w:val="00D810FA"/>
    <w:rsid w:val="00D8144D"/>
    <w:rsid w:val="00D81615"/>
    <w:rsid w:val="00D81AA2"/>
    <w:rsid w:val="00D82264"/>
    <w:rsid w:val="00D8235E"/>
    <w:rsid w:val="00D8240D"/>
    <w:rsid w:val="00D82842"/>
    <w:rsid w:val="00D828A0"/>
    <w:rsid w:val="00D82A51"/>
    <w:rsid w:val="00D82F01"/>
    <w:rsid w:val="00D82FAF"/>
    <w:rsid w:val="00D8305C"/>
    <w:rsid w:val="00D830BA"/>
    <w:rsid w:val="00D83353"/>
    <w:rsid w:val="00D833B7"/>
    <w:rsid w:val="00D83C97"/>
    <w:rsid w:val="00D8437D"/>
    <w:rsid w:val="00D84781"/>
    <w:rsid w:val="00D84790"/>
    <w:rsid w:val="00D8485D"/>
    <w:rsid w:val="00D84E6A"/>
    <w:rsid w:val="00D85162"/>
    <w:rsid w:val="00D8565C"/>
    <w:rsid w:val="00D856F6"/>
    <w:rsid w:val="00D85BD3"/>
    <w:rsid w:val="00D85C5A"/>
    <w:rsid w:val="00D86017"/>
    <w:rsid w:val="00D861D0"/>
    <w:rsid w:val="00D86BA0"/>
    <w:rsid w:val="00D87040"/>
    <w:rsid w:val="00D8741C"/>
    <w:rsid w:val="00D874A4"/>
    <w:rsid w:val="00D8764F"/>
    <w:rsid w:val="00D87BFE"/>
    <w:rsid w:val="00D87C74"/>
    <w:rsid w:val="00D9056B"/>
    <w:rsid w:val="00D90579"/>
    <w:rsid w:val="00D90827"/>
    <w:rsid w:val="00D90AA9"/>
    <w:rsid w:val="00D90B70"/>
    <w:rsid w:val="00D90C49"/>
    <w:rsid w:val="00D90CBC"/>
    <w:rsid w:val="00D90E75"/>
    <w:rsid w:val="00D91289"/>
    <w:rsid w:val="00D91B29"/>
    <w:rsid w:val="00D9230D"/>
    <w:rsid w:val="00D9300D"/>
    <w:rsid w:val="00D930B4"/>
    <w:rsid w:val="00D936AC"/>
    <w:rsid w:val="00D93F71"/>
    <w:rsid w:val="00D93FAE"/>
    <w:rsid w:val="00D943DC"/>
    <w:rsid w:val="00D94910"/>
    <w:rsid w:val="00D94CB7"/>
    <w:rsid w:val="00D94FF1"/>
    <w:rsid w:val="00D9517B"/>
    <w:rsid w:val="00D952E7"/>
    <w:rsid w:val="00D954A7"/>
    <w:rsid w:val="00D956D2"/>
    <w:rsid w:val="00D95AF5"/>
    <w:rsid w:val="00D96700"/>
    <w:rsid w:val="00D96756"/>
    <w:rsid w:val="00D96C6A"/>
    <w:rsid w:val="00D96EF3"/>
    <w:rsid w:val="00D97515"/>
    <w:rsid w:val="00D97820"/>
    <w:rsid w:val="00D97E38"/>
    <w:rsid w:val="00DA02A0"/>
    <w:rsid w:val="00DA091B"/>
    <w:rsid w:val="00DA0EE7"/>
    <w:rsid w:val="00DA1178"/>
    <w:rsid w:val="00DA133A"/>
    <w:rsid w:val="00DA1711"/>
    <w:rsid w:val="00DA1853"/>
    <w:rsid w:val="00DA1A9D"/>
    <w:rsid w:val="00DA2B04"/>
    <w:rsid w:val="00DA2B4C"/>
    <w:rsid w:val="00DA2BA0"/>
    <w:rsid w:val="00DA33DB"/>
    <w:rsid w:val="00DA35A0"/>
    <w:rsid w:val="00DA3756"/>
    <w:rsid w:val="00DA39C5"/>
    <w:rsid w:val="00DA3D5D"/>
    <w:rsid w:val="00DA3F8C"/>
    <w:rsid w:val="00DA4BC9"/>
    <w:rsid w:val="00DA532C"/>
    <w:rsid w:val="00DA54C8"/>
    <w:rsid w:val="00DA5AD4"/>
    <w:rsid w:val="00DA5F07"/>
    <w:rsid w:val="00DA602A"/>
    <w:rsid w:val="00DA60FE"/>
    <w:rsid w:val="00DA62D4"/>
    <w:rsid w:val="00DA672A"/>
    <w:rsid w:val="00DA708A"/>
    <w:rsid w:val="00DA7117"/>
    <w:rsid w:val="00DA760D"/>
    <w:rsid w:val="00DA7837"/>
    <w:rsid w:val="00DA7C4B"/>
    <w:rsid w:val="00DA7CCE"/>
    <w:rsid w:val="00DB1167"/>
    <w:rsid w:val="00DB1360"/>
    <w:rsid w:val="00DB1459"/>
    <w:rsid w:val="00DB19B0"/>
    <w:rsid w:val="00DB21EC"/>
    <w:rsid w:val="00DB2332"/>
    <w:rsid w:val="00DB26FB"/>
    <w:rsid w:val="00DB2CEA"/>
    <w:rsid w:val="00DB2DC0"/>
    <w:rsid w:val="00DB303B"/>
    <w:rsid w:val="00DB3630"/>
    <w:rsid w:val="00DB3A64"/>
    <w:rsid w:val="00DB42B8"/>
    <w:rsid w:val="00DB436B"/>
    <w:rsid w:val="00DB51B3"/>
    <w:rsid w:val="00DB5E0F"/>
    <w:rsid w:val="00DB6154"/>
    <w:rsid w:val="00DB6214"/>
    <w:rsid w:val="00DB624C"/>
    <w:rsid w:val="00DB673B"/>
    <w:rsid w:val="00DB6974"/>
    <w:rsid w:val="00DB6A15"/>
    <w:rsid w:val="00DB6C6C"/>
    <w:rsid w:val="00DB709A"/>
    <w:rsid w:val="00DB70BE"/>
    <w:rsid w:val="00DB76D2"/>
    <w:rsid w:val="00DB7721"/>
    <w:rsid w:val="00DB7EB6"/>
    <w:rsid w:val="00DB7F67"/>
    <w:rsid w:val="00DC04D1"/>
    <w:rsid w:val="00DC0FBB"/>
    <w:rsid w:val="00DC12BC"/>
    <w:rsid w:val="00DC12E1"/>
    <w:rsid w:val="00DC15CF"/>
    <w:rsid w:val="00DC15ED"/>
    <w:rsid w:val="00DC1780"/>
    <w:rsid w:val="00DC1791"/>
    <w:rsid w:val="00DC1D37"/>
    <w:rsid w:val="00DC2084"/>
    <w:rsid w:val="00DC2299"/>
    <w:rsid w:val="00DC23FC"/>
    <w:rsid w:val="00DC25D6"/>
    <w:rsid w:val="00DC2764"/>
    <w:rsid w:val="00DC27B0"/>
    <w:rsid w:val="00DC2B0B"/>
    <w:rsid w:val="00DC2C68"/>
    <w:rsid w:val="00DC2E6E"/>
    <w:rsid w:val="00DC2EB9"/>
    <w:rsid w:val="00DC2FD8"/>
    <w:rsid w:val="00DC31F1"/>
    <w:rsid w:val="00DC3419"/>
    <w:rsid w:val="00DC34CB"/>
    <w:rsid w:val="00DC362B"/>
    <w:rsid w:val="00DC3693"/>
    <w:rsid w:val="00DC3704"/>
    <w:rsid w:val="00DC37D6"/>
    <w:rsid w:val="00DC39E5"/>
    <w:rsid w:val="00DC3CB4"/>
    <w:rsid w:val="00DC3EDD"/>
    <w:rsid w:val="00DC4350"/>
    <w:rsid w:val="00DC45EF"/>
    <w:rsid w:val="00DC4862"/>
    <w:rsid w:val="00DC513A"/>
    <w:rsid w:val="00DC57F0"/>
    <w:rsid w:val="00DC5AAB"/>
    <w:rsid w:val="00DC6175"/>
    <w:rsid w:val="00DC637B"/>
    <w:rsid w:val="00DC6791"/>
    <w:rsid w:val="00DC6A53"/>
    <w:rsid w:val="00DC6BE6"/>
    <w:rsid w:val="00DC6EA0"/>
    <w:rsid w:val="00DC770C"/>
    <w:rsid w:val="00DC790E"/>
    <w:rsid w:val="00DC7971"/>
    <w:rsid w:val="00DC7AAF"/>
    <w:rsid w:val="00DD00A2"/>
    <w:rsid w:val="00DD02A2"/>
    <w:rsid w:val="00DD0F99"/>
    <w:rsid w:val="00DD1090"/>
    <w:rsid w:val="00DD132F"/>
    <w:rsid w:val="00DD1CC5"/>
    <w:rsid w:val="00DD277C"/>
    <w:rsid w:val="00DD2ADA"/>
    <w:rsid w:val="00DD2C79"/>
    <w:rsid w:val="00DD30B2"/>
    <w:rsid w:val="00DD32EC"/>
    <w:rsid w:val="00DD3438"/>
    <w:rsid w:val="00DD372E"/>
    <w:rsid w:val="00DD3D7F"/>
    <w:rsid w:val="00DD47BC"/>
    <w:rsid w:val="00DD49F2"/>
    <w:rsid w:val="00DD4A88"/>
    <w:rsid w:val="00DD5234"/>
    <w:rsid w:val="00DD59AA"/>
    <w:rsid w:val="00DD5C2C"/>
    <w:rsid w:val="00DD62D9"/>
    <w:rsid w:val="00DD6B88"/>
    <w:rsid w:val="00DD6C04"/>
    <w:rsid w:val="00DD6DE7"/>
    <w:rsid w:val="00DD6E0E"/>
    <w:rsid w:val="00DD6F52"/>
    <w:rsid w:val="00DD73D5"/>
    <w:rsid w:val="00DD78C8"/>
    <w:rsid w:val="00DD7A8F"/>
    <w:rsid w:val="00DE0043"/>
    <w:rsid w:val="00DE0343"/>
    <w:rsid w:val="00DE0545"/>
    <w:rsid w:val="00DE0652"/>
    <w:rsid w:val="00DE0826"/>
    <w:rsid w:val="00DE0A4B"/>
    <w:rsid w:val="00DE0ED8"/>
    <w:rsid w:val="00DE15D2"/>
    <w:rsid w:val="00DE15ED"/>
    <w:rsid w:val="00DE17EB"/>
    <w:rsid w:val="00DE1919"/>
    <w:rsid w:val="00DE1E6A"/>
    <w:rsid w:val="00DE26F7"/>
    <w:rsid w:val="00DE279D"/>
    <w:rsid w:val="00DE2AE2"/>
    <w:rsid w:val="00DE2DDF"/>
    <w:rsid w:val="00DE31F8"/>
    <w:rsid w:val="00DE3995"/>
    <w:rsid w:val="00DE4D5A"/>
    <w:rsid w:val="00DE4D7E"/>
    <w:rsid w:val="00DE4D9C"/>
    <w:rsid w:val="00DE5EA0"/>
    <w:rsid w:val="00DE5F4A"/>
    <w:rsid w:val="00DE6192"/>
    <w:rsid w:val="00DE6727"/>
    <w:rsid w:val="00DE68D8"/>
    <w:rsid w:val="00DE6AA0"/>
    <w:rsid w:val="00DE6EE2"/>
    <w:rsid w:val="00DE7474"/>
    <w:rsid w:val="00DE75FE"/>
    <w:rsid w:val="00DE77FA"/>
    <w:rsid w:val="00DE7822"/>
    <w:rsid w:val="00DE7A2B"/>
    <w:rsid w:val="00DE7E8F"/>
    <w:rsid w:val="00DF0BC0"/>
    <w:rsid w:val="00DF0EB0"/>
    <w:rsid w:val="00DF15F7"/>
    <w:rsid w:val="00DF2577"/>
    <w:rsid w:val="00DF2815"/>
    <w:rsid w:val="00DF2939"/>
    <w:rsid w:val="00DF2A02"/>
    <w:rsid w:val="00DF2D87"/>
    <w:rsid w:val="00DF2E1C"/>
    <w:rsid w:val="00DF2E7F"/>
    <w:rsid w:val="00DF2EAF"/>
    <w:rsid w:val="00DF30EE"/>
    <w:rsid w:val="00DF37C5"/>
    <w:rsid w:val="00DF3FAB"/>
    <w:rsid w:val="00DF4681"/>
    <w:rsid w:val="00DF4F27"/>
    <w:rsid w:val="00DF51A1"/>
    <w:rsid w:val="00DF56AC"/>
    <w:rsid w:val="00DF5735"/>
    <w:rsid w:val="00DF5ABC"/>
    <w:rsid w:val="00DF629E"/>
    <w:rsid w:val="00DF6520"/>
    <w:rsid w:val="00DF691E"/>
    <w:rsid w:val="00DF6AE7"/>
    <w:rsid w:val="00DF6FFD"/>
    <w:rsid w:val="00DF760E"/>
    <w:rsid w:val="00DF7F37"/>
    <w:rsid w:val="00E00150"/>
    <w:rsid w:val="00E0021A"/>
    <w:rsid w:val="00E002D3"/>
    <w:rsid w:val="00E00F2C"/>
    <w:rsid w:val="00E01B72"/>
    <w:rsid w:val="00E01E94"/>
    <w:rsid w:val="00E02403"/>
    <w:rsid w:val="00E027E8"/>
    <w:rsid w:val="00E03BC7"/>
    <w:rsid w:val="00E03DD2"/>
    <w:rsid w:val="00E0496B"/>
    <w:rsid w:val="00E04EAF"/>
    <w:rsid w:val="00E04F3B"/>
    <w:rsid w:val="00E05220"/>
    <w:rsid w:val="00E0525E"/>
    <w:rsid w:val="00E05438"/>
    <w:rsid w:val="00E05B8E"/>
    <w:rsid w:val="00E05E3E"/>
    <w:rsid w:val="00E05F83"/>
    <w:rsid w:val="00E060C7"/>
    <w:rsid w:val="00E061F8"/>
    <w:rsid w:val="00E06511"/>
    <w:rsid w:val="00E06871"/>
    <w:rsid w:val="00E06B09"/>
    <w:rsid w:val="00E06FE5"/>
    <w:rsid w:val="00E07201"/>
    <w:rsid w:val="00E0746B"/>
    <w:rsid w:val="00E075CE"/>
    <w:rsid w:val="00E0766C"/>
    <w:rsid w:val="00E0776D"/>
    <w:rsid w:val="00E079E0"/>
    <w:rsid w:val="00E1041B"/>
    <w:rsid w:val="00E10CD3"/>
    <w:rsid w:val="00E10CD6"/>
    <w:rsid w:val="00E10D74"/>
    <w:rsid w:val="00E10DC3"/>
    <w:rsid w:val="00E10F2D"/>
    <w:rsid w:val="00E10FFC"/>
    <w:rsid w:val="00E11711"/>
    <w:rsid w:val="00E1175A"/>
    <w:rsid w:val="00E11D9E"/>
    <w:rsid w:val="00E11E92"/>
    <w:rsid w:val="00E11E9D"/>
    <w:rsid w:val="00E11F5D"/>
    <w:rsid w:val="00E1203B"/>
    <w:rsid w:val="00E129D4"/>
    <w:rsid w:val="00E12A5F"/>
    <w:rsid w:val="00E12AE0"/>
    <w:rsid w:val="00E131AB"/>
    <w:rsid w:val="00E13512"/>
    <w:rsid w:val="00E146CB"/>
    <w:rsid w:val="00E14FAF"/>
    <w:rsid w:val="00E154C3"/>
    <w:rsid w:val="00E15A2C"/>
    <w:rsid w:val="00E16035"/>
    <w:rsid w:val="00E1616F"/>
    <w:rsid w:val="00E168E8"/>
    <w:rsid w:val="00E171A2"/>
    <w:rsid w:val="00E17439"/>
    <w:rsid w:val="00E17C28"/>
    <w:rsid w:val="00E20002"/>
    <w:rsid w:val="00E2010C"/>
    <w:rsid w:val="00E2042C"/>
    <w:rsid w:val="00E2044B"/>
    <w:rsid w:val="00E20806"/>
    <w:rsid w:val="00E21846"/>
    <w:rsid w:val="00E2195C"/>
    <w:rsid w:val="00E21BD0"/>
    <w:rsid w:val="00E21C6A"/>
    <w:rsid w:val="00E21E30"/>
    <w:rsid w:val="00E21E4A"/>
    <w:rsid w:val="00E2256F"/>
    <w:rsid w:val="00E22674"/>
    <w:rsid w:val="00E22BC2"/>
    <w:rsid w:val="00E22C11"/>
    <w:rsid w:val="00E22DFE"/>
    <w:rsid w:val="00E23CF9"/>
    <w:rsid w:val="00E23DC3"/>
    <w:rsid w:val="00E240C7"/>
    <w:rsid w:val="00E24263"/>
    <w:rsid w:val="00E24DCD"/>
    <w:rsid w:val="00E2532F"/>
    <w:rsid w:val="00E253CB"/>
    <w:rsid w:val="00E2540E"/>
    <w:rsid w:val="00E254B7"/>
    <w:rsid w:val="00E25768"/>
    <w:rsid w:val="00E25A51"/>
    <w:rsid w:val="00E26273"/>
    <w:rsid w:val="00E263B1"/>
    <w:rsid w:val="00E26609"/>
    <w:rsid w:val="00E26895"/>
    <w:rsid w:val="00E26D7A"/>
    <w:rsid w:val="00E27C46"/>
    <w:rsid w:val="00E300F1"/>
    <w:rsid w:val="00E3038F"/>
    <w:rsid w:val="00E30B7A"/>
    <w:rsid w:val="00E30C23"/>
    <w:rsid w:val="00E31DD1"/>
    <w:rsid w:val="00E32526"/>
    <w:rsid w:val="00E32D9C"/>
    <w:rsid w:val="00E33122"/>
    <w:rsid w:val="00E33744"/>
    <w:rsid w:val="00E33CA9"/>
    <w:rsid w:val="00E34134"/>
    <w:rsid w:val="00E34458"/>
    <w:rsid w:val="00E34D2E"/>
    <w:rsid w:val="00E34FD7"/>
    <w:rsid w:val="00E355FA"/>
    <w:rsid w:val="00E35A73"/>
    <w:rsid w:val="00E3642C"/>
    <w:rsid w:val="00E365A5"/>
    <w:rsid w:val="00E3679D"/>
    <w:rsid w:val="00E36ACB"/>
    <w:rsid w:val="00E370EB"/>
    <w:rsid w:val="00E3714A"/>
    <w:rsid w:val="00E37174"/>
    <w:rsid w:val="00E37391"/>
    <w:rsid w:val="00E374AF"/>
    <w:rsid w:val="00E3785F"/>
    <w:rsid w:val="00E37C1C"/>
    <w:rsid w:val="00E37C1F"/>
    <w:rsid w:val="00E404D6"/>
    <w:rsid w:val="00E40793"/>
    <w:rsid w:val="00E40B90"/>
    <w:rsid w:val="00E41153"/>
    <w:rsid w:val="00E41162"/>
    <w:rsid w:val="00E411D7"/>
    <w:rsid w:val="00E412E8"/>
    <w:rsid w:val="00E41394"/>
    <w:rsid w:val="00E413A6"/>
    <w:rsid w:val="00E41677"/>
    <w:rsid w:val="00E41894"/>
    <w:rsid w:val="00E41FA0"/>
    <w:rsid w:val="00E41FA3"/>
    <w:rsid w:val="00E420D8"/>
    <w:rsid w:val="00E423A8"/>
    <w:rsid w:val="00E42527"/>
    <w:rsid w:val="00E430A3"/>
    <w:rsid w:val="00E43198"/>
    <w:rsid w:val="00E43550"/>
    <w:rsid w:val="00E438D5"/>
    <w:rsid w:val="00E44399"/>
    <w:rsid w:val="00E4461A"/>
    <w:rsid w:val="00E44D02"/>
    <w:rsid w:val="00E45377"/>
    <w:rsid w:val="00E455E0"/>
    <w:rsid w:val="00E45764"/>
    <w:rsid w:val="00E458E3"/>
    <w:rsid w:val="00E45CFC"/>
    <w:rsid w:val="00E45DCE"/>
    <w:rsid w:val="00E46480"/>
    <w:rsid w:val="00E46496"/>
    <w:rsid w:val="00E466E5"/>
    <w:rsid w:val="00E467E8"/>
    <w:rsid w:val="00E46A16"/>
    <w:rsid w:val="00E4704D"/>
    <w:rsid w:val="00E478BB"/>
    <w:rsid w:val="00E47A88"/>
    <w:rsid w:val="00E47D74"/>
    <w:rsid w:val="00E50207"/>
    <w:rsid w:val="00E50298"/>
    <w:rsid w:val="00E5035B"/>
    <w:rsid w:val="00E50485"/>
    <w:rsid w:val="00E5058C"/>
    <w:rsid w:val="00E50967"/>
    <w:rsid w:val="00E50DAD"/>
    <w:rsid w:val="00E50DB3"/>
    <w:rsid w:val="00E51794"/>
    <w:rsid w:val="00E519E0"/>
    <w:rsid w:val="00E526DF"/>
    <w:rsid w:val="00E52C1A"/>
    <w:rsid w:val="00E538CF"/>
    <w:rsid w:val="00E53C87"/>
    <w:rsid w:val="00E53D6C"/>
    <w:rsid w:val="00E53D97"/>
    <w:rsid w:val="00E53DB8"/>
    <w:rsid w:val="00E54306"/>
    <w:rsid w:val="00E543DB"/>
    <w:rsid w:val="00E54491"/>
    <w:rsid w:val="00E546AD"/>
    <w:rsid w:val="00E558D4"/>
    <w:rsid w:val="00E558E4"/>
    <w:rsid w:val="00E55A2B"/>
    <w:rsid w:val="00E55DEF"/>
    <w:rsid w:val="00E569DA"/>
    <w:rsid w:val="00E56B15"/>
    <w:rsid w:val="00E56B56"/>
    <w:rsid w:val="00E56BE1"/>
    <w:rsid w:val="00E56BE2"/>
    <w:rsid w:val="00E5730C"/>
    <w:rsid w:val="00E57811"/>
    <w:rsid w:val="00E600E6"/>
    <w:rsid w:val="00E605BC"/>
    <w:rsid w:val="00E60808"/>
    <w:rsid w:val="00E6094F"/>
    <w:rsid w:val="00E610F4"/>
    <w:rsid w:val="00E61326"/>
    <w:rsid w:val="00E61434"/>
    <w:rsid w:val="00E614AA"/>
    <w:rsid w:val="00E61535"/>
    <w:rsid w:val="00E617E4"/>
    <w:rsid w:val="00E61877"/>
    <w:rsid w:val="00E618D5"/>
    <w:rsid w:val="00E61A10"/>
    <w:rsid w:val="00E61AED"/>
    <w:rsid w:val="00E61B2D"/>
    <w:rsid w:val="00E62318"/>
    <w:rsid w:val="00E627D7"/>
    <w:rsid w:val="00E627D8"/>
    <w:rsid w:val="00E6298B"/>
    <w:rsid w:val="00E62D33"/>
    <w:rsid w:val="00E62D7E"/>
    <w:rsid w:val="00E62DB0"/>
    <w:rsid w:val="00E630AC"/>
    <w:rsid w:val="00E6329F"/>
    <w:rsid w:val="00E635AF"/>
    <w:rsid w:val="00E64086"/>
    <w:rsid w:val="00E640D2"/>
    <w:rsid w:val="00E641A0"/>
    <w:rsid w:val="00E6449F"/>
    <w:rsid w:val="00E64903"/>
    <w:rsid w:val="00E64B1F"/>
    <w:rsid w:val="00E64C44"/>
    <w:rsid w:val="00E64D25"/>
    <w:rsid w:val="00E6502F"/>
    <w:rsid w:val="00E65FFE"/>
    <w:rsid w:val="00E667AD"/>
    <w:rsid w:val="00E66A25"/>
    <w:rsid w:val="00E66BE3"/>
    <w:rsid w:val="00E6700B"/>
    <w:rsid w:val="00E679F1"/>
    <w:rsid w:val="00E67F80"/>
    <w:rsid w:val="00E70AB7"/>
    <w:rsid w:val="00E70AFC"/>
    <w:rsid w:val="00E70FA4"/>
    <w:rsid w:val="00E7159E"/>
    <w:rsid w:val="00E715EB"/>
    <w:rsid w:val="00E71798"/>
    <w:rsid w:val="00E7186A"/>
    <w:rsid w:val="00E71B51"/>
    <w:rsid w:val="00E71BC7"/>
    <w:rsid w:val="00E71BCA"/>
    <w:rsid w:val="00E71FFF"/>
    <w:rsid w:val="00E72DAC"/>
    <w:rsid w:val="00E7383F"/>
    <w:rsid w:val="00E73ECC"/>
    <w:rsid w:val="00E74240"/>
    <w:rsid w:val="00E7471F"/>
    <w:rsid w:val="00E7480F"/>
    <w:rsid w:val="00E749D4"/>
    <w:rsid w:val="00E74DC4"/>
    <w:rsid w:val="00E74E91"/>
    <w:rsid w:val="00E74FB2"/>
    <w:rsid w:val="00E758A1"/>
    <w:rsid w:val="00E765CD"/>
    <w:rsid w:val="00E7681E"/>
    <w:rsid w:val="00E7681F"/>
    <w:rsid w:val="00E76C33"/>
    <w:rsid w:val="00E76D8A"/>
    <w:rsid w:val="00E76EAD"/>
    <w:rsid w:val="00E76FB4"/>
    <w:rsid w:val="00E771DB"/>
    <w:rsid w:val="00E7721C"/>
    <w:rsid w:val="00E77426"/>
    <w:rsid w:val="00E77B0B"/>
    <w:rsid w:val="00E800DE"/>
    <w:rsid w:val="00E802A1"/>
    <w:rsid w:val="00E8061A"/>
    <w:rsid w:val="00E80699"/>
    <w:rsid w:val="00E80725"/>
    <w:rsid w:val="00E8198E"/>
    <w:rsid w:val="00E81990"/>
    <w:rsid w:val="00E81ADC"/>
    <w:rsid w:val="00E81FD3"/>
    <w:rsid w:val="00E8203F"/>
    <w:rsid w:val="00E82446"/>
    <w:rsid w:val="00E82708"/>
    <w:rsid w:val="00E8279C"/>
    <w:rsid w:val="00E82977"/>
    <w:rsid w:val="00E82B93"/>
    <w:rsid w:val="00E82C39"/>
    <w:rsid w:val="00E83335"/>
    <w:rsid w:val="00E83634"/>
    <w:rsid w:val="00E83882"/>
    <w:rsid w:val="00E838BE"/>
    <w:rsid w:val="00E84324"/>
    <w:rsid w:val="00E84645"/>
    <w:rsid w:val="00E8478D"/>
    <w:rsid w:val="00E85820"/>
    <w:rsid w:val="00E858E0"/>
    <w:rsid w:val="00E85B74"/>
    <w:rsid w:val="00E8692F"/>
    <w:rsid w:val="00E86BBB"/>
    <w:rsid w:val="00E8769D"/>
    <w:rsid w:val="00E878E7"/>
    <w:rsid w:val="00E87F44"/>
    <w:rsid w:val="00E91248"/>
    <w:rsid w:val="00E912AE"/>
    <w:rsid w:val="00E91466"/>
    <w:rsid w:val="00E914EB"/>
    <w:rsid w:val="00E91607"/>
    <w:rsid w:val="00E9195F"/>
    <w:rsid w:val="00E91DC0"/>
    <w:rsid w:val="00E926BB"/>
    <w:rsid w:val="00E92C14"/>
    <w:rsid w:val="00E92D25"/>
    <w:rsid w:val="00E9315C"/>
    <w:rsid w:val="00E93873"/>
    <w:rsid w:val="00E93B9A"/>
    <w:rsid w:val="00E93D78"/>
    <w:rsid w:val="00E93DFD"/>
    <w:rsid w:val="00E948D0"/>
    <w:rsid w:val="00E94BC6"/>
    <w:rsid w:val="00E95158"/>
    <w:rsid w:val="00E953D1"/>
    <w:rsid w:val="00E9541D"/>
    <w:rsid w:val="00E96D96"/>
    <w:rsid w:val="00E97418"/>
    <w:rsid w:val="00E97680"/>
    <w:rsid w:val="00E97954"/>
    <w:rsid w:val="00E97CA3"/>
    <w:rsid w:val="00EA03F3"/>
    <w:rsid w:val="00EA05C9"/>
    <w:rsid w:val="00EA0787"/>
    <w:rsid w:val="00EA07A3"/>
    <w:rsid w:val="00EA0841"/>
    <w:rsid w:val="00EA0897"/>
    <w:rsid w:val="00EA10DD"/>
    <w:rsid w:val="00EA11BD"/>
    <w:rsid w:val="00EA1361"/>
    <w:rsid w:val="00EA1471"/>
    <w:rsid w:val="00EA179A"/>
    <w:rsid w:val="00EA1EFE"/>
    <w:rsid w:val="00EA233B"/>
    <w:rsid w:val="00EA2394"/>
    <w:rsid w:val="00EA2429"/>
    <w:rsid w:val="00EA24C3"/>
    <w:rsid w:val="00EA2827"/>
    <w:rsid w:val="00EA300B"/>
    <w:rsid w:val="00EA3B7C"/>
    <w:rsid w:val="00EA3C87"/>
    <w:rsid w:val="00EA3E2C"/>
    <w:rsid w:val="00EA4155"/>
    <w:rsid w:val="00EA429E"/>
    <w:rsid w:val="00EA44DD"/>
    <w:rsid w:val="00EA484E"/>
    <w:rsid w:val="00EA491E"/>
    <w:rsid w:val="00EA4C24"/>
    <w:rsid w:val="00EA50E2"/>
    <w:rsid w:val="00EA5BB5"/>
    <w:rsid w:val="00EA60AD"/>
    <w:rsid w:val="00EA63D3"/>
    <w:rsid w:val="00EA6AE2"/>
    <w:rsid w:val="00EA6EEF"/>
    <w:rsid w:val="00EA78AE"/>
    <w:rsid w:val="00EB0149"/>
    <w:rsid w:val="00EB0206"/>
    <w:rsid w:val="00EB034D"/>
    <w:rsid w:val="00EB03C0"/>
    <w:rsid w:val="00EB040E"/>
    <w:rsid w:val="00EB0729"/>
    <w:rsid w:val="00EB1389"/>
    <w:rsid w:val="00EB1627"/>
    <w:rsid w:val="00EB16CF"/>
    <w:rsid w:val="00EB1E8E"/>
    <w:rsid w:val="00EB21C9"/>
    <w:rsid w:val="00EB26D2"/>
    <w:rsid w:val="00EB2782"/>
    <w:rsid w:val="00EB28D3"/>
    <w:rsid w:val="00EB2EE9"/>
    <w:rsid w:val="00EB2FA1"/>
    <w:rsid w:val="00EB3216"/>
    <w:rsid w:val="00EB3383"/>
    <w:rsid w:val="00EB34EE"/>
    <w:rsid w:val="00EB3A2B"/>
    <w:rsid w:val="00EB3BCB"/>
    <w:rsid w:val="00EB47B3"/>
    <w:rsid w:val="00EB493D"/>
    <w:rsid w:val="00EB4A40"/>
    <w:rsid w:val="00EB50A0"/>
    <w:rsid w:val="00EB5BE2"/>
    <w:rsid w:val="00EB5CA4"/>
    <w:rsid w:val="00EB63CA"/>
    <w:rsid w:val="00EB6539"/>
    <w:rsid w:val="00EB6697"/>
    <w:rsid w:val="00EB679B"/>
    <w:rsid w:val="00EB76DA"/>
    <w:rsid w:val="00EB7C30"/>
    <w:rsid w:val="00EB7E3F"/>
    <w:rsid w:val="00EB7E66"/>
    <w:rsid w:val="00EC00D8"/>
    <w:rsid w:val="00EC02BE"/>
    <w:rsid w:val="00EC0339"/>
    <w:rsid w:val="00EC03A5"/>
    <w:rsid w:val="00EC05B7"/>
    <w:rsid w:val="00EC06E2"/>
    <w:rsid w:val="00EC0703"/>
    <w:rsid w:val="00EC0F2E"/>
    <w:rsid w:val="00EC1653"/>
    <w:rsid w:val="00EC1864"/>
    <w:rsid w:val="00EC1AE5"/>
    <w:rsid w:val="00EC1F4D"/>
    <w:rsid w:val="00EC2B72"/>
    <w:rsid w:val="00EC3978"/>
    <w:rsid w:val="00EC3BF8"/>
    <w:rsid w:val="00EC401B"/>
    <w:rsid w:val="00EC49A0"/>
    <w:rsid w:val="00EC4CC2"/>
    <w:rsid w:val="00EC4E64"/>
    <w:rsid w:val="00EC56C4"/>
    <w:rsid w:val="00EC5819"/>
    <w:rsid w:val="00EC5B15"/>
    <w:rsid w:val="00EC5F03"/>
    <w:rsid w:val="00EC6BB3"/>
    <w:rsid w:val="00EC7422"/>
    <w:rsid w:val="00EC746A"/>
    <w:rsid w:val="00EC7DE6"/>
    <w:rsid w:val="00ED14DB"/>
    <w:rsid w:val="00ED17DB"/>
    <w:rsid w:val="00ED1CC6"/>
    <w:rsid w:val="00ED24DE"/>
    <w:rsid w:val="00ED316F"/>
    <w:rsid w:val="00ED36FE"/>
    <w:rsid w:val="00ED402E"/>
    <w:rsid w:val="00ED414F"/>
    <w:rsid w:val="00ED4412"/>
    <w:rsid w:val="00ED4606"/>
    <w:rsid w:val="00ED47EC"/>
    <w:rsid w:val="00ED48D3"/>
    <w:rsid w:val="00ED52C8"/>
    <w:rsid w:val="00ED5318"/>
    <w:rsid w:val="00ED5D63"/>
    <w:rsid w:val="00ED6992"/>
    <w:rsid w:val="00ED69DE"/>
    <w:rsid w:val="00ED6B96"/>
    <w:rsid w:val="00ED709C"/>
    <w:rsid w:val="00ED7456"/>
    <w:rsid w:val="00ED74BA"/>
    <w:rsid w:val="00ED76AD"/>
    <w:rsid w:val="00ED786F"/>
    <w:rsid w:val="00ED78E1"/>
    <w:rsid w:val="00ED79EE"/>
    <w:rsid w:val="00ED7B5B"/>
    <w:rsid w:val="00ED7F42"/>
    <w:rsid w:val="00EE02EB"/>
    <w:rsid w:val="00EE0C19"/>
    <w:rsid w:val="00EE1262"/>
    <w:rsid w:val="00EE1385"/>
    <w:rsid w:val="00EE265E"/>
    <w:rsid w:val="00EE280D"/>
    <w:rsid w:val="00EE2EC9"/>
    <w:rsid w:val="00EE3046"/>
    <w:rsid w:val="00EE3173"/>
    <w:rsid w:val="00EE385A"/>
    <w:rsid w:val="00EE3A39"/>
    <w:rsid w:val="00EE3CB3"/>
    <w:rsid w:val="00EE3E16"/>
    <w:rsid w:val="00EE417D"/>
    <w:rsid w:val="00EE460E"/>
    <w:rsid w:val="00EE489D"/>
    <w:rsid w:val="00EE4A98"/>
    <w:rsid w:val="00EE5241"/>
    <w:rsid w:val="00EE53A4"/>
    <w:rsid w:val="00EE5449"/>
    <w:rsid w:val="00EE5468"/>
    <w:rsid w:val="00EE5522"/>
    <w:rsid w:val="00EE55C6"/>
    <w:rsid w:val="00EE5687"/>
    <w:rsid w:val="00EE5A3D"/>
    <w:rsid w:val="00EE5BE5"/>
    <w:rsid w:val="00EE5E14"/>
    <w:rsid w:val="00EE618B"/>
    <w:rsid w:val="00EE6330"/>
    <w:rsid w:val="00EE651A"/>
    <w:rsid w:val="00EE6829"/>
    <w:rsid w:val="00EE6872"/>
    <w:rsid w:val="00EE6AFC"/>
    <w:rsid w:val="00EE6C0E"/>
    <w:rsid w:val="00EE6E27"/>
    <w:rsid w:val="00EE6E7C"/>
    <w:rsid w:val="00EE7314"/>
    <w:rsid w:val="00EE7578"/>
    <w:rsid w:val="00EE782D"/>
    <w:rsid w:val="00EE7BA6"/>
    <w:rsid w:val="00EF0408"/>
    <w:rsid w:val="00EF05E9"/>
    <w:rsid w:val="00EF0667"/>
    <w:rsid w:val="00EF0A5F"/>
    <w:rsid w:val="00EF0A73"/>
    <w:rsid w:val="00EF0C71"/>
    <w:rsid w:val="00EF0D73"/>
    <w:rsid w:val="00EF109A"/>
    <w:rsid w:val="00EF166A"/>
    <w:rsid w:val="00EF1D0E"/>
    <w:rsid w:val="00EF2175"/>
    <w:rsid w:val="00EF23AD"/>
    <w:rsid w:val="00EF26E2"/>
    <w:rsid w:val="00EF28EE"/>
    <w:rsid w:val="00EF2E75"/>
    <w:rsid w:val="00EF2F16"/>
    <w:rsid w:val="00EF2F72"/>
    <w:rsid w:val="00EF2FDC"/>
    <w:rsid w:val="00EF31F8"/>
    <w:rsid w:val="00EF398A"/>
    <w:rsid w:val="00EF4A8B"/>
    <w:rsid w:val="00EF4BB7"/>
    <w:rsid w:val="00EF4EFE"/>
    <w:rsid w:val="00EF533C"/>
    <w:rsid w:val="00EF55EA"/>
    <w:rsid w:val="00EF581F"/>
    <w:rsid w:val="00EF5B82"/>
    <w:rsid w:val="00EF5DC1"/>
    <w:rsid w:val="00EF5EE8"/>
    <w:rsid w:val="00EF64BE"/>
    <w:rsid w:val="00EF6C6E"/>
    <w:rsid w:val="00EF6CF6"/>
    <w:rsid w:val="00EF6D1F"/>
    <w:rsid w:val="00EF6DC3"/>
    <w:rsid w:val="00EF6E89"/>
    <w:rsid w:val="00EF6F3D"/>
    <w:rsid w:val="00EF7104"/>
    <w:rsid w:val="00EF73AC"/>
    <w:rsid w:val="00EF7B51"/>
    <w:rsid w:val="00EF7C3E"/>
    <w:rsid w:val="00EF7D0D"/>
    <w:rsid w:val="00F002DD"/>
    <w:rsid w:val="00F00978"/>
    <w:rsid w:val="00F00B13"/>
    <w:rsid w:val="00F014D1"/>
    <w:rsid w:val="00F01E45"/>
    <w:rsid w:val="00F02197"/>
    <w:rsid w:val="00F02206"/>
    <w:rsid w:val="00F02A69"/>
    <w:rsid w:val="00F02B02"/>
    <w:rsid w:val="00F02C10"/>
    <w:rsid w:val="00F02FE6"/>
    <w:rsid w:val="00F03DA0"/>
    <w:rsid w:val="00F03DC7"/>
    <w:rsid w:val="00F04192"/>
    <w:rsid w:val="00F04383"/>
    <w:rsid w:val="00F047AA"/>
    <w:rsid w:val="00F05053"/>
    <w:rsid w:val="00F0509D"/>
    <w:rsid w:val="00F0538C"/>
    <w:rsid w:val="00F0551D"/>
    <w:rsid w:val="00F05D08"/>
    <w:rsid w:val="00F05E94"/>
    <w:rsid w:val="00F063D1"/>
    <w:rsid w:val="00F065A4"/>
    <w:rsid w:val="00F071C3"/>
    <w:rsid w:val="00F072BC"/>
    <w:rsid w:val="00F0730C"/>
    <w:rsid w:val="00F07317"/>
    <w:rsid w:val="00F073D2"/>
    <w:rsid w:val="00F074DA"/>
    <w:rsid w:val="00F0768C"/>
    <w:rsid w:val="00F07D28"/>
    <w:rsid w:val="00F07FB9"/>
    <w:rsid w:val="00F101DD"/>
    <w:rsid w:val="00F106B7"/>
    <w:rsid w:val="00F10F26"/>
    <w:rsid w:val="00F10F65"/>
    <w:rsid w:val="00F10FEB"/>
    <w:rsid w:val="00F112A8"/>
    <w:rsid w:val="00F115BA"/>
    <w:rsid w:val="00F117F4"/>
    <w:rsid w:val="00F119C3"/>
    <w:rsid w:val="00F11D77"/>
    <w:rsid w:val="00F11D93"/>
    <w:rsid w:val="00F12077"/>
    <w:rsid w:val="00F1208F"/>
    <w:rsid w:val="00F12260"/>
    <w:rsid w:val="00F122C0"/>
    <w:rsid w:val="00F123D5"/>
    <w:rsid w:val="00F1254B"/>
    <w:rsid w:val="00F12951"/>
    <w:rsid w:val="00F12BE8"/>
    <w:rsid w:val="00F12D6E"/>
    <w:rsid w:val="00F1321C"/>
    <w:rsid w:val="00F134C8"/>
    <w:rsid w:val="00F134D7"/>
    <w:rsid w:val="00F13603"/>
    <w:rsid w:val="00F13AD1"/>
    <w:rsid w:val="00F13AE3"/>
    <w:rsid w:val="00F13BC9"/>
    <w:rsid w:val="00F13FE8"/>
    <w:rsid w:val="00F14A72"/>
    <w:rsid w:val="00F14CD2"/>
    <w:rsid w:val="00F15458"/>
    <w:rsid w:val="00F155BA"/>
    <w:rsid w:val="00F1592D"/>
    <w:rsid w:val="00F15ACF"/>
    <w:rsid w:val="00F15C76"/>
    <w:rsid w:val="00F15CCF"/>
    <w:rsid w:val="00F15D70"/>
    <w:rsid w:val="00F169D2"/>
    <w:rsid w:val="00F16A4B"/>
    <w:rsid w:val="00F16AC3"/>
    <w:rsid w:val="00F16EA6"/>
    <w:rsid w:val="00F17264"/>
    <w:rsid w:val="00F1758E"/>
    <w:rsid w:val="00F17918"/>
    <w:rsid w:val="00F17D4C"/>
    <w:rsid w:val="00F20059"/>
    <w:rsid w:val="00F20147"/>
    <w:rsid w:val="00F20699"/>
    <w:rsid w:val="00F20B0E"/>
    <w:rsid w:val="00F20E9F"/>
    <w:rsid w:val="00F20F9C"/>
    <w:rsid w:val="00F2127F"/>
    <w:rsid w:val="00F21976"/>
    <w:rsid w:val="00F21D9B"/>
    <w:rsid w:val="00F221B0"/>
    <w:rsid w:val="00F22299"/>
    <w:rsid w:val="00F228E3"/>
    <w:rsid w:val="00F22B5E"/>
    <w:rsid w:val="00F22CDF"/>
    <w:rsid w:val="00F22EF9"/>
    <w:rsid w:val="00F2307F"/>
    <w:rsid w:val="00F2356D"/>
    <w:rsid w:val="00F23616"/>
    <w:rsid w:val="00F23653"/>
    <w:rsid w:val="00F237D2"/>
    <w:rsid w:val="00F23D8B"/>
    <w:rsid w:val="00F23E06"/>
    <w:rsid w:val="00F246B3"/>
    <w:rsid w:val="00F2482D"/>
    <w:rsid w:val="00F250B2"/>
    <w:rsid w:val="00F266AE"/>
    <w:rsid w:val="00F26897"/>
    <w:rsid w:val="00F26C68"/>
    <w:rsid w:val="00F26DA1"/>
    <w:rsid w:val="00F273D4"/>
    <w:rsid w:val="00F2750E"/>
    <w:rsid w:val="00F27836"/>
    <w:rsid w:val="00F27B62"/>
    <w:rsid w:val="00F27F03"/>
    <w:rsid w:val="00F27FC0"/>
    <w:rsid w:val="00F30049"/>
    <w:rsid w:val="00F304F2"/>
    <w:rsid w:val="00F305D9"/>
    <w:rsid w:val="00F3089F"/>
    <w:rsid w:val="00F30E9B"/>
    <w:rsid w:val="00F312A7"/>
    <w:rsid w:val="00F317C1"/>
    <w:rsid w:val="00F31B40"/>
    <w:rsid w:val="00F3221C"/>
    <w:rsid w:val="00F32DA0"/>
    <w:rsid w:val="00F32FC8"/>
    <w:rsid w:val="00F330BC"/>
    <w:rsid w:val="00F3347A"/>
    <w:rsid w:val="00F337C1"/>
    <w:rsid w:val="00F33BF0"/>
    <w:rsid w:val="00F33CE4"/>
    <w:rsid w:val="00F34894"/>
    <w:rsid w:val="00F3539F"/>
    <w:rsid w:val="00F36356"/>
    <w:rsid w:val="00F36D90"/>
    <w:rsid w:val="00F375A7"/>
    <w:rsid w:val="00F4004D"/>
    <w:rsid w:val="00F407F6"/>
    <w:rsid w:val="00F40E22"/>
    <w:rsid w:val="00F40FCE"/>
    <w:rsid w:val="00F41210"/>
    <w:rsid w:val="00F416BF"/>
    <w:rsid w:val="00F41D5F"/>
    <w:rsid w:val="00F41F65"/>
    <w:rsid w:val="00F420D4"/>
    <w:rsid w:val="00F42FD7"/>
    <w:rsid w:val="00F43424"/>
    <w:rsid w:val="00F439AF"/>
    <w:rsid w:val="00F43DFC"/>
    <w:rsid w:val="00F43FE9"/>
    <w:rsid w:val="00F441F1"/>
    <w:rsid w:val="00F44502"/>
    <w:rsid w:val="00F44541"/>
    <w:rsid w:val="00F446D3"/>
    <w:rsid w:val="00F44AE4"/>
    <w:rsid w:val="00F451A3"/>
    <w:rsid w:val="00F454DA"/>
    <w:rsid w:val="00F45600"/>
    <w:rsid w:val="00F458BE"/>
    <w:rsid w:val="00F459BA"/>
    <w:rsid w:val="00F45A03"/>
    <w:rsid w:val="00F4614F"/>
    <w:rsid w:val="00F46195"/>
    <w:rsid w:val="00F463B8"/>
    <w:rsid w:val="00F46508"/>
    <w:rsid w:val="00F46525"/>
    <w:rsid w:val="00F46D77"/>
    <w:rsid w:val="00F470D4"/>
    <w:rsid w:val="00F47218"/>
    <w:rsid w:val="00F4754E"/>
    <w:rsid w:val="00F47798"/>
    <w:rsid w:val="00F4792C"/>
    <w:rsid w:val="00F5064E"/>
    <w:rsid w:val="00F5070F"/>
    <w:rsid w:val="00F510E2"/>
    <w:rsid w:val="00F51467"/>
    <w:rsid w:val="00F519BE"/>
    <w:rsid w:val="00F51F39"/>
    <w:rsid w:val="00F52330"/>
    <w:rsid w:val="00F529F2"/>
    <w:rsid w:val="00F52D30"/>
    <w:rsid w:val="00F52DDA"/>
    <w:rsid w:val="00F53034"/>
    <w:rsid w:val="00F530BF"/>
    <w:rsid w:val="00F532B5"/>
    <w:rsid w:val="00F53962"/>
    <w:rsid w:val="00F53979"/>
    <w:rsid w:val="00F54086"/>
    <w:rsid w:val="00F541BA"/>
    <w:rsid w:val="00F54427"/>
    <w:rsid w:val="00F54572"/>
    <w:rsid w:val="00F546D2"/>
    <w:rsid w:val="00F54D19"/>
    <w:rsid w:val="00F54E5C"/>
    <w:rsid w:val="00F54F57"/>
    <w:rsid w:val="00F551FA"/>
    <w:rsid w:val="00F55396"/>
    <w:rsid w:val="00F553EF"/>
    <w:rsid w:val="00F555F0"/>
    <w:rsid w:val="00F55A8C"/>
    <w:rsid w:val="00F55CE8"/>
    <w:rsid w:val="00F5674C"/>
    <w:rsid w:val="00F5685E"/>
    <w:rsid w:val="00F56B8D"/>
    <w:rsid w:val="00F56C0A"/>
    <w:rsid w:val="00F5709F"/>
    <w:rsid w:val="00F575A4"/>
    <w:rsid w:val="00F577C1"/>
    <w:rsid w:val="00F57DE2"/>
    <w:rsid w:val="00F57FCB"/>
    <w:rsid w:val="00F6013F"/>
    <w:rsid w:val="00F604BA"/>
    <w:rsid w:val="00F606BE"/>
    <w:rsid w:val="00F608C1"/>
    <w:rsid w:val="00F60CFB"/>
    <w:rsid w:val="00F60F81"/>
    <w:rsid w:val="00F610D9"/>
    <w:rsid w:val="00F610EC"/>
    <w:rsid w:val="00F612F2"/>
    <w:rsid w:val="00F6132C"/>
    <w:rsid w:val="00F6139B"/>
    <w:rsid w:val="00F6142B"/>
    <w:rsid w:val="00F614A1"/>
    <w:rsid w:val="00F61968"/>
    <w:rsid w:val="00F627CD"/>
    <w:rsid w:val="00F62E1B"/>
    <w:rsid w:val="00F63151"/>
    <w:rsid w:val="00F63B24"/>
    <w:rsid w:val="00F645D0"/>
    <w:rsid w:val="00F64834"/>
    <w:rsid w:val="00F64A4A"/>
    <w:rsid w:val="00F64E93"/>
    <w:rsid w:val="00F65203"/>
    <w:rsid w:val="00F65592"/>
    <w:rsid w:val="00F65796"/>
    <w:rsid w:val="00F663AB"/>
    <w:rsid w:val="00F663F8"/>
    <w:rsid w:val="00F66726"/>
    <w:rsid w:val="00F66775"/>
    <w:rsid w:val="00F66909"/>
    <w:rsid w:val="00F66AF0"/>
    <w:rsid w:val="00F66EB5"/>
    <w:rsid w:val="00F66FC8"/>
    <w:rsid w:val="00F6703A"/>
    <w:rsid w:val="00F67183"/>
    <w:rsid w:val="00F678B6"/>
    <w:rsid w:val="00F67C8C"/>
    <w:rsid w:val="00F70140"/>
    <w:rsid w:val="00F703D3"/>
    <w:rsid w:val="00F706DD"/>
    <w:rsid w:val="00F7077A"/>
    <w:rsid w:val="00F70CB7"/>
    <w:rsid w:val="00F71067"/>
    <w:rsid w:val="00F719E7"/>
    <w:rsid w:val="00F71BAD"/>
    <w:rsid w:val="00F720D8"/>
    <w:rsid w:val="00F72194"/>
    <w:rsid w:val="00F724D3"/>
    <w:rsid w:val="00F72734"/>
    <w:rsid w:val="00F72B0C"/>
    <w:rsid w:val="00F72C6B"/>
    <w:rsid w:val="00F72F2D"/>
    <w:rsid w:val="00F72FD4"/>
    <w:rsid w:val="00F7332F"/>
    <w:rsid w:val="00F7357D"/>
    <w:rsid w:val="00F73BB8"/>
    <w:rsid w:val="00F7419D"/>
    <w:rsid w:val="00F746B2"/>
    <w:rsid w:val="00F748E7"/>
    <w:rsid w:val="00F749F1"/>
    <w:rsid w:val="00F74D3A"/>
    <w:rsid w:val="00F74E2C"/>
    <w:rsid w:val="00F74FC1"/>
    <w:rsid w:val="00F7555E"/>
    <w:rsid w:val="00F75859"/>
    <w:rsid w:val="00F75938"/>
    <w:rsid w:val="00F75BEE"/>
    <w:rsid w:val="00F75D8A"/>
    <w:rsid w:val="00F75FCC"/>
    <w:rsid w:val="00F75FDB"/>
    <w:rsid w:val="00F760AC"/>
    <w:rsid w:val="00F7649F"/>
    <w:rsid w:val="00F769CD"/>
    <w:rsid w:val="00F76A6A"/>
    <w:rsid w:val="00F76BA6"/>
    <w:rsid w:val="00F76E16"/>
    <w:rsid w:val="00F7703E"/>
    <w:rsid w:val="00F772F5"/>
    <w:rsid w:val="00F773A6"/>
    <w:rsid w:val="00F77483"/>
    <w:rsid w:val="00F778EE"/>
    <w:rsid w:val="00F77D1F"/>
    <w:rsid w:val="00F77DC0"/>
    <w:rsid w:val="00F77EAB"/>
    <w:rsid w:val="00F802E4"/>
    <w:rsid w:val="00F802E7"/>
    <w:rsid w:val="00F8043C"/>
    <w:rsid w:val="00F80705"/>
    <w:rsid w:val="00F809CD"/>
    <w:rsid w:val="00F8104B"/>
    <w:rsid w:val="00F810AD"/>
    <w:rsid w:val="00F815BA"/>
    <w:rsid w:val="00F8161D"/>
    <w:rsid w:val="00F81F82"/>
    <w:rsid w:val="00F8233A"/>
    <w:rsid w:val="00F825E1"/>
    <w:rsid w:val="00F8276A"/>
    <w:rsid w:val="00F82848"/>
    <w:rsid w:val="00F8294C"/>
    <w:rsid w:val="00F83402"/>
    <w:rsid w:val="00F8392B"/>
    <w:rsid w:val="00F83B09"/>
    <w:rsid w:val="00F83B11"/>
    <w:rsid w:val="00F83B22"/>
    <w:rsid w:val="00F83ED3"/>
    <w:rsid w:val="00F83FA5"/>
    <w:rsid w:val="00F8440F"/>
    <w:rsid w:val="00F8479F"/>
    <w:rsid w:val="00F85464"/>
    <w:rsid w:val="00F855A5"/>
    <w:rsid w:val="00F85B58"/>
    <w:rsid w:val="00F86251"/>
    <w:rsid w:val="00F86BDB"/>
    <w:rsid w:val="00F875F8"/>
    <w:rsid w:val="00F90341"/>
    <w:rsid w:val="00F90B88"/>
    <w:rsid w:val="00F912A1"/>
    <w:rsid w:val="00F9180B"/>
    <w:rsid w:val="00F91968"/>
    <w:rsid w:val="00F91CB4"/>
    <w:rsid w:val="00F91ED8"/>
    <w:rsid w:val="00F92006"/>
    <w:rsid w:val="00F923E9"/>
    <w:rsid w:val="00F92CFC"/>
    <w:rsid w:val="00F930A7"/>
    <w:rsid w:val="00F93181"/>
    <w:rsid w:val="00F93621"/>
    <w:rsid w:val="00F93BCA"/>
    <w:rsid w:val="00F93CAD"/>
    <w:rsid w:val="00F93D56"/>
    <w:rsid w:val="00F93DAF"/>
    <w:rsid w:val="00F93F15"/>
    <w:rsid w:val="00F9470A"/>
    <w:rsid w:val="00F9495E"/>
    <w:rsid w:val="00F94A83"/>
    <w:rsid w:val="00F94CF7"/>
    <w:rsid w:val="00F9519D"/>
    <w:rsid w:val="00F95286"/>
    <w:rsid w:val="00F95339"/>
    <w:rsid w:val="00F95582"/>
    <w:rsid w:val="00F95688"/>
    <w:rsid w:val="00F95CBB"/>
    <w:rsid w:val="00F96518"/>
    <w:rsid w:val="00F96AC8"/>
    <w:rsid w:val="00F96ED3"/>
    <w:rsid w:val="00F96FF7"/>
    <w:rsid w:val="00F97056"/>
    <w:rsid w:val="00F97074"/>
    <w:rsid w:val="00F970BE"/>
    <w:rsid w:val="00F97278"/>
    <w:rsid w:val="00F9734E"/>
    <w:rsid w:val="00F97375"/>
    <w:rsid w:val="00F978B5"/>
    <w:rsid w:val="00FA001E"/>
    <w:rsid w:val="00FA0A87"/>
    <w:rsid w:val="00FA0ECA"/>
    <w:rsid w:val="00FA22E7"/>
    <w:rsid w:val="00FA275D"/>
    <w:rsid w:val="00FA2822"/>
    <w:rsid w:val="00FA2DE4"/>
    <w:rsid w:val="00FA2E1B"/>
    <w:rsid w:val="00FA34F5"/>
    <w:rsid w:val="00FA34FF"/>
    <w:rsid w:val="00FA35A9"/>
    <w:rsid w:val="00FA3628"/>
    <w:rsid w:val="00FA3CF5"/>
    <w:rsid w:val="00FA3F2B"/>
    <w:rsid w:val="00FA3FEB"/>
    <w:rsid w:val="00FA4212"/>
    <w:rsid w:val="00FA4320"/>
    <w:rsid w:val="00FA445A"/>
    <w:rsid w:val="00FA5053"/>
    <w:rsid w:val="00FA5297"/>
    <w:rsid w:val="00FA56CF"/>
    <w:rsid w:val="00FA59F5"/>
    <w:rsid w:val="00FA60F0"/>
    <w:rsid w:val="00FA653D"/>
    <w:rsid w:val="00FA6A2C"/>
    <w:rsid w:val="00FA709B"/>
    <w:rsid w:val="00FA791F"/>
    <w:rsid w:val="00FA79F8"/>
    <w:rsid w:val="00FA7A7E"/>
    <w:rsid w:val="00FA7C3C"/>
    <w:rsid w:val="00FB08AE"/>
    <w:rsid w:val="00FB0E8B"/>
    <w:rsid w:val="00FB15D0"/>
    <w:rsid w:val="00FB1C40"/>
    <w:rsid w:val="00FB22A4"/>
    <w:rsid w:val="00FB2578"/>
    <w:rsid w:val="00FB26BC"/>
    <w:rsid w:val="00FB2853"/>
    <w:rsid w:val="00FB2B22"/>
    <w:rsid w:val="00FB2B7F"/>
    <w:rsid w:val="00FB2E8A"/>
    <w:rsid w:val="00FB396D"/>
    <w:rsid w:val="00FB3D6E"/>
    <w:rsid w:val="00FB3FE9"/>
    <w:rsid w:val="00FB41BC"/>
    <w:rsid w:val="00FB4235"/>
    <w:rsid w:val="00FB4258"/>
    <w:rsid w:val="00FB4A67"/>
    <w:rsid w:val="00FB518D"/>
    <w:rsid w:val="00FB53E2"/>
    <w:rsid w:val="00FB5602"/>
    <w:rsid w:val="00FB59AC"/>
    <w:rsid w:val="00FB5D63"/>
    <w:rsid w:val="00FB606D"/>
    <w:rsid w:val="00FB6128"/>
    <w:rsid w:val="00FB6287"/>
    <w:rsid w:val="00FB7802"/>
    <w:rsid w:val="00FB7CD8"/>
    <w:rsid w:val="00FC083B"/>
    <w:rsid w:val="00FC0FA2"/>
    <w:rsid w:val="00FC11B7"/>
    <w:rsid w:val="00FC1222"/>
    <w:rsid w:val="00FC1B6C"/>
    <w:rsid w:val="00FC1BF2"/>
    <w:rsid w:val="00FC1ECF"/>
    <w:rsid w:val="00FC2693"/>
    <w:rsid w:val="00FC2717"/>
    <w:rsid w:val="00FC271B"/>
    <w:rsid w:val="00FC2721"/>
    <w:rsid w:val="00FC2984"/>
    <w:rsid w:val="00FC29A4"/>
    <w:rsid w:val="00FC2A81"/>
    <w:rsid w:val="00FC2BAF"/>
    <w:rsid w:val="00FC3046"/>
    <w:rsid w:val="00FC37E0"/>
    <w:rsid w:val="00FC42D8"/>
    <w:rsid w:val="00FC4F8F"/>
    <w:rsid w:val="00FC519B"/>
    <w:rsid w:val="00FC5534"/>
    <w:rsid w:val="00FC5A8C"/>
    <w:rsid w:val="00FC5F70"/>
    <w:rsid w:val="00FC63A1"/>
    <w:rsid w:val="00FC64DD"/>
    <w:rsid w:val="00FC6943"/>
    <w:rsid w:val="00FC6F9A"/>
    <w:rsid w:val="00FC70DF"/>
    <w:rsid w:val="00FC739F"/>
    <w:rsid w:val="00FC73ED"/>
    <w:rsid w:val="00FC7408"/>
    <w:rsid w:val="00FC7615"/>
    <w:rsid w:val="00FC7FD9"/>
    <w:rsid w:val="00FD0301"/>
    <w:rsid w:val="00FD03FA"/>
    <w:rsid w:val="00FD0462"/>
    <w:rsid w:val="00FD07CB"/>
    <w:rsid w:val="00FD0889"/>
    <w:rsid w:val="00FD0B13"/>
    <w:rsid w:val="00FD0D85"/>
    <w:rsid w:val="00FD0D93"/>
    <w:rsid w:val="00FD136B"/>
    <w:rsid w:val="00FD1384"/>
    <w:rsid w:val="00FD1441"/>
    <w:rsid w:val="00FD15C5"/>
    <w:rsid w:val="00FD1924"/>
    <w:rsid w:val="00FD25A9"/>
    <w:rsid w:val="00FD261E"/>
    <w:rsid w:val="00FD2D0B"/>
    <w:rsid w:val="00FD32FF"/>
    <w:rsid w:val="00FD3A12"/>
    <w:rsid w:val="00FD3A41"/>
    <w:rsid w:val="00FD3C99"/>
    <w:rsid w:val="00FD4012"/>
    <w:rsid w:val="00FD4218"/>
    <w:rsid w:val="00FD42BE"/>
    <w:rsid w:val="00FD4F63"/>
    <w:rsid w:val="00FD53C6"/>
    <w:rsid w:val="00FD5775"/>
    <w:rsid w:val="00FD5BEE"/>
    <w:rsid w:val="00FD6AEE"/>
    <w:rsid w:val="00FD6C11"/>
    <w:rsid w:val="00FD6E2A"/>
    <w:rsid w:val="00FD6EB2"/>
    <w:rsid w:val="00FD7913"/>
    <w:rsid w:val="00FD7FEE"/>
    <w:rsid w:val="00FE0325"/>
    <w:rsid w:val="00FE099F"/>
    <w:rsid w:val="00FE1310"/>
    <w:rsid w:val="00FE1783"/>
    <w:rsid w:val="00FE1A1D"/>
    <w:rsid w:val="00FE1CCB"/>
    <w:rsid w:val="00FE220B"/>
    <w:rsid w:val="00FE288F"/>
    <w:rsid w:val="00FE2956"/>
    <w:rsid w:val="00FE2CC8"/>
    <w:rsid w:val="00FE2F96"/>
    <w:rsid w:val="00FE3398"/>
    <w:rsid w:val="00FE3950"/>
    <w:rsid w:val="00FE3A35"/>
    <w:rsid w:val="00FE452F"/>
    <w:rsid w:val="00FE45DD"/>
    <w:rsid w:val="00FE462E"/>
    <w:rsid w:val="00FE4714"/>
    <w:rsid w:val="00FE47E2"/>
    <w:rsid w:val="00FE498A"/>
    <w:rsid w:val="00FE50E9"/>
    <w:rsid w:val="00FE60CA"/>
    <w:rsid w:val="00FE61B8"/>
    <w:rsid w:val="00FE6358"/>
    <w:rsid w:val="00FE6A75"/>
    <w:rsid w:val="00FE6A95"/>
    <w:rsid w:val="00FE6DBA"/>
    <w:rsid w:val="00FE71F0"/>
    <w:rsid w:val="00FE7350"/>
    <w:rsid w:val="00FE751E"/>
    <w:rsid w:val="00FE754C"/>
    <w:rsid w:val="00FE7E64"/>
    <w:rsid w:val="00FF0118"/>
    <w:rsid w:val="00FF0A58"/>
    <w:rsid w:val="00FF0B12"/>
    <w:rsid w:val="00FF0BA1"/>
    <w:rsid w:val="00FF0C1B"/>
    <w:rsid w:val="00FF0C75"/>
    <w:rsid w:val="00FF0F83"/>
    <w:rsid w:val="00FF10E6"/>
    <w:rsid w:val="00FF138C"/>
    <w:rsid w:val="00FF1698"/>
    <w:rsid w:val="00FF1EF7"/>
    <w:rsid w:val="00FF1F55"/>
    <w:rsid w:val="00FF200B"/>
    <w:rsid w:val="00FF2418"/>
    <w:rsid w:val="00FF2742"/>
    <w:rsid w:val="00FF2D69"/>
    <w:rsid w:val="00FF32D9"/>
    <w:rsid w:val="00FF3C27"/>
    <w:rsid w:val="00FF3D1A"/>
    <w:rsid w:val="00FF3D45"/>
    <w:rsid w:val="00FF4047"/>
    <w:rsid w:val="00FF42E8"/>
    <w:rsid w:val="00FF435C"/>
    <w:rsid w:val="00FF44EA"/>
    <w:rsid w:val="00FF488B"/>
    <w:rsid w:val="00FF490C"/>
    <w:rsid w:val="00FF4B84"/>
    <w:rsid w:val="00FF4D48"/>
    <w:rsid w:val="00FF504D"/>
    <w:rsid w:val="00FF5664"/>
    <w:rsid w:val="00FF5781"/>
    <w:rsid w:val="00FF5D9C"/>
    <w:rsid w:val="00FF69C6"/>
    <w:rsid w:val="00FF7D08"/>
    <w:rsid w:val="00FF7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217A3"/>
  <w15:docId w15:val="{EDE37754-BC0E-4399-B06B-139313D6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F5EB0"/>
    <w:pPr>
      <w:spacing w:after="160" w:line="259" w:lineRule="auto"/>
    </w:pPr>
    <w:rPr>
      <w:rFonts w:ascii="Calibri" w:hAnsi="Calibri" w:cs="Arial Unicode MS"/>
      <w:color w:val="000000"/>
      <w:sz w:val="22"/>
      <w:szCs w:val="22"/>
      <w:u w:color="000000"/>
    </w:rPr>
  </w:style>
  <w:style w:type="paragraph" w:styleId="Titolo1">
    <w:name w:val="heading 1"/>
    <w:basedOn w:val="Normale"/>
    <w:next w:val="Normale"/>
    <w:link w:val="Titolo1Carattere"/>
    <w:uiPriority w:val="9"/>
    <w:qFormat/>
    <w:rsid w:val="00EE5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40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262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
    <w:name w:val="Stile importato 2"/>
    <w:pPr>
      <w:numPr>
        <w:numId w:val="2"/>
      </w:numPr>
    </w:pPr>
  </w:style>
  <w:style w:type="character" w:customStyle="1" w:styleId="Link">
    <w:name w:val="Link"/>
    <w:rPr>
      <w:color w:val="0563C1"/>
      <w:u w:val="single" w:color="0563C1"/>
      <w14:textOutline w14:w="0" w14:cap="rnd" w14:cmpd="sng" w14:algn="ctr">
        <w14:noFill/>
        <w14:prstDash w14:val="solid"/>
        <w14:bevel/>
      </w14:textOutline>
    </w:rPr>
  </w:style>
  <w:style w:type="character" w:customStyle="1" w:styleId="Hyperlink0">
    <w:name w:val="Hyperlink.0"/>
    <w:basedOn w:val="Link"/>
    <w:rPr>
      <w:rFonts w:ascii="Calibri" w:eastAsia="Calibri" w:hAnsi="Calibri" w:cs="Calibri"/>
      <w:i/>
      <w:iCs/>
      <w:color w:val="0563C1"/>
      <w:u w:val="single" w:color="0563C1"/>
      <w14:textOutline w14:w="0" w14:cap="rnd" w14:cmpd="sng" w14:algn="ctr">
        <w14:noFill/>
        <w14:prstDash w14:val="solid"/>
        <w14:bevel/>
      </w14:textOutline>
    </w:rPr>
  </w:style>
  <w:style w:type="character" w:customStyle="1" w:styleId="Hyperlink1">
    <w:name w:val="Hyperlink.1"/>
    <w:basedOn w:val="Link"/>
    <w:rPr>
      <w:rFonts w:ascii="Calibri" w:eastAsia="Calibri" w:hAnsi="Calibri" w:cs="Calibri"/>
      <w:color w:val="0563C1"/>
      <w:sz w:val="20"/>
      <w:szCs w:val="20"/>
      <w:u w:val="single" w:color="0563C1"/>
      <w14:textOutline w14:w="0" w14:cap="rnd" w14:cmpd="sng" w14:algn="ctr">
        <w14:noFill/>
        <w14:prstDash w14:val="solid"/>
        <w14:bevel/>
      </w14:textOutline>
    </w:r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rFonts w:ascii="Calibri" w:hAnsi="Calibri" w:cs="Arial Unicode MS"/>
      <w:color w:val="000000"/>
      <w:u w:color="00000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6F74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494"/>
    <w:rPr>
      <w:rFonts w:ascii="Tahoma" w:hAnsi="Tahoma" w:cs="Tahoma"/>
      <w:color w:val="000000"/>
      <w:sz w:val="16"/>
      <w:szCs w:val="16"/>
      <w:u w:color="000000"/>
    </w:rPr>
  </w:style>
  <w:style w:type="paragraph" w:styleId="Soggettocommento">
    <w:name w:val="annotation subject"/>
    <w:basedOn w:val="Testocommento"/>
    <w:next w:val="Testocommento"/>
    <w:link w:val="SoggettocommentoCarattere"/>
    <w:uiPriority w:val="99"/>
    <w:semiHidden/>
    <w:unhideWhenUsed/>
    <w:rsid w:val="00CE577D"/>
    <w:rPr>
      <w:b/>
      <w:bCs/>
    </w:rPr>
  </w:style>
  <w:style w:type="character" w:customStyle="1" w:styleId="SoggettocommentoCarattere">
    <w:name w:val="Soggetto commento Carattere"/>
    <w:basedOn w:val="TestocommentoCarattere"/>
    <w:link w:val="Soggettocommento"/>
    <w:uiPriority w:val="99"/>
    <w:semiHidden/>
    <w:rsid w:val="00CE577D"/>
    <w:rPr>
      <w:rFonts w:ascii="Calibri" w:hAnsi="Calibri" w:cs="Arial Unicode MS"/>
      <w:b/>
      <w:bCs/>
      <w:color w:val="000000"/>
      <w:u w:color="000000"/>
    </w:rPr>
  </w:style>
  <w:style w:type="paragraph" w:styleId="Intestazione">
    <w:name w:val="header"/>
    <w:basedOn w:val="Normale"/>
    <w:link w:val="IntestazioneCarattere"/>
    <w:uiPriority w:val="99"/>
    <w:unhideWhenUsed/>
    <w:rsid w:val="00AF08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08E9"/>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AF08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08E9"/>
    <w:rPr>
      <w:rFonts w:ascii="Calibri" w:hAnsi="Calibri" w:cs="Arial Unicode MS"/>
      <w:color w:val="000000"/>
      <w:sz w:val="22"/>
      <w:szCs w:val="22"/>
      <w:u w:color="000000"/>
    </w:rPr>
  </w:style>
  <w:style w:type="character" w:styleId="Collegamentovisitato">
    <w:name w:val="FollowedHyperlink"/>
    <w:basedOn w:val="Carpredefinitoparagrafo"/>
    <w:uiPriority w:val="99"/>
    <w:semiHidden/>
    <w:unhideWhenUsed/>
    <w:rsid w:val="000D7E45"/>
    <w:rPr>
      <w:color w:val="FF00FF" w:themeColor="followedHyperlink"/>
      <w:u w:val="single"/>
    </w:rPr>
  </w:style>
  <w:style w:type="character" w:customStyle="1" w:styleId="Menzionenonrisolta1">
    <w:name w:val="Menzione non risolta1"/>
    <w:basedOn w:val="Carpredefinitoparagrafo"/>
    <w:uiPriority w:val="99"/>
    <w:semiHidden/>
    <w:unhideWhenUsed/>
    <w:rsid w:val="00D26A8F"/>
    <w:rPr>
      <w:color w:val="605E5C"/>
      <w:shd w:val="clear" w:color="auto" w:fill="E1DFDD"/>
    </w:rPr>
  </w:style>
  <w:style w:type="paragraph" w:styleId="Testonotaapidipagina">
    <w:name w:val="footnote text"/>
    <w:basedOn w:val="Normale"/>
    <w:link w:val="TestonotaapidipaginaCarattere"/>
    <w:uiPriority w:val="99"/>
    <w:unhideWhenUsed/>
    <w:rsid w:val="00505C8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notaapidipaginaCarattere">
    <w:name w:val="Testo nota a piè di pagina Carattere"/>
    <w:basedOn w:val="Carpredefinitoparagrafo"/>
    <w:link w:val="Testonotaapidipagina"/>
    <w:uiPriority w:val="99"/>
    <w:rsid w:val="00505C8D"/>
    <w:rPr>
      <w:rFonts w:asciiTheme="minorHAnsi" w:eastAsiaTheme="minorHAnsi" w:hAnsiTheme="minorHAnsi" w:cstheme="minorBidi"/>
      <w:bdr w:val="none" w:sz="0" w:space="0" w:color="auto"/>
      <w:lang w:eastAsia="en-US"/>
    </w:rPr>
  </w:style>
  <w:style w:type="character" w:styleId="Rimandonotaapidipagina">
    <w:name w:val="footnote reference"/>
    <w:basedOn w:val="Carpredefinitoparagrafo"/>
    <w:uiPriority w:val="99"/>
    <w:unhideWhenUsed/>
    <w:rsid w:val="00505C8D"/>
    <w:rPr>
      <w:vertAlign w:val="superscript"/>
    </w:rPr>
  </w:style>
  <w:style w:type="character" w:customStyle="1" w:styleId="Menzionenonrisolta2">
    <w:name w:val="Menzione non risolta2"/>
    <w:basedOn w:val="Carpredefinitoparagrafo"/>
    <w:uiPriority w:val="99"/>
    <w:semiHidden/>
    <w:unhideWhenUsed/>
    <w:rsid w:val="003F2987"/>
    <w:rPr>
      <w:color w:val="605E5C"/>
      <w:shd w:val="clear" w:color="auto" w:fill="E1DFDD"/>
    </w:rPr>
  </w:style>
  <w:style w:type="paragraph" w:styleId="Testonormale">
    <w:name w:val="Plain Text"/>
    <w:basedOn w:val="Normale"/>
    <w:link w:val="TestonormaleCarattere"/>
    <w:uiPriority w:val="99"/>
    <w:unhideWhenUsed/>
    <w:rsid w:val="00C4440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Calibri"/>
      <w:color w:val="00457D"/>
      <w:bdr w:val="none" w:sz="0" w:space="0" w:color="auto"/>
    </w:rPr>
  </w:style>
  <w:style w:type="character" w:customStyle="1" w:styleId="TestonormaleCarattere">
    <w:name w:val="Testo normale Carattere"/>
    <w:basedOn w:val="Carpredefinitoparagrafo"/>
    <w:link w:val="Testonormale"/>
    <w:uiPriority w:val="99"/>
    <w:rsid w:val="00C4440A"/>
    <w:rPr>
      <w:rFonts w:ascii="Calibri" w:eastAsiaTheme="minorHAnsi" w:hAnsi="Calibri" w:cs="Calibri"/>
      <w:color w:val="00457D"/>
      <w:sz w:val="22"/>
      <w:szCs w:val="22"/>
      <w:bdr w:val="none" w:sz="0" w:space="0" w:color="auto"/>
    </w:rPr>
  </w:style>
  <w:style w:type="character" w:customStyle="1" w:styleId="Menzionenonrisolta3">
    <w:name w:val="Menzione non risolta3"/>
    <w:basedOn w:val="Carpredefinitoparagrafo"/>
    <w:uiPriority w:val="99"/>
    <w:semiHidden/>
    <w:unhideWhenUsed/>
    <w:rsid w:val="00262272"/>
    <w:rPr>
      <w:color w:val="605E5C"/>
      <w:shd w:val="clear" w:color="auto" w:fill="E1DFDD"/>
    </w:rPr>
  </w:style>
  <w:style w:type="character" w:customStyle="1" w:styleId="markedcontent">
    <w:name w:val="markedcontent"/>
    <w:basedOn w:val="Carpredefinitoparagrafo"/>
    <w:rsid w:val="00370F56"/>
  </w:style>
  <w:style w:type="character" w:customStyle="1" w:styleId="Menzionenonrisolta4">
    <w:name w:val="Menzione non risolta4"/>
    <w:basedOn w:val="Carpredefinitoparagrafo"/>
    <w:uiPriority w:val="99"/>
    <w:semiHidden/>
    <w:unhideWhenUsed/>
    <w:rsid w:val="003D5649"/>
    <w:rPr>
      <w:color w:val="605E5C"/>
      <w:shd w:val="clear" w:color="auto" w:fill="E1DFDD"/>
    </w:rPr>
  </w:style>
  <w:style w:type="character" w:styleId="Enfasigrassetto">
    <w:name w:val="Strong"/>
    <w:basedOn w:val="Carpredefinitoparagrafo"/>
    <w:uiPriority w:val="22"/>
    <w:qFormat/>
    <w:rsid w:val="00F86251"/>
    <w:rPr>
      <w:b/>
      <w:bCs/>
    </w:rPr>
  </w:style>
  <w:style w:type="paragraph" w:styleId="Revisione">
    <w:name w:val="Revision"/>
    <w:hidden/>
    <w:uiPriority w:val="99"/>
    <w:semiHidden/>
    <w:rsid w:val="004A0F1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customStyle="1" w:styleId="Menzionenonrisolta5">
    <w:name w:val="Menzione non risolta5"/>
    <w:basedOn w:val="Carpredefinitoparagrafo"/>
    <w:uiPriority w:val="99"/>
    <w:semiHidden/>
    <w:unhideWhenUsed/>
    <w:rsid w:val="007A6242"/>
    <w:rPr>
      <w:color w:val="605E5C"/>
      <w:shd w:val="clear" w:color="auto" w:fill="E1DFDD"/>
    </w:rPr>
  </w:style>
  <w:style w:type="table" w:styleId="Grigliatabella">
    <w:name w:val="Table Grid"/>
    <w:basedOn w:val="Tabellanormale"/>
    <w:uiPriority w:val="39"/>
    <w:rsid w:val="00EE41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6">
    <w:name w:val="Menzione non risolta6"/>
    <w:basedOn w:val="Carpredefinitoparagrafo"/>
    <w:uiPriority w:val="99"/>
    <w:semiHidden/>
    <w:unhideWhenUsed/>
    <w:rsid w:val="009346D0"/>
    <w:rPr>
      <w:color w:val="605E5C"/>
      <w:shd w:val="clear" w:color="auto" w:fill="E1DFDD"/>
    </w:rPr>
  </w:style>
  <w:style w:type="character" w:styleId="Enfasicorsivo">
    <w:name w:val="Emphasis"/>
    <w:basedOn w:val="Carpredefinitoparagrafo"/>
    <w:uiPriority w:val="20"/>
    <w:qFormat/>
    <w:rsid w:val="00B34E04"/>
    <w:rPr>
      <w:i/>
      <w:iCs/>
    </w:rPr>
  </w:style>
  <w:style w:type="paragraph" w:styleId="NormaleWeb">
    <w:name w:val="Normal (Web)"/>
    <w:basedOn w:val="Normale"/>
    <w:uiPriority w:val="99"/>
    <w:unhideWhenUsed/>
    <w:rsid w:val="00B51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Menzionenonrisolta7">
    <w:name w:val="Menzione non risolta7"/>
    <w:basedOn w:val="Carpredefinitoparagrafo"/>
    <w:uiPriority w:val="99"/>
    <w:semiHidden/>
    <w:unhideWhenUsed/>
    <w:rsid w:val="00653636"/>
    <w:rPr>
      <w:color w:val="605E5C"/>
      <w:shd w:val="clear" w:color="auto" w:fill="E1DFDD"/>
    </w:rPr>
  </w:style>
  <w:style w:type="character" w:customStyle="1" w:styleId="Menzionenonrisolta8">
    <w:name w:val="Menzione non risolta8"/>
    <w:basedOn w:val="Carpredefinitoparagrafo"/>
    <w:uiPriority w:val="99"/>
    <w:semiHidden/>
    <w:unhideWhenUsed/>
    <w:rsid w:val="00C90A20"/>
    <w:rPr>
      <w:color w:val="605E5C"/>
      <w:shd w:val="clear" w:color="auto" w:fill="E1DFDD"/>
    </w:rPr>
  </w:style>
  <w:style w:type="character" w:customStyle="1" w:styleId="Menzionenonrisolta9">
    <w:name w:val="Menzione non risolta9"/>
    <w:basedOn w:val="Carpredefinitoparagrafo"/>
    <w:uiPriority w:val="99"/>
    <w:semiHidden/>
    <w:unhideWhenUsed/>
    <w:rsid w:val="007C59CB"/>
    <w:rPr>
      <w:color w:val="605E5C"/>
      <w:shd w:val="clear" w:color="auto" w:fill="E1DFDD"/>
    </w:rPr>
  </w:style>
  <w:style w:type="character" w:customStyle="1" w:styleId="d2edcug0">
    <w:name w:val="d2edcug0"/>
    <w:basedOn w:val="Carpredefinitoparagrafo"/>
    <w:rsid w:val="00C6096C"/>
  </w:style>
  <w:style w:type="character" w:customStyle="1" w:styleId="highlight">
    <w:name w:val="highlight"/>
    <w:basedOn w:val="Carpredefinitoparagrafo"/>
    <w:rsid w:val="006B0D74"/>
  </w:style>
  <w:style w:type="character" w:customStyle="1" w:styleId="Titolo3Carattere">
    <w:name w:val="Titolo 3 Carattere"/>
    <w:basedOn w:val="Carpredefinitoparagrafo"/>
    <w:link w:val="Titolo3"/>
    <w:uiPriority w:val="9"/>
    <w:rsid w:val="00426290"/>
    <w:rPr>
      <w:rFonts w:eastAsia="Times New Roman"/>
      <w:b/>
      <w:bCs/>
      <w:sz w:val="27"/>
      <w:szCs w:val="27"/>
      <w:u w:color="000000"/>
      <w:bdr w:val="none" w:sz="0" w:space="0" w:color="auto"/>
    </w:rPr>
  </w:style>
  <w:style w:type="character" w:customStyle="1" w:styleId="Menzionenonrisolta10">
    <w:name w:val="Menzione non risolta10"/>
    <w:basedOn w:val="Carpredefinitoparagrafo"/>
    <w:uiPriority w:val="99"/>
    <w:semiHidden/>
    <w:unhideWhenUsed/>
    <w:rsid w:val="00041719"/>
    <w:rPr>
      <w:color w:val="605E5C"/>
      <w:shd w:val="clear" w:color="auto" w:fill="E1DFDD"/>
    </w:rPr>
  </w:style>
  <w:style w:type="paragraph" w:customStyle="1" w:styleId="xmsonormal">
    <w:name w:val="x_msonormal"/>
    <w:basedOn w:val="Normale"/>
    <w:rsid w:val="00945FDF"/>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pPr>
    <w:rPr>
      <w:rFonts w:eastAsiaTheme="minorHAnsi" w:cs="Calibri"/>
      <w:bdr w:val="none" w:sz="0" w:space="0" w:color="auto"/>
    </w:rPr>
  </w:style>
  <w:style w:type="character" w:customStyle="1" w:styleId="Menzionenonrisolta11">
    <w:name w:val="Menzione non risolta11"/>
    <w:basedOn w:val="Carpredefinitoparagrafo"/>
    <w:uiPriority w:val="99"/>
    <w:semiHidden/>
    <w:unhideWhenUsed/>
    <w:rsid w:val="004B1639"/>
    <w:rPr>
      <w:color w:val="605E5C"/>
      <w:shd w:val="clear" w:color="auto" w:fill="E1DFDD"/>
    </w:rPr>
  </w:style>
  <w:style w:type="character" w:customStyle="1" w:styleId="Menzionenonrisolta12">
    <w:name w:val="Menzione non risolta12"/>
    <w:basedOn w:val="Carpredefinitoparagrafo"/>
    <w:uiPriority w:val="99"/>
    <w:semiHidden/>
    <w:unhideWhenUsed/>
    <w:rsid w:val="00B9490A"/>
    <w:rPr>
      <w:color w:val="605E5C"/>
      <w:shd w:val="clear" w:color="auto" w:fill="E1DFDD"/>
    </w:rPr>
  </w:style>
  <w:style w:type="character" w:customStyle="1" w:styleId="Menzionenonrisolta13">
    <w:name w:val="Menzione non risolta13"/>
    <w:basedOn w:val="Carpredefinitoparagrafo"/>
    <w:uiPriority w:val="99"/>
    <w:semiHidden/>
    <w:unhideWhenUsed/>
    <w:rsid w:val="00EC3BF8"/>
    <w:rPr>
      <w:color w:val="605E5C"/>
      <w:shd w:val="clear" w:color="auto" w:fill="E1DFDD"/>
    </w:rPr>
  </w:style>
  <w:style w:type="character" w:customStyle="1" w:styleId="Menzionenonrisolta14">
    <w:name w:val="Menzione non risolta14"/>
    <w:basedOn w:val="Carpredefinitoparagrafo"/>
    <w:uiPriority w:val="99"/>
    <w:semiHidden/>
    <w:unhideWhenUsed/>
    <w:rsid w:val="006404C6"/>
    <w:rPr>
      <w:color w:val="605E5C"/>
      <w:shd w:val="clear" w:color="auto" w:fill="E1DFDD"/>
    </w:rPr>
  </w:style>
  <w:style w:type="character" w:customStyle="1" w:styleId="Menzionenonrisolta15">
    <w:name w:val="Menzione non risolta15"/>
    <w:basedOn w:val="Carpredefinitoparagrafo"/>
    <w:uiPriority w:val="99"/>
    <w:semiHidden/>
    <w:unhideWhenUsed/>
    <w:rsid w:val="00A018E7"/>
    <w:rPr>
      <w:color w:val="605E5C"/>
      <w:shd w:val="clear" w:color="auto" w:fill="E1DFDD"/>
    </w:rPr>
  </w:style>
  <w:style w:type="character" w:customStyle="1" w:styleId="Menzionenonrisolta16">
    <w:name w:val="Menzione non risolta16"/>
    <w:basedOn w:val="Carpredefinitoparagrafo"/>
    <w:uiPriority w:val="99"/>
    <w:semiHidden/>
    <w:unhideWhenUsed/>
    <w:rsid w:val="00D37FA9"/>
    <w:rPr>
      <w:color w:val="605E5C"/>
      <w:shd w:val="clear" w:color="auto" w:fill="E1DFDD"/>
    </w:rPr>
  </w:style>
  <w:style w:type="character" w:customStyle="1" w:styleId="Menzionenonrisolta17">
    <w:name w:val="Menzione non risolta17"/>
    <w:basedOn w:val="Carpredefinitoparagrafo"/>
    <w:uiPriority w:val="99"/>
    <w:semiHidden/>
    <w:unhideWhenUsed/>
    <w:rsid w:val="00905F33"/>
    <w:rPr>
      <w:color w:val="605E5C"/>
      <w:shd w:val="clear" w:color="auto" w:fill="E1DFDD"/>
    </w:rPr>
  </w:style>
  <w:style w:type="character" w:customStyle="1" w:styleId="Menzionenonrisolta18">
    <w:name w:val="Menzione non risolta18"/>
    <w:basedOn w:val="Carpredefinitoparagrafo"/>
    <w:uiPriority w:val="99"/>
    <w:semiHidden/>
    <w:unhideWhenUsed/>
    <w:rsid w:val="00620FD1"/>
    <w:rPr>
      <w:color w:val="605E5C"/>
      <w:shd w:val="clear" w:color="auto" w:fill="E1DFDD"/>
    </w:rPr>
  </w:style>
  <w:style w:type="character" w:customStyle="1" w:styleId="Menzionenonrisolta19">
    <w:name w:val="Menzione non risolta19"/>
    <w:basedOn w:val="Carpredefinitoparagrafo"/>
    <w:uiPriority w:val="99"/>
    <w:semiHidden/>
    <w:unhideWhenUsed/>
    <w:rsid w:val="0038565D"/>
    <w:rPr>
      <w:color w:val="605E5C"/>
      <w:shd w:val="clear" w:color="auto" w:fill="E1DFDD"/>
    </w:rPr>
  </w:style>
  <w:style w:type="character" w:customStyle="1" w:styleId="Menzionenonrisolta20">
    <w:name w:val="Menzione non risolta20"/>
    <w:basedOn w:val="Carpredefinitoparagrafo"/>
    <w:uiPriority w:val="99"/>
    <w:semiHidden/>
    <w:unhideWhenUsed/>
    <w:rsid w:val="00B56CF1"/>
    <w:rPr>
      <w:color w:val="605E5C"/>
      <w:shd w:val="clear" w:color="auto" w:fill="E1DFDD"/>
    </w:rPr>
  </w:style>
  <w:style w:type="character" w:customStyle="1" w:styleId="Menzionenonrisolta21">
    <w:name w:val="Menzione non risolta21"/>
    <w:basedOn w:val="Carpredefinitoparagrafo"/>
    <w:uiPriority w:val="99"/>
    <w:semiHidden/>
    <w:unhideWhenUsed/>
    <w:rsid w:val="002D10DE"/>
    <w:rPr>
      <w:color w:val="605E5C"/>
      <w:shd w:val="clear" w:color="auto" w:fill="E1DFDD"/>
    </w:rPr>
  </w:style>
  <w:style w:type="character" w:customStyle="1" w:styleId="Menzionenonrisolta22">
    <w:name w:val="Menzione non risolta22"/>
    <w:basedOn w:val="Carpredefinitoparagrafo"/>
    <w:uiPriority w:val="99"/>
    <w:semiHidden/>
    <w:unhideWhenUsed/>
    <w:rsid w:val="00410FBD"/>
    <w:rPr>
      <w:color w:val="605E5C"/>
      <w:shd w:val="clear" w:color="auto" w:fill="E1DFDD"/>
    </w:rPr>
  </w:style>
  <w:style w:type="paragraph" w:customStyle="1" w:styleId="Default">
    <w:name w:val="Default"/>
    <w:basedOn w:val="Normale"/>
    <w:rsid w:val="008A73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Tahoma" w:eastAsiaTheme="minorHAnsi" w:hAnsi="Tahoma" w:cs="Tahoma"/>
      <w:sz w:val="24"/>
      <w:szCs w:val="24"/>
      <w:bdr w:val="none" w:sz="0" w:space="0" w:color="auto"/>
      <w:lang w:eastAsia="en-US"/>
    </w:rPr>
  </w:style>
  <w:style w:type="character" w:customStyle="1" w:styleId="Menzionenonrisolta23">
    <w:name w:val="Menzione non risolta23"/>
    <w:basedOn w:val="Carpredefinitoparagrafo"/>
    <w:uiPriority w:val="99"/>
    <w:semiHidden/>
    <w:unhideWhenUsed/>
    <w:rsid w:val="000146E0"/>
    <w:rPr>
      <w:color w:val="605E5C"/>
      <w:shd w:val="clear" w:color="auto" w:fill="E1DFDD"/>
    </w:rPr>
  </w:style>
  <w:style w:type="table" w:customStyle="1" w:styleId="TableNormal1">
    <w:name w:val="Table Normal1"/>
    <w:rsid w:val="00053240"/>
    <w:tblPr>
      <w:tblInd w:w="0" w:type="dxa"/>
      <w:tblCellMar>
        <w:top w:w="0" w:type="dxa"/>
        <w:left w:w="0" w:type="dxa"/>
        <w:bottom w:w="0" w:type="dxa"/>
        <w:right w:w="0" w:type="dxa"/>
      </w:tblCellMar>
    </w:tblPr>
  </w:style>
  <w:style w:type="character" w:customStyle="1" w:styleId="Menzionenonrisolta24">
    <w:name w:val="Menzione non risolta24"/>
    <w:basedOn w:val="Carpredefinitoparagrafo"/>
    <w:uiPriority w:val="99"/>
    <w:semiHidden/>
    <w:unhideWhenUsed/>
    <w:rsid w:val="001A5F48"/>
    <w:rPr>
      <w:color w:val="605E5C"/>
      <w:shd w:val="clear" w:color="auto" w:fill="E1DFDD"/>
    </w:rPr>
  </w:style>
  <w:style w:type="paragraph" w:styleId="PreformattatoHTML">
    <w:name w:val="HTML Preformatted"/>
    <w:basedOn w:val="Normale"/>
    <w:link w:val="PreformattatoHTMLCarattere"/>
    <w:uiPriority w:val="99"/>
    <w:unhideWhenUsed/>
    <w:rsid w:val="00021D5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021D57"/>
    <w:rPr>
      <w:rFonts w:ascii="Courier New" w:eastAsia="Times New Roman" w:hAnsi="Courier New" w:cs="Courier New"/>
      <w:bdr w:val="none" w:sz="0" w:space="0" w:color="auto"/>
    </w:rPr>
  </w:style>
  <w:style w:type="character" w:customStyle="1" w:styleId="y2iqfc">
    <w:name w:val="y2iqfc"/>
    <w:basedOn w:val="Carpredefinitoparagrafo"/>
    <w:rsid w:val="00021D57"/>
  </w:style>
  <w:style w:type="character" w:customStyle="1" w:styleId="Menzionenonrisolta25">
    <w:name w:val="Menzione non risolta25"/>
    <w:basedOn w:val="Carpredefinitoparagrafo"/>
    <w:uiPriority w:val="99"/>
    <w:semiHidden/>
    <w:unhideWhenUsed/>
    <w:rsid w:val="006E3DA9"/>
    <w:rPr>
      <w:color w:val="605E5C"/>
      <w:shd w:val="clear" w:color="auto" w:fill="E1DFDD"/>
    </w:rPr>
  </w:style>
  <w:style w:type="character" w:customStyle="1" w:styleId="ui-provider">
    <w:name w:val="ui-provider"/>
    <w:basedOn w:val="Carpredefinitoparagrafo"/>
    <w:rsid w:val="008E0F18"/>
  </w:style>
  <w:style w:type="character" w:styleId="Testosegnaposto">
    <w:name w:val="Placeholder Text"/>
    <w:basedOn w:val="Carpredefinitoparagrafo"/>
    <w:uiPriority w:val="99"/>
    <w:semiHidden/>
    <w:rsid w:val="005C1400"/>
    <w:rPr>
      <w:color w:val="808080"/>
    </w:rPr>
  </w:style>
  <w:style w:type="character" w:customStyle="1" w:styleId="Menzionenonrisolta26">
    <w:name w:val="Menzione non risolta26"/>
    <w:basedOn w:val="Carpredefinitoparagrafo"/>
    <w:uiPriority w:val="99"/>
    <w:semiHidden/>
    <w:unhideWhenUsed/>
    <w:rsid w:val="00CF24C5"/>
    <w:rPr>
      <w:color w:val="605E5C"/>
      <w:shd w:val="clear" w:color="auto" w:fill="E1DFDD"/>
    </w:rPr>
  </w:style>
  <w:style w:type="character" w:customStyle="1" w:styleId="Menzionenonrisolta27">
    <w:name w:val="Menzione non risolta27"/>
    <w:basedOn w:val="Carpredefinitoparagrafo"/>
    <w:uiPriority w:val="99"/>
    <w:semiHidden/>
    <w:unhideWhenUsed/>
    <w:rsid w:val="00F719E7"/>
    <w:rPr>
      <w:color w:val="605E5C"/>
      <w:shd w:val="clear" w:color="auto" w:fill="E1DFDD"/>
    </w:rPr>
  </w:style>
  <w:style w:type="character" w:customStyle="1" w:styleId="Menzionenonrisolta28">
    <w:name w:val="Menzione non risolta28"/>
    <w:basedOn w:val="Carpredefinitoparagrafo"/>
    <w:uiPriority w:val="99"/>
    <w:semiHidden/>
    <w:unhideWhenUsed/>
    <w:rsid w:val="00F96FF7"/>
    <w:rPr>
      <w:color w:val="605E5C"/>
      <w:shd w:val="clear" w:color="auto" w:fill="E1DFDD"/>
    </w:rPr>
  </w:style>
  <w:style w:type="character" w:customStyle="1" w:styleId="Titolo2Carattere">
    <w:name w:val="Titolo 2 Carattere"/>
    <w:basedOn w:val="Carpredefinitoparagrafo"/>
    <w:link w:val="Titolo2"/>
    <w:uiPriority w:val="9"/>
    <w:rsid w:val="00540E74"/>
    <w:rPr>
      <w:rFonts w:asciiTheme="majorHAnsi" w:eastAsiaTheme="majorEastAsia" w:hAnsiTheme="majorHAnsi" w:cstheme="majorBidi"/>
      <w:color w:val="2F5496" w:themeColor="accent1" w:themeShade="BF"/>
      <w:sz w:val="26"/>
      <w:szCs w:val="26"/>
      <w:u w:color="000000"/>
    </w:rPr>
  </w:style>
  <w:style w:type="paragraph" w:styleId="Didascalia">
    <w:name w:val="caption"/>
    <w:basedOn w:val="Normale"/>
    <w:next w:val="Normale"/>
    <w:uiPriority w:val="35"/>
    <w:unhideWhenUsed/>
    <w:qFormat/>
    <w:rsid w:val="00540E74"/>
    <w:pPr>
      <w:pBdr>
        <w:top w:val="none" w:sz="0" w:space="0" w:color="auto"/>
        <w:left w:val="none" w:sz="0" w:space="0" w:color="auto"/>
        <w:bottom w:val="none" w:sz="0" w:space="0" w:color="auto"/>
        <w:right w:val="none" w:sz="0" w:space="0" w:color="auto"/>
        <w:between w:val="none" w:sz="0" w:space="0" w:color="auto"/>
        <w:bar w:val="none" w:sz="0" w:color="auto"/>
      </w:pBdr>
      <w:spacing w:before="120" w:after="200" w:line="276" w:lineRule="auto"/>
      <w:jc w:val="center"/>
    </w:pPr>
    <w:rPr>
      <w:rFonts w:ascii="Cambria" w:eastAsiaTheme="minorHAnsi" w:hAnsi="Cambria" w:cstheme="minorBidi"/>
      <w:b/>
      <w:iCs/>
      <w:color w:val="00457D"/>
      <w:sz w:val="18"/>
      <w:szCs w:val="18"/>
      <w:bdr w:val="none" w:sz="0" w:space="0" w:color="auto"/>
      <w:lang w:eastAsia="en-US"/>
    </w:rPr>
  </w:style>
  <w:style w:type="character" w:customStyle="1" w:styleId="Menzionenonrisolta29">
    <w:name w:val="Menzione non risolta29"/>
    <w:basedOn w:val="Carpredefinitoparagrafo"/>
    <w:uiPriority w:val="99"/>
    <w:semiHidden/>
    <w:unhideWhenUsed/>
    <w:rsid w:val="00F13AE3"/>
    <w:rPr>
      <w:color w:val="605E5C"/>
      <w:shd w:val="clear" w:color="auto" w:fill="E1DFDD"/>
    </w:rPr>
  </w:style>
  <w:style w:type="character" w:customStyle="1" w:styleId="Menzionenonrisolta30">
    <w:name w:val="Menzione non risolta30"/>
    <w:basedOn w:val="Carpredefinitoparagrafo"/>
    <w:uiPriority w:val="99"/>
    <w:semiHidden/>
    <w:unhideWhenUsed/>
    <w:rsid w:val="00282A5F"/>
    <w:rPr>
      <w:color w:val="605E5C"/>
      <w:shd w:val="clear" w:color="auto" w:fill="E1DFDD"/>
    </w:rPr>
  </w:style>
  <w:style w:type="character" w:customStyle="1" w:styleId="Menzionenonrisolta31">
    <w:name w:val="Menzione non risolta31"/>
    <w:basedOn w:val="Carpredefinitoparagrafo"/>
    <w:uiPriority w:val="99"/>
    <w:semiHidden/>
    <w:unhideWhenUsed/>
    <w:rsid w:val="00A01571"/>
    <w:rPr>
      <w:color w:val="605E5C"/>
      <w:shd w:val="clear" w:color="auto" w:fill="E1DFDD"/>
    </w:rPr>
  </w:style>
  <w:style w:type="character" w:customStyle="1" w:styleId="Menzionenonrisolta32">
    <w:name w:val="Menzione non risolta32"/>
    <w:basedOn w:val="Carpredefinitoparagrafo"/>
    <w:uiPriority w:val="99"/>
    <w:semiHidden/>
    <w:unhideWhenUsed/>
    <w:rsid w:val="00FB59AC"/>
    <w:rPr>
      <w:color w:val="605E5C"/>
      <w:shd w:val="clear" w:color="auto" w:fill="E1DFDD"/>
    </w:rPr>
  </w:style>
  <w:style w:type="character" w:customStyle="1" w:styleId="Menzionenonrisolta33">
    <w:name w:val="Menzione non risolta33"/>
    <w:basedOn w:val="Carpredefinitoparagrafo"/>
    <w:uiPriority w:val="99"/>
    <w:semiHidden/>
    <w:unhideWhenUsed/>
    <w:rsid w:val="00EE5522"/>
    <w:rPr>
      <w:color w:val="605E5C"/>
      <w:shd w:val="clear" w:color="auto" w:fill="E1DFDD"/>
    </w:rPr>
  </w:style>
  <w:style w:type="character" w:customStyle="1" w:styleId="Titolo1Carattere">
    <w:name w:val="Titolo 1 Carattere"/>
    <w:basedOn w:val="Carpredefinitoparagrafo"/>
    <w:link w:val="Titolo1"/>
    <w:uiPriority w:val="9"/>
    <w:rsid w:val="00EE5522"/>
    <w:rPr>
      <w:rFonts w:asciiTheme="majorHAnsi" w:eastAsiaTheme="majorEastAsia" w:hAnsiTheme="majorHAnsi" w:cstheme="majorBidi"/>
      <w:color w:val="2F5496" w:themeColor="accent1" w:themeShade="BF"/>
      <w:sz w:val="32"/>
      <w:szCs w:val="32"/>
      <w:u w:color="000000"/>
    </w:rPr>
  </w:style>
  <w:style w:type="paragraph" w:customStyle="1" w:styleId="Corpo">
    <w:name w:val="Corpo"/>
    <w:rsid w:val="00AA0080"/>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Menzionenonrisolta34">
    <w:name w:val="Menzione non risolta34"/>
    <w:basedOn w:val="Carpredefinitoparagrafo"/>
    <w:uiPriority w:val="99"/>
    <w:semiHidden/>
    <w:unhideWhenUsed/>
    <w:rsid w:val="0086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400">
      <w:bodyDiv w:val="1"/>
      <w:marLeft w:val="0"/>
      <w:marRight w:val="0"/>
      <w:marTop w:val="0"/>
      <w:marBottom w:val="0"/>
      <w:divBdr>
        <w:top w:val="none" w:sz="0" w:space="0" w:color="auto"/>
        <w:left w:val="none" w:sz="0" w:space="0" w:color="auto"/>
        <w:bottom w:val="none" w:sz="0" w:space="0" w:color="auto"/>
        <w:right w:val="none" w:sz="0" w:space="0" w:color="auto"/>
      </w:divBdr>
    </w:div>
    <w:div w:id="23288692">
      <w:bodyDiv w:val="1"/>
      <w:marLeft w:val="0"/>
      <w:marRight w:val="0"/>
      <w:marTop w:val="0"/>
      <w:marBottom w:val="0"/>
      <w:divBdr>
        <w:top w:val="none" w:sz="0" w:space="0" w:color="auto"/>
        <w:left w:val="none" w:sz="0" w:space="0" w:color="auto"/>
        <w:bottom w:val="none" w:sz="0" w:space="0" w:color="auto"/>
        <w:right w:val="none" w:sz="0" w:space="0" w:color="auto"/>
      </w:divBdr>
    </w:div>
    <w:div w:id="24255750">
      <w:bodyDiv w:val="1"/>
      <w:marLeft w:val="0"/>
      <w:marRight w:val="0"/>
      <w:marTop w:val="0"/>
      <w:marBottom w:val="0"/>
      <w:divBdr>
        <w:top w:val="none" w:sz="0" w:space="0" w:color="auto"/>
        <w:left w:val="none" w:sz="0" w:space="0" w:color="auto"/>
        <w:bottom w:val="none" w:sz="0" w:space="0" w:color="auto"/>
        <w:right w:val="none" w:sz="0" w:space="0" w:color="auto"/>
      </w:divBdr>
    </w:div>
    <w:div w:id="31730755">
      <w:bodyDiv w:val="1"/>
      <w:marLeft w:val="0"/>
      <w:marRight w:val="0"/>
      <w:marTop w:val="0"/>
      <w:marBottom w:val="0"/>
      <w:divBdr>
        <w:top w:val="none" w:sz="0" w:space="0" w:color="auto"/>
        <w:left w:val="none" w:sz="0" w:space="0" w:color="auto"/>
        <w:bottom w:val="none" w:sz="0" w:space="0" w:color="auto"/>
        <w:right w:val="none" w:sz="0" w:space="0" w:color="auto"/>
      </w:divBdr>
      <w:divsChild>
        <w:div w:id="690688647">
          <w:marLeft w:val="0"/>
          <w:marRight w:val="0"/>
          <w:marTop w:val="0"/>
          <w:marBottom w:val="0"/>
          <w:divBdr>
            <w:top w:val="none" w:sz="0" w:space="0" w:color="auto"/>
            <w:left w:val="none" w:sz="0" w:space="0" w:color="auto"/>
            <w:bottom w:val="none" w:sz="0" w:space="0" w:color="auto"/>
            <w:right w:val="none" w:sz="0" w:space="0" w:color="auto"/>
          </w:divBdr>
        </w:div>
        <w:div w:id="1637056277">
          <w:marLeft w:val="0"/>
          <w:marRight w:val="0"/>
          <w:marTop w:val="0"/>
          <w:marBottom w:val="0"/>
          <w:divBdr>
            <w:top w:val="none" w:sz="0" w:space="0" w:color="auto"/>
            <w:left w:val="none" w:sz="0" w:space="0" w:color="auto"/>
            <w:bottom w:val="none" w:sz="0" w:space="0" w:color="auto"/>
            <w:right w:val="none" w:sz="0" w:space="0" w:color="auto"/>
          </w:divBdr>
        </w:div>
      </w:divsChild>
    </w:div>
    <w:div w:id="32075979">
      <w:bodyDiv w:val="1"/>
      <w:marLeft w:val="0"/>
      <w:marRight w:val="0"/>
      <w:marTop w:val="0"/>
      <w:marBottom w:val="0"/>
      <w:divBdr>
        <w:top w:val="none" w:sz="0" w:space="0" w:color="auto"/>
        <w:left w:val="none" w:sz="0" w:space="0" w:color="auto"/>
        <w:bottom w:val="none" w:sz="0" w:space="0" w:color="auto"/>
        <w:right w:val="none" w:sz="0" w:space="0" w:color="auto"/>
      </w:divBdr>
    </w:div>
    <w:div w:id="47538122">
      <w:bodyDiv w:val="1"/>
      <w:marLeft w:val="0"/>
      <w:marRight w:val="0"/>
      <w:marTop w:val="0"/>
      <w:marBottom w:val="0"/>
      <w:divBdr>
        <w:top w:val="none" w:sz="0" w:space="0" w:color="auto"/>
        <w:left w:val="none" w:sz="0" w:space="0" w:color="auto"/>
        <w:bottom w:val="none" w:sz="0" w:space="0" w:color="auto"/>
        <w:right w:val="none" w:sz="0" w:space="0" w:color="auto"/>
      </w:divBdr>
    </w:div>
    <w:div w:id="48844745">
      <w:bodyDiv w:val="1"/>
      <w:marLeft w:val="0"/>
      <w:marRight w:val="0"/>
      <w:marTop w:val="0"/>
      <w:marBottom w:val="0"/>
      <w:divBdr>
        <w:top w:val="none" w:sz="0" w:space="0" w:color="auto"/>
        <w:left w:val="none" w:sz="0" w:space="0" w:color="auto"/>
        <w:bottom w:val="none" w:sz="0" w:space="0" w:color="auto"/>
        <w:right w:val="none" w:sz="0" w:space="0" w:color="auto"/>
      </w:divBdr>
    </w:div>
    <w:div w:id="55517408">
      <w:bodyDiv w:val="1"/>
      <w:marLeft w:val="0"/>
      <w:marRight w:val="0"/>
      <w:marTop w:val="0"/>
      <w:marBottom w:val="0"/>
      <w:divBdr>
        <w:top w:val="none" w:sz="0" w:space="0" w:color="auto"/>
        <w:left w:val="none" w:sz="0" w:space="0" w:color="auto"/>
        <w:bottom w:val="none" w:sz="0" w:space="0" w:color="auto"/>
        <w:right w:val="none" w:sz="0" w:space="0" w:color="auto"/>
      </w:divBdr>
    </w:div>
    <w:div w:id="61372442">
      <w:bodyDiv w:val="1"/>
      <w:marLeft w:val="0"/>
      <w:marRight w:val="0"/>
      <w:marTop w:val="0"/>
      <w:marBottom w:val="0"/>
      <w:divBdr>
        <w:top w:val="none" w:sz="0" w:space="0" w:color="auto"/>
        <w:left w:val="none" w:sz="0" w:space="0" w:color="auto"/>
        <w:bottom w:val="none" w:sz="0" w:space="0" w:color="auto"/>
        <w:right w:val="none" w:sz="0" w:space="0" w:color="auto"/>
      </w:divBdr>
    </w:div>
    <w:div w:id="66391531">
      <w:bodyDiv w:val="1"/>
      <w:marLeft w:val="0"/>
      <w:marRight w:val="0"/>
      <w:marTop w:val="0"/>
      <w:marBottom w:val="0"/>
      <w:divBdr>
        <w:top w:val="none" w:sz="0" w:space="0" w:color="auto"/>
        <w:left w:val="none" w:sz="0" w:space="0" w:color="auto"/>
        <w:bottom w:val="none" w:sz="0" w:space="0" w:color="auto"/>
        <w:right w:val="none" w:sz="0" w:space="0" w:color="auto"/>
      </w:divBdr>
    </w:div>
    <w:div w:id="87119953">
      <w:bodyDiv w:val="1"/>
      <w:marLeft w:val="0"/>
      <w:marRight w:val="0"/>
      <w:marTop w:val="0"/>
      <w:marBottom w:val="0"/>
      <w:divBdr>
        <w:top w:val="none" w:sz="0" w:space="0" w:color="auto"/>
        <w:left w:val="none" w:sz="0" w:space="0" w:color="auto"/>
        <w:bottom w:val="none" w:sz="0" w:space="0" w:color="auto"/>
        <w:right w:val="none" w:sz="0" w:space="0" w:color="auto"/>
      </w:divBdr>
    </w:div>
    <w:div w:id="92553283">
      <w:bodyDiv w:val="1"/>
      <w:marLeft w:val="0"/>
      <w:marRight w:val="0"/>
      <w:marTop w:val="0"/>
      <w:marBottom w:val="0"/>
      <w:divBdr>
        <w:top w:val="none" w:sz="0" w:space="0" w:color="auto"/>
        <w:left w:val="none" w:sz="0" w:space="0" w:color="auto"/>
        <w:bottom w:val="none" w:sz="0" w:space="0" w:color="auto"/>
        <w:right w:val="none" w:sz="0" w:space="0" w:color="auto"/>
      </w:divBdr>
    </w:div>
    <w:div w:id="108355569">
      <w:bodyDiv w:val="1"/>
      <w:marLeft w:val="0"/>
      <w:marRight w:val="0"/>
      <w:marTop w:val="0"/>
      <w:marBottom w:val="0"/>
      <w:divBdr>
        <w:top w:val="none" w:sz="0" w:space="0" w:color="auto"/>
        <w:left w:val="none" w:sz="0" w:space="0" w:color="auto"/>
        <w:bottom w:val="none" w:sz="0" w:space="0" w:color="auto"/>
        <w:right w:val="none" w:sz="0" w:space="0" w:color="auto"/>
      </w:divBdr>
    </w:div>
    <w:div w:id="134222905">
      <w:bodyDiv w:val="1"/>
      <w:marLeft w:val="0"/>
      <w:marRight w:val="0"/>
      <w:marTop w:val="0"/>
      <w:marBottom w:val="0"/>
      <w:divBdr>
        <w:top w:val="none" w:sz="0" w:space="0" w:color="auto"/>
        <w:left w:val="none" w:sz="0" w:space="0" w:color="auto"/>
        <w:bottom w:val="none" w:sz="0" w:space="0" w:color="auto"/>
        <w:right w:val="none" w:sz="0" w:space="0" w:color="auto"/>
      </w:divBdr>
      <w:divsChild>
        <w:div w:id="2075425177">
          <w:marLeft w:val="0"/>
          <w:marRight w:val="0"/>
          <w:marTop w:val="0"/>
          <w:marBottom w:val="0"/>
          <w:divBdr>
            <w:top w:val="none" w:sz="0" w:space="0" w:color="auto"/>
            <w:left w:val="none" w:sz="0" w:space="0" w:color="auto"/>
            <w:bottom w:val="none" w:sz="0" w:space="0" w:color="auto"/>
            <w:right w:val="none" w:sz="0" w:space="0" w:color="auto"/>
          </w:divBdr>
          <w:divsChild>
            <w:div w:id="410392037">
              <w:marLeft w:val="0"/>
              <w:marRight w:val="0"/>
              <w:marTop w:val="0"/>
              <w:marBottom w:val="0"/>
              <w:divBdr>
                <w:top w:val="none" w:sz="0" w:space="0" w:color="auto"/>
                <w:left w:val="none" w:sz="0" w:space="0" w:color="auto"/>
                <w:bottom w:val="none" w:sz="0" w:space="0" w:color="auto"/>
                <w:right w:val="none" w:sz="0" w:space="0" w:color="auto"/>
              </w:divBdr>
              <w:divsChild>
                <w:div w:id="1626081101">
                  <w:marLeft w:val="0"/>
                  <w:marRight w:val="0"/>
                  <w:marTop w:val="0"/>
                  <w:marBottom w:val="0"/>
                  <w:divBdr>
                    <w:top w:val="none" w:sz="0" w:space="0" w:color="auto"/>
                    <w:left w:val="none" w:sz="0" w:space="0" w:color="auto"/>
                    <w:bottom w:val="none" w:sz="0" w:space="0" w:color="auto"/>
                    <w:right w:val="none" w:sz="0" w:space="0" w:color="auto"/>
                  </w:divBdr>
                  <w:divsChild>
                    <w:div w:id="1201435408">
                      <w:marLeft w:val="0"/>
                      <w:marRight w:val="0"/>
                      <w:marTop w:val="0"/>
                      <w:marBottom w:val="0"/>
                      <w:divBdr>
                        <w:top w:val="none" w:sz="0" w:space="0" w:color="auto"/>
                        <w:left w:val="none" w:sz="0" w:space="0" w:color="auto"/>
                        <w:bottom w:val="none" w:sz="0" w:space="0" w:color="auto"/>
                        <w:right w:val="none" w:sz="0" w:space="0" w:color="auto"/>
                      </w:divBdr>
                      <w:divsChild>
                        <w:div w:id="1644969023">
                          <w:marLeft w:val="0"/>
                          <w:marRight w:val="0"/>
                          <w:marTop w:val="0"/>
                          <w:marBottom w:val="0"/>
                          <w:divBdr>
                            <w:top w:val="none" w:sz="0" w:space="0" w:color="auto"/>
                            <w:left w:val="none" w:sz="0" w:space="0" w:color="auto"/>
                            <w:bottom w:val="none" w:sz="0" w:space="0" w:color="auto"/>
                            <w:right w:val="none" w:sz="0" w:space="0" w:color="auto"/>
                          </w:divBdr>
                          <w:divsChild>
                            <w:div w:id="6754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63801">
      <w:bodyDiv w:val="1"/>
      <w:marLeft w:val="0"/>
      <w:marRight w:val="0"/>
      <w:marTop w:val="0"/>
      <w:marBottom w:val="0"/>
      <w:divBdr>
        <w:top w:val="none" w:sz="0" w:space="0" w:color="auto"/>
        <w:left w:val="none" w:sz="0" w:space="0" w:color="auto"/>
        <w:bottom w:val="none" w:sz="0" w:space="0" w:color="auto"/>
        <w:right w:val="none" w:sz="0" w:space="0" w:color="auto"/>
      </w:divBdr>
    </w:div>
    <w:div w:id="141234577">
      <w:bodyDiv w:val="1"/>
      <w:marLeft w:val="0"/>
      <w:marRight w:val="0"/>
      <w:marTop w:val="0"/>
      <w:marBottom w:val="0"/>
      <w:divBdr>
        <w:top w:val="none" w:sz="0" w:space="0" w:color="auto"/>
        <w:left w:val="none" w:sz="0" w:space="0" w:color="auto"/>
        <w:bottom w:val="none" w:sz="0" w:space="0" w:color="auto"/>
        <w:right w:val="none" w:sz="0" w:space="0" w:color="auto"/>
      </w:divBdr>
    </w:div>
    <w:div w:id="146365525">
      <w:bodyDiv w:val="1"/>
      <w:marLeft w:val="0"/>
      <w:marRight w:val="0"/>
      <w:marTop w:val="0"/>
      <w:marBottom w:val="0"/>
      <w:divBdr>
        <w:top w:val="none" w:sz="0" w:space="0" w:color="auto"/>
        <w:left w:val="none" w:sz="0" w:space="0" w:color="auto"/>
        <w:bottom w:val="none" w:sz="0" w:space="0" w:color="auto"/>
        <w:right w:val="none" w:sz="0" w:space="0" w:color="auto"/>
      </w:divBdr>
    </w:div>
    <w:div w:id="160699739">
      <w:bodyDiv w:val="1"/>
      <w:marLeft w:val="0"/>
      <w:marRight w:val="0"/>
      <w:marTop w:val="0"/>
      <w:marBottom w:val="0"/>
      <w:divBdr>
        <w:top w:val="none" w:sz="0" w:space="0" w:color="auto"/>
        <w:left w:val="none" w:sz="0" w:space="0" w:color="auto"/>
        <w:bottom w:val="none" w:sz="0" w:space="0" w:color="auto"/>
        <w:right w:val="none" w:sz="0" w:space="0" w:color="auto"/>
      </w:divBdr>
    </w:div>
    <w:div w:id="166946941">
      <w:bodyDiv w:val="1"/>
      <w:marLeft w:val="0"/>
      <w:marRight w:val="0"/>
      <w:marTop w:val="0"/>
      <w:marBottom w:val="0"/>
      <w:divBdr>
        <w:top w:val="none" w:sz="0" w:space="0" w:color="auto"/>
        <w:left w:val="none" w:sz="0" w:space="0" w:color="auto"/>
        <w:bottom w:val="none" w:sz="0" w:space="0" w:color="auto"/>
        <w:right w:val="none" w:sz="0" w:space="0" w:color="auto"/>
      </w:divBdr>
    </w:div>
    <w:div w:id="173303822">
      <w:bodyDiv w:val="1"/>
      <w:marLeft w:val="0"/>
      <w:marRight w:val="0"/>
      <w:marTop w:val="0"/>
      <w:marBottom w:val="0"/>
      <w:divBdr>
        <w:top w:val="none" w:sz="0" w:space="0" w:color="auto"/>
        <w:left w:val="none" w:sz="0" w:space="0" w:color="auto"/>
        <w:bottom w:val="none" w:sz="0" w:space="0" w:color="auto"/>
        <w:right w:val="none" w:sz="0" w:space="0" w:color="auto"/>
      </w:divBdr>
    </w:div>
    <w:div w:id="179316464">
      <w:bodyDiv w:val="1"/>
      <w:marLeft w:val="0"/>
      <w:marRight w:val="0"/>
      <w:marTop w:val="0"/>
      <w:marBottom w:val="0"/>
      <w:divBdr>
        <w:top w:val="none" w:sz="0" w:space="0" w:color="auto"/>
        <w:left w:val="none" w:sz="0" w:space="0" w:color="auto"/>
        <w:bottom w:val="none" w:sz="0" w:space="0" w:color="auto"/>
        <w:right w:val="none" w:sz="0" w:space="0" w:color="auto"/>
      </w:divBdr>
    </w:div>
    <w:div w:id="186066858">
      <w:bodyDiv w:val="1"/>
      <w:marLeft w:val="0"/>
      <w:marRight w:val="0"/>
      <w:marTop w:val="0"/>
      <w:marBottom w:val="0"/>
      <w:divBdr>
        <w:top w:val="none" w:sz="0" w:space="0" w:color="auto"/>
        <w:left w:val="none" w:sz="0" w:space="0" w:color="auto"/>
        <w:bottom w:val="none" w:sz="0" w:space="0" w:color="auto"/>
        <w:right w:val="none" w:sz="0" w:space="0" w:color="auto"/>
      </w:divBdr>
    </w:div>
    <w:div w:id="192812847">
      <w:bodyDiv w:val="1"/>
      <w:marLeft w:val="0"/>
      <w:marRight w:val="0"/>
      <w:marTop w:val="0"/>
      <w:marBottom w:val="0"/>
      <w:divBdr>
        <w:top w:val="none" w:sz="0" w:space="0" w:color="auto"/>
        <w:left w:val="none" w:sz="0" w:space="0" w:color="auto"/>
        <w:bottom w:val="none" w:sz="0" w:space="0" w:color="auto"/>
        <w:right w:val="none" w:sz="0" w:space="0" w:color="auto"/>
      </w:divBdr>
    </w:div>
    <w:div w:id="195852068">
      <w:bodyDiv w:val="1"/>
      <w:marLeft w:val="0"/>
      <w:marRight w:val="0"/>
      <w:marTop w:val="0"/>
      <w:marBottom w:val="0"/>
      <w:divBdr>
        <w:top w:val="none" w:sz="0" w:space="0" w:color="auto"/>
        <w:left w:val="none" w:sz="0" w:space="0" w:color="auto"/>
        <w:bottom w:val="none" w:sz="0" w:space="0" w:color="auto"/>
        <w:right w:val="none" w:sz="0" w:space="0" w:color="auto"/>
      </w:divBdr>
    </w:div>
    <w:div w:id="205066426">
      <w:bodyDiv w:val="1"/>
      <w:marLeft w:val="0"/>
      <w:marRight w:val="0"/>
      <w:marTop w:val="0"/>
      <w:marBottom w:val="0"/>
      <w:divBdr>
        <w:top w:val="none" w:sz="0" w:space="0" w:color="auto"/>
        <w:left w:val="none" w:sz="0" w:space="0" w:color="auto"/>
        <w:bottom w:val="none" w:sz="0" w:space="0" w:color="auto"/>
        <w:right w:val="none" w:sz="0" w:space="0" w:color="auto"/>
      </w:divBdr>
    </w:div>
    <w:div w:id="241330554">
      <w:bodyDiv w:val="1"/>
      <w:marLeft w:val="0"/>
      <w:marRight w:val="0"/>
      <w:marTop w:val="0"/>
      <w:marBottom w:val="0"/>
      <w:divBdr>
        <w:top w:val="none" w:sz="0" w:space="0" w:color="auto"/>
        <w:left w:val="none" w:sz="0" w:space="0" w:color="auto"/>
        <w:bottom w:val="none" w:sz="0" w:space="0" w:color="auto"/>
        <w:right w:val="none" w:sz="0" w:space="0" w:color="auto"/>
      </w:divBdr>
    </w:div>
    <w:div w:id="259720207">
      <w:bodyDiv w:val="1"/>
      <w:marLeft w:val="0"/>
      <w:marRight w:val="0"/>
      <w:marTop w:val="0"/>
      <w:marBottom w:val="0"/>
      <w:divBdr>
        <w:top w:val="none" w:sz="0" w:space="0" w:color="auto"/>
        <w:left w:val="none" w:sz="0" w:space="0" w:color="auto"/>
        <w:bottom w:val="none" w:sz="0" w:space="0" w:color="auto"/>
        <w:right w:val="none" w:sz="0" w:space="0" w:color="auto"/>
      </w:divBdr>
    </w:div>
    <w:div w:id="271936248">
      <w:bodyDiv w:val="1"/>
      <w:marLeft w:val="0"/>
      <w:marRight w:val="0"/>
      <w:marTop w:val="0"/>
      <w:marBottom w:val="0"/>
      <w:divBdr>
        <w:top w:val="none" w:sz="0" w:space="0" w:color="auto"/>
        <w:left w:val="none" w:sz="0" w:space="0" w:color="auto"/>
        <w:bottom w:val="none" w:sz="0" w:space="0" w:color="auto"/>
        <w:right w:val="none" w:sz="0" w:space="0" w:color="auto"/>
      </w:divBdr>
    </w:div>
    <w:div w:id="285281577">
      <w:bodyDiv w:val="1"/>
      <w:marLeft w:val="0"/>
      <w:marRight w:val="0"/>
      <w:marTop w:val="0"/>
      <w:marBottom w:val="0"/>
      <w:divBdr>
        <w:top w:val="none" w:sz="0" w:space="0" w:color="auto"/>
        <w:left w:val="none" w:sz="0" w:space="0" w:color="auto"/>
        <w:bottom w:val="none" w:sz="0" w:space="0" w:color="auto"/>
        <w:right w:val="none" w:sz="0" w:space="0" w:color="auto"/>
      </w:divBdr>
    </w:div>
    <w:div w:id="291448860">
      <w:bodyDiv w:val="1"/>
      <w:marLeft w:val="0"/>
      <w:marRight w:val="0"/>
      <w:marTop w:val="0"/>
      <w:marBottom w:val="0"/>
      <w:divBdr>
        <w:top w:val="none" w:sz="0" w:space="0" w:color="auto"/>
        <w:left w:val="none" w:sz="0" w:space="0" w:color="auto"/>
        <w:bottom w:val="none" w:sz="0" w:space="0" w:color="auto"/>
        <w:right w:val="none" w:sz="0" w:space="0" w:color="auto"/>
      </w:divBdr>
    </w:div>
    <w:div w:id="296421288">
      <w:bodyDiv w:val="1"/>
      <w:marLeft w:val="0"/>
      <w:marRight w:val="0"/>
      <w:marTop w:val="0"/>
      <w:marBottom w:val="0"/>
      <w:divBdr>
        <w:top w:val="none" w:sz="0" w:space="0" w:color="auto"/>
        <w:left w:val="none" w:sz="0" w:space="0" w:color="auto"/>
        <w:bottom w:val="none" w:sz="0" w:space="0" w:color="auto"/>
        <w:right w:val="none" w:sz="0" w:space="0" w:color="auto"/>
      </w:divBdr>
    </w:div>
    <w:div w:id="301541226">
      <w:bodyDiv w:val="1"/>
      <w:marLeft w:val="0"/>
      <w:marRight w:val="0"/>
      <w:marTop w:val="0"/>
      <w:marBottom w:val="0"/>
      <w:divBdr>
        <w:top w:val="none" w:sz="0" w:space="0" w:color="auto"/>
        <w:left w:val="none" w:sz="0" w:space="0" w:color="auto"/>
        <w:bottom w:val="none" w:sz="0" w:space="0" w:color="auto"/>
        <w:right w:val="none" w:sz="0" w:space="0" w:color="auto"/>
      </w:divBdr>
    </w:div>
    <w:div w:id="306085428">
      <w:bodyDiv w:val="1"/>
      <w:marLeft w:val="0"/>
      <w:marRight w:val="0"/>
      <w:marTop w:val="0"/>
      <w:marBottom w:val="0"/>
      <w:divBdr>
        <w:top w:val="none" w:sz="0" w:space="0" w:color="auto"/>
        <w:left w:val="none" w:sz="0" w:space="0" w:color="auto"/>
        <w:bottom w:val="none" w:sz="0" w:space="0" w:color="auto"/>
        <w:right w:val="none" w:sz="0" w:space="0" w:color="auto"/>
      </w:divBdr>
    </w:div>
    <w:div w:id="307707090">
      <w:bodyDiv w:val="1"/>
      <w:marLeft w:val="0"/>
      <w:marRight w:val="0"/>
      <w:marTop w:val="0"/>
      <w:marBottom w:val="0"/>
      <w:divBdr>
        <w:top w:val="none" w:sz="0" w:space="0" w:color="auto"/>
        <w:left w:val="none" w:sz="0" w:space="0" w:color="auto"/>
        <w:bottom w:val="none" w:sz="0" w:space="0" w:color="auto"/>
        <w:right w:val="none" w:sz="0" w:space="0" w:color="auto"/>
      </w:divBdr>
    </w:div>
    <w:div w:id="316804640">
      <w:bodyDiv w:val="1"/>
      <w:marLeft w:val="0"/>
      <w:marRight w:val="0"/>
      <w:marTop w:val="0"/>
      <w:marBottom w:val="0"/>
      <w:divBdr>
        <w:top w:val="none" w:sz="0" w:space="0" w:color="auto"/>
        <w:left w:val="none" w:sz="0" w:space="0" w:color="auto"/>
        <w:bottom w:val="none" w:sz="0" w:space="0" w:color="auto"/>
        <w:right w:val="none" w:sz="0" w:space="0" w:color="auto"/>
      </w:divBdr>
    </w:div>
    <w:div w:id="319382061">
      <w:bodyDiv w:val="1"/>
      <w:marLeft w:val="0"/>
      <w:marRight w:val="0"/>
      <w:marTop w:val="0"/>
      <w:marBottom w:val="0"/>
      <w:divBdr>
        <w:top w:val="none" w:sz="0" w:space="0" w:color="auto"/>
        <w:left w:val="none" w:sz="0" w:space="0" w:color="auto"/>
        <w:bottom w:val="none" w:sz="0" w:space="0" w:color="auto"/>
        <w:right w:val="none" w:sz="0" w:space="0" w:color="auto"/>
      </w:divBdr>
    </w:div>
    <w:div w:id="322272917">
      <w:bodyDiv w:val="1"/>
      <w:marLeft w:val="0"/>
      <w:marRight w:val="0"/>
      <w:marTop w:val="0"/>
      <w:marBottom w:val="0"/>
      <w:divBdr>
        <w:top w:val="none" w:sz="0" w:space="0" w:color="auto"/>
        <w:left w:val="none" w:sz="0" w:space="0" w:color="auto"/>
        <w:bottom w:val="none" w:sz="0" w:space="0" w:color="auto"/>
        <w:right w:val="none" w:sz="0" w:space="0" w:color="auto"/>
      </w:divBdr>
    </w:div>
    <w:div w:id="323627700">
      <w:bodyDiv w:val="1"/>
      <w:marLeft w:val="0"/>
      <w:marRight w:val="0"/>
      <w:marTop w:val="0"/>
      <w:marBottom w:val="0"/>
      <w:divBdr>
        <w:top w:val="none" w:sz="0" w:space="0" w:color="auto"/>
        <w:left w:val="none" w:sz="0" w:space="0" w:color="auto"/>
        <w:bottom w:val="none" w:sz="0" w:space="0" w:color="auto"/>
        <w:right w:val="none" w:sz="0" w:space="0" w:color="auto"/>
      </w:divBdr>
    </w:div>
    <w:div w:id="326590472">
      <w:bodyDiv w:val="1"/>
      <w:marLeft w:val="0"/>
      <w:marRight w:val="0"/>
      <w:marTop w:val="0"/>
      <w:marBottom w:val="0"/>
      <w:divBdr>
        <w:top w:val="none" w:sz="0" w:space="0" w:color="auto"/>
        <w:left w:val="none" w:sz="0" w:space="0" w:color="auto"/>
        <w:bottom w:val="none" w:sz="0" w:space="0" w:color="auto"/>
        <w:right w:val="none" w:sz="0" w:space="0" w:color="auto"/>
      </w:divBdr>
    </w:div>
    <w:div w:id="332729530">
      <w:bodyDiv w:val="1"/>
      <w:marLeft w:val="0"/>
      <w:marRight w:val="0"/>
      <w:marTop w:val="0"/>
      <w:marBottom w:val="0"/>
      <w:divBdr>
        <w:top w:val="none" w:sz="0" w:space="0" w:color="auto"/>
        <w:left w:val="none" w:sz="0" w:space="0" w:color="auto"/>
        <w:bottom w:val="none" w:sz="0" w:space="0" w:color="auto"/>
        <w:right w:val="none" w:sz="0" w:space="0" w:color="auto"/>
      </w:divBdr>
      <w:divsChild>
        <w:div w:id="169371135">
          <w:marLeft w:val="0"/>
          <w:marRight w:val="0"/>
          <w:marTop w:val="0"/>
          <w:marBottom w:val="0"/>
          <w:divBdr>
            <w:top w:val="none" w:sz="0" w:space="0" w:color="auto"/>
            <w:left w:val="none" w:sz="0" w:space="0" w:color="auto"/>
            <w:bottom w:val="none" w:sz="0" w:space="0" w:color="auto"/>
            <w:right w:val="none" w:sz="0" w:space="0" w:color="auto"/>
          </w:divBdr>
          <w:divsChild>
            <w:div w:id="875970421">
              <w:marLeft w:val="0"/>
              <w:marRight w:val="0"/>
              <w:marTop w:val="0"/>
              <w:marBottom w:val="0"/>
              <w:divBdr>
                <w:top w:val="none" w:sz="0" w:space="0" w:color="auto"/>
                <w:left w:val="none" w:sz="0" w:space="0" w:color="auto"/>
                <w:bottom w:val="none" w:sz="0" w:space="0" w:color="auto"/>
                <w:right w:val="none" w:sz="0" w:space="0" w:color="auto"/>
              </w:divBdr>
              <w:divsChild>
                <w:div w:id="99300624">
                  <w:marLeft w:val="0"/>
                  <w:marRight w:val="0"/>
                  <w:marTop w:val="0"/>
                  <w:marBottom w:val="0"/>
                  <w:divBdr>
                    <w:top w:val="none" w:sz="0" w:space="0" w:color="auto"/>
                    <w:left w:val="none" w:sz="0" w:space="0" w:color="auto"/>
                    <w:bottom w:val="none" w:sz="0" w:space="0" w:color="auto"/>
                    <w:right w:val="none" w:sz="0" w:space="0" w:color="auto"/>
                  </w:divBdr>
                  <w:divsChild>
                    <w:div w:id="706150437">
                      <w:marLeft w:val="0"/>
                      <w:marRight w:val="0"/>
                      <w:marTop w:val="0"/>
                      <w:marBottom w:val="0"/>
                      <w:divBdr>
                        <w:top w:val="none" w:sz="0" w:space="0" w:color="auto"/>
                        <w:left w:val="none" w:sz="0" w:space="0" w:color="auto"/>
                        <w:bottom w:val="none" w:sz="0" w:space="0" w:color="auto"/>
                        <w:right w:val="none" w:sz="0" w:space="0" w:color="auto"/>
                      </w:divBdr>
                      <w:divsChild>
                        <w:div w:id="482819611">
                          <w:marLeft w:val="0"/>
                          <w:marRight w:val="0"/>
                          <w:marTop w:val="0"/>
                          <w:marBottom w:val="0"/>
                          <w:divBdr>
                            <w:top w:val="none" w:sz="0" w:space="0" w:color="auto"/>
                            <w:left w:val="none" w:sz="0" w:space="0" w:color="auto"/>
                            <w:bottom w:val="none" w:sz="0" w:space="0" w:color="auto"/>
                            <w:right w:val="none" w:sz="0" w:space="0" w:color="auto"/>
                          </w:divBdr>
                          <w:divsChild>
                            <w:div w:id="1700543062">
                              <w:marLeft w:val="0"/>
                              <w:marRight w:val="0"/>
                              <w:marTop w:val="0"/>
                              <w:marBottom w:val="0"/>
                              <w:divBdr>
                                <w:top w:val="none" w:sz="0" w:space="0" w:color="auto"/>
                                <w:left w:val="none" w:sz="0" w:space="0" w:color="auto"/>
                                <w:bottom w:val="none" w:sz="0" w:space="0" w:color="auto"/>
                                <w:right w:val="none" w:sz="0" w:space="0" w:color="auto"/>
                              </w:divBdr>
                              <w:divsChild>
                                <w:div w:id="7520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5133">
                  <w:marLeft w:val="0"/>
                  <w:marRight w:val="0"/>
                  <w:marTop w:val="0"/>
                  <w:marBottom w:val="0"/>
                  <w:divBdr>
                    <w:top w:val="none" w:sz="0" w:space="0" w:color="auto"/>
                    <w:left w:val="none" w:sz="0" w:space="0" w:color="auto"/>
                    <w:bottom w:val="none" w:sz="0" w:space="0" w:color="auto"/>
                    <w:right w:val="none" w:sz="0" w:space="0" w:color="auto"/>
                  </w:divBdr>
                  <w:divsChild>
                    <w:div w:id="1514799484">
                      <w:marLeft w:val="0"/>
                      <w:marRight w:val="0"/>
                      <w:marTop w:val="0"/>
                      <w:marBottom w:val="0"/>
                      <w:divBdr>
                        <w:top w:val="none" w:sz="0" w:space="0" w:color="auto"/>
                        <w:left w:val="none" w:sz="0" w:space="0" w:color="auto"/>
                        <w:bottom w:val="none" w:sz="0" w:space="0" w:color="auto"/>
                        <w:right w:val="none" w:sz="0" w:space="0" w:color="auto"/>
                      </w:divBdr>
                      <w:divsChild>
                        <w:div w:id="572397521">
                          <w:marLeft w:val="0"/>
                          <w:marRight w:val="0"/>
                          <w:marTop w:val="0"/>
                          <w:marBottom w:val="0"/>
                          <w:divBdr>
                            <w:top w:val="none" w:sz="0" w:space="0" w:color="auto"/>
                            <w:left w:val="none" w:sz="0" w:space="0" w:color="auto"/>
                            <w:bottom w:val="none" w:sz="0" w:space="0" w:color="auto"/>
                            <w:right w:val="none" w:sz="0" w:space="0" w:color="auto"/>
                          </w:divBdr>
                          <w:divsChild>
                            <w:div w:id="418867732">
                              <w:marLeft w:val="0"/>
                              <w:marRight w:val="0"/>
                              <w:marTop w:val="0"/>
                              <w:marBottom w:val="0"/>
                              <w:divBdr>
                                <w:top w:val="none" w:sz="0" w:space="0" w:color="auto"/>
                                <w:left w:val="none" w:sz="0" w:space="0" w:color="auto"/>
                                <w:bottom w:val="none" w:sz="0" w:space="0" w:color="auto"/>
                                <w:right w:val="none" w:sz="0" w:space="0" w:color="auto"/>
                              </w:divBdr>
                              <w:divsChild>
                                <w:div w:id="8573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685">
                          <w:marLeft w:val="0"/>
                          <w:marRight w:val="0"/>
                          <w:marTop w:val="0"/>
                          <w:marBottom w:val="0"/>
                          <w:divBdr>
                            <w:top w:val="none" w:sz="0" w:space="0" w:color="auto"/>
                            <w:left w:val="none" w:sz="0" w:space="0" w:color="auto"/>
                            <w:bottom w:val="none" w:sz="0" w:space="0" w:color="auto"/>
                            <w:right w:val="none" w:sz="0" w:space="0" w:color="auto"/>
                          </w:divBdr>
                          <w:divsChild>
                            <w:div w:id="775711473">
                              <w:marLeft w:val="0"/>
                              <w:marRight w:val="0"/>
                              <w:marTop w:val="0"/>
                              <w:marBottom w:val="0"/>
                              <w:divBdr>
                                <w:top w:val="none" w:sz="0" w:space="0" w:color="auto"/>
                                <w:left w:val="none" w:sz="0" w:space="0" w:color="auto"/>
                                <w:bottom w:val="none" w:sz="0" w:space="0" w:color="auto"/>
                                <w:right w:val="none" w:sz="0" w:space="0" w:color="auto"/>
                              </w:divBdr>
                              <w:divsChild>
                                <w:div w:id="1867448461">
                                  <w:marLeft w:val="0"/>
                                  <w:marRight w:val="0"/>
                                  <w:marTop w:val="0"/>
                                  <w:marBottom w:val="0"/>
                                  <w:divBdr>
                                    <w:top w:val="none" w:sz="0" w:space="0" w:color="auto"/>
                                    <w:left w:val="none" w:sz="0" w:space="0" w:color="auto"/>
                                    <w:bottom w:val="none" w:sz="0" w:space="0" w:color="auto"/>
                                    <w:right w:val="none" w:sz="0" w:space="0" w:color="auto"/>
                                  </w:divBdr>
                                  <w:divsChild>
                                    <w:div w:id="768427433">
                                      <w:marLeft w:val="0"/>
                                      <w:marRight w:val="0"/>
                                      <w:marTop w:val="0"/>
                                      <w:marBottom w:val="0"/>
                                      <w:divBdr>
                                        <w:top w:val="none" w:sz="0" w:space="0" w:color="auto"/>
                                        <w:left w:val="none" w:sz="0" w:space="0" w:color="auto"/>
                                        <w:bottom w:val="none" w:sz="0" w:space="0" w:color="auto"/>
                                        <w:right w:val="none" w:sz="0" w:space="0" w:color="auto"/>
                                      </w:divBdr>
                                      <w:divsChild>
                                        <w:div w:id="6507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838552">
          <w:marLeft w:val="0"/>
          <w:marRight w:val="0"/>
          <w:marTop w:val="0"/>
          <w:marBottom w:val="0"/>
          <w:divBdr>
            <w:top w:val="none" w:sz="0" w:space="0" w:color="auto"/>
            <w:left w:val="none" w:sz="0" w:space="0" w:color="auto"/>
            <w:bottom w:val="none" w:sz="0" w:space="0" w:color="auto"/>
            <w:right w:val="none" w:sz="0" w:space="0" w:color="auto"/>
          </w:divBdr>
          <w:divsChild>
            <w:div w:id="1038896224">
              <w:marLeft w:val="0"/>
              <w:marRight w:val="0"/>
              <w:marTop w:val="0"/>
              <w:marBottom w:val="0"/>
              <w:divBdr>
                <w:top w:val="none" w:sz="0" w:space="0" w:color="auto"/>
                <w:left w:val="none" w:sz="0" w:space="0" w:color="auto"/>
                <w:bottom w:val="none" w:sz="0" w:space="0" w:color="auto"/>
                <w:right w:val="none" w:sz="0" w:space="0" w:color="auto"/>
              </w:divBdr>
              <w:divsChild>
                <w:div w:id="2087652161">
                  <w:marLeft w:val="0"/>
                  <w:marRight w:val="0"/>
                  <w:marTop w:val="0"/>
                  <w:marBottom w:val="0"/>
                  <w:divBdr>
                    <w:top w:val="none" w:sz="0" w:space="0" w:color="auto"/>
                    <w:left w:val="none" w:sz="0" w:space="0" w:color="auto"/>
                    <w:bottom w:val="none" w:sz="0" w:space="0" w:color="auto"/>
                    <w:right w:val="none" w:sz="0" w:space="0" w:color="auto"/>
                  </w:divBdr>
                  <w:divsChild>
                    <w:div w:id="1305502303">
                      <w:marLeft w:val="0"/>
                      <w:marRight w:val="0"/>
                      <w:marTop w:val="0"/>
                      <w:marBottom w:val="0"/>
                      <w:divBdr>
                        <w:top w:val="none" w:sz="0" w:space="0" w:color="auto"/>
                        <w:left w:val="none" w:sz="0" w:space="0" w:color="auto"/>
                        <w:bottom w:val="none" w:sz="0" w:space="0" w:color="auto"/>
                        <w:right w:val="none" w:sz="0" w:space="0" w:color="auto"/>
                      </w:divBdr>
                      <w:divsChild>
                        <w:div w:id="128548091">
                          <w:marLeft w:val="0"/>
                          <w:marRight w:val="0"/>
                          <w:marTop w:val="0"/>
                          <w:marBottom w:val="0"/>
                          <w:divBdr>
                            <w:top w:val="none" w:sz="0" w:space="0" w:color="auto"/>
                            <w:left w:val="none" w:sz="0" w:space="0" w:color="auto"/>
                            <w:bottom w:val="none" w:sz="0" w:space="0" w:color="auto"/>
                            <w:right w:val="none" w:sz="0" w:space="0" w:color="auto"/>
                          </w:divBdr>
                          <w:divsChild>
                            <w:div w:id="406615192">
                              <w:marLeft w:val="0"/>
                              <w:marRight w:val="0"/>
                              <w:marTop w:val="0"/>
                              <w:marBottom w:val="0"/>
                              <w:divBdr>
                                <w:top w:val="none" w:sz="0" w:space="0" w:color="auto"/>
                                <w:left w:val="none" w:sz="0" w:space="0" w:color="auto"/>
                                <w:bottom w:val="none" w:sz="0" w:space="0" w:color="auto"/>
                                <w:right w:val="none" w:sz="0" w:space="0" w:color="auto"/>
                              </w:divBdr>
                              <w:divsChild>
                                <w:div w:id="1436631502">
                                  <w:marLeft w:val="0"/>
                                  <w:marRight w:val="0"/>
                                  <w:marTop w:val="0"/>
                                  <w:marBottom w:val="0"/>
                                  <w:divBdr>
                                    <w:top w:val="none" w:sz="0" w:space="0" w:color="auto"/>
                                    <w:left w:val="none" w:sz="0" w:space="0" w:color="auto"/>
                                    <w:bottom w:val="none" w:sz="0" w:space="0" w:color="auto"/>
                                    <w:right w:val="none" w:sz="0" w:space="0" w:color="auto"/>
                                  </w:divBdr>
                                  <w:divsChild>
                                    <w:div w:id="759717079">
                                      <w:marLeft w:val="0"/>
                                      <w:marRight w:val="0"/>
                                      <w:marTop w:val="0"/>
                                      <w:marBottom w:val="0"/>
                                      <w:divBdr>
                                        <w:top w:val="none" w:sz="0" w:space="0" w:color="auto"/>
                                        <w:left w:val="none" w:sz="0" w:space="0" w:color="auto"/>
                                        <w:bottom w:val="none" w:sz="0" w:space="0" w:color="auto"/>
                                        <w:right w:val="none" w:sz="0" w:space="0" w:color="auto"/>
                                      </w:divBdr>
                                      <w:divsChild>
                                        <w:div w:id="521089152">
                                          <w:marLeft w:val="0"/>
                                          <w:marRight w:val="0"/>
                                          <w:marTop w:val="0"/>
                                          <w:marBottom w:val="0"/>
                                          <w:divBdr>
                                            <w:top w:val="none" w:sz="0" w:space="0" w:color="auto"/>
                                            <w:left w:val="none" w:sz="0" w:space="0" w:color="auto"/>
                                            <w:bottom w:val="none" w:sz="0" w:space="0" w:color="auto"/>
                                            <w:right w:val="none" w:sz="0" w:space="0" w:color="auto"/>
                                          </w:divBdr>
                                          <w:divsChild>
                                            <w:div w:id="706176241">
                                              <w:marLeft w:val="0"/>
                                              <w:marRight w:val="0"/>
                                              <w:marTop w:val="0"/>
                                              <w:marBottom w:val="0"/>
                                              <w:divBdr>
                                                <w:top w:val="none" w:sz="0" w:space="0" w:color="auto"/>
                                                <w:left w:val="none" w:sz="0" w:space="0" w:color="auto"/>
                                                <w:bottom w:val="none" w:sz="0" w:space="0" w:color="auto"/>
                                                <w:right w:val="none" w:sz="0" w:space="0" w:color="auto"/>
                                              </w:divBdr>
                                              <w:divsChild>
                                                <w:div w:id="1203592144">
                                                  <w:marLeft w:val="0"/>
                                                  <w:marRight w:val="0"/>
                                                  <w:marTop w:val="0"/>
                                                  <w:marBottom w:val="0"/>
                                                  <w:divBdr>
                                                    <w:top w:val="none" w:sz="0" w:space="0" w:color="auto"/>
                                                    <w:left w:val="none" w:sz="0" w:space="0" w:color="auto"/>
                                                    <w:bottom w:val="none" w:sz="0" w:space="0" w:color="auto"/>
                                                    <w:right w:val="none" w:sz="0" w:space="0" w:color="auto"/>
                                                  </w:divBdr>
                                                  <w:divsChild>
                                                    <w:div w:id="685450548">
                                                      <w:marLeft w:val="0"/>
                                                      <w:marRight w:val="0"/>
                                                      <w:marTop w:val="0"/>
                                                      <w:marBottom w:val="0"/>
                                                      <w:divBdr>
                                                        <w:top w:val="none" w:sz="0" w:space="0" w:color="auto"/>
                                                        <w:left w:val="none" w:sz="0" w:space="0" w:color="auto"/>
                                                        <w:bottom w:val="none" w:sz="0" w:space="0" w:color="auto"/>
                                                        <w:right w:val="none" w:sz="0" w:space="0" w:color="auto"/>
                                                      </w:divBdr>
                                                      <w:divsChild>
                                                        <w:div w:id="280259346">
                                                          <w:marLeft w:val="0"/>
                                                          <w:marRight w:val="0"/>
                                                          <w:marTop w:val="0"/>
                                                          <w:marBottom w:val="0"/>
                                                          <w:divBdr>
                                                            <w:top w:val="none" w:sz="0" w:space="0" w:color="auto"/>
                                                            <w:left w:val="none" w:sz="0" w:space="0" w:color="auto"/>
                                                            <w:bottom w:val="none" w:sz="0" w:space="0" w:color="auto"/>
                                                            <w:right w:val="none" w:sz="0" w:space="0" w:color="auto"/>
                                                          </w:divBdr>
                                                        </w:div>
                                                        <w:div w:id="928343164">
                                                          <w:marLeft w:val="0"/>
                                                          <w:marRight w:val="0"/>
                                                          <w:marTop w:val="0"/>
                                                          <w:marBottom w:val="0"/>
                                                          <w:divBdr>
                                                            <w:top w:val="none" w:sz="0" w:space="0" w:color="auto"/>
                                                            <w:left w:val="none" w:sz="0" w:space="0" w:color="auto"/>
                                                            <w:bottom w:val="none" w:sz="0" w:space="0" w:color="auto"/>
                                                            <w:right w:val="none" w:sz="0" w:space="0" w:color="auto"/>
                                                          </w:divBdr>
                                                          <w:divsChild>
                                                            <w:div w:id="15621141">
                                                              <w:marLeft w:val="0"/>
                                                              <w:marRight w:val="0"/>
                                                              <w:marTop w:val="0"/>
                                                              <w:marBottom w:val="0"/>
                                                              <w:divBdr>
                                                                <w:top w:val="none" w:sz="0" w:space="0" w:color="auto"/>
                                                                <w:left w:val="none" w:sz="0" w:space="0" w:color="auto"/>
                                                                <w:bottom w:val="none" w:sz="0" w:space="0" w:color="auto"/>
                                                                <w:right w:val="none" w:sz="0" w:space="0" w:color="auto"/>
                                                              </w:divBdr>
                                                              <w:divsChild>
                                                                <w:div w:id="1854146247">
                                                                  <w:marLeft w:val="0"/>
                                                                  <w:marRight w:val="0"/>
                                                                  <w:marTop w:val="0"/>
                                                                  <w:marBottom w:val="0"/>
                                                                  <w:divBdr>
                                                                    <w:top w:val="none" w:sz="0" w:space="0" w:color="auto"/>
                                                                    <w:left w:val="none" w:sz="0" w:space="0" w:color="auto"/>
                                                                    <w:bottom w:val="none" w:sz="0" w:space="0" w:color="auto"/>
                                                                    <w:right w:val="none" w:sz="0" w:space="0" w:color="auto"/>
                                                                  </w:divBdr>
                                                                  <w:divsChild>
                                                                    <w:div w:id="1892841086">
                                                                      <w:marLeft w:val="0"/>
                                                                      <w:marRight w:val="0"/>
                                                                      <w:marTop w:val="0"/>
                                                                      <w:marBottom w:val="0"/>
                                                                      <w:divBdr>
                                                                        <w:top w:val="none" w:sz="0" w:space="0" w:color="auto"/>
                                                                        <w:left w:val="none" w:sz="0" w:space="0" w:color="auto"/>
                                                                        <w:bottom w:val="none" w:sz="0" w:space="0" w:color="auto"/>
                                                                        <w:right w:val="none" w:sz="0" w:space="0" w:color="auto"/>
                                                                      </w:divBdr>
                                                                      <w:divsChild>
                                                                        <w:div w:id="2024477834">
                                                                          <w:marLeft w:val="0"/>
                                                                          <w:marRight w:val="0"/>
                                                                          <w:marTop w:val="0"/>
                                                                          <w:marBottom w:val="0"/>
                                                                          <w:divBdr>
                                                                            <w:top w:val="none" w:sz="0" w:space="0" w:color="auto"/>
                                                                            <w:left w:val="none" w:sz="0" w:space="0" w:color="auto"/>
                                                                            <w:bottom w:val="none" w:sz="0" w:space="0" w:color="auto"/>
                                                                            <w:right w:val="none" w:sz="0" w:space="0" w:color="auto"/>
                                                                          </w:divBdr>
                                                                          <w:divsChild>
                                                                            <w:div w:id="399523390">
                                                                              <w:marLeft w:val="0"/>
                                                                              <w:marRight w:val="0"/>
                                                                              <w:marTop w:val="0"/>
                                                                              <w:marBottom w:val="0"/>
                                                                              <w:divBdr>
                                                                                <w:top w:val="none" w:sz="0" w:space="0" w:color="auto"/>
                                                                                <w:left w:val="none" w:sz="0" w:space="0" w:color="auto"/>
                                                                                <w:bottom w:val="none" w:sz="0" w:space="0" w:color="auto"/>
                                                                                <w:right w:val="none" w:sz="0" w:space="0" w:color="auto"/>
                                                                              </w:divBdr>
                                                                              <w:divsChild>
                                                                                <w:div w:id="892274389">
                                                                                  <w:marLeft w:val="0"/>
                                                                                  <w:marRight w:val="0"/>
                                                                                  <w:marTop w:val="0"/>
                                                                                  <w:marBottom w:val="0"/>
                                                                                  <w:divBdr>
                                                                                    <w:top w:val="none" w:sz="0" w:space="0" w:color="auto"/>
                                                                                    <w:left w:val="none" w:sz="0" w:space="0" w:color="auto"/>
                                                                                    <w:bottom w:val="none" w:sz="0" w:space="0" w:color="auto"/>
                                                                                    <w:right w:val="none" w:sz="0" w:space="0" w:color="auto"/>
                                                                                  </w:divBdr>
                                                                                </w:div>
                                                                              </w:divsChild>
                                                                            </w:div>
                                                                            <w:div w:id="1297490564">
                                                                              <w:marLeft w:val="0"/>
                                                                              <w:marRight w:val="0"/>
                                                                              <w:marTop w:val="0"/>
                                                                              <w:marBottom w:val="0"/>
                                                                              <w:divBdr>
                                                                                <w:top w:val="none" w:sz="0" w:space="0" w:color="auto"/>
                                                                                <w:left w:val="none" w:sz="0" w:space="0" w:color="auto"/>
                                                                                <w:bottom w:val="none" w:sz="0" w:space="0" w:color="auto"/>
                                                                                <w:right w:val="none" w:sz="0" w:space="0" w:color="auto"/>
                                                                              </w:divBdr>
                                                                              <w:divsChild>
                                                                                <w:div w:id="724178877">
                                                                                  <w:marLeft w:val="0"/>
                                                                                  <w:marRight w:val="0"/>
                                                                                  <w:marTop w:val="0"/>
                                                                                  <w:marBottom w:val="0"/>
                                                                                  <w:divBdr>
                                                                                    <w:top w:val="none" w:sz="0" w:space="0" w:color="auto"/>
                                                                                    <w:left w:val="none" w:sz="0" w:space="0" w:color="auto"/>
                                                                                    <w:bottom w:val="none" w:sz="0" w:space="0" w:color="auto"/>
                                                                                    <w:right w:val="none" w:sz="0" w:space="0" w:color="auto"/>
                                                                                  </w:divBdr>
                                                                                  <w:divsChild>
                                                                                    <w:div w:id="2139684982">
                                                                                      <w:marLeft w:val="0"/>
                                                                                      <w:marRight w:val="0"/>
                                                                                      <w:marTop w:val="0"/>
                                                                                      <w:marBottom w:val="0"/>
                                                                                      <w:divBdr>
                                                                                        <w:top w:val="none" w:sz="0" w:space="0" w:color="auto"/>
                                                                                        <w:left w:val="none" w:sz="0" w:space="0" w:color="auto"/>
                                                                                        <w:bottom w:val="none" w:sz="0" w:space="0" w:color="auto"/>
                                                                                        <w:right w:val="none" w:sz="0" w:space="0" w:color="auto"/>
                                                                                      </w:divBdr>
                                                                                      <w:divsChild>
                                                                                        <w:div w:id="414864476">
                                                                                          <w:marLeft w:val="0"/>
                                                                                          <w:marRight w:val="0"/>
                                                                                          <w:marTop w:val="0"/>
                                                                                          <w:marBottom w:val="0"/>
                                                                                          <w:divBdr>
                                                                                            <w:top w:val="none" w:sz="0" w:space="0" w:color="auto"/>
                                                                                            <w:left w:val="none" w:sz="0" w:space="0" w:color="auto"/>
                                                                                            <w:bottom w:val="none" w:sz="0" w:space="0" w:color="auto"/>
                                                                                            <w:right w:val="none" w:sz="0" w:space="0" w:color="auto"/>
                                                                                          </w:divBdr>
                                                                                          <w:divsChild>
                                                                                            <w:div w:id="2662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280192">
                                                  <w:marLeft w:val="0"/>
                                                  <w:marRight w:val="0"/>
                                                  <w:marTop w:val="0"/>
                                                  <w:marBottom w:val="0"/>
                                                  <w:divBdr>
                                                    <w:top w:val="none" w:sz="0" w:space="0" w:color="auto"/>
                                                    <w:left w:val="none" w:sz="0" w:space="0" w:color="auto"/>
                                                    <w:bottom w:val="none" w:sz="0" w:space="0" w:color="auto"/>
                                                    <w:right w:val="none" w:sz="0" w:space="0" w:color="auto"/>
                                                  </w:divBdr>
                                                  <w:divsChild>
                                                    <w:div w:id="15858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1704">
          <w:marLeft w:val="0"/>
          <w:marRight w:val="0"/>
          <w:marTop w:val="0"/>
          <w:marBottom w:val="0"/>
          <w:divBdr>
            <w:top w:val="none" w:sz="0" w:space="0" w:color="auto"/>
            <w:left w:val="none" w:sz="0" w:space="0" w:color="auto"/>
            <w:bottom w:val="none" w:sz="0" w:space="0" w:color="auto"/>
            <w:right w:val="none" w:sz="0" w:space="0" w:color="auto"/>
          </w:divBdr>
          <w:divsChild>
            <w:div w:id="1267693693">
              <w:marLeft w:val="0"/>
              <w:marRight w:val="0"/>
              <w:marTop w:val="0"/>
              <w:marBottom w:val="0"/>
              <w:divBdr>
                <w:top w:val="none" w:sz="0" w:space="0" w:color="auto"/>
                <w:left w:val="none" w:sz="0" w:space="0" w:color="auto"/>
                <w:bottom w:val="none" w:sz="0" w:space="0" w:color="auto"/>
                <w:right w:val="none" w:sz="0" w:space="0" w:color="auto"/>
              </w:divBdr>
              <w:divsChild>
                <w:div w:id="305160214">
                  <w:marLeft w:val="0"/>
                  <w:marRight w:val="0"/>
                  <w:marTop w:val="0"/>
                  <w:marBottom w:val="0"/>
                  <w:divBdr>
                    <w:top w:val="none" w:sz="0" w:space="0" w:color="auto"/>
                    <w:left w:val="none" w:sz="0" w:space="0" w:color="auto"/>
                    <w:bottom w:val="none" w:sz="0" w:space="0" w:color="auto"/>
                    <w:right w:val="none" w:sz="0" w:space="0" w:color="auto"/>
                  </w:divBdr>
                  <w:divsChild>
                    <w:div w:id="1707027439">
                      <w:marLeft w:val="0"/>
                      <w:marRight w:val="0"/>
                      <w:marTop w:val="0"/>
                      <w:marBottom w:val="0"/>
                      <w:divBdr>
                        <w:top w:val="none" w:sz="0" w:space="0" w:color="auto"/>
                        <w:left w:val="none" w:sz="0" w:space="0" w:color="auto"/>
                        <w:bottom w:val="none" w:sz="0" w:space="0" w:color="auto"/>
                        <w:right w:val="none" w:sz="0" w:space="0" w:color="auto"/>
                      </w:divBdr>
                      <w:divsChild>
                        <w:div w:id="324626302">
                          <w:marLeft w:val="0"/>
                          <w:marRight w:val="0"/>
                          <w:marTop w:val="0"/>
                          <w:marBottom w:val="0"/>
                          <w:divBdr>
                            <w:top w:val="none" w:sz="0" w:space="0" w:color="auto"/>
                            <w:left w:val="none" w:sz="0" w:space="0" w:color="auto"/>
                            <w:bottom w:val="none" w:sz="0" w:space="0" w:color="auto"/>
                            <w:right w:val="none" w:sz="0" w:space="0" w:color="auto"/>
                          </w:divBdr>
                          <w:divsChild>
                            <w:div w:id="242032893">
                              <w:marLeft w:val="0"/>
                              <w:marRight w:val="0"/>
                              <w:marTop w:val="0"/>
                              <w:marBottom w:val="0"/>
                              <w:divBdr>
                                <w:top w:val="none" w:sz="0" w:space="0" w:color="auto"/>
                                <w:left w:val="none" w:sz="0" w:space="0" w:color="auto"/>
                                <w:bottom w:val="none" w:sz="0" w:space="0" w:color="auto"/>
                                <w:right w:val="none" w:sz="0" w:space="0" w:color="auto"/>
                              </w:divBdr>
                              <w:divsChild>
                                <w:div w:id="4648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90893">
                  <w:marLeft w:val="0"/>
                  <w:marRight w:val="0"/>
                  <w:marTop w:val="0"/>
                  <w:marBottom w:val="0"/>
                  <w:divBdr>
                    <w:top w:val="none" w:sz="0" w:space="0" w:color="auto"/>
                    <w:left w:val="none" w:sz="0" w:space="0" w:color="auto"/>
                    <w:bottom w:val="none" w:sz="0" w:space="0" w:color="auto"/>
                    <w:right w:val="none" w:sz="0" w:space="0" w:color="auto"/>
                  </w:divBdr>
                  <w:divsChild>
                    <w:div w:id="1418281120">
                      <w:marLeft w:val="0"/>
                      <w:marRight w:val="0"/>
                      <w:marTop w:val="0"/>
                      <w:marBottom w:val="0"/>
                      <w:divBdr>
                        <w:top w:val="none" w:sz="0" w:space="0" w:color="auto"/>
                        <w:left w:val="none" w:sz="0" w:space="0" w:color="auto"/>
                        <w:bottom w:val="none" w:sz="0" w:space="0" w:color="auto"/>
                        <w:right w:val="none" w:sz="0" w:space="0" w:color="auto"/>
                      </w:divBdr>
                      <w:divsChild>
                        <w:div w:id="949899958">
                          <w:marLeft w:val="0"/>
                          <w:marRight w:val="0"/>
                          <w:marTop w:val="0"/>
                          <w:marBottom w:val="0"/>
                          <w:divBdr>
                            <w:top w:val="none" w:sz="0" w:space="0" w:color="auto"/>
                            <w:left w:val="none" w:sz="0" w:space="0" w:color="auto"/>
                            <w:bottom w:val="none" w:sz="0" w:space="0" w:color="auto"/>
                            <w:right w:val="none" w:sz="0" w:space="0" w:color="auto"/>
                          </w:divBdr>
                          <w:divsChild>
                            <w:div w:id="542983054">
                              <w:marLeft w:val="0"/>
                              <w:marRight w:val="0"/>
                              <w:marTop w:val="0"/>
                              <w:marBottom w:val="0"/>
                              <w:divBdr>
                                <w:top w:val="none" w:sz="0" w:space="0" w:color="auto"/>
                                <w:left w:val="none" w:sz="0" w:space="0" w:color="auto"/>
                                <w:bottom w:val="none" w:sz="0" w:space="0" w:color="auto"/>
                                <w:right w:val="none" w:sz="0" w:space="0" w:color="auto"/>
                              </w:divBdr>
                              <w:divsChild>
                                <w:div w:id="464615777">
                                  <w:marLeft w:val="0"/>
                                  <w:marRight w:val="0"/>
                                  <w:marTop w:val="0"/>
                                  <w:marBottom w:val="0"/>
                                  <w:divBdr>
                                    <w:top w:val="none" w:sz="0" w:space="0" w:color="auto"/>
                                    <w:left w:val="none" w:sz="0" w:space="0" w:color="auto"/>
                                    <w:bottom w:val="none" w:sz="0" w:space="0" w:color="auto"/>
                                    <w:right w:val="none" w:sz="0" w:space="0" w:color="auto"/>
                                  </w:divBdr>
                                  <w:divsChild>
                                    <w:div w:id="185605917">
                                      <w:marLeft w:val="0"/>
                                      <w:marRight w:val="0"/>
                                      <w:marTop w:val="0"/>
                                      <w:marBottom w:val="0"/>
                                      <w:divBdr>
                                        <w:top w:val="none" w:sz="0" w:space="0" w:color="auto"/>
                                        <w:left w:val="none" w:sz="0" w:space="0" w:color="auto"/>
                                        <w:bottom w:val="none" w:sz="0" w:space="0" w:color="auto"/>
                                        <w:right w:val="none" w:sz="0" w:space="0" w:color="auto"/>
                                      </w:divBdr>
                                      <w:divsChild>
                                        <w:div w:id="1503201060">
                                          <w:marLeft w:val="0"/>
                                          <w:marRight w:val="0"/>
                                          <w:marTop w:val="0"/>
                                          <w:marBottom w:val="0"/>
                                          <w:divBdr>
                                            <w:top w:val="none" w:sz="0" w:space="0" w:color="auto"/>
                                            <w:left w:val="none" w:sz="0" w:space="0" w:color="auto"/>
                                            <w:bottom w:val="none" w:sz="0" w:space="0" w:color="auto"/>
                                            <w:right w:val="none" w:sz="0" w:space="0" w:color="auto"/>
                                          </w:divBdr>
                                          <w:divsChild>
                                            <w:div w:id="2122454944">
                                              <w:marLeft w:val="0"/>
                                              <w:marRight w:val="0"/>
                                              <w:marTop w:val="0"/>
                                              <w:marBottom w:val="0"/>
                                              <w:divBdr>
                                                <w:top w:val="none" w:sz="0" w:space="0" w:color="auto"/>
                                                <w:left w:val="none" w:sz="0" w:space="0" w:color="auto"/>
                                                <w:bottom w:val="none" w:sz="0" w:space="0" w:color="auto"/>
                                                <w:right w:val="none" w:sz="0" w:space="0" w:color="auto"/>
                                              </w:divBdr>
                                              <w:divsChild>
                                                <w:div w:id="1596792534">
                                                  <w:marLeft w:val="0"/>
                                                  <w:marRight w:val="0"/>
                                                  <w:marTop w:val="0"/>
                                                  <w:marBottom w:val="0"/>
                                                  <w:divBdr>
                                                    <w:top w:val="none" w:sz="0" w:space="0" w:color="auto"/>
                                                    <w:left w:val="none" w:sz="0" w:space="0" w:color="auto"/>
                                                    <w:bottom w:val="none" w:sz="0" w:space="0" w:color="auto"/>
                                                    <w:right w:val="none" w:sz="0" w:space="0" w:color="auto"/>
                                                  </w:divBdr>
                                                  <w:divsChild>
                                                    <w:div w:id="13682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761682">
                          <w:marLeft w:val="0"/>
                          <w:marRight w:val="0"/>
                          <w:marTop w:val="0"/>
                          <w:marBottom w:val="0"/>
                          <w:divBdr>
                            <w:top w:val="none" w:sz="0" w:space="0" w:color="auto"/>
                            <w:left w:val="none" w:sz="0" w:space="0" w:color="auto"/>
                            <w:bottom w:val="none" w:sz="0" w:space="0" w:color="auto"/>
                            <w:right w:val="none" w:sz="0" w:space="0" w:color="auto"/>
                          </w:divBdr>
                          <w:divsChild>
                            <w:div w:id="2079011779">
                              <w:marLeft w:val="0"/>
                              <w:marRight w:val="0"/>
                              <w:marTop w:val="0"/>
                              <w:marBottom w:val="0"/>
                              <w:divBdr>
                                <w:top w:val="none" w:sz="0" w:space="0" w:color="auto"/>
                                <w:left w:val="none" w:sz="0" w:space="0" w:color="auto"/>
                                <w:bottom w:val="none" w:sz="0" w:space="0" w:color="auto"/>
                                <w:right w:val="none" w:sz="0" w:space="0" w:color="auto"/>
                              </w:divBdr>
                              <w:divsChild>
                                <w:div w:id="1509632109">
                                  <w:marLeft w:val="0"/>
                                  <w:marRight w:val="0"/>
                                  <w:marTop w:val="0"/>
                                  <w:marBottom w:val="0"/>
                                  <w:divBdr>
                                    <w:top w:val="none" w:sz="0" w:space="0" w:color="auto"/>
                                    <w:left w:val="none" w:sz="0" w:space="0" w:color="auto"/>
                                    <w:bottom w:val="none" w:sz="0" w:space="0" w:color="auto"/>
                                    <w:right w:val="none" w:sz="0" w:space="0" w:color="auto"/>
                                  </w:divBdr>
                                  <w:divsChild>
                                    <w:div w:id="542403947">
                                      <w:marLeft w:val="0"/>
                                      <w:marRight w:val="0"/>
                                      <w:marTop w:val="0"/>
                                      <w:marBottom w:val="0"/>
                                      <w:divBdr>
                                        <w:top w:val="none" w:sz="0" w:space="0" w:color="auto"/>
                                        <w:left w:val="none" w:sz="0" w:space="0" w:color="auto"/>
                                        <w:bottom w:val="none" w:sz="0" w:space="0" w:color="auto"/>
                                        <w:right w:val="none" w:sz="0" w:space="0" w:color="auto"/>
                                      </w:divBdr>
                                      <w:divsChild>
                                        <w:div w:id="3579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4097">
          <w:marLeft w:val="0"/>
          <w:marRight w:val="0"/>
          <w:marTop w:val="0"/>
          <w:marBottom w:val="0"/>
          <w:divBdr>
            <w:top w:val="none" w:sz="0" w:space="0" w:color="auto"/>
            <w:left w:val="none" w:sz="0" w:space="0" w:color="auto"/>
            <w:bottom w:val="none" w:sz="0" w:space="0" w:color="auto"/>
            <w:right w:val="none" w:sz="0" w:space="0" w:color="auto"/>
          </w:divBdr>
          <w:divsChild>
            <w:div w:id="809829087">
              <w:marLeft w:val="0"/>
              <w:marRight w:val="0"/>
              <w:marTop w:val="0"/>
              <w:marBottom w:val="0"/>
              <w:divBdr>
                <w:top w:val="none" w:sz="0" w:space="0" w:color="auto"/>
                <w:left w:val="none" w:sz="0" w:space="0" w:color="auto"/>
                <w:bottom w:val="none" w:sz="0" w:space="0" w:color="auto"/>
                <w:right w:val="none" w:sz="0" w:space="0" w:color="auto"/>
              </w:divBdr>
            </w:div>
          </w:divsChild>
        </w:div>
        <w:div w:id="658078545">
          <w:marLeft w:val="0"/>
          <w:marRight w:val="0"/>
          <w:marTop w:val="0"/>
          <w:marBottom w:val="0"/>
          <w:divBdr>
            <w:top w:val="none" w:sz="0" w:space="0" w:color="auto"/>
            <w:left w:val="none" w:sz="0" w:space="0" w:color="auto"/>
            <w:bottom w:val="none" w:sz="0" w:space="0" w:color="auto"/>
            <w:right w:val="none" w:sz="0" w:space="0" w:color="auto"/>
          </w:divBdr>
          <w:divsChild>
            <w:div w:id="1350444940">
              <w:marLeft w:val="0"/>
              <w:marRight w:val="0"/>
              <w:marTop w:val="0"/>
              <w:marBottom w:val="0"/>
              <w:divBdr>
                <w:top w:val="none" w:sz="0" w:space="0" w:color="auto"/>
                <w:left w:val="none" w:sz="0" w:space="0" w:color="auto"/>
                <w:bottom w:val="none" w:sz="0" w:space="0" w:color="auto"/>
                <w:right w:val="none" w:sz="0" w:space="0" w:color="auto"/>
              </w:divBdr>
              <w:divsChild>
                <w:div w:id="683750966">
                  <w:marLeft w:val="0"/>
                  <w:marRight w:val="0"/>
                  <w:marTop w:val="0"/>
                  <w:marBottom w:val="0"/>
                  <w:divBdr>
                    <w:top w:val="none" w:sz="0" w:space="0" w:color="auto"/>
                    <w:left w:val="none" w:sz="0" w:space="0" w:color="auto"/>
                    <w:bottom w:val="none" w:sz="0" w:space="0" w:color="auto"/>
                    <w:right w:val="none" w:sz="0" w:space="0" w:color="auto"/>
                  </w:divBdr>
                  <w:divsChild>
                    <w:div w:id="1437212792">
                      <w:marLeft w:val="0"/>
                      <w:marRight w:val="0"/>
                      <w:marTop w:val="0"/>
                      <w:marBottom w:val="0"/>
                      <w:divBdr>
                        <w:top w:val="none" w:sz="0" w:space="0" w:color="auto"/>
                        <w:left w:val="none" w:sz="0" w:space="0" w:color="auto"/>
                        <w:bottom w:val="none" w:sz="0" w:space="0" w:color="auto"/>
                        <w:right w:val="none" w:sz="0" w:space="0" w:color="auto"/>
                      </w:divBdr>
                      <w:divsChild>
                        <w:div w:id="1813404570">
                          <w:marLeft w:val="0"/>
                          <w:marRight w:val="0"/>
                          <w:marTop w:val="0"/>
                          <w:marBottom w:val="0"/>
                          <w:divBdr>
                            <w:top w:val="none" w:sz="0" w:space="0" w:color="auto"/>
                            <w:left w:val="none" w:sz="0" w:space="0" w:color="auto"/>
                            <w:bottom w:val="none" w:sz="0" w:space="0" w:color="auto"/>
                            <w:right w:val="none" w:sz="0" w:space="0" w:color="auto"/>
                          </w:divBdr>
                          <w:divsChild>
                            <w:div w:id="604922973">
                              <w:marLeft w:val="0"/>
                              <w:marRight w:val="0"/>
                              <w:marTop w:val="0"/>
                              <w:marBottom w:val="0"/>
                              <w:divBdr>
                                <w:top w:val="none" w:sz="0" w:space="0" w:color="auto"/>
                                <w:left w:val="none" w:sz="0" w:space="0" w:color="auto"/>
                                <w:bottom w:val="none" w:sz="0" w:space="0" w:color="auto"/>
                                <w:right w:val="none" w:sz="0" w:space="0" w:color="auto"/>
                              </w:divBdr>
                              <w:divsChild>
                                <w:div w:id="1512065056">
                                  <w:marLeft w:val="0"/>
                                  <w:marRight w:val="0"/>
                                  <w:marTop w:val="0"/>
                                  <w:marBottom w:val="0"/>
                                  <w:divBdr>
                                    <w:top w:val="none" w:sz="0" w:space="0" w:color="auto"/>
                                    <w:left w:val="none" w:sz="0" w:space="0" w:color="auto"/>
                                    <w:bottom w:val="none" w:sz="0" w:space="0" w:color="auto"/>
                                    <w:right w:val="none" w:sz="0" w:space="0" w:color="auto"/>
                                  </w:divBdr>
                                  <w:divsChild>
                                    <w:div w:id="110979869">
                                      <w:marLeft w:val="0"/>
                                      <w:marRight w:val="0"/>
                                      <w:marTop w:val="0"/>
                                      <w:marBottom w:val="0"/>
                                      <w:divBdr>
                                        <w:top w:val="none" w:sz="0" w:space="0" w:color="auto"/>
                                        <w:left w:val="none" w:sz="0" w:space="0" w:color="auto"/>
                                        <w:bottom w:val="none" w:sz="0" w:space="0" w:color="auto"/>
                                        <w:right w:val="none" w:sz="0" w:space="0" w:color="auto"/>
                                      </w:divBdr>
                                      <w:divsChild>
                                        <w:div w:id="1911693371">
                                          <w:marLeft w:val="0"/>
                                          <w:marRight w:val="0"/>
                                          <w:marTop w:val="0"/>
                                          <w:marBottom w:val="0"/>
                                          <w:divBdr>
                                            <w:top w:val="none" w:sz="0" w:space="0" w:color="auto"/>
                                            <w:left w:val="none" w:sz="0" w:space="0" w:color="auto"/>
                                            <w:bottom w:val="none" w:sz="0" w:space="0" w:color="auto"/>
                                            <w:right w:val="none" w:sz="0" w:space="0" w:color="auto"/>
                                          </w:divBdr>
                                          <w:divsChild>
                                            <w:div w:id="1152523396">
                                              <w:marLeft w:val="0"/>
                                              <w:marRight w:val="0"/>
                                              <w:marTop w:val="0"/>
                                              <w:marBottom w:val="0"/>
                                              <w:divBdr>
                                                <w:top w:val="none" w:sz="0" w:space="0" w:color="auto"/>
                                                <w:left w:val="none" w:sz="0" w:space="0" w:color="auto"/>
                                                <w:bottom w:val="none" w:sz="0" w:space="0" w:color="auto"/>
                                                <w:right w:val="none" w:sz="0" w:space="0" w:color="auto"/>
                                              </w:divBdr>
                                              <w:divsChild>
                                                <w:div w:id="566569121">
                                                  <w:marLeft w:val="0"/>
                                                  <w:marRight w:val="0"/>
                                                  <w:marTop w:val="0"/>
                                                  <w:marBottom w:val="0"/>
                                                  <w:divBdr>
                                                    <w:top w:val="none" w:sz="0" w:space="0" w:color="auto"/>
                                                    <w:left w:val="none" w:sz="0" w:space="0" w:color="auto"/>
                                                    <w:bottom w:val="none" w:sz="0" w:space="0" w:color="auto"/>
                                                    <w:right w:val="none" w:sz="0" w:space="0" w:color="auto"/>
                                                  </w:divBdr>
                                                  <w:divsChild>
                                                    <w:div w:id="1104422191">
                                                      <w:marLeft w:val="0"/>
                                                      <w:marRight w:val="0"/>
                                                      <w:marTop w:val="0"/>
                                                      <w:marBottom w:val="0"/>
                                                      <w:divBdr>
                                                        <w:top w:val="none" w:sz="0" w:space="0" w:color="auto"/>
                                                        <w:left w:val="none" w:sz="0" w:space="0" w:color="auto"/>
                                                        <w:bottom w:val="none" w:sz="0" w:space="0" w:color="auto"/>
                                                        <w:right w:val="none" w:sz="0" w:space="0" w:color="auto"/>
                                                      </w:divBdr>
                                                    </w:div>
                                                  </w:divsChild>
                                                </w:div>
                                                <w:div w:id="2033649703">
                                                  <w:marLeft w:val="0"/>
                                                  <w:marRight w:val="0"/>
                                                  <w:marTop w:val="0"/>
                                                  <w:marBottom w:val="0"/>
                                                  <w:divBdr>
                                                    <w:top w:val="none" w:sz="0" w:space="0" w:color="auto"/>
                                                    <w:left w:val="none" w:sz="0" w:space="0" w:color="auto"/>
                                                    <w:bottom w:val="none" w:sz="0" w:space="0" w:color="auto"/>
                                                    <w:right w:val="none" w:sz="0" w:space="0" w:color="auto"/>
                                                  </w:divBdr>
                                                  <w:divsChild>
                                                    <w:div w:id="149372762">
                                                      <w:marLeft w:val="0"/>
                                                      <w:marRight w:val="0"/>
                                                      <w:marTop w:val="0"/>
                                                      <w:marBottom w:val="0"/>
                                                      <w:divBdr>
                                                        <w:top w:val="none" w:sz="0" w:space="0" w:color="auto"/>
                                                        <w:left w:val="none" w:sz="0" w:space="0" w:color="auto"/>
                                                        <w:bottom w:val="none" w:sz="0" w:space="0" w:color="auto"/>
                                                        <w:right w:val="none" w:sz="0" w:space="0" w:color="auto"/>
                                                      </w:divBdr>
                                                      <w:divsChild>
                                                        <w:div w:id="1978684525">
                                                          <w:marLeft w:val="0"/>
                                                          <w:marRight w:val="0"/>
                                                          <w:marTop w:val="0"/>
                                                          <w:marBottom w:val="0"/>
                                                          <w:divBdr>
                                                            <w:top w:val="none" w:sz="0" w:space="0" w:color="auto"/>
                                                            <w:left w:val="none" w:sz="0" w:space="0" w:color="auto"/>
                                                            <w:bottom w:val="none" w:sz="0" w:space="0" w:color="auto"/>
                                                            <w:right w:val="none" w:sz="0" w:space="0" w:color="auto"/>
                                                          </w:divBdr>
                                                        </w:div>
                                                        <w:div w:id="2002614764">
                                                          <w:marLeft w:val="0"/>
                                                          <w:marRight w:val="0"/>
                                                          <w:marTop w:val="0"/>
                                                          <w:marBottom w:val="0"/>
                                                          <w:divBdr>
                                                            <w:top w:val="none" w:sz="0" w:space="0" w:color="auto"/>
                                                            <w:left w:val="none" w:sz="0" w:space="0" w:color="auto"/>
                                                            <w:bottom w:val="none" w:sz="0" w:space="0" w:color="auto"/>
                                                            <w:right w:val="none" w:sz="0" w:space="0" w:color="auto"/>
                                                          </w:divBdr>
                                                          <w:divsChild>
                                                            <w:div w:id="1834639003">
                                                              <w:marLeft w:val="0"/>
                                                              <w:marRight w:val="0"/>
                                                              <w:marTop w:val="0"/>
                                                              <w:marBottom w:val="0"/>
                                                              <w:divBdr>
                                                                <w:top w:val="none" w:sz="0" w:space="0" w:color="auto"/>
                                                                <w:left w:val="none" w:sz="0" w:space="0" w:color="auto"/>
                                                                <w:bottom w:val="none" w:sz="0" w:space="0" w:color="auto"/>
                                                                <w:right w:val="none" w:sz="0" w:space="0" w:color="auto"/>
                                                              </w:divBdr>
                                                              <w:divsChild>
                                                                <w:div w:id="1384478451">
                                                                  <w:marLeft w:val="0"/>
                                                                  <w:marRight w:val="0"/>
                                                                  <w:marTop w:val="0"/>
                                                                  <w:marBottom w:val="0"/>
                                                                  <w:divBdr>
                                                                    <w:top w:val="none" w:sz="0" w:space="0" w:color="auto"/>
                                                                    <w:left w:val="none" w:sz="0" w:space="0" w:color="auto"/>
                                                                    <w:bottom w:val="none" w:sz="0" w:space="0" w:color="auto"/>
                                                                    <w:right w:val="none" w:sz="0" w:space="0" w:color="auto"/>
                                                                  </w:divBdr>
                                                                  <w:divsChild>
                                                                    <w:div w:id="2068455211">
                                                                      <w:marLeft w:val="0"/>
                                                                      <w:marRight w:val="0"/>
                                                                      <w:marTop w:val="0"/>
                                                                      <w:marBottom w:val="0"/>
                                                                      <w:divBdr>
                                                                        <w:top w:val="none" w:sz="0" w:space="0" w:color="auto"/>
                                                                        <w:left w:val="none" w:sz="0" w:space="0" w:color="auto"/>
                                                                        <w:bottom w:val="none" w:sz="0" w:space="0" w:color="auto"/>
                                                                        <w:right w:val="none" w:sz="0" w:space="0" w:color="auto"/>
                                                                      </w:divBdr>
                                                                      <w:divsChild>
                                                                        <w:div w:id="837963995">
                                                                          <w:marLeft w:val="0"/>
                                                                          <w:marRight w:val="0"/>
                                                                          <w:marTop w:val="0"/>
                                                                          <w:marBottom w:val="0"/>
                                                                          <w:divBdr>
                                                                            <w:top w:val="none" w:sz="0" w:space="0" w:color="auto"/>
                                                                            <w:left w:val="none" w:sz="0" w:space="0" w:color="auto"/>
                                                                            <w:bottom w:val="none" w:sz="0" w:space="0" w:color="auto"/>
                                                                            <w:right w:val="none" w:sz="0" w:space="0" w:color="auto"/>
                                                                          </w:divBdr>
                                                                          <w:divsChild>
                                                                            <w:div w:id="972832620">
                                                                              <w:marLeft w:val="0"/>
                                                                              <w:marRight w:val="0"/>
                                                                              <w:marTop w:val="0"/>
                                                                              <w:marBottom w:val="0"/>
                                                                              <w:divBdr>
                                                                                <w:top w:val="none" w:sz="0" w:space="0" w:color="auto"/>
                                                                                <w:left w:val="none" w:sz="0" w:space="0" w:color="auto"/>
                                                                                <w:bottom w:val="none" w:sz="0" w:space="0" w:color="auto"/>
                                                                                <w:right w:val="none" w:sz="0" w:space="0" w:color="auto"/>
                                                                              </w:divBdr>
                                                                              <w:divsChild>
                                                                                <w:div w:id="15213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282755">
          <w:marLeft w:val="0"/>
          <w:marRight w:val="0"/>
          <w:marTop w:val="0"/>
          <w:marBottom w:val="0"/>
          <w:divBdr>
            <w:top w:val="none" w:sz="0" w:space="0" w:color="auto"/>
            <w:left w:val="none" w:sz="0" w:space="0" w:color="auto"/>
            <w:bottom w:val="none" w:sz="0" w:space="0" w:color="auto"/>
            <w:right w:val="none" w:sz="0" w:space="0" w:color="auto"/>
          </w:divBdr>
          <w:divsChild>
            <w:div w:id="779842452">
              <w:marLeft w:val="0"/>
              <w:marRight w:val="0"/>
              <w:marTop w:val="0"/>
              <w:marBottom w:val="0"/>
              <w:divBdr>
                <w:top w:val="none" w:sz="0" w:space="0" w:color="auto"/>
                <w:left w:val="none" w:sz="0" w:space="0" w:color="auto"/>
                <w:bottom w:val="none" w:sz="0" w:space="0" w:color="auto"/>
                <w:right w:val="none" w:sz="0" w:space="0" w:color="auto"/>
              </w:divBdr>
              <w:divsChild>
                <w:div w:id="610014484">
                  <w:marLeft w:val="0"/>
                  <w:marRight w:val="0"/>
                  <w:marTop w:val="0"/>
                  <w:marBottom w:val="0"/>
                  <w:divBdr>
                    <w:top w:val="none" w:sz="0" w:space="0" w:color="auto"/>
                    <w:left w:val="none" w:sz="0" w:space="0" w:color="auto"/>
                    <w:bottom w:val="none" w:sz="0" w:space="0" w:color="auto"/>
                    <w:right w:val="none" w:sz="0" w:space="0" w:color="auto"/>
                  </w:divBdr>
                  <w:divsChild>
                    <w:div w:id="249973575">
                      <w:marLeft w:val="0"/>
                      <w:marRight w:val="0"/>
                      <w:marTop w:val="0"/>
                      <w:marBottom w:val="0"/>
                      <w:divBdr>
                        <w:top w:val="none" w:sz="0" w:space="0" w:color="auto"/>
                        <w:left w:val="none" w:sz="0" w:space="0" w:color="auto"/>
                        <w:bottom w:val="none" w:sz="0" w:space="0" w:color="auto"/>
                        <w:right w:val="none" w:sz="0" w:space="0" w:color="auto"/>
                      </w:divBdr>
                    </w:div>
                    <w:div w:id="1864392948">
                      <w:marLeft w:val="0"/>
                      <w:marRight w:val="0"/>
                      <w:marTop w:val="0"/>
                      <w:marBottom w:val="0"/>
                      <w:divBdr>
                        <w:top w:val="none" w:sz="0" w:space="0" w:color="auto"/>
                        <w:left w:val="none" w:sz="0" w:space="0" w:color="auto"/>
                        <w:bottom w:val="none" w:sz="0" w:space="0" w:color="auto"/>
                        <w:right w:val="none" w:sz="0" w:space="0" w:color="auto"/>
                      </w:divBdr>
                      <w:divsChild>
                        <w:div w:id="2018580521">
                          <w:marLeft w:val="0"/>
                          <w:marRight w:val="0"/>
                          <w:marTop w:val="0"/>
                          <w:marBottom w:val="0"/>
                          <w:divBdr>
                            <w:top w:val="none" w:sz="0" w:space="0" w:color="auto"/>
                            <w:left w:val="none" w:sz="0" w:space="0" w:color="auto"/>
                            <w:bottom w:val="none" w:sz="0" w:space="0" w:color="auto"/>
                            <w:right w:val="none" w:sz="0" w:space="0" w:color="auto"/>
                          </w:divBdr>
                          <w:divsChild>
                            <w:div w:id="1975717385">
                              <w:marLeft w:val="0"/>
                              <w:marRight w:val="0"/>
                              <w:marTop w:val="0"/>
                              <w:marBottom w:val="0"/>
                              <w:divBdr>
                                <w:top w:val="none" w:sz="0" w:space="0" w:color="auto"/>
                                <w:left w:val="none" w:sz="0" w:space="0" w:color="auto"/>
                                <w:bottom w:val="none" w:sz="0" w:space="0" w:color="auto"/>
                                <w:right w:val="none" w:sz="0" w:space="0" w:color="auto"/>
                              </w:divBdr>
                              <w:divsChild>
                                <w:div w:id="1950432133">
                                  <w:marLeft w:val="0"/>
                                  <w:marRight w:val="0"/>
                                  <w:marTop w:val="0"/>
                                  <w:marBottom w:val="0"/>
                                  <w:divBdr>
                                    <w:top w:val="none" w:sz="0" w:space="0" w:color="auto"/>
                                    <w:left w:val="none" w:sz="0" w:space="0" w:color="auto"/>
                                    <w:bottom w:val="none" w:sz="0" w:space="0" w:color="auto"/>
                                    <w:right w:val="none" w:sz="0" w:space="0" w:color="auto"/>
                                  </w:divBdr>
                                  <w:divsChild>
                                    <w:div w:id="996495115">
                                      <w:marLeft w:val="0"/>
                                      <w:marRight w:val="0"/>
                                      <w:marTop w:val="0"/>
                                      <w:marBottom w:val="0"/>
                                      <w:divBdr>
                                        <w:top w:val="none" w:sz="0" w:space="0" w:color="auto"/>
                                        <w:left w:val="none" w:sz="0" w:space="0" w:color="auto"/>
                                        <w:bottom w:val="none" w:sz="0" w:space="0" w:color="auto"/>
                                        <w:right w:val="none" w:sz="0" w:space="0" w:color="auto"/>
                                      </w:divBdr>
                                      <w:divsChild>
                                        <w:div w:id="588346154">
                                          <w:marLeft w:val="0"/>
                                          <w:marRight w:val="0"/>
                                          <w:marTop w:val="0"/>
                                          <w:marBottom w:val="0"/>
                                          <w:divBdr>
                                            <w:top w:val="none" w:sz="0" w:space="0" w:color="auto"/>
                                            <w:left w:val="none" w:sz="0" w:space="0" w:color="auto"/>
                                            <w:bottom w:val="none" w:sz="0" w:space="0" w:color="auto"/>
                                            <w:right w:val="none" w:sz="0" w:space="0" w:color="auto"/>
                                          </w:divBdr>
                                          <w:divsChild>
                                            <w:div w:id="1893299586">
                                              <w:marLeft w:val="0"/>
                                              <w:marRight w:val="0"/>
                                              <w:marTop w:val="0"/>
                                              <w:marBottom w:val="0"/>
                                              <w:divBdr>
                                                <w:top w:val="none" w:sz="0" w:space="0" w:color="auto"/>
                                                <w:left w:val="none" w:sz="0" w:space="0" w:color="auto"/>
                                                <w:bottom w:val="none" w:sz="0" w:space="0" w:color="auto"/>
                                                <w:right w:val="none" w:sz="0" w:space="0" w:color="auto"/>
                                              </w:divBdr>
                                              <w:divsChild>
                                                <w:div w:id="1728646608">
                                                  <w:marLeft w:val="0"/>
                                                  <w:marRight w:val="0"/>
                                                  <w:marTop w:val="0"/>
                                                  <w:marBottom w:val="0"/>
                                                  <w:divBdr>
                                                    <w:top w:val="none" w:sz="0" w:space="0" w:color="auto"/>
                                                    <w:left w:val="none" w:sz="0" w:space="0" w:color="auto"/>
                                                    <w:bottom w:val="none" w:sz="0" w:space="0" w:color="auto"/>
                                                    <w:right w:val="none" w:sz="0" w:space="0" w:color="auto"/>
                                                  </w:divBdr>
                                                  <w:divsChild>
                                                    <w:div w:id="1157460485">
                                                      <w:marLeft w:val="0"/>
                                                      <w:marRight w:val="0"/>
                                                      <w:marTop w:val="0"/>
                                                      <w:marBottom w:val="0"/>
                                                      <w:divBdr>
                                                        <w:top w:val="none" w:sz="0" w:space="0" w:color="auto"/>
                                                        <w:left w:val="none" w:sz="0" w:space="0" w:color="auto"/>
                                                        <w:bottom w:val="none" w:sz="0" w:space="0" w:color="auto"/>
                                                        <w:right w:val="none" w:sz="0" w:space="0" w:color="auto"/>
                                                      </w:divBdr>
                                                      <w:divsChild>
                                                        <w:div w:id="983120311">
                                                          <w:marLeft w:val="0"/>
                                                          <w:marRight w:val="0"/>
                                                          <w:marTop w:val="0"/>
                                                          <w:marBottom w:val="0"/>
                                                          <w:divBdr>
                                                            <w:top w:val="none" w:sz="0" w:space="0" w:color="auto"/>
                                                            <w:left w:val="none" w:sz="0" w:space="0" w:color="auto"/>
                                                            <w:bottom w:val="none" w:sz="0" w:space="0" w:color="auto"/>
                                                            <w:right w:val="none" w:sz="0" w:space="0" w:color="auto"/>
                                                          </w:divBdr>
                                                          <w:divsChild>
                                                            <w:div w:id="50740880">
                                                              <w:marLeft w:val="0"/>
                                                              <w:marRight w:val="0"/>
                                                              <w:marTop w:val="0"/>
                                                              <w:marBottom w:val="0"/>
                                                              <w:divBdr>
                                                                <w:top w:val="none" w:sz="0" w:space="0" w:color="auto"/>
                                                                <w:left w:val="none" w:sz="0" w:space="0" w:color="auto"/>
                                                                <w:bottom w:val="none" w:sz="0" w:space="0" w:color="auto"/>
                                                                <w:right w:val="none" w:sz="0" w:space="0" w:color="auto"/>
                                                              </w:divBdr>
                                                            </w:div>
                                                            <w:div w:id="1820878361">
                                                              <w:marLeft w:val="0"/>
                                                              <w:marRight w:val="0"/>
                                                              <w:marTop w:val="0"/>
                                                              <w:marBottom w:val="0"/>
                                                              <w:divBdr>
                                                                <w:top w:val="none" w:sz="0" w:space="0" w:color="auto"/>
                                                                <w:left w:val="none" w:sz="0" w:space="0" w:color="auto"/>
                                                                <w:bottom w:val="none" w:sz="0" w:space="0" w:color="auto"/>
                                                                <w:right w:val="none" w:sz="0" w:space="0" w:color="auto"/>
                                                              </w:divBdr>
                                                              <w:divsChild>
                                                                <w:div w:id="1799032512">
                                                                  <w:marLeft w:val="0"/>
                                                                  <w:marRight w:val="0"/>
                                                                  <w:marTop w:val="0"/>
                                                                  <w:marBottom w:val="0"/>
                                                                  <w:divBdr>
                                                                    <w:top w:val="none" w:sz="0" w:space="0" w:color="auto"/>
                                                                    <w:left w:val="none" w:sz="0" w:space="0" w:color="auto"/>
                                                                    <w:bottom w:val="none" w:sz="0" w:space="0" w:color="auto"/>
                                                                    <w:right w:val="none" w:sz="0" w:space="0" w:color="auto"/>
                                                                  </w:divBdr>
                                                                  <w:divsChild>
                                                                    <w:div w:id="1783574270">
                                                                      <w:marLeft w:val="0"/>
                                                                      <w:marRight w:val="0"/>
                                                                      <w:marTop w:val="0"/>
                                                                      <w:marBottom w:val="0"/>
                                                                      <w:divBdr>
                                                                        <w:top w:val="none" w:sz="0" w:space="0" w:color="auto"/>
                                                                        <w:left w:val="none" w:sz="0" w:space="0" w:color="auto"/>
                                                                        <w:bottom w:val="none" w:sz="0" w:space="0" w:color="auto"/>
                                                                        <w:right w:val="none" w:sz="0" w:space="0" w:color="auto"/>
                                                                      </w:divBdr>
                                                                      <w:divsChild>
                                                                        <w:div w:id="1836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1030412">
          <w:marLeft w:val="0"/>
          <w:marRight w:val="0"/>
          <w:marTop w:val="0"/>
          <w:marBottom w:val="0"/>
          <w:divBdr>
            <w:top w:val="none" w:sz="0" w:space="0" w:color="auto"/>
            <w:left w:val="none" w:sz="0" w:space="0" w:color="auto"/>
            <w:bottom w:val="none" w:sz="0" w:space="0" w:color="auto"/>
            <w:right w:val="none" w:sz="0" w:space="0" w:color="auto"/>
          </w:divBdr>
          <w:divsChild>
            <w:div w:id="349068849">
              <w:marLeft w:val="0"/>
              <w:marRight w:val="0"/>
              <w:marTop w:val="0"/>
              <w:marBottom w:val="0"/>
              <w:divBdr>
                <w:top w:val="none" w:sz="0" w:space="0" w:color="auto"/>
                <w:left w:val="none" w:sz="0" w:space="0" w:color="auto"/>
                <w:bottom w:val="none" w:sz="0" w:space="0" w:color="auto"/>
                <w:right w:val="none" w:sz="0" w:space="0" w:color="auto"/>
              </w:divBdr>
              <w:divsChild>
                <w:div w:id="1384792142">
                  <w:marLeft w:val="0"/>
                  <w:marRight w:val="0"/>
                  <w:marTop w:val="0"/>
                  <w:marBottom w:val="0"/>
                  <w:divBdr>
                    <w:top w:val="none" w:sz="0" w:space="0" w:color="auto"/>
                    <w:left w:val="none" w:sz="0" w:space="0" w:color="auto"/>
                    <w:bottom w:val="none" w:sz="0" w:space="0" w:color="auto"/>
                    <w:right w:val="none" w:sz="0" w:space="0" w:color="auto"/>
                  </w:divBdr>
                  <w:divsChild>
                    <w:div w:id="2121680613">
                      <w:marLeft w:val="0"/>
                      <w:marRight w:val="0"/>
                      <w:marTop w:val="0"/>
                      <w:marBottom w:val="0"/>
                      <w:divBdr>
                        <w:top w:val="none" w:sz="0" w:space="0" w:color="auto"/>
                        <w:left w:val="none" w:sz="0" w:space="0" w:color="auto"/>
                        <w:bottom w:val="none" w:sz="0" w:space="0" w:color="auto"/>
                        <w:right w:val="none" w:sz="0" w:space="0" w:color="auto"/>
                      </w:divBdr>
                      <w:divsChild>
                        <w:div w:id="712386189">
                          <w:marLeft w:val="0"/>
                          <w:marRight w:val="0"/>
                          <w:marTop w:val="0"/>
                          <w:marBottom w:val="0"/>
                          <w:divBdr>
                            <w:top w:val="none" w:sz="0" w:space="0" w:color="auto"/>
                            <w:left w:val="none" w:sz="0" w:space="0" w:color="auto"/>
                            <w:bottom w:val="none" w:sz="0" w:space="0" w:color="auto"/>
                            <w:right w:val="none" w:sz="0" w:space="0" w:color="auto"/>
                          </w:divBdr>
                          <w:divsChild>
                            <w:div w:id="2108965570">
                              <w:marLeft w:val="0"/>
                              <w:marRight w:val="0"/>
                              <w:marTop w:val="0"/>
                              <w:marBottom w:val="0"/>
                              <w:divBdr>
                                <w:top w:val="none" w:sz="0" w:space="0" w:color="auto"/>
                                <w:left w:val="none" w:sz="0" w:space="0" w:color="auto"/>
                                <w:bottom w:val="none" w:sz="0" w:space="0" w:color="auto"/>
                                <w:right w:val="none" w:sz="0" w:space="0" w:color="auto"/>
                              </w:divBdr>
                              <w:divsChild>
                                <w:div w:id="103698241">
                                  <w:marLeft w:val="0"/>
                                  <w:marRight w:val="0"/>
                                  <w:marTop w:val="0"/>
                                  <w:marBottom w:val="0"/>
                                  <w:divBdr>
                                    <w:top w:val="none" w:sz="0" w:space="0" w:color="auto"/>
                                    <w:left w:val="none" w:sz="0" w:space="0" w:color="auto"/>
                                    <w:bottom w:val="none" w:sz="0" w:space="0" w:color="auto"/>
                                    <w:right w:val="none" w:sz="0" w:space="0" w:color="auto"/>
                                  </w:divBdr>
                                  <w:divsChild>
                                    <w:div w:id="1498032501">
                                      <w:marLeft w:val="0"/>
                                      <w:marRight w:val="0"/>
                                      <w:marTop w:val="0"/>
                                      <w:marBottom w:val="0"/>
                                      <w:divBdr>
                                        <w:top w:val="none" w:sz="0" w:space="0" w:color="auto"/>
                                        <w:left w:val="none" w:sz="0" w:space="0" w:color="auto"/>
                                        <w:bottom w:val="none" w:sz="0" w:space="0" w:color="auto"/>
                                        <w:right w:val="none" w:sz="0" w:space="0" w:color="auto"/>
                                      </w:divBdr>
                                      <w:divsChild>
                                        <w:div w:id="1742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4196">
                                  <w:marLeft w:val="0"/>
                                  <w:marRight w:val="0"/>
                                  <w:marTop w:val="0"/>
                                  <w:marBottom w:val="0"/>
                                  <w:divBdr>
                                    <w:top w:val="none" w:sz="0" w:space="0" w:color="auto"/>
                                    <w:left w:val="none" w:sz="0" w:space="0" w:color="auto"/>
                                    <w:bottom w:val="none" w:sz="0" w:space="0" w:color="auto"/>
                                    <w:right w:val="none" w:sz="0" w:space="0" w:color="auto"/>
                                  </w:divBdr>
                                  <w:divsChild>
                                    <w:div w:id="928196436">
                                      <w:marLeft w:val="0"/>
                                      <w:marRight w:val="0"/>
                                      <w:marTop w:val="0"/>
                                      <w:marBottom w:val="0"/>
                                      <w:divBdr>
                                        <w:top w:val="none" w:sz="0" w:space="0" w:color="auto"/>
                                        <w:left w:val="none" w:sz="0" w:space="0" w:color="auto"/>
                                        <w:bottom w:val="none" w:sz="0" w:space="0" w:color="auto"/>
                                        <w:right w:val="none" w:sz="0" w:space="0" w:color="auto"/>
                                      </w:divBdr>
                                      <w:divsChild>
                                        <w:div w:id="406922036">
                                          <w:marLeft w:val="0"/>
                                          <w:marRight w:val="0"/>
                                          <w:marTop w:val="0"/>
                                          <w:marBottom w:val="0"/>
                                          <w:divBdr>
                                            <w:top w:val="none" w:sz="0" w:space="0" w:color="auto"/>
                                            <w:left w:val="none" w:sz="0" w:space="0" w:color="auto"/>
                                            <w:bottom w:val="none" w:sz="0" w:space="0" w:color="auto"/>
                                            <w:right w:val="none" w:sz="0" w:space="0" w:color="auto"/>
                                          </w:divBdr>
                                        </w:div>
                                        <w:div w:id="2051370367">
                                          <w:marLeft w:val="0"/>
                                          <w:marRight w:val="0"/>
                                          <w:marTop w:val="0"/>
                                          <w:marBottom w:val="0"/>
                                          <w:divBdr>
                                            <w:top w:val="none" w:sz="0" w:space="0" w:color="auto"/>
                                            <w:left w:val="none" w:sz="0" w:space="0" w:color="auto"/>
                                            <w:bottom w:val="none" w:sz="0" w:space="0" w:color="auto"/>
                                            <w:right w:val="none" w:sz="0" w:space="0" w:color="auto"/>
                                          </w:divBdr>
                                          <w:divsChild>
                                            <w:div w:id="264848762">
                                              <w:marLeft w:val="0"/>
                                              <w:marRight w:val="0"/>
                                              <w:marTop w:val="0"/>
                                              <w:marBottom w:val="0"/>
                                              <w:divBdr>
                                                <w:top w:val="none" w:sz="0" w:space="0" w:color="auto"/>
                                                <w:left w:val="none" w:sz="0" w:space="0" w:color="auto"/>
                                                <w:bottom w:val="none" w:sz="0" w:space="0" w:color="auto"/>
                                                <w:right w:val="none" w:sz="0" w:space="0" w:color="auto"/>
                                              </w:divBdr>
                                              <w:divsChild>
                                                <w:div w:id="465901982">
                                                  <w:marLeft w:val="0"/>
                                                  <w:marRight w:val="0"/>
                                                  <w:marTop w:val="0"/>
                                                  <w:marBottom w:val="0"/>
                                                  <w:divBdr>
                                                    <w:top w:val="none" w:sz="0" w:space="0" w:color="auto"/>
                                                    <w:left w:val="none" w:sz="0" w:space="0" w:color="auto"/>
                                                    <w:bottom w:val="none" w:sz="0" w:space="0" w:color="auto"/>
                                                    <w:right w:val="none" w:sz="0" w:space="0" w:color="auto"/>
                                                  </w:divBdr>
                                                  <w:divsChild>
                                                    <w:div w:id="595359009">
                                                      <w:marLeft w:val="0"/>
                                                      <w:marRight w:val="0"/>
                                                      <w:marTop w:val="0"/>
                                                      <w:marBottom w:val="0"/>
                                                      <w:divBdr>
                                                        <w:top w:val="none" w:sz="0" w:space="0" w:color="auto"/>
                                                        <w:left w:val="none" w:sz="0" w:space="0" w:color="auto"/>
                                                        <w:bottom w:val="none" w:sz="0" w:space="0" w:color="auto"/>
                                                        <w:right w:val="none" w:sz="0" w:space="0" w:color="auto"/>
                                                      </w:divBdr>
                                                      <w:divsChild>
                                                        <w:div w:id="372925174">
                                                          <w:marLeft w:val="0"/>
                                                          <w:marRight w:val="0"/>
                                                          <w:marTop w:val="0"/>
                                                          <w:marBottom w:val="0"/>
                                                          <w:divBdr>
                                                            <w:top w:val="none" w:sz="0" w:space="0" w:color="auto"/>
                                                            <w:left w:val="none" w:sz="0" w:space="0" w:color="auto"/>
                                                            <w:bottom w:val="none" w:sz="0" w:space="0" w:color="auto"/>
                                                            <w:right w:val="none" w:sz="0" w:space="0" w:color="auto"/>
                                                          </w:divBdr>
                                                        </w:div>
                                                        <w:div w:id="1938829606">
                                                          <w:marLeft w:val="0"/>
                                                          <w:marRight w:val="0"/>
                                                          <w:marTop w:val="0"/>
                                                          <w:marBottom w:val="0"/>
                                                          <w:divBdr>
                                                            <w:top w:val="none" w:sz="0" w:space="0" w:color="auto"/>
                                                            <w:left w:val="none" w:sz="0" w:space="0" w:color="auto"/>
                                                            <w:bottom w:val="none" w:sz="0" w:space="0" w:color="auto"/>
                                                            <w:right w:val="none" w:sz="0" w:space="0" w:color="auto"/>
                                                          </w:divBdr>
                                                          <w:divsChild>
                                                            <w:div w:id="1729648285">
                                                              <w:marLeft w:val="0"/>
                                                              <w:marRight w:val="0"/>
                                                              <w:marTop w:val="0"/>
                                                              <w:marBottom w:val="0"/>
                                                              <w:divBdr>
                                                                <w:top w:val="none" w:sz="0" w:space="0" w:color="auto"/>
                                                                <w:left w:val="none" w:sz="0" w:space="0" w:color="auto"/>
                                                                <w:bottom w:val="none" w:sz="0" w:space="0" w:color="auto"/>
                                                                <w:right w:val="none" w:sz="0" w:space="0" w:color="auto"/>
                                                              </w:divBdr>
                                                              <w:divsChild>
                                                                <w:div w:id="2076391117">
                                                                  <w:marLeft w:val="0"/>
                                                                  <w:marRight w:val="0"/>
                                                                  <w:marTop w:val="0"/>
                                                                  <w:marBottom w:val="0"/>
                                                                  <w:divBdr>
                                                                    <w:top w:val="none" w:sz="0" w:space="0" w:color="auto"/>
                                                                    <w:left w:val="none" w:sz="0" w:space="0" w:color="auto"/>
                                                                    <w:bottom w:val="none" w:sz="0" w:space="0" w:color="auto"/>
                                                                    <w:right w:val="none" w:sz="0" w:space="0" w:color="auto"/>
                                                                  </w:divBdr>
                                                                  <w:divsChild>
                                                                    <w:div w:id="745230415">
                                                                      <w:marLeft w:val="0"/>
                                                                      <w:marRight w:val="0"/>
                                                                      <w:marTop w:val="0"/>
                                                                      <w:marBottom w:val="0"/>
                                                                      <w:divBdr>
                                                                        <w:top w:val="none" w:sz="0" w:space="0" w:color="auto"/>
                                                                        <w:left w:val="none" w:sz="0" w:space="0" w:color="auto"/>
                                                                        <w:bottom w:val="none" w:sz="0" w:space="0" w:color="auto"/>
                                                                        <w:right w:val="none" w:sz="0" w:space="0" w:color="auto"/>
                                                                      </w:divBdr>
                                                                      <w:divsChild>
                                                                        <w:div w:id="1925072105">
                                                                          <w:marLeft w:val="0"/>
                                                                          <w:marRight w:val="0"/>
                                                                          <w:marTop w:val="0"/>
                                                                          <w:marBottom w:val="0"/>
                                                                          <w:divBdr>
                                                                            <w:top w:val="none" w:sz="0" w:space="0" w:color="auto"/>
                                                                            <w:left w:val="none" w:sz="0" w:space="0" w:color="auto"/>
                                                                            <w:bottom w:val="none" w:sz="0" w:space="0" w:color="auto"/>
                                                                            <w:right w:val="none" w:sz="0" w:space="0" w:color="auto"/>
                                                                          </w:divBdr>
                                                                          <w:divsChild>
                                                                            <w:div w:id="122890815">
                                                                              <w:marLeft w:val="0"/>
                                                                              <w:marRight w:val="0"/>
                                                                              <w:marTop w:val="0"/>
                                                                              <w:marBottom w:val="0"/>
                                                                              <w:divBdr>
                                                                                <w:top w:val="none" w:sz="0" w:space="0" w:color="auto"/>
                                                                                <w:left w:val="none" w:sz="0" w:space="0" w:color="auto"/>
                                                                                <w:bottom w:val="none" w:sz="0" w:space="0" w:color="auto"/>
                                                                                <w:right w:val="none" w:sz="0" w:space="0" w:color="auto"/>
                                                                              </w:divBdr>
                                                                              <w:divsChild>
                                                                                <w:div w:id="368147954">
                                                                                  <w:marLeft w:val="0"/>
                                                                                  <w:marRight w:val="0"/>
                                                                                  <w:marTop w:val="0"/>
                                                                                  <w:marBottom w:val="0"/>
                                                                                  <w:divBdr>
                                                                                    <w:top w:val="none" w:sz="0" w:space="0" w:color="auto"/>
                                                                                    <w:left w:val="none" w:sz="0" w:space="0" w:color="auto"/>
                                                                                    <w:bottom w:val="none" w:sz="0" w:space="0" w:color="auto"/>
                                                                                    <w:right w:val="none" w:sz="0" w:space="0" w:color="auto"/>
                                                                                  </w:divBdr>
                                                                                  <w:divsChild>
                                                                                    <w:div w:id="930315250">
                                                                                      <w:marLeft w:val="0"/>
                                                                                      <w:marRight w:val="0"/>
                                                                                      <w:marTop w:val="0"/>
                                                                                      <w:marBottom w:val="0"/>
                                                                                      <w:divBdr>
                                                                                        <w:top w:val="none" w:sz="0" w:space="0" w:color="auto"/>
                                                                                        <w:left w:val="none" w:sz="0" w:space="0" w:color="auto"/>
                                                                                        <w:bottom w:val="none" w:sz="0" w:space="0" w:color="auto"/>
                                                                                        <w:right w:val="none" w:sz="0" w:space="0" w:color="auto"/>
                                                                                      </w:divBdr>
                                                                                      <w:divsChild>
                                                                                        <w:div w:id="2091927475">
                                                                                          <w:marLeft w:val="0"/>
                                                                                          <w:marRight w:val="0"/>
                                                                                          <w:marTop w:val="0"/>
                                                                                          <w:marBottom w:val="0"/>
                                                                                          <w:divBdr>
                                                                                            <w:top w:val="none" w:sz="0" w:space="0" w:color="auto"/>
                                                                                            <w:left w:val="none" w:sz="0" w:space="0" w:color="auto"/>
                                                                                            <w:bottom w:val="none" w:sz="0" w:space="0" w:color="auto"/>
                                                                                            <w:right w:val="none" w:sz="0" w:space="0" w:color="auto"/>
                                                                                          </w:divBdr>
                                                                                          <w:divsChild>
                                                                                            <w:div w:id="2148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6512">
                                                                                  <w:marLeft w:val="0"/>
                                                                                  <w:marRight w:val="0"/>
                                                                                  <w:marTop w:val="0"/>
                                                                                  <w:marBottom w:val="0"/>
                                                                                  <w:divBdr>
                                                                                    <w:top w:val="none" w:sz="0" w:space="0" w:color="auto"/>
                                                                                    <w:left w:val="none" w:sz="0" w:space="0" w:color="auto"/>
                                                                                    <w:bottom w:val="none" w:sz="0" w:space="0" w:color="auto"/>
                                                                                    <w:right w:val="none" w:sz="0" w:space="0" w:color="auto"/>
                                                                                  </w:divBdr>
                                                                                </w:div>
                                                                              </w:divsChild>
                                                                            </w:div>
                                                                            <w:div w:id="383144008">
                                                                              <w:marLeft w:val="0"/>
                                                                              <w:marRight w:val="0"/>
                                                                              <w:marTop w:val="0"/>
                                                                              <w:marBottom w:val="0"/>
                                                                              <w:divBdr>
                                                                                <w:top w:val="none" w:sz="0" w:space="0" w:color="auto"/>
                                                                                <w:left w:val="none" w:sz="0" w:space="0" w:color="auto"/>
                                                                                <w:bottom w:val="none" w:sz="0" w:space="0" w:color="auto"/>
                                                                                <w:right w:val="none" w:sz="0" w:space="0" w:color="auto"/>
                                                                              </w:divBdr>
                                                                              <w:divsChild>
                                                                                <w:div w:id="14058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12233">
                                                  <w:marLeft w:val="0"/>
                                                  <w:marRight w:val="0"/>
                                                  <w:marTop w:val="0"/>
                                                  <w:marBottom w:val="0"/>
                                                  <w:divBdr>
                                                    <w:top w:val="none" w:sz="0" w:space="0" w:color="auto"/>
                                                    <w:left w:val="none" w:sz="0" w:space="0" w:color="auto"/>
                                                    <w:bottom w:val="none" w:sz="0" w:space="0" w:color="auto"/>
                                                    <w:right w:val="none" w:sz="0" w:space="0" w:color="auto"/>
                                                  </w:divBdr>
                                                  <w:divsChild>
                                                    <w:div w:id="14712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77401">
          <w:marLeft w:val="0"/>
          <w:marRight w:val="0"/>
          <w:marTop w:val="0"/>
          <w:marBottom w:val="0"/>
          <w:divBdr>
            <w:top w:val="none" w:sz="0" w:space="0" w:color="auto"/>
            <w:left w:val="none" w:sz="0" w:space="0" w:color="auto"/>
            <w:bottom w:val="none" w:sz="0" w:space="0" w:color="auto"/>
            <w:right w:val="none" w:sz="0" w:space="0" w:color="auto"/>
          </w:divBdr>
          <w:divsChild>
            <w:div w:id="1771662518">
              <w:marLeft w:val="0"/>
              <w:marRight w:val="0"/>
              <w:marTop w:val="0"/>
              <w:marBottom w:val="0"/>
              <w:divBdr>
                <w:top w:val="none" w:sz="0" w:space="0" w:color="auto"/>
                <w:left w:val="none" w:sz="0" w:space="0" w:color="auto"/>
                <w:bottom w:val="none" w:sz="0" w:space="0" w:color="auto"/>
                <w:right w:val="none" w:sz="0" w:space="0" w:color="auto"/>
              </w:divBdr>
              <w:divsChild>
                <w:div w:id="1259869875">
                  <w:marLeft w:val="0"/>
                  <w:marRight w:val="0"/>
                  <w:marTop w:val="0"/>
                  <w:marBottom w:val="0"/>
                  <w:divBdr>
                    <w:top w:val="none" w:sz="0" w:space="0" w:color="auto"/>
                    <w:left w:val="none" w:sz="0" w:space="0" w:color="auto"/>
                    <w:bottom w:val="none" w:sz="0" w:space="0" w:color="auto"/>
                    <w:right w:val="none" w:sz="0" w:space="0" w:color="auto"/>
                  </w:divBdr>
                  <w:divsChild>
                    <w:div w:id="1902979644">
                      <w:marLeft w:val="0"/>
                      <w:marRight w:val="0"/>
                      <w:marTop w:val="0"/>
                      <w:marBottom w:val="0"/>
                      <w:divBdr>
                        <w:top w:val="none" w:sz="0" w:space="0" w:color="auto"/>
                        <w:left w:val="none" w:sz="0" w:space="0" w:color="auto"/>
                        <w:bottom w:val="none" w:sz="0" w:space="0" w:color="auto"/>
                        <w:right w:val="none" w:sz="0" w:space="0" w:color="auto"/>
                      </w:divBdr>
                      <w:divsChild>
                        <w:div w:id="1284262923">
                          <w:marLeft w:val="0"/>
                          <w:marRight w:val="0"/>
                          <w:marTop w:val="0"/>
                          <w:marBottom w:val="0"/>
                          <w:divBdr>
                            <w:top w:val="none" w:sz="0" w:space="0" w:color="auto"/>
                            <w:left w:val="none" w:sz="0" w:space="0" w:color="auto"/>
                            <w:bottom w:val="none" w:sz="0" w:space="0" w:color="auto"/>
                            <w:right w:val="none" w:sz="0" w:space="0" w:color="auto"/>
                          </w:divBdr>
                          <w:divsChild>
                            <w:div w:id="510412653">
                              <w:marLeft w:val="0"/>
                              <w:marRight w:val="0"/>
                              <w:marTop w:val="0"/>
                              <w:marBottom w:val="0"/>
                              <w:divBdr>
                                <w:top w:val="none" w:sz="0" w:space="0" w:color="auto"/>
                                <w:left w:val="none" w:sz="0" w:space="0" w:color="auto"/>
                                <w:bottom w:val="none" w:sz="0" w:space="0" w:color="auto"/>
                                <w:right w:val="none" w:sz="0" w:space="0" w:color="auto"/>
                              </w:divBdr>
                              <w:divsChild>
                                <w:div w:id="2090613014">
                                  <w:marLeft w:val="0"/>
                                  <w:marRight w:val="0"/>
                                  <w:marTop w:val="0"/>
                                  <w:marBottom w:val="0"/>
                                  <w:divBdr>
                                    <w:top w:val="none" w:sz="0" w:space="0" w:color="auto"/>
                                    <w:left w:val="none" w:sz="0" w:space="0" w:color="auto"/>
                                    <w:bottom w:val="none" w:sz="0" w:space="0" w:color="auto"/>
                                    <w:right w:val="none" w:sz="0" w:space="0" w:color="auto"/>
                                  </w:divBdr>
                                  <w:divsChild>
                                    <w:div w:id="1992521296">
                                      <w:marLeft w:val="0"/>
                                      <w:marRight w:val="0"/>
                                      <w:marTop w:val="0"/>
                                      <w:marBottom w:val="0"/>
                                      <w:divBdr>
                                        <w:top w:val="none" w:sz="0" w:space="0" w:color="auto"/>
                                        <w:left w:val="none" w:sz="0" w:space="0" w:color="auto"/>
                                        <w:bottom w:val="none" w:sz="0" w:space="0" w:color="auto"/>
                                        <w:right w:val="none" w:sz="0" w:space="0" w:color="auto"/>
                                      </w:divBdr>
                                      <w:divsChild>
                                        <w:div w:id="314648914">
                                          <w:marLeft w:val="0"/>
                                          <w:marRight w:val="0"/>
                                          <w:marTop w:val="0"/>
                                          <w:marBottom w:val="0"/>
                                          <w:divBdr>
                                            <w:top w:val="none" w:sz="0" w:space="0" w:color="auto"/>
                                            <w:left w:val="none" w:sz="0" w:space="0" w:color="auto"/>
                                            <w:bottom w:val="none" w:sz="0" w:space="0" w:color="auto"/>
                                            <w:right w:val="none" w:sz="0" w:space="0" w:color="auto"/>
                                          </w:divBdr>
                                        </w:div>
                                        <w:div w:id="321743766">
                                          <w:marLeft w:val="0"/>
                                          <w:marRight w:val="0"/>
                                          <w:marTop w:val="0"/>
                                          <w:marBottom w:val="0"/>
                                          <w:divBdr>
                                            <w:top w:val="none" w:sz="0" w:space="0" w:color="auto"/>
                                            <w:left w:val="none" w:sz="0" w:space="0" w:color="auto"/>
                                            <w:bottom w:val="none" w:sz="0" w:space="0" w:color="auto"/>
                                            <w:right w:val="none" w:sz="0" w:space="0" w:color="auto"/>
                                          </w:divBdr>
                                          <w:divsChild>
                                            <w:div w:id="442263139">
                                              <w:marLeft w:val="0"/>
                                              <w:marRight w:val="0"/>
                                              <w:marTop w:val="0"/>
                                              <w:marBottom w:val="0"/>
                                              <w:divBdr>
                                                <w:top w:val="none" w:sz="0" w:space="0" w:color="auto"/>
                                                <w:left w:val="none" w:sz="0" w:space="0" w:color="auto"/>
                                                <w:bottom w:val="none" w:sz="0" w:space="0" w:color="auto"/>
                                                <w:right w:val="none" w:sz="0" w:space="0" w:color="auto"/>
                                              </w:divBdr>
                                              <w:divsChild>
                                                <w:div w:id="141506281">
                                                  <w:marLeft w:val="0"/>
                                                  <w:marRight w:val="0"/>
                                                  <w:marTop w:val="0"/>
                                                  <w:marBottom w:val="0"/>
                                                  <w:divBdr>
                                                    <w:top w:val="none" w:sz="0" w:space="0" w:color="auto"/>
                                                    <w:left w:val="none" w:sz="0" w:space="0" w:color="auto"/>
                                                    <w:bottom w:val="none" w:sz="0" w:space="0" w:color="auto"/>
                                                    <w:right w:val="none" w:sz="0" w:space="0" w:color="auto"/>
                                                  </w:divBdr>
                                                  <w:divsChild>
                                                    <w:div w:id="441192167">
                                                      <w:marLeft w:val="0"/>
                                                      <w:marRight w:val="0"/>
                                                      <w:marTop w:val="0"/>
                                                      <w:marBottom w:val="0"/>
                                                      <w:divBdr>
                                                        <w:top w:val="none" w:sz="0" w:space="0" w:color="auto"/>
                                                        <w:left w:val="none" w:sz="0" w:space="0" w:color="auto"/>
                                                        <w:bottom w:val="none" w:sz="0" w:space="0" w:color="auto"/>
                                                        <w:right w:val="none" w:sz="0" w:space="0" w:color="auto"/>
                                                      </w:divBdr>
                                                    </w:div>
                                                    <w:div w:id="1051265575">
                                                      <w:marLeft w:val="0"/>
                                                      <w:marRight w:val="0"/>
                                                      <w:marTop w:val="0"/>
                                                      <w:marBottom w:val="0"/>
                                                      <w:divBdr>
                                                        <w:top w:val="none" w:sz="0" w:space="0" w:color="auto"/>
                                                        <w:left w:val="none" w:sz="0" w:space="0" w:color="auto"/>
                                                        <w:bottom w:val="none" w:sz="0" w:space="0" w:color="auto"/>
                                                        <w:right w:val="none" w:sz="0" w:space="0" w:color="auto"/>
                                                      </w:divBdr>
                                                    </w:div>
                                                  </w:divsChild>
                                                </w:div>
                                                <w:div w:id="653528679">
                                                  <w:marLeft w:val="0"/>
                                                  <w:marRight w:val="0"/>
                                                  <w:marTop w:val="0"/>
                                                  <w:marBottom w:val="0"/>
                                                  <w:divBdr>
                                                    <w:top w:val="none" w:sz="0" w:space="0" w:color="auto"/>
                                                    <w:left w:val="none" w:sz="0" w:space="0" w:color="auto"/>
                                                    <w:bottom w:val="none" w:sz="0" w:space="0" w:color="auto"/>
                                                    <w:right w:val="none" w:sz="0" w:space="0" w:color="auto"/>
                                                  </w:divBdr>
                                                  <w:divsChild>
                                                    <w:div w:id="2028409294">
                                                      <w:marLeft w:val="0"/>
                                                      <w:marRight w:val="0"/>
                                                      <w:marTop w:val="0"/>
                                                      <w:marBottom w:val="0"/>
                                                      <w:divBdr>
                                                        <w:top w:val="none" w:sz="0" w:space="0" w:color="auto"/>
                                                        <w:left w:val="none" w:sz="0" w:space="0" w:color="auto"/>
                                                        <w:bottom w:val="none" w:sz="0" w:space="0" w:color="auto"/>
                                                        <w:right w:val="none" w:sz="0" w:space="0" w:color="auto"/>
                                                      </w:divBdr>
                                                      <w:divsChild>
                                                        <w:div w:id="727844922">
                                                          <w:marLeft w:val="0"/>
                                                          <w:marRight w:val="0"/>
                                                          <w:marTop w:val="0"/>
                                                          <w:marBottom w:val="0"/>
                                                          <w:divBdr>
                                                            <w:top w:val="none" w:sz="0" w:space="0" w:color="auto"/>
                                                            <w:left w:val="none" w:sz="0" w:space="0" w:color="auto"/>
                                                            <w:bottom w:val="none" w:sz="0" w:space="0" w:color="auto"/>
                                                            <w:right w:val="none" w:sz="0" w:space="0" w:color="auto"/>
                                                          </w:divBdr>
                                                          <w:divsChild>
                                                            <w:div w:id="824277852">
                                                              <w:marLeft w:val="0"/>
                                                              <w:marRight w:val="0"/>
                                                              <w:marTop w:val="0"/>
                                                              <w:marBottom w:val="0"/>
                                                              <w:divBdr>
                                                                <w:top w:val="none" w:sz="0" w:space="0" w:color="auto"/>
                                                                <w:left w:val="none" w:sz="0" w:space="0" w:color="auto"/>
                                                                <w:bottom w:val="none" w:sz="0" w:space="0" w:color="auto"/>
                                                                <w:right w:val="none" w:sz="0" w:space="0" w:color="auto"/>
                                                              </w:divBdr>
                                                              <w:divsChild>
                                                                <w:div w:id="495195265">
                                                                  <w:marLeft w:val="0"/>
                                                                  <w:marRight w:val="0"/>
                                                                  <w:marTop w:val="0"/>
                                                                  <w:marBottom w:val="0"/>
                                                                  <w:divBdr>
                                                                    <w:top w:val="none" w:sz="0" w:space="0" w:color="auto"/>
                                                                    <w:left w:val="none" w:sz="0" w:space="0" w:color="auto"/>
                                                                    <w:bottom w:val="none" w:sz="0" w:space="0" w:color="auto"/>
                                                                    <w:right w:val="none" w:sz="0" w:space="0" w:color="auto"/>
                                                                  </w:divBdr>
                                                                  <w:divsChild>
                                                                    <w:div w:id="1156339769">
                                                                      <w:marLeft w:val="0"/>
                                                                      <w:marRight w:val="0"/>
                                                                      <w:marTop w:val="0"/>
                                                                      <w:marBottom w:val="0"/>
                                                                      <w:divBdr>
                                                                        <w:top w:val="none" w:sz="0" w:space="0" w:color="auto"/>
                                                                        <w:left w:val="none" w:sz="0" w:space="0" w:color="auto"/>
                                                                        <w:bottom w:val="none" w:sz="0" w:space="0" w:color="auto"/>
                                                                        <w:right w:val="none" w:sz="0" w:space="0" w:color="auto"/>
                                                                      </w:divBdr>
                                                                      <w:divsChild>
                                                                        <w:div w:id="220754500">
                                                                          <w:marLeft w:val="0"/>
                                                                          <w:marRight w:val="0"/>
                                                                          <w:marTop w:val="0"/>
                                                                          <w:marBottom w:val="0"/>
                                                                          <w:divBdr>
                                                                            <w:top w:val="none" w:sz="0" w:space="0" w:color="auto"/>
                                                                            <w:left w:val="none" w:sz="0" w:space="0" w:color="auto"/>
                                                                            <w:bottom w:val="none" w:sz="0" w:space="0" w:color="auto"/>
                                                                            <w:right w:val="none" w:sz="0" w:space="0" w:color="auto"/>
                                                                          </w:divBdr>
                                                                          <w:divsChild>
                                                                            <w:div w:id="1581678087">
                                                                              <w:marLeft w:val="0"/>
                                                                              <w:marRight w:val="0"/>
                                                                              <w:marTop w:val="0"/>
                                                                              <w:marBottom w:val="0"/>
                                                                              <w:divBdr>
                                                                                <w:top w:val="none" w:sz="0" w:space="0" w:color="auto"/>
                                                                                <w:left w:val="none" w:sz="0" w:space="0" w:color="auto"/>
                                                                                <w:bottom w:val="none" w:sz="0" w:space="0" w:color="auto"/>
                                                                                <w:right w:val="none" w:sz="0" w:space="0" w:color="auto"/>
                                                                              </w:divBdr>
                                                                              <w:divsChild>
                                                                                <w:div w:id="737942572">
                                                                                  <w:marLeft w:val="0"/>
                                                                                  <w:marRight w:val="0"/>
                                                                                  <w:marTop w:val="0"/>
                                                                                  <w:marBottom w:val="0"/>
                                                                                  <w:divBdr>
                                                                                    <w:top w:val="none" w:sz="0" w:space="0" w:color="auto"/>
                                                                                    <w:left w:val="none" w:sz="0" w:space="0" w:color="auto"/>
                                                                                    <w:bottom w:val="none" w:sz="0" w:space="0" w:color="auto"/>
                                                                                    <w:right w:val="none" w:sz="0" w:space="0" w:color="auto"/>
                                                                                  </w:divBdr>
                                                                                </w:div>
                                                                              </w:divsChild>
                                                                            </w:div>
                                                                            <w:div w:id="1677272458">
                                                                              <w:marLeft w:val="0"/>
                                                                              <w:marRight w:val="0"/>
                                                                              <w:marTop w:val="0"/>
                                                                              <w:marBottom w:val="0"/>
                                                                              <w:divBdr>
                                                                                <w:top w:val="none" w:sz="0" w:space="0" w:color="auto"/>
                                                                                <w:left w:val="none" w:sz="0" w:space="0" w:color="auto"/>
                                                                                <w:bottom w:val="none" w:sz="0" w:space="0" w:color="auto"/>
                                                                                <w:right w:val="none" w:sz="0" w:space="0" w:color="auto"/>
                                                                              </w:divBdr>
                                                                              <w:divsChild>
                                                                                <w:div w:id="1242448193">
                                                                                  <w:marLeft w:val="0"/>
                                                                                  <w:marRight w:val="0"/>
                                                                                  <w:marTop w:val="0"/>
                                                                                  <w:marBottom w:val="0"/>
                                                                                  <w:divBdr>
                                                                                    <w:top w:val="none" w:sz="0" w:space="0" w:color="auto"/>
                                                                                    <w:left w:val="none" w:sz="0" w:space="0" w:color="auto"/>
                                                                                    <w:bottom w:val="none" w:sz="0" w:space="0" w:color="auto"/>
                                                                                    <w:right w:val="none" w:sz="0" w:space="0" w:color="auto"/>
                                                                                  </w:divBdr>
                                                                                </w:div>
                                                                                <w:div w:id="1988047540">
                                                                                  <w:marLeft w:val="0"/>
                                                                                  <w:marRight w:val="0"/>
                                                                                  <w:marTop w:val="0"/>
                                                                                  <w:marBottom w:val="0"/>
                                                                                  <w:divBdr>
                                                                                    <w:top w:val="none" w:sz="0" w:space="0" w:color="auto"/>
                                                                                    <w:left w:val="none" w:sz="0" w:space="0" w:color="auto"/>
                                                                                    <w:bottom w:val="none" w:sz="0" w:space="0" w:color="auto"/>
                                                                                    <w:right w:val="none" w:sz="0" w:space="0" w:color="auto"/>
                                                                                  </w:divBdr>
                                                                                  <w:divsChild>
                                                                                    <w:div w:id="1264805314">
                                                                                      <w:marLeft w:val="0"/>
                                                                                      <w:marRight w:val="0"/>
                                                                                      <w:marTop w:val="0"/>
                                                                                      <w:marBottom w:val="0"/>
                                                                                      <w:divBdr>
                                                                                        <w:top w:val="none" w:sz="0" w:space="0" w:color="auto"/>
                                                                                        <w:left w:val="none" w:sz="0" w:space="0" w:color="auto"/>
                                                                                        <w:bottom w:val="none" w:sz="0" w:space="0" w:color="auto"/>
                                                                                        <w:right w:val="none" w:sz="0" w:space="0" w:color="auto"/>
                                                                                      </w:divBdr>
                                                                                      <w:divsChild>
                                                                                        <w:div w:id="1773277267">
                                                                                          <w:marLeft w:val="0"/>
                                                                                          <w:marRight w:val="0"/>
                                                                                          <w:marTop w:val="0"/>
                                                                                          <w:marBottom w:val="0"/>
                                                                                          <w:divBdr>
                                                                                            <w:top w:val="none" w:sz="0" w:space="0" w:color="auto"/>
                                                                                            <w:left w:val="none" w:sz="0" w:space="0" w:color="auto"/>
                                                                                            <w:bottom w:val="none" w:sz="0" w:space="0" w:color="auto"/>
                                                                                            <w:right w:val="none" w:sz="0" w:space="0" w:color="auto"/>
                                                                                          </w:divBdr>
                                                                                          <w:divsChild>
                                                                                            <w:div w:id="12802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371324">
          <w:marLeft w:val="0"/>
          <w:marRight w:val="0"/>
          <w:marTop w:val="0"/>
          <w:marBottom w:val="0"/>
          <w:divBdr>
            <w:top w:val="none" w:sz="0" w:space="0" w:color="auto"/>
            <w:left w:val="none" w:sz="0" w:space="0" w:color="auto"/>
            <w:bottom w:val="none" w:sz="0" w:space="0" w:color="auto"/>
            <w:right w:val="none" w:sz="0" w:space="0" w:color="auto"/>
          </w:divBdr>
          <w:divsChild>
            <w:div w:id="1989901065">
              <w:marLeft w:val="0"/>
              <w:marRight w:val="0"/>
              <w:marTop w:val="0"/>
              <w:marBottom w:val="0"/>
              <w:divBdr>
                <w:top w:val="none" w:sz="0" w:space="0" w:color="auto"/>
                <w:left w:val="none" w:sz="0" w:space="0" w:color="auto"/>
                <w:bottom w:val="none" w:sz="0" w:space="0" w:color="auto"/>
                <w:right w:val="none" w:sz="0" w:space="0" w:color="auto"/>
              </w:divBdr>
              <w:divsChild>
                <w:div w:id="1880121857">
                  <w:marLeft w:val="0"/>
                  <w:marRight w:val="0"/>
                  <w:marTop w:val="0"/>
                  <w:marBottom w:val="0"/>
                  <w:divBdr>
                    <w:top w:val="none" w:sz="0" w:space="0" w:color="auto"/>
                    <w:left w:val="none" w:sz="0" w:space="0" w:color="auto"/>
                    <w:bottom w:val="none" w:sz="0" w:space="0" w:color="auto"/>
                    <w:right w:val="none" w:sz="0" w:space="0" w:color="auto"/>
                  </w:divBdr>
                  <w:divsChild>
                    <w:div w:id="1249801597">
                      <w:marLeft w:val="0"/>
                      <w:marRight w:val="0"/>
                      <w:marTop w:val="0"/>
                      <w:marBottom w:val="0"/>
                      <w:divBdr>
                        <w:top w:val="none" w:sz="0" w:space="0" w:color="auto"/>
                        <w:left w:val="none" w:sz="0" w:space="0" w:color="auto"/>
                        <w:bottom w:val="none" w:sz="0" w:space="0" w:color="auto"/>
                        <w:right w:val="none" w:sz="0" w:space="0" w:color="auto"/>
                      </w:divBdr>
                      <w:divsChild>
                        <w:div w:id="1222867715">
                          <w:marLeft w:val="0"/>
                          <w:marRight w:val="0"/>
                          <w:marTop w:val="0"/>
                          <w:marBottom w:val="0"/>
                          <w:divBdr>
                            <w:top w:val="none" w:sz="0" w:space="0" w:color="auto"/>
                            <w:left w:val="none" w:sz="0" w:space="0" w:color="auto"/>
                            <w:bottom w:val="none" w:sz="0" w:space="0" w:color="auto"/>
                            <w:right w:val="none" w:sz="0" w:space="0" w:color="auto"/>
                          </w:divBdr>
                          <w:divsChild>
                            <w:div w:id="1147361104">
                              <w:marLeft w:val="0"/>
                              <w:marRight w:val="0"/>
                              <w:marTop w:val="0"/>
                              <w:marBottom w:val="0"/>
                              <w:divBdr>
                                <w:top w:val="none" w:sz="0" w:space="0" w:color="auto"/>
                                <w:left w:val="none" w:sz="0" w:space="0" w:color="auto"/>
                                <w:bottom w:val="none" w:sz="0" w:space="0" w:color="auto"/>
                                <w:right w:val="none" w:sz="0" w:space="0" w:color="auto"/>
                              </w:divBdr>
                              <w:divsChild>
                                <w:div w:id="2103642708">
                                  <w:marLeft w:val="0"/>
                                  <w:marRight w:val="0"/>
                                  <w:marTop w:val="0"/>
                                  <w:marBottom w:val="0"/>
                                  <w:divBdr>
                                    <w:top w:val="none" w:sz="0" w:space="0" w:color="auto"/>
                                    <w:left w:val="none" w:sz="0" w:space="0" w:color="auto"/>
                                    <w:bottom w:val="none" w:sz="0" w:space="0" w:color="auto"/>
                                    <w:right w:val="none" w:sz="0" w:space="0" w:color="auto"/>
                                  </w:divBdr>
                                  <w:divsChild>
                                    <w:div w:id="279721697">
                                      <w:marLeft w:val="0"/>
                                      <w:marRight w:val="0"/>
                                      <w:marTop w:val="0"/>
                                      <w:marBottom w:val="0"/>
                                      <w:divBdr>
                                        <w:top w:val="none" w:sz="0" w:space="0" w:color="auto"/>
                                        <w:left w:val="none" w:sz="0" w:space="0" w:color="auto"/>
                                        <w:bottom w:val="none" w:sz="0" w:space="0" w:color="auto"/>
                                        <w:right w:val="none" w:sz="0" w:space="0" w:color="auto"/>
                                      </w:divBdr>
                                      <w:divsChild>
                                        <w:div w:id="2080708660">
                                          <w:marLeft w:val="0"/>
                                          <w:marRight w:val="0"/>
                                          <w:marTop w:val="0"/>
                                          <w:marBottom w:val="0"/>
                                          <w:divBdr>
                                            <w:top w:val="none" w:sz="0" w:space="0" w:color="auto"/>
                                            <w:left w:val="none" w:sz="0" w:space="0" w:color="auto"/>
                                            <w:bottom w:val="none" w:sz="0" w:space="0" w:color="auto"/>
                                            <w:right w:val="none" w:sz="0" w:space="0" w:color="auto"/>
                                          </w:divBdr>
                                          <w:divsChild>
                                            <w:div w:id="1544781362">
                                              <w:marLeft w:val="0"/>
                                              <w:marRight w:val="0"/>
                                              <w:marTop w:val="0"/>
                                              <w:marBottom w:val="0"/>
                                              <w:divBdr>
                                                <w:top w:val="none" w:sz="0" w:space="0" w:color="auto"/>
                                                <w:left w:val="none" w:sz="0" w:space="0" w:color="auto"/>
                                                <w:bottom w:val="none" w:sz="0" w:space="0" w:color="auto"/>
                                                <w:right w:val="none" w:sz="0" w:space="0" w:color="auto"/>
                                              </w:divBdr>
                                              <w:divsChild>
                                                <w:div w:id="2089039137">
                                                  <w:marLeft w:val="0"/>
                                                  <w:marRight w:val="0"/>
                                                  <w:marTop w:val="0"/>
                                                  <w:marBottom w:val="0"/>
                                                  <w:divBdr>
                                                    <w:top w:val="none" w:sz="0" w:space="0" w:color="auto"/>
                                                    <w:left w:val="none" w:sz="0" w:space="0" w:color="auto"/>
                                                    <w:bottom w:val="none" w:sz="0" w:space="0" w:color="auto"/>
                                                    <w:right w:val="none" w:sz="0" w:space="0" w:color="auto"/>
                                                  </w:divBdr>
                                                  <w:divsChild>
                                                    <w:div w:id="589045161">
                                                      <w:marLeft w:val="0"/>
                                                      <w:marRight w:val="0"/>
                                                      <w:marTop w:val="0"/>
                                                      <w:marBottom w:val="0"/>
                                                      <w:divBdr>
                                                        <w:top w:val="none" w:sz="0" w:space="0" w:color="auto"/>
                                                        <w:left w:val="none" w:sz="0" w:space="0" w:color="auto"/>
                                                        <w:bottom w:val="none" w:sz="0" w:space="0" w:color="auto"/>
                                                        <w:right w:val="none" w:sz="0" w:space="0" w:color="auto"/>
                                                      </w:divBdr>
                                                      <w:divsChild>
                                                        <w:div w:id="21515841">
                                                          <w:marLeft w:val="0"/>
                                                          <w:marRight w:val="0"/>
                                                          <w:marTop w:val="0"/>
                                                          <w:marBottom w:val="0"/>
                                                          <w:divBdr>
                                                            <w:top w:val="none" w:sz="0" w:space="0" w:color="auto"/>
                                                            <w:left w:val="none" w:sz="0" w:space="0" w:color="auto"/>
                                                            <w:bottom w:val="none" w:sz="0" w:space="0" w:color="auto"/>
                                                            <w:right w:val="none" w:sz="0" w:space="0" w:color="auto"/>
                                                          </w:divBdr>
                                                          <w:divsChild>
                                                            <w:div w:id="1403329017">
                                                              <w:marLeft w:val="0"/>
                                                              <w:marRight w:val="0"/>
                                                              <w:marTop w:val="0"/>
                                                              <w:marBottom w:val="0"/>
                                                              <w:divBdr>
                                                                <w:top w:val="none" w:sz="0" w:space="0" w:color="auto"/>
                                                                <w:left w:val="none" w:sz="0" w:space="0" w:color="auto"/>
                                                                <w:bottom w:val="none" w:sz="0" w:space="0" w:color="auto"/>
                                                                <w:right w:val="none" w:sz="0" w:space="0" w:color="auto"/>
                                                              </w:divBdr>
                                                            </w:div>
                                                            <w:div w:id="1651474266">
                                                              <w:marLeft w:val="0"/>
                                                              <w:marRight w:val="0"/>
                                                              <w:marTop w:val="0"/>
                                                              <w:marBottom w:val="0"/>
                                                              <w:divBdr>
                                                                <w:top w:val="none" w:sz="0" w:space="0" w:color="auto"/>
                                                                <w:left w:val="none" w:sz="0" w:space="0" w:color="auto"/>
                                                                <w:bottom w:val="none" w:sz="0" w:space="0" w:color="auto"/>
                                                                <w:right w:val="none" w:sz="0" w:space="0" w:color="auto"/>
                                                              </w:divBdr>
                                                              <w:divsChild>
                                                                <w:div w:id="1564025978">
                                                                  <w:marLeft w:val="0"/>
                                                                  <w:marRight w:val="0"/>
                                                                  <w:marTop w:val="0"/>
                                                                  <w:marBottom w:val="0"/>
                                                                  <w:divBdr>
                                                                    <w:top w:val="none" w:sz="0" w:space="0" w:color="auto"/>
                                                                    <w:left w:val="none" w:sz="0" w:space="0" w:color="auto"/>
                                                                    <w:bottom w:val="none" w:sz="0" w:space="0" w:color="auto"/>
                                                                    <w:right w:val="none" w:sz="0" w:space="0" w:color="auto"/>
                                                                  </w:divBdr>
                                                                  <w:divsChild>
                                                                    <w:div w:id="2106800484">
                                                                      <w:marLeft w:val="0"/>
                                                                      <w:marRight w:val="0"/>
                                                                      <w:marTop w:val="0"/>
                                                                      <w:marBottom w:val="0"/>
                                                                      <w:divBdr>
                                                                        <w:top w:val="none" w:sz="0" w:space="0" w:color="auto"/>
                                                                        <w:left w:val="none" w:sz="0" w:space="0" w:color="auto"/>
                                                                        <w:bottom w:val="none" w:sz="0" w:space="0" w:color="auto"/>
                                                                        <w:right w:val="none" w:sz="0" w:space="0" w:color="auto"/>
                                                                      </w:divBdr>
                                                                      <w:divsChild>
                                                                        <w:div w:id="1616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61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6132">
          <w:marLeft w:val="0"/>
          <w:marRight w:val="0"/>
          <w:marTop w:val="0"/>
          <w:marBottom w:val="0"/>
          <w:divBdr>
            <w:top w:val="none" w:sz="0" w:space="0" w:color="auto"/>
            <w:left w:val="none" w:sz="0" w:space="0" w:color="auto"/>
            <w:bottom w:val="none" w:sz="0" w:space="0" w:color="auto"/>
            <w:right w:val="none" w:sz="0" w:space="0" w:color="auto"/>
          </w:divBdr>
          <w:divsChild>
            <w:div w:id="1743866186">
              <w:marLeft w:val="0"/>
              <w:marRight w:val="0"/>
              <w:marTop w:val="0"/>
              <w:marBottom w:val="0"/>
              <w:divBdr>
                <w:top w:val="none" w:sz="0" w:space="0" w:color="auto"/>
                <w:left w:val="none" w:sz="0" w:space="0" w:color="auto"/>
                <w:bottom w:val="none" w:sz="0" w:space="0" w:color="auto"/>
                <w:right w:val="none" w:sz="0" w:space="0" w:color="auto"/>
              </w:divBdr>
              <w:divsChild>
                <w:div w:id="1447775213">
                  <w:marLeft w:val="0"/>
                  <w:marRight w:val="0"/>
                  <w:marTop w:val="0"/>
                  <w:marBottom w:val="0"/>
                  <w:divBdr>
                    <w:top w:val="none" w:sz="0" w:space="0" w:color="auto"/>
                    <w:left w:val="none" w:sz="0" w:space="0" w:color="auto"/>
                    <w:bottom w:val="none" w:sz="0" w:space="0" w:color="auto"/>
                    <w:right w:val="none" w:sz="0" w:space="0" w:color="auto"/>
                  </w:divBdr>
                  <w:divsChild>
                    <w:div w:id="1138305212">
                      <w:marLeft w:val="0"/>
                      <w:marRight w:val="0"/>
                      <w:marTop w:val="0"/>
                      <w:marBottom w:val="0"/>
                      <w:divBdr>
                        <w:top w:val="none" w:sz="0" w:space="0" w:color="auto"/>
                        <w:left w:val="none" w:sz="0" w:space="0" w:color="auto"/>
                        <w:bottom w:val="none" w:sz="0" w:space="0" w:color="auto"/>
                        <w:right w:val="none" w:sz="0" w:space="0" w:color="auto"/>
                      </w:divBdr>
                      <w:divsChild>
                        <w:div w:id="1747997016">
                          <w:marLeft w:val="0"/>
                          <w:marRight w:val="0"/>
                          <w:marTop w:val="0"/>
                          <w:marBottom w:val="0"/>
                          <w:divBdr>
                            <w:top w:val="none" w:sz="0" w:space="0" w:color="auto"/>
                            <w:left w:val="none" w:sz="0" w:space="0" w:color="auto"/>
                            <w:bottom w:val="none" w:sz="0" w:space="0" w:color="auto"/>
                            <w:right w:val="none" w:sz="0" w:space="0" w:color="auto"/>
                          </w:divBdr>
                          <w:divsChild>
                            <w:div w:id="537426668">
                              <w:marLeft w:val="0"/>
                              <w:marRight w:val="0"/>
                              <w:marTop w:val="0"/>
                              <w:marBottom w:val="0"/>
                              <w:divBdr>
                                <w:top w:val="none" w:sz="0" w:space="0" w:color="auto"/>
                                <w:left w:val="none" w:sz="0" w:space="0" w:color="auto"/>
                                <w:bottom w:val="none" w:sz="0" w:space="0" w:color="auto"/>
                                <w:right w:val="none" w:sz="0" w:space="0" w:color="auto"/>
                              </w:divBdr>
                              <w:divsChild>
                                <w:div w:id="83579327">
                                  <w:marLeft w:val="0"/>
                                  <w:marRight w:val="0"/>
                                  <w:marTop w:val="0"/>
                                  <w:marBottom w:val="0"/>
                                  <w:divBdr>
                                    <w:top w:val="none" w:sz="0" w:space="0" w:color="auto"/>
                                    <w:left w:val="none" w:sz="0" w:space="0" w:color="auto"/>
                                    <w:bottom w:val="none" w:sz="0" w:space="0" w:color="auto"/>
                                    <w:right w:val="none" w:sz="0" w:space="0" w:color="auto"/>
                                  </w:divBdr>
                                  <w:divsChild>
                                    <w:div w:id="2143692416">
                                      <w:marLeft w:val="0"/>
                                      <w:marRight w:val="0"/>
                                      <w:marTop w:val="0"/>
                                      <w:marBottom w:val="0"/>
                                      <w:divBdr>
                                        <w:top w:val="none" w:sz="0" w:space="0" w:color="auto"/>
                                        <w:left w:val="none" w:sz="0" w:space="0" w:color="auto"/>
                                        <w:bottom w:val="none" w:sz="0" w:space="0" w:color="auto"/>
                                        <w:right w:val="none" w:sz="0" w:space="0" w:color="auto"/>
                                      </w:divBdr>
                                      <w:divsChild>
                                        <w:div w:id="1776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2382">
                                  <w:marLeft w:val="0"/>
                                  <w:marRight w:val="0"/>
                                  <w:marTop w:val="0"/>
                                  <w:marBottom w:val="0"/>
                                  <w:divBdr>
                                    <w:top w:val="none" w:sz="0" w:space="0" w:color="auto"/>
                                    <w:left w:val="none" w:sz="0" w:space="0" w:color="auto"/>
                                    <w:bottom w:val="none" w:sz="0" w:space="0" w:color="auto"/>
                                    <w:right w:val="none" w:sz="0" w:space="0" w:color="auto"/>
                                  </w:divBdr>
                                  <w:divsChild>
                                    <w:div w:id="131990787">
                                      <w:marLeft w:val="0"/>
                                      <w:marRight w:val="0"/>
                                      <w:marTop w:val="0"/>
                                      <w:marBottom w:val="0"/>
                                      <w:divBdr>
                                        <w:top w:val="none" w:sz="0" w:space="0" w:color="auto"/>
                                        <w:left w:val="none" w:sz="0" w:space="0" w:color="auto"/>
                                        <w:bottom w:val="none" w:sz="0" w:space="0" w:color="auto"/>
                                        <w:right w:val="none" w:sz="0" w:space="0" w:color="auto"/>
                                      </w:divBdr>
                                      <w:divsChild>
                                        <w:div w:id="1968855186">
                                          <w:marLeft w:val="0"/>
                                          <w:marRight w:val="0"/>
                                          <w:marTop w:val="0"/>
                                          <w:marBottom w:val="0"/>
                                          <w:divBdr>
                                            <w:top w:val="none" w:sz="0" w:space="0" w:color="auto"/>
                                            <w:left w:val="none" w:sz="0" w:space="0" w:color="auto"/>
                                            <w:bottom w:val="none" w:sz="0" w:space="0" w:color="auto"/>
                                            <w:right w:val="none" w:sz="0" w:space="0" w:color="auto"/>
                                          </w:divBdr>
                                          <w:divsChild>
                                            <w:div w:id="36857943">
                                              <w:marLeft w:val="0"/>
                                              <w:marRight w:val="0"/>
                                              <w:marTop w:val="0"/>
                                              <w:marBottom w:val="0"/>
                                              <w:divBdr>
                                                <w:top w:val="none" w:sz="0" w:space="0" w:color="auto"/>
                                                <w:left w:val="none" w:sz="0" w:space="0" w:color="auto"/>
                                                <w:bottom w:val="none" w:sz="0" w:space="0" w:color="auto"/>
                                                <w:right w:val="none" w:sz="0" w:space="0" w:color="auto"/>
                                              </w:divBdr>
                                              <w:divsChild>
                                                <w:div w:id="722214060">
                                                  <w:marLeft w:val="0"/>
                                                  <w:marRight w:val="0"/>
                                                  <w:marTop w:val="0"/>
                                                  <w:marBottom w:val="0"/>
                                                  <w:divBdr>
                                                    <w:top w:val="none" w:sz="0" w:space="0" w:color="auto"/>
                                                    <w:left w:val="none" w:sz="0" w:space="0" w:color="auto"/>
                                                    <w:bottom w:val="none" w:sz="0" w:space="0" w:color="auto"/>
                                                    <w:right w:val="none" w:sz="0" w:space="0" w:color="auto"/>
                                                  </w:divBdr>
                                                  <w:divsChild>
                                                    <w:div w:id="14393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352580">
          <w:marLeft w:val="0"/>
          <w:marRight w:val="0"/>
          <w:marTop w:val="0"/>
          <w:marBottom w:val="0"/>
          <w:divBdr>
            <w:top w:val="none" w:sz="0" w:space="0" w:color="auto"/>
            <w:left w:val="none" w:sz="0" w:space="0" w:color="auto"/>
            <w:bottom w:val="none" w:sz="0" w:space="0" w:color="auto"/>
            <w:right w:val="none" w:sz="0" w:space="0" w:color="auto"/>
          </w:divBdr>
          <w:divsChild>
            <w:div w:id="234827921">
              <w:marLeft w:val="0"/>
              <w:marRight w:val="0"/>
              <w:marTop w:val="0"/>
              <w:marBottom w:val="0"/>
              <w:divBdr>
                <w:top w:val="none" w:sz="0" w:space="0" w:color="auto"/>
                <w:left w:val="none" w:sz="0" w:space="0" w:color="auto"/>
                <w:bottom w:val="none" w:sz="0" w:space="0" w:color="auto"/>
                <w:right w:val="none" w:sz="0" w:space="0" w:color="auto"/>
              </w:divBdr>
              <w:divsChild>
                <w:div w:id="2057583700">
                  <w:marLeft w:val="0"/>
                  <w:marRight w:val="0"/>
                  <w:marTop w:val="0"/>
                  <w:marBottom w:val="0"/>
                  <w:divBdr>
                    <w:top w:val="none" w:sz="0" w:space="0" w:color="auto"/>
                    <w:left w:val="none" w:sz="0" w:space="0" w:color="auto"/>
                    <w:bottom w:val="none" w:sz="0" w:space="0" w:color="auto"/>
                    <w:right w:val="none" w:sz="0" w:space="0" w:color="auto"/>
                  </w:divBdr>
                  <w:divsChild>
                    <w:div w:id="61173778">
                      <w:marLeft w:val="0"/>
                      <w:marRight w:val="0"/>
                      <w:marTop w:val="0"/>
                      <w:marBottom w:val="0"/>
                      <w:divBdr>
                        <w:top w:val="none" w:sz="0" w:space="0" w:color="auto"/>
                        <w:left w:val="none" w:sz="0" w:space="0" w:color="auto"/>
                        <w:bottom w:val="none" w:sz="0" w:space="0" w:color="auto"/>
                        <w:right w:val="none" w:sz="0" w:space="0" w:color="auto"/>
                      </w:divBdr>
                      <w:divsChild>
                        <w:div w:id="1370374786">
                          <w:marLeft w:val="0"/>
                          <w:marRight w:val="0"/>
                          <w:marTop w:val="0"/>
                          <w:marBottom w:val="0"/>
                          <w:divBdr>
                            <w:top w:val="none" w:sz="0" w:space="0" w:color="auto"/>
                            <w:left w:val="none" w:sz="0" w:space="0" w:color="auto"/>
                            <w:bottom w:val="none" w:sz="0" w:space="0" w:color="auto"/>
                            <w:right w:val="none" w:sz="0" w:space="0" w:color="auto"/>
                          </w:divBdr>
                          <w:divsChild>
                            <w:div w:id="301235825">
                              <w:marLeft w:val="0"/>
                              <w:marRight w:val="0"/>
                              <w:marTop w:val="0"/>
                              <w:marBottom w:val="0"/>
                              <w:divBdr>
                                <w:top w:val="none" w:sz="0" w:space="0" w:color="auto"/>
                                <w:left w:val="none" w:sz="0" w:space="0" w:color="auto"/>
                                <w:bottom w:val="none" w:sz="0" w:space="0" w:color="auto"/>
                                <w:right w:val="none" w:sz="0" w:space="0" w:color="auto"/>
                              </w:divBdr>
                              <w:divsChild>
                                <w:div w:id="866599094">
                                  <w:marLeft w:val="0"/>
                                  <w:marRight w:val="0"/>
                                  <w:marTop w:val="0"/>
                                  <w:marBottom w:val="0"/>
                                  <w:divBdr>
                                    <w:top w:val="none" w:sz="0" w:space="0" w:color="auto"/>
                                    <w:left w:val="none" w:sz="0" w:space="0" w:color="auto"/>
                                    <w:bottom w:val="none" w:sz="0" w:space="0" w:color="auto"/>
                                    <w:right w:val="none" w:sz="0" w:space="0" w:color="auto"/>
                                  </w:divBdr>
                                </w:div>
                              </w:divsChild>
                            </w:div>
                            <w:div w:id="1202324385">
                              <w:marLeft w:val="0"/>
                              <w:marRight w:val="0"/>
                              <w:marTop w:val="0"/>
                              <w:marBottom w:val="0"/>
                              <w:divBdr>
                                <w:top w:val="none" w:sz="0" w:space="0" w:color="auto"/>
                                <w:left w:val="none" w:sz="0" w:space="0" w:color="auto"/>
                                <w:bottom w:val="none" w:sz="0" w:space="0" w:color="auto"/>
                                <w:right w:val="none" w:sz="0" w:space="0" w:color="auto"/>
                              </w:divBdr>
                              <w:divsChild>
                                <w:div w:id="1351252842">
                                  <w:marLeft w:val="0"/>
                                  <w:marRight w:val="0"/>
                                  <w:marTop w:val="0"/>
                                  <w:marBottom w:val="0"/>
                                  <w:divBdr>
                                    <w:top w:val="none" w:sz="0" w:space="0" w:color="auto"/>
                                    <w:left w:val="none" w:sz="0" w:space="0" w:color="auto"/>
                                    <w:bottom w:val="none" w:sz="0" w:space="0" w:color="auto"/>
                                    <w:right w:val="none" w:sz="0" w:space="0" w:color="auto"/>
                                  </w:divBdr>
                                  <w:divsChild>
                                    <w:div w:id="16784933">
                                      <w:marLeft w:val="0"/>
                                      <w:marRight w:val="0"/>
                                      <w:marTop w:val="0"/>
                                      <w:marBottom w:val="0"/>
                                      <w:divBdr>
                                        <w:top w:val="none" w:sz="0" w:space="0" w:color="auto"/>
                                        <w:left w:val="none" w:sz="0" w:space="0" w:color="auto"/>
                                        <w:bottom w:val="none" w:sz="0" w:space="0" w:color="auto"/>
                                        <w:right w:val="none" w:sz="0" w:space="0" w:color="auto"/>
                                      </w:divBdr>
                                      <w:divsChild>
                                        <w:div w:id="1542786929">
                                          <w:marLeft w:val="0"/>
                                          <w:marRight w:val="0"/>
                                          <w:marTop w:val="0"/>
                                          <w:marBottom w:val="0"/>
                                          <w:divBdr>
                                            <w:top w:val="none" w:sz="0" w:space="0" w:color="auto"/>
                                            <w:left w:val="none" w:sz="0" w:space="0" w:color="auto"/>
                                            <w:bottom w:val="none" w:sz="0" w:space="0" w:color="auto"/>
                                            <w:right w:val="none" w:sz="0" w:space="0" w:color="auto"/>
                                          </w:divBdr>
                                          <w:divsChild>
                                            <w:div w:id="229854449">
                                              <w:marLeft w:val="0"/>
                                              <w:marRight w:val="0"/>
                                              <w:marTop w:val="0"/>
                                              <w:marBottom w:val="0"/>
                                              <w:divBdr>
                                                <w:top w:val="none" w:sz="0" w:space="0" w:color="auto"/>
                                                <w:left w:val="none" w:sz="0" w:space="0" w:color="auto"/>
                                                <w:bottom w:val="none" w:sz="0" w:space="0" w:color="auto"/>
                                                <w:right w:val="none" w:sz="0" w:space="0" w:color="auto"/>
                                              </w:divBdr>
                                              <w:divsChild>
                                                <w:div w:id="797799059">
                                                  <w:marLeft w:val="0"/>
                                                  <w:marRight w:val="0"/>
                                                  <w:marTop w:val="0"/>
                                                  <w:marBottom w:val="0"/>
                                                  <w:divBdr>
                                                    <w:top w:val="none" w:sz="0" w:space="0" w:color="auto"/>
                                                    <w:left w:val="none" w:sz="0" w:space="0" w:color="auto"/>
                                                    <w:bottom w:val="none" w:sz="0" w:space="0" w:color="auto"/>
                                                    <w:right w:val="none" w:sz="0" w:space="0" w:color="auto"/>
                                                  </w:divBdr>
                                                  <w:divsChild>
                                                    <w:div w:id="685863818">
                                                      <w:marLeft w:val="0"/>
                                                      <w:marRight w:val="0"/>
                                                      <w:marTop w:val="0"/>
                                                      <w:marBottom w:val="0"/>
                                                      <w:divBdr>
                                                        <w:top w:val="none" w:sz="0" w:space="0" w:color="auto"/>
                                                        <w:left w:val="none" w:sz="0" w:space="0" w:color="auto"/>
                                                        <w:bottom w:val="none" w:sz="0" w:space="0" w:color="auto"/>
                                                        <w:right w:val="none" w:sz="0" w:space="0" w:color="auto"/>
                                                      </w:divBdr>
                                                      <w:divsChild>
                                                        <w:div w:id="373770805">
                                                          <w:marLeft w:val="0"/>
                                                          <w:marRight w:val="0"/>
                                                          <w:marTop w:val="0"/>
                                                          <w:marBottom w:val="0"/>
                                                          <w:divBdr>
                                                            <w:top w:val="none" w:sz="0" w:space="0" w:color="auto"/>
                                                            <w:left w:val="none" w:sz="0" w:space="0" w:color="auto"/>
                                                            <w:bottom w:val="none" w:sz="0" w:space="0" w:color="auto"/>
                                                            <w:right w:val="none" w:sz="0" w:space="0" w:color="auto"/>
                                                          </w:divBdr>
                                                          <w:divsChild>
                                                            <w:div w:id="262420681">
                                                              <w:marLeft w:val="0"/>
                                                              <w:marRight w:val="0"/>
                                                              <w:marTop w:val="0"/>
                                                              <w:marBottom w:val="0"/>
                                                              <w:divBdr>
                                                                <w:top w:val="none" w:sz="0" w:space="0" w:color="auto"/>
                                                                <w:left w:val="none" w:sz="0" w:space="0" w:color="auto"/>
                                                                <w:bottom w:val="none" w:sz="0" w:space="0" w:color="auto"/>
                                                                <w:right w:val="none" w:sz="0" w:space="0" w:color="auto"/>
                                                              </w:divBdr>
                                                            </w:div>
                                                            <w:div w:id="1795905916">
                                                              <w:marLeft w:val="0"/>
                                                              <w:marRight w:val="0"/>
                                                              <w:marTop w:val="0"/>
                                                              <w:marBottom w:val="0"/>
                                                              <w:divBdr>
                                                                <w:top w:val="none" w:sz="0" w:space="0" w:color="auto"/>
                                                                <w:left w:val="none" w:sz="0" w:space="0" w:color="auto"/>
                                                                <w:bottom w:val="none" w:sz="0" w:space="0" w:color="auto"/>
                                                                <w:right w:val="none" w:sz="0" w:space="0" w:color="auto"/>
                                                              </w:divBdr>
                                                              <w:divsChild>
                                                                <w:div w:id="1255557164">
                                                                  <w:marLeft w:val="0"/>
                                                                  <w:marRight w:val="0"/>
                                                                  <w:marTop w:val="0"/>
                                                                  <w:marBottom w:val="0"/>
                                                                  <w:divBdr>
                                                                    <w:top w:val="none" w:sz="0" w:space="0" w:color="auto"/>
                                                                    <w:left w:val="none" w:sz="0" w:space="0" w:color="auto"/>
                                                                    <w:bottom w:val="none" w:sz="0" w:space="0" w:color="auto"/>
                                                                    <w:right w:val="none" w:sz="0" w:space="0" w:color="auto"/>
                                                                  </w:divBdr>
                                                                  <w:divsChild>
                                                                    <w:div w:id="288782033">
                                                                      <w:marLeft w:val="0"/>
                                                                      <w:marRight w:val="0"/>
                                                                      <w:marTop w:val="0"/>
                                                                      <w:marBottom w:val="0"/>
                                                                      <w:divBdr>
                                                                        <w:top w:val="none" w:sz="0" w:space="0" w:color="auto"/>
                                                                        <w:left w:val="none" w:sz="0" w:space="0" w:color="auto"/>
                                                                        <w:bottom w:val="none" w:sz="0" w:space="0" w:color="auto"/>
                                                                        <w:right w:val="none" w:sz="0" w:space="0" w:color="auto"/>
                                                                      </w:divBdr>
                                                                      <w:divsChild>
                                                                        <w:div w:id="2101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7975">
                                                          <w:marLeft w:val="0"/>
                                                          <w:marRight w:val="0"/>
                                                          <w:marTop w:val="0"/>
                                                          <w:marBottom w:val="0"/>
                                                          <w:divBdr>
                                                            <w:top w:val="none" w:sz="0" w:space="0" w:color="auto"/>
                                                            <w:left w:val="none" w:sz="0" w:space="0" w:color="auto"/>
                                                            <w:bottom w:val="none" w:sz="0" w:space="0" w:color="auto"/>
                                                            <w:right w:val="none" w:sz="0" w:space="0" w:color="auto"/>
                                                          </w:divBdr>
                                                          <w:divsChild>
                                                            <w:div w:id="17634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6728">
          <w:marLeft w:val="0"/>
          <w:marRight w:val="0"/>
          <w:marTop w:val="0"/>
          <w:marBottom w:val="0"/>
          <w:divBdr>
            <w:top w:val="none" w:sz="0" w:space="0" w:color="auto"/>
            <w:left w:val="none" w:sz="0" w:space="0" w:color="auto"/>
            <w:bottom w:val="none" w:sz="0" w:space="0" w:color="auto"/>
            <w:right w:val="none" w:sz="0" w:space="0" w:color="auto"/>
          </w:divBdr>
          <w:divsChild>
            <w:div w:id="782962401">
              <w:marLeft w:val="0"/>
              <w:marRight w:val="0"/>
              <w:marTop w:val="0"/>
              <w:marBottom w:val="0"/>
              <w:divBdr>
                <w:top w:val="none" w:sz="0" w:space="0" w:color="auto"/>
                <w:left w:val="none" w:sz="0" w:space="0" w:color="auto"/>
                <w:bottom w:val="none" w:sz="0" w:space="0" w:color="auto"/>
                <w:right w:val="none" w:sz="0" w:space="0" w:color="auto"/>
              </w:divBdr>
              <w:divsChild>
                <w:div w:id="2030135845">
                  <w:marLeft w:val="0"/>
                  <w:marRight w:val="0"/>
                  <w:marTop w:val="0"/>
                  <w:marBottom w:val="0"/>
                  <w:divBdr>
                    <w:top w:val="none" w:sz="0" w:space="0" w:color="auto"/>
                    <w:left w:val="none" w:sz="0" w:space="0" w:color="auto"/>
                    <w:bottom w:val="none" w:sz="0" w:space="0" w:color="auto"/>
                    <w:right w:val="none" w:sz="0" w:space="0" w:color="auto"/>
                  </w:divBdr>
                  <w:divsChild>
                    <w:div w:id="231896356">
                      <w:marLeft w:val="0"/>
                      <w:marRight w:val="0"/>
                      <w:marTop w:val="0"/>
                      <w:marBottom w:val="0"/>
                      <w:divBdr>
                        <w:top w:val="none" w:sz="0" w:space="0" w:color="auto"/>
                        <w:left w:val="none" w:sz="0" w:space="0" w:color="auto"/>
                        <w:bottom w:val="none" w:sz="0" w:space="0" w:color="auto"/>
                        <w:right w:val="none" w:sz="0" w:space="0" w:color="auto"/>
                      </w:divBdr>
                    </w:div>
                    <w:div w:id="274530654">
                      <w:marLeft w:val="0"/>
                      <w:marRight w:val="0"/>
                      <w:marTop w:val="0"/>
                      <w:marBottom w:val="0"/>
                      <w:divBdr>
                        <w:top w:val="none" w:sz="0" w:space="0" w:color="auto"/>
                        <w:left w:val="none" w:sz="0" w:space="0" w:color="auto"/>
                        <w:bottom w:val="none" w:sz="0" w:space="0" w:color="auto"/>
                        <w:right w:val="none" w:sz="0" w:space="0" w:color="auto"/>
                      </w:divBdr>
                      <w:divsChild>
                        <w:div w:id="427655094">
                          <w:marLeft w:val="0"/>
                          <w:marRight w:val="0"/>
                          <w:marTop w:val="0"/>
                          <w:marBottom w:val="0"/>
                          <w:divBdr>
                            <w:top w:val="none" w:sz="0" w:space="0" w:color="auto"/>
                            <w:left w:val="none" w:sz="0" w:space="0" w:color="auto"/>
                            <w:bottom w:val="none" w:sz="0" w:space="0" w:color="auto"/>
                            <w:right w:val="none" w:sz="0" w:space="0" w:color="auto"/>
                          </w:divBdr>
                          <w:divsChild>
                            <w:div w:id="1403405404">
                              <w:marLeft w:val="0"/>
                              <w:marRight w:val="0"/>
                              <w:marTop w:val="0"/>
                              <w:marBottom w:val="0"/>
                              <w:divBdr>
                                <w:top w:val="none" w:sz="0" w:space="0" w:color="auto"/>
                                <w:left w:val="none" w:sz="0" w:space="0" w:color="auto"/>
                                <w:bottom w:val="none" w:sz="0" w:space="0" w:color="auto"/>
                                <w:right w:val="none" w:sz="0" w:space="0" w:color="auto"/>
                              </w:divBdr>
                              <w:divsChild>
                                <w:div w:id="555897617">
                                  <w:marLeft w:val="0"/>
                                  <w:marRight w:val="0"/>
                                  <w:marTop w:val="0"/>
                                  <w:marBottom w:val="0"/>
                                  <w:divBdr>
                                    <w:top w:val="none" w:sz="0" w:space="0" w:color="auto"/>
                                    <w:left w:val="none" w:sz="0" w:space="0" w:color="auto"/>
                                    <w:bottom w:val="none" w:sz="0" w:space="0" w:color="auto"/>
                                    <w:right w:val="none" w:sz="0" w:space="0" w:color="auto"/>
                                  </w:divBdr>
                                  <w:divsChild>
                                    <w:div w:id="1988852665">
                                      <w:marLeft w:val="0"/>
                                      <w:marRight w:val="0"/>
                                      <w:marTop w:val="0"/>
                                      <w:marBottom w:val="0"/>
                                      <w:divBdr>
                                        <w:top w:val="none" w:sz="0" w:space="0" w:color="auto"/>
                                        <w:left w:val="none" w:sz="0" w:space="0" w:color="auto"/>
                                        <w:bottom w:val="none" w:sz="0" w:space="0" w:color="auto"/>
                                        <w:right w:val="none" w:sz="0" w:space="0" w:color="auto"/>
                                      </w:divBdr>
                                      <w:divsChild>
                                        <w:div w:id="2143571963">
                                          <w:marLeft w:val="0"/>
                                          <w:marRight w:val="0"/>
                                          <w:marTop w:val="0"/>
                                          <w:marBottom w:val="0"/>
                                          <w:divBdr>
                                            <w:top w:val="none" w:sz="0" w:space="0" w:color="auto"/>
                                            <w:left w:val="none" w:sz="0" w:space="0" w:color="auto"/>
                                            <w:bottom w:val="none" w:sz="0" w:space="0" w:color="auto"/>
                                            <w:right w:val="none" w:sz="0" w:space="0" w:color="auto"/>
                                          </w:divBdr>
                                          <w:divsChild>
                                            <w:div w:id="206770437">
                                              <w:marLeft w:val="0"/>
                                              <w:marRight w:val="0"/>
                                              <w:marTop w:val="0"/>
                                              <w:marBottom w:val="0"/>
                                              <w:divBdr>
                                                <w:top w:val="none" w:sz="0" w:space="0" w:color="auto"/>
                                                <w:left w:val="none" w:sz="0" w:space="0" w:color="auto"/>
                                                <w:bottom w:val="none" w:sz="0" w:space="0" w:color="auto"/>
                                                <w:right w:val="none" w:sz="0" w:space="0" w:color="auto"/>
                                              </w:divBdr>
                                              <w:divsChild>
                                                <w:div w:id="533536951">
                                                  <w:marLeft w:val="0"/>
                                                  <w:marRight w:val="0"/>
                                                  <w:marTop w:val="0"/>
                                                  <w:marBottom w:val="0"/>
                                                  <w:divBdr>
                                                    <w:top w:val="none" w:sz="0" w:space="0" w:color="auto"/>
                                                    <w:left w:val="none" w:sz="0" w:space="0" w:color="auto"/>
                                                    <w:bottom w:val="none" w:sz="0" w:space="0" w:color="auto"/>
                                                    <w:right w:val="none" w:sz="0" w:space="0" w:color="auto"/>
                                                  </w:divBdr>
                                                  <w:divsChild>
                                                    <w:div w:id="1464614247">
                                                      <w:marLeft w:val="0"/>
                                                      <w:marRight w:val="0"/>
                                                      <w:marTop w:val="0"/>
                                                      <w:marBottom w:val="0"/>
                                                      <w:divBdr>
                                                        <w:top w:val="none" w:sz="0" w:space="0" w:color="auto"/>
                                                        <w:left w:val="none" w:sz="0" w:space="0" w:color="auto"/>
                                                        <w:bottom w:val="none" w:sz="0" w:space="0" w:color="auto"/>
                                                        <w:right w:val="none" w:sz="0" w:space="0" w:color="auto"/>
                                                      </w:divBdr>
                                                      <w:divsChild>
                                                        <w:div w:id="977339678">
                                                          <w:marLeft w:val="0"/>
                                                          <w:marRight w:val="0"/>
                                                          <w:marTop w:val="0"/>
                                                          <w:marBottom w:val="0"/>
                                                          <w:divBdr>
                                                            <w:top w:val="none" w:sz="0" w:space="0" w:color="auto"/>
                                                            <w:left w:val="none" w:sz="0" w:space="0" w:color="auto"/>
                                                            <w:bottom w:val="none" w:sz="0" w:space="0" w:color="auto"/>
                                                            <w:right w:val="none" w:sz="0" w:space="0" w:color="auto"/>
                                                          </w:divBdr>
                                                          <w:divsChild>
                                                            <w:div w:id="1591698968">
                                                              <w:marLeft w:val="0"/>
                                                              <w:marRight w:val="0"/>
                                                              <w:marTop w:val="0"/>
                                                              <w:marBottom w:val="0"/>
                                                              <w:divBdr>
                                                                <w:top w:val="none" w:sz="0" w:space="0" w:color="auto"/>
                                                                <w:left w:val="none" w:sz="0" w:space="0" w:color="auto"/>
                                                                <w:bottom w:val="none" w:sz="0" w:space="0" w:color="auto"/>
                                                                <w:right w:val="none" w:sz="0" w:space="0" w:color="auto"/>
                                                              </w:divBdr>
                                                            </w:div>
                                                            <w:div w:id="1800491433">
                                                              <w:marLeft w:val="0"/>
                                                              <w:marRight w:val="0"/>
                                                              <w:marTop w:val="0"/>
                                                              <w:marBottom w:val="0"/>
                                                              <w:divBdr>
                                                                <w:top w:val="none" w:sz="0" w:space="0" w:color="auto"/>
                                                                <w:left w:val="none" w:sz="0" w:space="0" w:color="auto"/>
                                                                <w:bottom w:val="none" w:sz="0" w:space="0" w:color="auto"/>
                                                                <w:right w:val="none" w:sz="0" w:space="0" w:color="auto"/>
                                                              </w:divBdr>
                                                              <w:divsChild>
                                                                <w:div w:id="2011833833">
                                                                  <w:marLeft w:val="0"/>
                                                                  <w:marRight w:val="0"/>
                                                                  <w:marTop w:val="0"/>
                                                                  <w:marBottom w:val="0"/>
                                                                  <w:divBdr>
                                                                    <w:top w:val="none" w:sz="0" w:space="0" w:color="auto"/>
                                                                    <w:left w:val="none" w:sz="0" w:space="0" w:color="auto"/>
                                                                    <w:bottom w:val="none" w:sz="0" w:space="0" w:color="auto"/>
                                                                    <w:right w:val="none" w:sz="0" w:space="0" w:color="auto"/>
                                                                  </w:divBdr>
                                                                  <w:divsChild>
                                                                    <w:div w:id="1371804419">
                                                                      <w:marLeft w:val="0"/>
                                                                      <w:marRight w:val="0"/>
                                                                      <w:marTop w:val="0"/>
                                                                      <w:marBottom w:val="0"/>
                                                                      <w:divBdr>
                                                                        <w:top w:val="none" w:sz="0" w:space="0" w:color="auto"/>
                                                                        <w:left w:val="none" w:sz="0" w:space="0" w:color="auto"/>
                                                                        <w:bottom w:val="none" w:sz="0" w:space="0" w:color="auto"/>
                                                                        <w:right w:val="none" w:sz="0" w:space="0" w:color="auto"/>
                                                                      </w:divBdr>
                                                                      <w:divsChild>
                                                                        <w:div w:id="203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9183411">
          <w:marLeft w:val="0"/>
          <w:marRight w:val="0"/>
          <w:marTop w:val="0"/>
          <w:marBottom w:val="0"/>
          <w:divBdr>
            <w:top w:val="none" w:sz="0" w:space="0" w:color="auto"/>
            <w:left w:val="none" w:sz="0" w:space="0" w:color="auto"/>
            <w:bottom w:val="none" w:sz="0" w:space="0" w:color="auto"/>
            <w:right w:val="none" w:sz="0" w:space="0" w:color="auto"/>
          </w:divBdr>
          <w:divsChild>
            <w:div w:id="860972445">
              <w:marLeft w:val="0"/>
              <w:marRight w:val="0"/>
              <w:marTop w:val="0"/>
              <w:marBottom w:val="0"/>
              <w:divBdr>
                <w:top w:val="none" w:sz="0" w:space="0" w:color="auto"/>
                <w:left w:val="none" w:sz="0" w:space="0" w:color="auto"/>
                <w:bottom w:val="none" w:sz="0" w:space="0" w:color="auto"/>
                <w:right w:val="none" w:sz="0" w:space="0" w:color="auto"/>
              </w:divBdr>
              <w:divsChild>
                <w:div w:id="1795442057">
                  <w:marLeft w:val="0"/>
                  <w:marRight w:val="0"/>
                  <w:marTop w:val="0"/>
                  <w:marBottom w:val="0"/>
                  <w:divBdr>
                    <w:top w:val="none" w:sz="0" w:space="0" w:color="auto"/>
                    <w:left w:val="none" w:sz="0" w:space="0" w:color="auto"/>
                    <w:bottom w:val="none" w:sz="0" w:space="0" w:color="auto"/>
                    <w:right w:val="none" w:sz="0" w:space="0" w:color="auto"/>
                  </w:divBdr>
                  <w:divsChild>
                    <w:div w:id="718213197">
                      <w:marLeft w:val="0"/>
                      <w:marRight w:val="0"/>
                      <w:marTop w:val="0"/>
                      <w:marBottom w:val="0"/>
                      <w:divBdr>
                        <w:top w:val="none" w:sz="0" w:space="0" w:color="auto"/>
                        <w:left w:val="none" w:sz="0" w:space="0" w:color="auto"/>
                        <w:bottom w:val="none" w:sz="0" w:space="0" w:color="auto"/>
                        <w:right w:val="none" w:sz="0" w:space="0" w:color="auto"/>
                      </w:divBdr>
                      <w:divsChild>
                        <w:div w:id="575017509">
                          <w:marLeft w:val="0"/>
                          <w:marRight w:val="0"/>
                          <w:marTop w:val="0"/>
                          <w:marBottom w:val="0"/>
                          <w:divBdr>
                            <w:top w:val="none" w:sz="0" w:space="0" w:color="auto"/>
                            <w:left w:val="none" w:sz="0" w:space="0" w:color="auto"/>
                            <w:bottom w:val="none" w:sz="0" w:space="0" w:color="auto"/>
                            <w:right w:val="none" w:sz="0" w:space="0" w:color="auto"/>
                          </w:divBdr>
                          <w:divsChild>
                            <w:div w:id="880945643">
                              <w:marLeft w:val="0"/>
                              <w:marRight w:val="0"/>
                              <w:marTop w:val="0"/>
                              <w:marBottom w:val="0"/>
                              <w:divBdr>
                                <w:top w:val="none" w:sz="0" w:space="0" w:color="auto"/>
                                <w:left w:val="none" w:sz="0" w:space="0" w:color="auto"/>
                                <w:bottom w:val="none" w:sz="0" w:space="0" w:color="auto"/>
                                <w:right w:val="none" w:sz="0" w:space="0" w:color="auto"/>
                              </w:divBdr>
                              <w:divsChild>
                                <w:div w:id="358513197">
                                  <w:marLeft w:val="0"/>
                                  <w:marRight w:val="0"/>
                                  <w:marTop w:val="0"/>
                                  <w:marBottom w:val="0"/>
                                  <w:divBdr>
                                    <w:top w:val="none" w:sz="0" w:space="0" w:color="auto"/>
                                    <w:left w:val="none" w:sz="0" w:space="0" w:color="auto"/>
                                    <w:bottom w:val="none" w:sz="0" w:space="0" w:color="auto"/>
                                    <w:right w:val="none" w:sz="0" w:space="0" w:color="auto"/>
                                  </w:divBdr>
                                  <w:divsChild>
                                    <w:div w:id="1366103516">
                                      <w:marLeft w:val="0"/>
                                      <w:marRight w:val="0"/>
                                      <w:marTop w:val="0"/>
                                      <w:marBottom w:val="0"/>
                                      <w:divBdr>
                                        <w:top w:val="none" w:sz="0" w:space="0" w:color="auto"/>
                                        <w:left w:val="none" w:sz="0" w:space="0" w:color="auto"/>
                                        <w:bottom w:val="none" w:sz="0" w:space="0" w:color="auto"/>
                                        <w:right w:val="none" w:sz="0" w:space="0" w:color="auto"/>
                                      </w:divBdr>
                                      <w:divsChild>
                                        <w:div w:id="1921670383">
                                          <w:marLeft w:val="0"/>
                                          <w:marRight w:val="0"/>
                                          <w:marTop w:val="0"/>
                                          <w:marBottom w:val="0"/>
                                          <w:divBdr>
                                            <w:top w:val="none" w:sz="0" w:space="0" w:color="auto"/>
                                            <w:left w:val="none" w:sz="0" w:space="0" w:color="auto"/>
                                            <w:bottom w:val="none" w:sz="0" w:space="0" w:color="auto"/>
                                            <w:right w:val="none" w:sz="0" w:space="0" w:color="auto"/>
                                          </w:divBdr>
                                          <w:divsChild>
                                            <w:div w:id="976227765">
                                              <w:marLeft w:val="0"/>
                                              <w:marRight w:val="0"/>
                                              <w:marTop w:val="0"/>
                                              <w:marBottom w:val="0"/>
                                              <w:divBdr>
                                                <w:top w:val="none" w:sz="0" w:space="0" w:color="auto"/>
                                                <w:left w:val="none" w:sz="0" w:space="0" w:color="auto"/>
                                                <w:bottom w:val="none" w:sz="0" w:space="0" w:color="auto"/>
                                                <w:right w:val="none" w:sz="0" w:space="0" w:color="auto"/>
                                              </w:divBdr>
                                              <w:divsChild>
                                                <w:div w:id="1622416878">
                                                  <w:marLeft w:val="0"/>
                                                  <w:marRight w:val="0"/>
                                                  <w:marTop w:val="0"/>
                                                  <w:marBottom w:val="0"/>
                                                  <w:divBdr>
                                                    <w:top w:val="none" w:sz="0" w:space="0" w:color="auto"/>
                                                    <w:left w:val="none" w:sz="0" w:space="0" w:color="auto"/>
                                                    <w:bottom w:val="none" w:sz="0" w:space="0" w:color="auto"/>
                                                    <w:right w:val="none" w:sz="0" w:space="0" w:color="auto"/>
                                                  </w:divBdr>
                                                  <w:divsChild>
                                                    <w:div w:id="146171944">
                                                      <w:marLeft w:val="0"/>
                                                      <w:marRight w:val="0"/>
                                                      <w:marTop w:val="0"/>
                                                      <w:marBottom w:val="0"/>
                                                      <w:divBdr>
                                                        <w:top w:val="none" w:sz="0" w:space="0" w:color="auto"/>
                                                        <w:left w:val="none" w:sz="0" w:space="0" w:color="auto"/>
                                                        <w:bottom w:val="none" w:sz="0" w:space="0" w:color="auto"/>
                                                        <w:right w:val="none" w:sz="0" w:space="0" w:color="auto"/>
                                                      </w:divBdr>
                                                      <w:divsChild>
                                                        <w:div w:id="1198082140">
                                                          <w:marLeft w:val="0"/>
                                                          <w:marRight w:val="0"/>
                                                          <w:marTop w:val="0"/>
                                                          <w:marBottom w:val="0"/>
                                                          <w:divBdr>
                                                            <w:top w:val="none" w:sz="0" w:space="0" w:color="auto"/>
                                                            <w:left w:val="none" w:sz="0" w:space="0" w:color="auto"/>
                                                            <w:bottom w:val="none" w:sz="0" w:space="0" w:color="auto"/>
                                                            <w:right w:val="none" w:sz="0" w:space="0" w:color="auto"/>
                                                          </w:divBdr>
                                                          <w:divsChild>
                                                            <w:div w:id="514154064">
                                                              <w:marLeft w:val="0"/>
                                                              <w:marRight w:val="0"/>
                                                              <w:marTop w:val="0"/>
                                                              <w:marBottom w:val="0"/>
                                                              <w:divBdr>
                                                                <w:top w:val="none" w:sz="0" w:space="0" w:color="auto"/>
                                                                <w:left w:val="none" w:sz="0" w:space="0" w:color="auto"/>
                                                                <w:bottom w:val="none" w:sz="0" w:space="0" w:color="auto"/>
                                                                <w:right w:val="none" w:sz="0" w:space="0" w:color="auto"/>
                                                              </w:divBdr>
                                                              <w:divsChild>
                                                                <w:div w:id="765467877">
                                                                  <w:marLeft w:val="0"/>
                                                                  <w:marRight w:val="0"/>
                                                                  <w:marTop w:val="0"/>
                                                                  <w:marBottom w:val="0"/>
                                                                  <w:divBdr>
                                                                    <w:top w:val="none" w:sz="0" w:space="0" w:color="auto"/>
                                                                    <w:left w:val="none" w:sz="0" w:space="0" w:color="auto"/>
                                                                    <w:bottom w:val="none" w:sz="0" w:space="0" w:color="auto"/>
                                                                    <w:right w:val="none" w:sz="0" w:space="0" w:color="auto"/>
                                                                  </w:divBdr>
                                                                  <w:divsChild>
                                                                    <w:div w:id="129330071">
                                                                      <w:marLeft w:val="0"/>
                                                                      <w:marRight w:val="0"/>
                                                                      <w:marTop w:val="0"/>
                                                                      <w:marBottom w:val="0"/>
                                                                      <w:divBdr>
                                                                        <w:top w:val="none" w:sz="0" w:space="0" w:color="auto"/>
                                                                        <w:left w:val="none" w:sz="0" w:space="0" w:color="auto"/>
                                                                        <w:bottom w:val="none" w:sz="0" w:space="0" w:color="auto"/>
                                                                        <w:right w:val="none" w:sz="0" w:space="0" w:color="auto"/>
                                                                      </w:divBdr>
                                                                      <w:divsChild>
                                                                        <w:div w:id="477502967">
                                                                          <w:marLeft w:val="0"/>
                                                                          <w:marRight w:val="0"/>
                                                                          <w:marTop w:val="0"/>
                                                                          <w:marBottom w:val="0"/>
                                                                          <w:divBdr>
                                                                            <w:top w:val="none" w:sz="0" w:space="0" w:color="auto"/>
                                                                            <w:left w:val="none" w:sz="0" w:space="0" w:color="auto"/>
                                                                            <w:bottom w:val="none" w:sz="0" w:space="0" w:color="auto"/>
                                                                            <w:right w:val="none" w:sz="0" w:space="0" w:color="auto"/>
                                                                          </w:divBdr>
                                                                        </w:div>
                                                                        <w:div w:id="793211719">
                                                                          <w:marLeft w:val="0"/>
                                                                          <w:marRight w:val="0"/>
                                                                          <w:marTop w:val="0"/>
                                                                          <w:marBottom w:val="0"/>
                                                                          <w:divBdr>
                                                                            <w:top w:val="none" w:sz="0" w:space="0" w:color="auto"/>
                                                                            <w:left w:val="none" w:sz="0" w:space="0" w:color="auto"/>
                                                                            <w:bottom w:val="none" w:sz="0" w:space="0" w:color="auto"/>
                                                                            <w:right w:val="none" w:sz="0" w:space="0" w:color="auto"/>
                                                                          </w:divBdr>
                                                                        </w:div>
                                                                      </w:divsChild>
                                                                    </w:div>
                                                                    <w:div w:id="1452242546">
                                                                      <w:marLeft w:val="0"/>
                                                                      <w:marRight w:val="0"/>
                                                                      <w:marTop w:val="0"/>
                                                                      <w:marBottom w:val="0"/>
                                                                      <w:divBdr>
                                                                        <w:top w:val="none" w:sz="0" w:space="0" w:color="auto"/>
                                                                        <w:left w:val="none" w:sz="0" w:space="0" w:color="auto"/>
                                                                        <w:bottom w:val="none" w:sz="0" w:space="0" w:color="auto"/>
                                                                        <w:right w:val="none" w:sz="0" w:space="0" w:color="auto"/>
                                                                      </w:divBdr>
                                                                      <w:divsChild>
                                                                        <w:div w:id="590241294">
                                                                          <w:marLeft w:val="0"/>
                                                                          <w:marRight w:val="0"/>
                                                                          <w:marTop w:val="0"/>
                                                                          <w:marBottom w:val="0"/>
                                                                          <w:divBdr>
                                                                            <w:top w:val="none" w:sz="0" w:space="0" w:color="auto"/>
                                                                            <w:left w:val="none" w:sz="0" w:space="0" w:color="auto"/>
                                                                            <w:bottom w:val="none" w:sz="0" w:space="0" w:color="auto"/>
                                                                            <w:right w:val="none" w:sz="0" w:space="0" w:color="auto"/>
                                                                          </w:divBdr>
                                                                          <w:divsChild>
                                                                            <w:div w:id="132021648">
                                                                              <w:marLeft w:val="0"/>
                                                                              <w:marRight w:val="0"/>
                                                                              <w:marTop w:val="0"/>
                                                                              <w:marBottom w:val="0"/>
                                                                              <w:divBdr>
                                                                                <w:top w:val="none" w:sz="0" w:space="0" w:color="auto"/>
                                                                                <w:left w:val="none" w:sz="0" w:space="0" w:color="auto"/>
                                                                                <w:bottom w:val="none" w:sz="0" w:space="0" w:color="auto"/>
                                                                                <w:right w:val="none" w:sz="0" w:space="0" w:color="auto"/>
                                                                              </w:divBdr>
                                                                              <w:divsChild>
                                                                                <w:div w:id="244649822">
                                                                                  <w:marLeft w:val="0"/>
                                                                                  <w:marRight w:val="0"/>
                                                                                  <w:marTop w:val="0"/>
                                                                                  <w:marBottom w:val="0"/>
                                                                                  <w:divBdr>
                                                                                    <w:top w:val="none" w:sz="0" w:space="0" w:color="auto"/>
                                                                                    <w:left w:val="none" w:sz="0" w:space="0" w:color="auto"/>
                                                                                    <w:bottom w:val="none" w:sz="0" w:space="0" w:color="auto"/>
                                                                                    <w:right w:val="none" w:sz="0" w:space="0" w:color="auto"/>
                                                                                  </w:divBdr>
                                                                                  <w:divsChild>
                                                                                    <w:div w:id="69620635">
                                                                                      <w:marLeft w:val="0"/>
                                                                                      <w:marRight w:val="0"/>
                                                                                      <w:marTop w:val="0"/>
                                                                                      <w:marBottom w:val="0"/>
                                                                                      <w:divBdr>
                                                                                        <w:top w:val="none" w:sz="0" w:space="0" w:color="auto"/>
                                                                                        <w:left w:val="none" w:sz="0" w:space="0" w:color="auto"/>
                                                                                        <w:bottom w:val="none" w:sz="0" w:space="0" w:color="auto"/>
                                                                                        <w:right w:val="none" w:sz="0" w:space="0" w:color="auto"/>
                                                                                      </w:divBdr>
                                                                                      <w:divsChild>
                                                                                        <w:div w:id="26494651">
                                                                                          <w:marLeft w:val="0"/>
                                                                                          <w:marRight w:val="0"/>
                                                                                          <w:marTop w:val="0"/>
                                                                                          <w:marBottom w:val="0"/>
                                                                                          <w:divBdr>
                                                                                            <w:top w:val="none" w:sz="0" w:space="0" w:color="auto"/>
                                                                                            <w:left w:val="none" w:sz="0" w:space="0" w:color="auto"/>
                                                                                            <w:bottom w:val="none" w:sz="0" w:space="0" w:color="auto"/>
                                                                                            <w:right w:val="none" w:sz="0" w:space="0" w:color="auto"/>
                                                                                          </w:divBdr>
                                                                                          <w:divsChild>
                                                                                            <w:div w:id="974526853">
                                                                                              <w:marLeft w:val="0"/>
                                                                                              <w:marRight w:val="0"/>
                                                                                              <w:marTop w:val="0"/>
                                                                                              <w:marBottom w:val="0"/>
                                                                                              <w:divBdr>
                                                                                                <w:top w:val="none" w:sz="0" w:space="0" w:color="auto"/>
                                                                                                <w:left w:val="none" w:sz="0" w:space="0" w:color="auto"/>
                                                                                                <w:bottom w:val="none" w:sz="0" w:space="0" w:color="auto"/>
                                                                                                <w:right w:val="none" w:sz="0" w:space="0" w:color="auto"/>
                                                                                              </w:divBdr>
                                                                                              <w:divsChild>
                                                                                                <w:div w:id="480775522">
                                                                                                  <w:marLeft w:val="0"/>
                                                                                                  <w:marRight w:val="0"/>
                                                                                                  <w:marTop w:val="0"/>
                                                                                                  <w:marBottom w:val="0"/>
                                                                                                  <w:divBdr>
                                                                                                    <w:top w:val="none" w:sz="0" w:space="0" w:color="auto"/>
                                                                                                    <w:left w:val="none" w:sz="0" w:space="0" w:color="auto"/>
                                                                                                    <w:bottom w:val="none" w:sz="0" w:space="0" w:color="auto"/>
                                                                                                    <w:right w:val="none" w:sz="0" w:space="0" w:color="auto"/>
                                                                                                  </w:divBdr>
                                                                                                  <w:divsChild>
                                                                                                    <w:div w:id="1020470264">
                                                                                                      <w:marLeft w:val="0"/>
                                                                                                      <w:marRight w:val="0"/>
                                                                                                      <w:marTop w:val="0"/>
                                                                                                      <w:marBottom w:val="0"/>
                                                                                                      <w:divBdr>
                                                                                                        <w:top w:val="none" w:sz="0" w:space="0" w:color="auto"/>
                                                                                                        <w:left w:val="none" w:sz="0" w:space="0" w:color="auto"/>
                                                                                                        <w:bottom w:val="none" w:sz="0" w:space="0" w:color="auto"/>
                                                                                                        <w:right w:val="none" w:sz="0" w:space="0" w:color="auto"/>
                                                                                                      </w:divBdr>
                                                                                                      <w:divsChild>
                                                                                                        <w:div w:id="1293101017">
                                                                                                          <w:marLeft w:val="0"/>
                                                                                                          <w:marRight w:val="0"/>
                                                                                                          <w:marTop w:val="0"/>
                                                                                                          <w:marBottom w:val="0"/>
                                                                                                          <w:divBdr>
                                                                                                            <w:top w:val="none" w:sz="0" w:space="0" w:color="auto"/>
                                                                                                            <w:left w:val="none" w:sz="0" w:space="0" w:color="auto"/>
                                                                                                            <w:bottom w:val="none" w:sz="0" w:space="0" w:color="auto"/>
                                                                                                            <w:right w:val="none" w:sz="0" w:space="0" w:color="auto"/>
                                                                                                          </w:divBdr>
                                                                                                          <w:divsChild>
                                                                                                            <w:div w:id="1655793877">
                                                                                                              <w:marLeft w:val="0"/>
                                                                                                              <w:marRight w:val="0"/>
                                                                                                              <w:marTop w:val="0"/>
                                                                                                              <w:marBottom w:val="0"/>
                                                                                                              <w:divBdr>
                                                                                                                <w:top w:val="none" w:sz="0" w:space="0" w:color="auto"/>
                                                                                                                <w:left w:val="none" w:sz="0" w:space="0" w:color="auto"/>
                                                                                                                <w:bottom w:val="none" w:sz="0" w:space="0" w:color="auto"/>
                                                                                                                <w:right w:val="none" w:sz="0" w:space="0" w:color="auto"/>
                                                                                                              </w:divBdr>
                                                                                                              <w:divsChild>
                                                                                                                <w:div w:id="15199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9436">
                                                                                                      <w:marLeft w:val="0"/>
                                                                                                      <w:marRight w:val="0"/>
                                                                                                      <w:marTop w:val="0"/>
                                                                                                      <w:marBottom w:val="0"/>
                                                                                                      <w:divBdr>
                                                                                                        <w:top w:val="none" w:sz="0" w:space="0" w:color="auto"/>
                                                                                                        <w:left w:val="none" w:sz="0" w:space="0" w:color="auto"/>
                                                                                                        <w:bottom w:val="none" w:sz="0" w:space="0" w:color="auto"/>
                                                                                                        <w:right w:val="none" w:sz="0" w:space="0" w:color="auto"/>
                                                                                                      </w:divBdr>
                                                                                                    </w:div>
                                                                                                  </w:divsChild>
                                                                                                </w:div>
                                                                                                <w:div w:id="1649555441">
                                                                                                  <w:marLeft w:val="0"/>
                                                                                                  <w:marRight w:val="0"/>
                                                                                                  <w:marTop w:val="0"/>
                                                                                                  <w:marBottom w:val="0"/>
                                                                                                  <w:divBdr>
                                                                                                    <w:top w:val="none" w:sz="0" w:space="0" w:color="auto"/>
                                                                                                    <w:left w:val="none" w:sz="0" w:space="0" w:color="auto"/>
                                                                                                    <w:bottom w:val="none" w:sz="0" w:space="0" w:color="auto"/>
                                                                                                    <w:right w:val="none" w:sz="0" w:space="0" w:color="auto"/>
                                                                                                  </w:divBdr>
                                                                                                  <w:divsChild>
                                                                                                    <w:div w:id="667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1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4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3764178">
          <w:marLeft w:val="0"/>
          <w:marRight w:val="0"/>
          <w:marTop w:val="0"/>
          <w:marBottom w:val="0"/>
          <w:divBdr>
            <w:top w:val="none" w:sz="0" w:space="0" w:color="auto"/>
            <w:left w:val="none" w:sz="0" w:space="0" w:color="auto"/>
            <w:bottom w:val="none" w:sz="0" w:space="0" w:color="auto"/>
            <w:right w:val="none" w:sz="0" w:space="0" w:color="auto"/>
          </w:divBdr>
          <w:divsChild>
            <w:div w:id="1517228663">
              <w:marLeft w:val="0"/>
              <w:marRight w:val="0"/>
              <w:marTop w:val="0"/>
              <w:marBottom w:val="0"/>
              <w:divBdr>
                <w:top w:val="none" w:sz="0" w:space="0" w:color="auto"/>
                <w:left w:val="none" w:sz="0" w:space="0" w:color="auto"/>
                <w:bottom w:val="none" w:sz="0" w:space="0" w:color="auto"/>
                <w:right w:val="none" w:sz="0" w:space="0" w:color="auto"/>
              </w:divBdr>
              <w:divsChild>
                <w:div w:id="174076060">
                  <w:marLeft w:val="0"/>
                  <w:marRight w:val="0"/>
                  <w:marTop w:val="0"/>
                  <w:marBottom w:val="0"/>
                  <w:divBdr>
                    <w:top w:val="none" w:sz="0" w:space="0" w:color="auto"/>
                    <w:left w:val="none" w:sz="0" w:space="0" w:color="auto"/>
                    <w:bottom w:val="none" w:sz="0" w:space="0" w:color="auto"/>
                    <w:right w:val="none" w:sz="0" w:space="0" w:color="auto"/>
                  </w:divBdr>
                </w:div>
                <w:div w:id="789401642">
                  <w:marLeft w:val="0"/>
                  <w:marRight w:val="0"/>
                  <w:marTop w:val="0"/>
                  <w:marBottom w:val="0"/>
                  <w:divBdr>
                    <w:top w:val="none" w:sz="0" w:space="0" w:color="auto"/>
                    <w:left w:val="none" w:sz="0" w:space="0" w:color="auto"/>
                    <w:bottom w:val="none" w:sz="0" w:space="0" w:color="auto"/>
                    <w:right w:val="none" w:sz="0" w:space="0" w:color="auto"/>
                  </w:divBdr>
                  <w:divsChild>
                    <w:div w:id="670260395">
                      <w:marLeft w:val="0"/>
                      <w:marRight w:val="0"/>
                      <w:marTop w:val="0"/>
                      <w:marBottom w:val="0"/>
                      <w:divBdr>
                        <w:top w:val="none" w:sz="0" w:space="0" w:color="auto"/>
                        <w:left w:val="none" w:sz="0" w:space="0" w:color="auto"/>
                        <w:bottom w:val="none" w:sz="0" w:space="0" w:color="auto"/>
                        <w:right w:val="none" w:sz="0" w:space="0" w:color="auto"/>
                      </w:divBdr>
                      <w:divsChild>
                        <w:div w:id="1546674647">
                          <w:marLeft w:val="0"/>
                          <w:marRight w:val="0"/>
                          <w:marTop w:val="0"/>
                          <w:marBottom w:val="0"/>
                          <w:divBdr>
                            <w:top w:val="none" w:sz="0" w:space="0" w:color="auto"/>
                            <w:left w:val="none" w:sz="0" w:space="0" w:color="auto"/>
                            <w:bottom w:val="none" w:sz="0" w:space="0" w:color="auto"/>
                            <w:right w:val="none" w:sz="0" w:space="0" w:color="auto"/>
                          </w:divBdr>
                          <w:divsChild>
                            <w:div w:id="669143618">
                              <w:marLeft w:val="0"/>
                              <w:marRight w:val="0"/>
                              <w:marTop w:val="0"/>
                              <w:marBottom w:val="0"/>
                              <w:divBdr>
                                <w:top w:val="none" w:sz="0" w:space="0" w:color="auto"/>
                                <w:left w:val="none" w:sz="0" w:space="0" w:color="auto"/>
                                <w:bottom w:val="none" w:sz="0" w:space="0" w:color="auto"/>
                                <w:right w:val="none" w:sz="0" w:space="0" w:color="auto"/>
                              </w:divBdr>
                              <w:divsChild>
                                <w:div w:id="794176616">
                                  <w:marLeft w:val="0"/>
                                  <w:marRight w:val="0"/>
                                  <w:marTop w:val="0"/>
                                  <w:marBottom w:val="0"/>
                                  <w:divBdr>
                                    <w:top w:val="none" w:sz="0" w:space="0" w:color="auto"/>
                                    <w:left w:val="none" w:sz="0" w:space="0" w:color="auto"/>
                                    <w:bottom w:val="none" w:sz="0" w:space="0" w:color="auto"/>
                                    <w:right w:val="none" w:sz="0" w:space="0" w:color="auto"/>
                                  </w:divBdr>
                                  <w:divsChild>
                                    <w:div w:id="854270356">
                                      <w:marLeft w:val="0"/>
                                      <w:marRight w:val="0"/>
                                      <w:marTop w:val="0"/>
                                      <w:marBottom w:val="0"/>
                                      <w:divBdr>
                                        <w:top w:val="none" w:sz="0" w:space="0" w:color="auto"/>
                                        <w:left w:val="none" w:sz="0" w:space="0" w:color="auto"/>
                                        <w:bottom w:val="none" w:sz="0" w:space="0" w:color="auto"/>
                                        <w:right w:val="none" w:sz="0" w:space="0" w:color="auto"/>
                                      </w:divBdr>
                                      <w:divsChild>
                                        <w:div w:id="13711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3100">
          <w:marLeft w:val="0"/>
          <w:marRight w:val="0"/>
          <w:marTop w:val="0"/>
          <w:marBottom w:val="0"/>
          <w:divBdr>
            <w:top w:val="none" w:sz="0" w:space="0" w:color="auto"/>
            <w:left w:val="none" w:sz="0" w:space="0" w:color="auto"/>
            <w:bottom w:val="none" w:sz="0" w:space="0" w:color="auto"/>
            <w:right w:val="none" w:sz="0" w:space="0" w:color="auto"/>
          </w:divBdr>
          <w:divsChild>
            <w:div w:id="55012706">
              <w:marLeft w:val="0"/>
              <w:marRight w:val="0"/>
              <w:marTop w:val="0"/>
              <w:marBottom w:val="0"/>
              <w:divBdr>
                <w:top w:val="none" w:sz="0" w:space="0" w:color="auto"/>
                <w:left w:val="none" w:sz="0" w:space="0" w:color="auto"/>
                <w:bottom w:val="none" w:sz="0" w:space="0" w:color="auto"/>
                <w:right w:val="none" w:sz="0" w:space="0" w:color="auto"/>
              </w:divBdr>
              <w:divsChild>
                <w:div w:id="1962683605">
                  <w:marLeft w:val="0"/>
                  <w:marRight w:val="0"/>
                  <w:marTop w:val="0"/>
                  <w:marBottom w:val="0"/>
                  <w:divBdr>
                    <w:top w:val="none" w:sz="0" w:space="0" w:color="auto"/>
                    <w:left w:val="none" w:sz="0" w:space="0" w:color="auto"/>
                    <w:bottom w:val="none" w:sz="0" w:space="0" w:color="auto"/>
                    <w:right w:val="none" w:sz="0" w:space="0" w:color="auto"/>
                  </w:divBdr>
                  <w:divsChild>
                    <w:div w:id="889876471">
                      <w:marLeft w:val="0"/>
                      <w:marRight w:val="0"/>
                      <w:marTop w:val="0"/>
                      <w:marBottom w:val="0"/>
                      <w:divBdr>
                        <w:top w:val="none" w:sz="0" w:space="0" w:color="auto"/>
                        <w:left w:val="none" w:sz="0" w:space="0" w:color="auto"/>
                        <w:bottom w:val="none" w:sz="0" w:space="0" w:color="auto"/>
                        <w:right w:val="none" w:sz="0" w:space="0" w:color="auto"/>
                      </w:divBdr>
                      <w:divsChild>
                        <w:div w:id="1379236807">
                          <w:marLeft w:val="0"/>
                          <w:marRight w:val="0"/>
                          <w:marTop w:val="0"/>
                          <w:marBottom w:val="0"/>
                          <w:divBdr>
                            <w:top w:val="none" w:sz="0" w:space="0" w:color="auto"/>
                            <w:left w:val="none" w:sz="0" w:space="0" w:color="auto"/>
                            <w:bottom w:val="none" w:sz="0" w:space="0" w:color="auto"/>
                            <w:right w:val="none" w:sz="0" w:space="0" w:color="auto"/>
                          </w:divBdr>
                          <w:divsChild>
                            <w:div w:id="1637635814">
                              <w:marLeft w:val="0"/>
                              <w:marRight w:val="0"/>
                              <w:marTop w:val="0"/>
                              <w:marBottom w:val="0"/>
                              <w:divBdr>
                                <w:top w:val="none" w:sz="0" w:space="0" w:color="auto"/>
                                <w:left w:val="none" w:sz="0" w:space="0" w:color="auto"/>
                                <w:bottom w:val="none" w:sz="0" w:space="0" w:color="auto"/>
                                <w:right w:val="none" w:sz="0" w:space="0" w:color="auto"/>
                              </w:divBdr>
                              <w:divsChild>
                                <w:div w:id="625042061">
                                  <w:marLeft w:val="0"/>
                                  <w:marRight w:val="0"/>
                                  <w:marTop w:val="0"/>
                                  <w:marBottom w:val="0"/>
                                  <w:divBdr>
                                    <w:top w:val="none" w:sz="0" w:space="0" w:color="auto"/>
                                    <w:left w:val="none" w:sz="0" w:space="0" w:color="auto"/>
                                    <w:bottom w:val="none" w:sz="0" w:space="0" w:color="auto"/>
                                    <w:right w:val="none" w:sz="0" w:space="0" w:color="auto"/>
                                  </w:divBdr>
                                  <w:divsChild>
                                    <w:div w:id="1119715098">
                                      <w:marLeft w:val="0"/>
                                      <w:marRight w:val="0"/>
                                      <w:marTop w:val="0"/>
                                      <w:marBottom w:val="0"/>
                                      <w:divBdr>
                                        <w:top w:val="none" w:sz="0" w:space="0" w:color="auto"/>
                                        <w:left w:val="none" w:sz="0" w:space="0" w:color="auto"/>
                                        <w:bottom w:val="none" w:sz="0" w:space="0" w:color="auto"/>
                                        <w:right w:val="none" w:sz="0" w:space="0" w:color="auto"/>
                                      </w:divBdr>
                                      <w:divsChild>
                                        <w:div w:id="1116364985">
                                          <w:marLeft w:val="0"/>
                                          <w:marRight w:val="0"/>
                                          <w:marTop w:val="0"/>
                                          <w:marBottom w:val="0"/>
                                          <w:divBdr>
                                            <w:top w:val="none" w:sz="0" w:space="0" w:color="auto"/>
                                            <w:left w:val="none" w:sz="0" w:space="0" w:color="auto"/>
                                            <w:bottom w:val="none" w:sz="0" w:space="0" w:color="auto"/>
                                            <w:right w:val="none" w:sz="0" w:space="0" w:color="auto"/>
                                          </w:divBdr>
                                          <w:divsChild>
                                            <w:div w:id="1001472994">
                                              <w:marLeft w:val="0"/>
                                              <w:marRight w:val="0"/>
                                              <w:marTop w:val="0"/>
                                              <w:marBottom w:val="0"/>
                                              <w:divBdr>
                                                <w:top w:val="none" w:sz="0" w:space="0" w:color="auto"/>
                                                <w:left w:val="none" w:sz="0" w:space="0" w:color="auto"/>
                                                <w:bottom w:val="none" w:sz="0" w:space="0" w:color="auto"/>
                                                <w:right w:val="none" w:sz="0" w:space="0" w:color="auto"/>
                                              </w:divBdr>
                                              <w:divsChild>
                                                <w:div w:id="1372534054">
                                                  <w:marLeft w:val="0"/>
                                                  <w:marRight w:val="0"/>
                                                  <w:marTop w:val="0"/>
                                                  <w:marBottom w:val="0"/>
                                                  <w:divBdr>
                                                    <w:top w:val="none" w:sz="0" w:space="0" w:color="auto"/>
                                                    <w:left w:val="none" w:sz="0" w:space="0" w:color="auto"/>
                                                    <w:bottom w:val="none" w:sz="0" w:space="0" w:color="auto"/>
                                                    <w:right w:val="none" w:sz="0" w:space="0" w:color="auto"/>
                                                  </w:divBdr>
                                                  <w:divsChild>
                                                    <w:div w:id="169219592">
                                                      <w:marLeft w:val="0"/>
                                                      <w:marRight w:val="0"/>
                                                      <w:marTop w:val="0"/>
                                                      <w:marBottom w:val="0"/>
                                                      <w:divBdr>
                                                        <w:top w:val="none" w:sz="0" w:space="0" w:color="auto"/>
                                                        <w:left w:val="none" w:sz="0" w:space="0" w:color="auto"/>
                                                        <w:bottom w:val="none" w:sz="0" w:space="0" w:color="auto"/>
                                                        <w:right w:val="none" w:sz="0" w:space="0" w:color="auto"/>
                                                      </w:divBdr>
                                                      <w:divsChild>
                                                        <w:div w:id="738284102">
                                                          <w:marLeft w:val="0"/>
                                                          <w:marRight w:val="0"/>
                                                          <w:marTop w:val="0"/>
                                                          <w:marBottom w:val="0"/>
                                                          <w:divBdr>
                                                            <w:top w:val="none" w:sz="0" w:space="0" w:color="auto"/>
                                                            <w:left w:val="none" w:sz="0" w:space="0" w:color="auto"/>
                                                            <w:bottom w:val="none" w:sz="0" w:space="0" w:color="auto"/>
                                                            <w:right w:val="none" w:sz="0" w:space="0" w:color="auto"/>
                                                          </w:divBdr>
                                                          <w:divsChild>
                                                            <w:div w:id="1305281747">
                                                              <w:marLeft w:val="0"/>
                                                              <w:marRight w:val="0"/>
                                                              <w:marTop w:val="0"/>
                                                              <w:marBottom w:val="0"/>
                                                              <w:divBdr>
                                                                <w:top w:val="none" w:sz="0" w:space="0" w:color="auto"/>
                                                                <w:left w:val="none" w:sz="0" w:space="0" w:color="auto"/>
                                                                <w:bottom w:val="none" w:sz="0" w:space="0" w:color="auto"/>
                                                                <w:right w:val="none" w:sz="0" w:space="0" w:color="auto"/>
                                                              </w:divBdr>
                                                              <w:divsChild>
                                                                <w:div w:id="114180303">
                                                                  <w:marLeft w:val="0"/>
                                                                  <w:marRight w:val="0"/>
                                                                  <w:marTop w:val="0"/>
                                                                  <w:marBottom w:val="0"/>
                                                                  <w:divBdr>
                                                                    <w:top w:val="none" w:sz="0" w:space="0" w:color="auto"/>
                                                                    <w:left w:val="none" w:sz="0" w:space="0" w:color="auto"/>
                                                                    <w:bottom w:val="none" w:sz="0" w:space="0" w:color="auto"/>
                                                                    <w:right w:val="none" w:sz="0" w:space="0" w:color="auto"/>
                                                                  </w:divBdr>
                                                                  <w:divsChild>
                                                                    <w:div w:id="1856574826">
                                                                      <w:marLeft w:val="0"/>
                                                                      <w:marRight w:val="0"/>
                                                                      <w:marTop w:val="0"/>
                                                                      <w:marBottom w:val="0"/>
                                                                      <w:divBdr>
                                                                        <w:top w:val="none" w:sz="0" w:space="0" w:color="auto"/>
                                                                        <w:left w:val="none" w:sz="0" w:space="0" w:color="auto"/>
                                                                        <w:bottom w:val="none" w:sz="0" w:space="0" w:color="auto"/>
                                                                        <w:right w:val="none" w:sz="0" w:space="0" w:color="auto"/>
                                                                      </w:divBdr>
                                                                      <w:divsChild>
                                                                        <w:div w:id="1022361810">
                                                                          <w:marLeft w:val="0"/>
                                                                          <w:marRight w:val="0"/>
                                                                          <w:marTop w:val="0"/>
                                                                          <w:marBottom w:val="0"/>
                                                                          <w:divBdr>
                                                                            <w:top w:val="none" w:sz="0" w:space="0" w:color="auto"/>
                                                                            <w:left w:val="none" w:sz="0" w:space="0" w:color="auto"/>
                                                                            <w:bottom w:val="none" w:sz="0" w:space="0" w:color="auto"/>
                                                                            <w:right w:val="none" w:sz="0" w:space="0" w:color="auto"/>
                                                                          </w:divBdr>
                                                                          <w:divsChild>
                                                                            <w:div w:id="1110196737">
                                                                              <w:marLeft w:val="0"/>
                                                                              <w:marRight w:val="0"/>
                                                                              <w:marTop w:val="0"/>
                                                                              <w:marBottom w:val="0"/>
                                                                              <w:divBdr>
                                                                                <w:top w:val="none" w:sz="0" w:space="0" w:color="auto"/>
                                                                                <w:left w:val="none" w:sz="0" w:space="0" w:color="auto"/>
                                                                                <w:bottom w:val="none" w:sz="0" w:space="0" w:color="auto"/>
                                                                                <w:right w:val="none" w:sz="0" w:space="0" w:color="auto"/>
                                                                              </w:divBdr>
                                                                              <w:divsChild>
                                                                                <w:div w:id="6407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3487">
                                                  <w:marLeft w:val="0"/>
                                                  <w:marRight w:val="0"/>
                                                  <w:marTop w:val="0"/>
                                                  <w:marBottom w:val="0"/>
                                                  <w:divBdr>
                                                    <w:top w:val="none" w:sz="0" w:space="0" w:color="auto"/>
                                                    <w:left w:val="none" w:sz="0" w:space="0" w:color="auto"/>
                                                    <w:bottom w:val="none" w:sz="0" w:space="0" w:color="auto"/>
                                                    <w:right w:val="none" w:sz="0" w:space="0" w:color="auto"/>
                                                  </w:divBdr>
                                                  <w:divsChild>
                                                    <w:div w:id="249702181">
                                                      <w:marLeft w:val="0"/>
                                                      <w:marRight w:val="0"/>
                                                      <w:marTop w:val="0"/>
                                                      <w:marBottom w:val="0"/>
                                                      <w:divBdr>
                                                        <w:top w:val="none" w:sz="0" w:space="0" w:color="auto"/>
                                                        <w:left w:val="none" w:sz="0" w:space="0" w:color="auto"/>
                                                        <w:bottom w:val="none" w:sz="0" w:space="0" w:color="auto"/>
                                                        <w:right w:val="none" w:sz="0" w:space="0" w:color="auto"/>
                                                      </w:divBdr>
                                                    </w:div>
                                                  </w:divsChild>
                                                </w:div>
                                                <w:div w:id="2088527050">
                                                  <w:marLeft w:val="0"/>
                                                  <w:marRight w:val="0"/>
                                                  <w:marTop w:val="0"/>
                                                  <w:marBottom w:val="0"/>
                                                  <w:divBdr>
                                                    <w:top w:val="none" w:sz="0" w:space="0" w:color="auto"/>
                                                    <w:left w:val="none" w:sz="0" w:space="0" w:color="auto"/>
                                                    <w:bottom w:val="none" w:sz="0" w:space="0" w:color="auto"/>
                                                    <w:right w:val="none" w:sz="0" w:space="0" w:color="auto"/>
                                                  </w:divBdr>
                                                  <w:divsChild>
                                                    <w:div w:id="1397581287">
                                                      <w:marLeft w:val="0"/>
                                                      <w:marRight w:val="0"/>
                                                      <w:marTop w:val="0"/>
                                                      <w:marBottom w:val="0"/>
                                                      <w:divBdr>
                                                        <w:top w:val="none" w:sz="0" w:space="0" w:color="auto"/>
                                                        <w:left w:val="none" w:sz="0" w:space="0" w:color="auto"/>
                                                        <w:bottom w:val="none" w:sz="0" w:space="0" w:color="auto"/>
                                                        <w:right w:val="none" w:sz="0" w:space="0" w:color="auto"/>
                                                      </w:divBdr>
                                                      <w:divsChild>
                                                        <w:div w:id="288976382">
                                                          <w:marLeft w:val="0"/>
                                                          <w:marRight w:val="0"/>
                                                          <w:marTop w:val="0"/>
                                                          <w:marBottom w:val="0"/>
                                                          <w:divBdr>
                                                            <w:top w:val="none" w:sz="0" w:space="0" w:color="auto"/>
                                                            <w:left w:val="none" w:sz="0" w:space="0" w:color="auto"/>
                                                            <w:bottom w:val="none" w:sz="0" w:space="0" w:color="auto"/>
                                                            <w:right w:val="none" w:sz="0" w:space="0" w:color="auto"/>
                                                          </w:divBdr>
                                                          <w:divsChild>
                                                            <w:div w:id="688213194">
                                                              <w:marLeft w:val="0"/>
                                                              <w:marRight w:val="0"/>
                                                              <w:marTop w:val="0"/>
                                                              <w:marBottom w:val="0"/>
                                                              <w:divBdr>
                                                                <w:top w:val="none" w:sz="0" w:space="0" w:color="auto"/>
                                                                <w:left w:val="none" w:sz="0" w:space="0" w:color="auto"/>
                                                                <w:bottom w:val="none" w:sz="0" w:space="0" w:color="auto"/>
                                                                <w:right w:val="none" w:sz="0" w:space="0" w:color="auto"/>
                                                              </w:divBdr>
                                                              <w:divsChild>
                                                                <w:div w:id="1864245221">
                                                                  <w:marLeft w:val="0"/>
                                                                  <w:marRight w:val="0"/>
                                                                  <w:marTop w:val="0"/>
                                                                  <w:marBottom w:val="0"/>
                                                                  <w:divBdr>
                                                                    <w:top w:val="none" w:sz="0" w:space="0" w:color="auto"/>
                                                                    <w:left w:val="none" w:sz="0" w:space="0" w:color="auto"/>
                                                                    <w:bottom w:val="none" w:sz="0" w:space="0" w:color="auto"/>
                                                                    <w:right w:val="none" w:sz="0" w:space="0" w:color="auto"/>
                                                                  </w:divBdr>
                                                                  <w:divsChild>
                                                                    <w:div w:id="710155863">
                                                                      <w:marLeft w:val="0"/>
                                                                      <w:marRight w:val="0"/>
                                                                      <w:marTop w:val="0"/>
                                                                      <w:marBottom w:val="0"/>
                                                                      <w:divBdr>
                                                                        <w:top w:val="none" w:sz="0" w:space="0" w:color="auto"/>
                                                                        <w:left w:val="none" w:sz="0" w:space="0" w:color="auto"/>
                                                                        <w:bottom w:val="none" w:sz="0" w:space="0" w:color="auto"/>
                                                                        <w:right w:val="none" w:sz="0" w:space="0" w:color="auto"/>
                                                                      </w:divBdr>
                                                                      <w:divsChild>
                                                                        <w:div w:id="17023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892015">
          <w:marLeft w:val="0"/>
          <w:marRight w:val="0"/>
          <w:marTop w:val="0"/>
          <w:marBottom w:val="0"/>
          <w:divBdr>
            <w:top w:val="none" w:sz="0" w:space="0" w:color="auto"/>
            <w:left w:val="none" w:sz="0" w:space="0" w:color="auto"/>
            <w:bottom w:val="none" w:sz="0" w:space="0" w:color="auto"/>
            <w:right w:val="none" w:sz="0" w:space="0" w:color="auto"/>
          </w:divBdr>
          <w:divsChild>
            <w:div w:id="588733359">
              <w:marLeft w:val="0"/>
              <w:marRight w:val="0"/>
              <w:marTop w:val="0"/>
              <w:marBottom w:val="0"/>
              <w:divBdr>
                <w:top w:val="none" w:sz="0" w:space="0" w:color="auto"/>
                <w:left w:val="none" w:sz="0" w:space="0" w:color="auto"/>
                <w:bottom w:val="none" w:sz="0" w:space="0" w:color="auto"/>
                <w:right w:val="none" w:sz="0" w:space="0" w:color="auto"/>
              </w:divBdr>
              <w:divsChild>
                <w:div w:id="17130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1631">
          <w:marLeft w:val="0"/>
          <w:marRight w:val="0"/>
          <w:marTop w:val="0"/>
          <w:marBottom w:val="0"/>
          <w:divBdr>
            <w:top w:val="none" w:sz="0" w:space="0" w:color="auto"/>
            <w:left w:val="none" w:sz="0" w:space="0" w:color="auto"/>
            <w:bottom w:val="none" w:sz="0" w:space="0" w:color="auto"/>
            <w:right w:val="none" w:sz="0" w:space="0" w:color="auto"/>
          </w:divBdr>
          <w:divsChild>
            <w:div w:id="1981298535">
              <w:marLeft w:val="0"/>
              <w:marRight w:val="0"/>
              <w:marTop w:val="0"/>
              <w:marBottom w:val="0"/>
              <w:divBdr>
                <w:top w:val="none" w:sz="0" w:space="0" w:color="auto"/>
                <w:left w:val="none" w:sz="0" w:space="0" w:color="auto"/>
                <w:bottom w:val="none" w:sz="0" w:space="0" w:color="auto"/>
                <w:right w:val="none" w:sz="0" w:space="0" w:color="auto"/>
              </w:divBdr>
              <w:divsChild>
                <w:div w:id="1331524185">
                  <w:marLeft w:val="0"/>
                  <w:marRight w:val="0"/>
                  <w:marTop w:val="0"/>
                  <w:marBottom w:val="0"/>
                  <w:divBdr>
                    <w:top w:val="none" w:sz="0" w:space="0" w:color="auto"/>
                    <w:left w:val="none" w:sz="0" w:space="0" w:color="auto"/>
                    <w:bottom w:val="none" w:sz="0" w:space="0" w:color="auto"/>
                    <w:right w:val="none" w:sz="0" w:space="0" w:color="auto"/>
                  </w:divBdr>
                  <w:divsChild>
                    <w:div w:id="817579048">
                      <w:marLeft w:val="0"/>
                      <w:marRight w:val="0"/>
                      <w:marTop w:val="0"/>
                      <w:marBottom w:val="0"/>
                      <w:divBdr>
                        <w:top w:val="none" w:sz="0" w:space="0" w:color="auto"/>
                        <w:left w:val="none" w:sz="0" w:space="0" w:color="auto"/>
                        <w:bottom w:val="none" w:sz="0" w:space="0" w:color="auto"/>
                        <w:right w:val="none" w:sz="0" w:space="0" w:color="auto"/>
                      </w:divBdr>
                      <w:divsChild>
                        <w:div w:id="602230007">
                          <w:marLeft w:val="0"/>
                          <w:marRight w:val="0"/>
                          <w:marTop w:val="0"/>
                          <w:marBottom w:val="0"/>
                          <w:divBdr>
                            <w:top w:val="none" w:sz="0" w:space="0" w:color="auto"/>
                            <w:left w:val="none" w:sz="0" w:space="0" w:color="auto"/>
                            <w:bottom w:val="none" w:sz="0" w:space="0" w:color="auto"/>
                            <w:right w:val="none" w:sz="0" w:space="0" w:color="auto"/>
                          </w:divBdr>
                          <w:divsChild>
                            <w:div w:id="1761292029">
                              <w:marLeft w:val="0"/>
                              <w:marRight w:val="0"/>
                              <w:marTop w:val="0"/>
                              <w:marBottom w:val="0"/>
                              <w:divBdr>
                                <w:top w:val="none" w:sz="0" w:space="0" w:color="auto"/>
                                <w:left w:val="none" w:sz="0" w:space="0" w:color="auto"/>
                                <w:bottom w:val="none" w:sz="0" w:space="0" w:color="auto"/>
                                <w:right w:val="none" w:sz="0" w:space="0" w:color="auto"/>
                              </w:divBdr>
                              <w:divsChild>
                                <w:div w:id="20217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359">
          <w:marLeft w:val="0"/>
          <w:marRight w:val="0"/>
          <w:marTop w:val="0"/>
          <w:marBottom w:val="0"/>
          <w:divBdr>
            <w:top w:val="none" w:sz="0" w:space="0" w:color="auto"/>
            <w:left w:val="none" w:sz="0" w:space="0" w:color="auto"/>
            <w:bottom w:val="none" w:sz="0" w:space="0" w:color="auto"/>
            <w:right w:val="none" w:sz="0" w:space="0" w:color="auto"/>
          </w:divBdr>
          <w:divsChild>
            <w:div w:id="1950896157">
              <w:marLeft w:val="0"/>
              <w:marRight w:val="0"/>
              <w:marTop w:val="0"/>
              <w:marBottom w:val="0"/>
              <w:divBdr>
                <w:top w:val="none" w:sz="0" w:space="0" w:color="auto"/>
                <w:left w:val="none" w:sz="0" w:space="0" w:color="auto"/>
                <w:bottom w:val="none" w:sz="0" w:space="0" w:color="auto"/>
                <w:right w:val="none" w:sz="0" w:space="0" w:color="auto"/>
              </w:divBdr>
              <w:divsChild>
                <w:div w:id="1312714538">
                  <w:marLeft w:val="0"/>
                  <w:marRight w:val="0"/>
                  <w:marTop w:val="0"/>
                  <w:marBottom w:val="0"/>
                  <w:divBdr>
                    <w:top w:val="none" w:sz="0" w:space="0" w:color="auto"/>
                    <w:left w:val="none" w:sz="0" w:space="0" w:color="auto"/>
                    <w:bottom w:val="none" w:sz="0" w:space="0" w:color="auto"/>
                    <w:right w:val="none" w:sz="0" w:space="0" w:color="auto"/>
                  </w:divBdr>
                  <w:divsChild>
                    <w:div w:id="10420353">
                      <w:marLeft w:val="0"/>
                      <w:marRight w:val="0"/>
                      <w:marTop w:val="0"/>
                      <w:marBottom w:val="0"/>
                      <w:divBdr>
                        <w:top w:val="none" w:sz="0" w:space="0" w:color="auto"/>
                        <w:left w:val="none" w:sz="0" w:space="0" w:color="auto"/>
                        <w:bottom w:val="none" w:sz="0" w:space="0" w:color="auto"/>
                        <w:right w:val="none" w:sz="0" w:space="0" w:color="auto"/>
                      </w:divBdr>
                      <w:divsChild>
                        <w:div w:id="875386389">
                          <w:marLeft w:val="0"/>
                          <w:marRight w:val="0"/>
                          <w:marTop w:val="0"/>
                          <w:marBottom w:val="0"/>
                          <w:divBdr>
                            <w:top w:val="none" w:sz="0" w:space="0" w:color="auto"/>
                            <w:left w:val="none" w:sz="0" w:space="0" w:color="auto"/>
                            <w:bottom w:val="none" w:sz="0" w:space="0" w:color="auto"/>
                            <w:right w:val="none" w:sz="0" w:space="0" w:color="auto"/>
                          </w:divBdr>
                          <w:divsChild>
                            <w:div w:id="1504738007">
                              <w:marLeft w:val="0"/>
                              <w:marRight w:val="0"/>
                              <w:marTop w:val="0"/>
                              <w:marBottom w:val="0"/>
                              <w:divBdr>
                                <w:top w:val="none" w:sz="0" w:space="0" w:color="auto"/>
                                <w:left w:val="none" w:sz="0" w:space="0" w:color="auto"/>
                                <w:bottom w:val="none" w:sz="0" w:space="0" w:color="auto"/>
                                <w:right w:val="none" w:sz="0" w:space="0" w:color="auto"/>
                              </w:divBdr>
                              <w:divsChild>
                                <w:div w:id="1936013548">
                                  <w:marLeft w:val="0"/>
                                  <w:marRight w:val="0"/>
                                  <w:marTop w:val="0"/>
                                  <w:marBottom w:val="0"/>
                                  <w:divBdr>
                                    <w:top w:val="none" w:sz="0" w:space="0" w:color="auto"/>
                                    <w:left w:val="none" w:sz="0" w:space="0" w:color="auto"/>
                                    <w:bottom w:val="none" w:sz="0" w:space="0" w:color="auto"/>
                                    <w:right w:val="none" w:sz="0" w:space="0" w:color="auto"/>
                                  </w:divBdr>
                                  <w:divsChild>
                                    <w:div w:id="1367560751">
                                      <w:marLeft w:val="0"/>
                                      <w:marRight w:val="0"/>
                                      <w:marTop w:val="0"/>
                                      <w:marBottom w:val="0"/>
                                      <w:divBdr>
                                        <w:top w:val="none" w:sz="0" w:space="0" w:color="auto"/>
                                        <w:left w:val="none" w:sz="0" w:space="0" w:color="auto"/>
                                        <w:bottom w:val="none" w:sz="0" w:space="0" w:color="auto"/>
                                        <w:right w:val="none" w:sz="0" w:space="0" w:color="auto"/>
                                      </w:divBdr>
                                      <w:divsChild>
                                        <w:div w:id="11615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5801">
                          <w:marLeft w:val="0"/>
                          <w:marRight w:val="0"/>
                          <w:marTop w:val="0"/>
                          <w:marBottom w:val="0"/>
                          <w:divBdr>
                            <w:top w:val="none" w:sz="0" w:space="0" w:color="auto"/>
                            <w:left w:val="none" w:sz="0" w:space="0" w:color="auto"/>
                            <w:bottom w:val="none" w:sz="0" w:space="0" w:color="auto"/>
                            <w:right w:val="none" w:sz="0" w:space="0" w:color="auto"/>
                          </w:divBdr>
                          <w:divsChild>
                            <w:div w:id="1338919142">
                              <w:marLeft w:val="0"/>
                              <w:marRight w:val="0"/>
                              <w:marTop w:val="0"/>
                              <w:marBottom w:val="0"/>
                              <w:divBdr>
                                <w:top w:val="none" w:sz="0" w:space="0" w:color="auto"/>
                                <w:left w:val="none" w:sz="0" w:space="0" w:color="auto"/>
                                <w:bottom w:val="none" w:sz="0" w:space="0" w:color="auto"/>
                                <w:right w:val="none" w:sz="0" w:space="0" w:color="auto"/>
                              </w:divBdr>
                              <w:divsChild>
                                <w:div w:id="1634213318">
                                  <w:marLeft w:val="0"/>
                                  <w:marRight w:val="0"/>
                                  <w:marTop w:val="0"/>
                                  <w:marBottom w:val="0"/>
                                  <w:divBdr>
                                    <w:top w:val="none" w:sz="0" w:space="0" w:color="auto"/>
                                    <w:left w:val="none" w:sz="0" w:space="0" w:color="auto"/>
                                    <w:bottom w:val="none" w:sz="0" w:space="0" w:color="auto"/>
                                    <w:right w:val="none" w:sz="0" w:space="0" w:color="auto"/>
                                  </w:divBdr>
                                  <w:divsChild>
                                    <w:div w:id="368265280">
                                      <w:marLeft w:val="0"/>
                                      <w:marRight w:val="0"/>
                                      <w:marTop w:val="0"/>
                                      <w:marBottom w:val="0"/>
                                      <w:divBdr>
                                        <w:top w:val="none" w:sz="0" w:space="0" w:color="auto"/>
                                        <w:left w:val="none" w:sz="0" w:space="0" w:color="auto"/>
                                        <w:bottom w:val="none" w:sz="0" w:space="0" w:color="auto"/>
                                        <w:right w:val="none" w:sz="0" w:space="0" w:color="auto"/>
                                      </w:divBdr>
                                      <w:divsChild>
                                        <w:div w:id="958561252">
                                          <w:marLeft w:val="0"/>
                                          <w:marRight w:val="0"/>
                                          <w:marTop w:val="0"/>
                                          <w:marBottom w:val="0"/>
                                          <w:divBdr>
                                            <w:top w:val="none" w:sz="0" w:space="0" w:color="auto"/>
                                            <w:left w:val="none" w:sz="0" w:space="0" w:color="auto"/>
                                            <w:bottom w:val="none" w:sz="0" w:space="0" w:color="auto"/>
                                            <w:right w:val="none" w:sz="0" w:space="0" w:color="auto"/>
                                          </w:divBdr>
                                          <w:divsChild>
                                            <w:div w:id="991912318">
                                              <w:marLeft w:val="0"/>
                                              <w:marRight w:val="0"/>
                                              <w:marTop w:val="0"/>
                                              <w:marBottom w:val="0"/>
                                              <w:divBdr>
                                                <w:top w:val="none" w:sz="0" w:space="0" w:color="auto"/>
                                                <w:left w:val="none" w:sz="0" w:space="0" w:color="auto"/>
                                                <w:bottom w:val="none" w:sz="0" w:space="0" w:color="auto"/>
                                                <w:right w:val="none" w:sz="0" w:space="0" w:color="auto"/>
                                              </w:divBdr>
                                              <w:divsChild>
                                                <w:div w:id="1315834497">
                                                  <w:marLeft w:val="0"/>
                                                  <w:marRight w:val="0"/>
                                                  <w:marTop w:val="0"/>
                                                  <w:marBottom w:val="0"/>
                                                  <w:divBdr>
                                                    <w:top w:val="none" w:sz="0" w:space="0" w:color="auto"/>
                                                    <w:left w:val="none" w:sz="0" w:space="0" w:color="auto"/>
                                                    <w:bottom w:val="none" w:sz="0" w:space="0" w:color="auto"/>
                                                    <w:right w:val="none" w:sz="0" w:space="0" w:color="auto"/>
                                                  </w:divBdr>
                                                  <w:divsChild>
                                                    <w:div w:id="459693908">
                                                      <w:marLeft w:val="0"/>
                                                      <w:marRight w:val="0"/>
                                                      <w:marTop w:val="0"/>
                                                      <w:marBottom w:val="0"/>
                                                      <w:divBdr>
                                                        <w:top w:val="none" w:sz="0" w:space="0" w:color="auto"/>
                                                        <w:left w:val="none" w:sz="0" w:space="0" w:color="auto"/>
                                                        <w:bottom w:val="none" w:sz="0" w:space="0" w:color="auto"/>
                                                        <w:right w:val="none" w:sz="0" w:space="0" w:color="auto"/>
                                                      </w:divBdr>
                                                      <w:divsChild>
                                                        <w:div w:id="25103518">
                                                          <w:marLeft w:val="0"/>
                                                          <w:marRight w:val="0"/>
                                                          <w:marTop w:val="0"/>
                                                          <w:marBottom w:val="0"/>
                                                          <w:divBdr>
                                                            <w:top w:val="none" w:sz="0" w:space="0" w:color="auto"/>
                                                            <w:left w:val="none" w:sz="0" w:space="0" w:color="auto"/>
                                                            <w:bottom w:val="none" w:sz="0" w:space="0" w:color="auto"/>
                                                            <w:right w:val="none" w:sz="0" w:space="0" w:color="auto"/>
                                                          </w:divBdr>
                                                        </w:div>
                                                        <w:div w:id="117068729">
                                                          <w:marLeft w:val="0"/>
                                                          <w:marRight w:val="0"/>
                                                          <w:marTop w:val="0"/>
                                                          <w:marBottom w:val="0"/>
                                                          <w:divBdr>
                                                            <w:top w:val="none" w:sz="0" w:space="0" w:color="auto"/>
                                                            <w:left w:val="none" w:sz="0" w:space="0" w:color="auto"/>
                                                            <w:bottom w:val="none" w:sz="0" w:space="0" w:color="auto"/>
                                                            <w:right w:val="none" w:sz="0" w:space="0" w:color="auto"/>
                                                          </w:divBdr>
                                                          <w:divsChild>
                                                            <w:div w:id="540702842">
                                                              <w:marLeft w:val="0"/>
                                                              <w:marRight w:val="0"/>
                                                              <w:marTop w:val="0"/>
                                                              <w:marBottom w:val="0"/>
                                                              <w:divBdr>
                                                                <w:top w:val="none" w:sz="0" w:space="0" w:color="auto"/>
                                                                <w:left w:val="none" w:sz="0" w:space="0" w:color="auto"/>
                                                                <w:bottom w:val="none" w:sz="0" w:space="0" w:color="auto"/>
                                                                <w:right w:val="none" w:sz="0" w:space="0" w:color="auto"/>
                                                              </w:divBdr>
                                                              <w:divsChild>
                                                                <w:div w:id="673611422">
                                                                  <w:marLeft w:val="0"/>
                                                                  <w:marRight w:val="0"/>
                                                                  <w:marTop w:val="0"/>
                                                                  <w:marBottom w:val="0"/>
                                                                  <w:divBdr>
                                                                    <w:top w:val="none" w:sz="0" w:space="0" w:color="auto"/>
                                                                    <w:left w:val="none" w:sz="0" w:space="0" w:color="auto"/>
                                                                    <w:bottom w:val="none" w:sz="0" w:space="0" w:color="auto"/>
                                                                    <w:right w:val="none" w:sz="0" w:space="0" w:color="auto"/>
                                                                  </w:divBdr>
                                                                  <w:divsChild>
                                                                    <w:div w:id="1639529901">
                                                                      <w:marLeft w:val="0"/>
                                                                      <w:marRight w:val="0"/>
                                                                      <w:marTop w:val="0"/>
                                                                      <w:marBottom w:val="0"/>
                                                                      <w:divBdr>
                                                                        <w:top w:val="none" w:sz="0" w:space="0" w:color="auto"/>
                                                                        <w:left w:val="none" w:sz="0" w:space="0" w:color="auto"/>
                                                                        <w:bottom w:val="none" w:sz="0" w:space="0" w:color="auto"/>
                                                                        <w:right w:val="none" w:sz="0" w:space="0" w:color="auto"/>
                                                                      </w:divBdr>
                                                                      <w:divsChild>
                                                                        <w:div w:id="127675317">
                                                                          <w:marLeft w:val="0"/>
                                                                          <w:marRight w:val="0"/>
                                                                          <w:marTop w:val="0"/>
                                                                          <w:marBottom w:val="0"/>
                                                                          <w:divBdr>
                                                                            <w:top w:val="none" w:sz="0" w:space="0" w:color="auto"/>
                                                                            <w:left w:val="none" w:sz="0" w:space="0" w:color="auto"/>
                                                                            <w:bottom w:val="none" w:sz="0" w:space="0" w:color="auto"/>
                                                                            <w:right w:val="none" w:sz="0" w:space="0" w:color="auto"/>
                                                                          </w:divBdr>
                                                                          <w:divsChild>
                                                                            <w:div w:id="1769346713">
                                                                              <w:marLeft w:val="0"/>
                                                                              <w:marRight w:val="0"/>
                                                                              <w:marTop w:val="0"/>
                                                                              <w:marBottom w:val="0"/>
                                                                              <w:divBdr>
                                                                                <w:top w:val="none" w:sz="0" w:space="0" w:color="auto"/>
                                                                                <w:left w:val="none" w:sz="0" w:space="0" w:color="auto"/>
                                                                                <w:bottom w:val="none" w:sz="0" w:space="0" w:color="auto"/>
                                                                                <w:right w:val="none" w:sz="0" w:space="0" w:color="auto"/>
                                                                              </w:divBdr>
                                                                              <w:divsChild>
                                                                                <w:div w:id="554507755">
                                                                                  <w:marLeft w:val="0"/>
                                                                                  <w:marRight w:val="0"/>
                                                                                  <w:marTop w:val="0"/>
                                                                                  <w:marBottom w:val="0"/>
                                                                                  <w:divBdr>
                                                                                    <w:top w:val="none" w:sz="0" w:space="0" w:color="auto"/>
                                                                                    <w:left w:val="none" w:sz="0" w:space="0" w:color="auto"/>
                                                                                    <w:bottom w:val="none" w:sz="0" w:space="0" w:color="auto"/>
                                                                                    <w:right w:val="none" w:sz="0" w:space="0" w:color="auto"/>
                                                                                  </w:divBdr>
                                                                                  <w:divsChild>
                                                                                    <w:div w:id="347684275">
                                                                                      <w:marLeft w:val="0"/>
                                                                                      <w:marRight w:val="0"/>
                                                                                      <w:marTop w:val="0"/>
                                                                                      <w:marBottom w:val="0"/>
                                                                                      <w:divBdr>
                                                                                        <w:top w:val="none" w:sz="0" w:space="0" w:color="auto"/>
                                                                                        <w:left w:val="none" w:sz="0" w:space="0" w:color="auto"/>
                                                                                        <w:bottom w:val="none" w:sz="0" w:space="0" w:color="auto"/>
                                                                                        <w:right w:val="none" w:sz="0" w:space="0" w:color="auto"/>
                                                                                      </w:divBdr>
                                                                                      <w:divsChild>
                                                                                        <w:div w:id="520122983">
                                                                                          <w:marLeft w:val="0"/>
                                                                                          <w:marRight w:val="0"/>
                                                                                          <w:marTop w:val="0"/>
                                                                                          <w:marBottom w:val="0"/>
                                                                                          <w:divBdr>
                                                                                            <w:top w:val="none" w:sz="0" w:space="0" w:color="auto"/>
                                                                                            <w:left w:val="none" w:sz="0" w:space="0" w:color="auto"/>
                                                                                            <w:bottom w:val="none" w:sz="0" w:space="0" w:color="auto"/>
                                                                                            <w:right w:val="none" w:sz="0" w:space="0" w:color="auto"/>
                                                                                          </w:divBdr>
                                                                                          <w:divsChild>
                                                                                            <w:div w:id="12389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5115">
                                                                                  <w:marLeft w:val="0"/>
                                                                                  <w:marRight w:val="0"/>
                                                                                  <w:marTop w:val="0"/>
                                                                                  <w:marBottom w:val="0"/>
                                                                                  <w:divBdr>
                                                                                    <w:top w:val="none" w:sz="0" w:space="0" w:color="auto"/>
                                                                                    <w:left w:val="none" w:sz="0" w:space="0" w:color="auto"/>
                                                                                    <w:bottom w:val="none" w:sz="0" w:space="0" w:color="auto"/>
                                                                                    <w:right w:val="none" w:sz="0" w:space="0" w:color="auto"/>
                                                                                  </w:divBdr>
                                                                                </w:div>
                                                                              </w:divsChild>
                                                                            </w:div>
                                                                            <w:div w:id="1882664166">
                                                                              <w:marLeft w:val="0"/>
                                                                              <w:marRight w:val="0"/>
                                                                              <w:marTop w:val="0"/>
                                                                              <w:marBottom w:val="0"/>
                                                                              <w:divBdr>
                                                                                <w:top w:val="none" w:sz="0" w:space="0" w:color="auto"/>
                                                                                <w:left w:val="none" w:sz="0" w:space="0" w:color="auto"/>
                                                                                <w:bottom w:val="none" w:sz="0" w:space="0" w:color="auto"/>
                                                                                <w:right w:val="none" w:sz="0" w:space="0" w:color="auto"/>
                                                                              </w:divBdr>
                                                                              <w:divsChild>
                                                                                <w:div w:id="18379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77853">
                                                  <w:marLeft w:val="0"/>
                                                  <w:marRight w:val="0"/>
                                                  <w:marTop w:val="0"/>
                                                  <w:marBottom w:val="0"/>
                                                  <w:divBdr>
                                                    <w:top w:val="none" w:sz="0" w:space="0" w:color="auto"/>
                                                    <w:left w:val="none" w:sz="0" w:space="0" w:color="auto"/>
                                                    <w:bottom w:val="none" w:sz="0" w:space="0" w:color="auto"/>
                                                    <w:right w:val="none" w:sz="0" w:space="0" w:color="auto"/>
                                                  </w:divBdr>
                                                  <w:divsChild>
                                                    <w:div w:id="990868661">
                                                      <w:marLeft w:val="0"/>
                                                      <w:marRight w:val="0"/>
                                                      <w:marTop w:val="0"/>
                                                      <w:marBottom w:val="0"/>
                                                      <w:divBdr>
                                                        <w:top w:val="none" w:sz="0" w:space="0" w:color="auto"/>
                                                        <w:left w:val="none" w:sz="0" w:space="0" w:color="auto"/>
                                                        <w:bottom w:val="none" w:sz="0" w:space="0" w:color="auto"/>
                                                        <w:right w:val="none" w:sz="0" w:space="0" w:color="auto"/>
                                                      </w:divBdr>
                                                    </w:div>
                                                    <w:div w:id="19064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28959">
                  <w:marLeft w:val="0"/>
                  <w:marRight w:val="0"/>
                  <w:marTop w:val="0"/>
                  <w:marBottom w:val="0"/>
                  <w:divBdr>
                    <w:top w:val="none" w:sz="0" w:space="0" w:color="auto"/>
                    <w:left w:val="none" w:sz="0" w:space="0" w:color="auto"/>
                    <w:bottom w:val="none" w:sz="0" w:space="0" w:color="auto"/>
                    <w:right w:val="none" w:sz="0" w:space="0" w:color="auto"/>
                  </w:divBdr>
                  <w:divsChild>
                    <w:div w:id="253320872">
                      <w:marLeft w:val="0"/>
                      <w:marRight w:val="0"/>
                      <w:marTop w:val="0"/>
                      <w:marBottom w:val="0"/>
                      <w:divBdr>
                        <w:top w:val="none" w:sz="0" w:space="0" w:color="auto"/>
                        <w:left w:val="none" w:sz="0" w:space="0" w:color="auto"/>
                        <w:bottom w:val="none" w:sz="0" w:space="0" w:color="auto"/>
                        <w:right w:val="none" w:sz="0" w:space="0" w:color="auto"/>
                      </w:divBdr>
                      <w:divsChild>
                        <w:div w:id="644242902">
                          <w:marLeft w:val="0"/>
                          <w:marRight w:val="0"/>
                          <w:marTop w:val="0"/>
                          <w:marBottom w:val="0"/>
                          <w:divBdr>
                            <w:top w:val="none" w:sz="0" w:space="0" w:color="auto"/>
                            <w:left w:val="none" w:sz="0" w:space="0" w:color="auto"/>
                            <w:bottom w:val="none" w:sz="0" w:space="0" w:color="auto"/>
                            <w:right w:val="none" w:sz="0" w:space="0" w:color="auto"/>
                          </w:divBdr>
                          <w:divsChild>
                            <w:div w:id="207685640">
                              <w:marLeft w:val="0"/>
                              <w:marRight w:val="0"/>
                              <w:marTop w:val="0"/>
                              <w:marBottom w:val="0"/>
                              <w:divBdr>
                                <w:top w:val="none" w:sz="0" w:space="0" w:color="auto"/>
                                <w:left w:val="none" w:sz="0" w:space="0" w:color="auto"/>
                                <w:bottom w:val="none" w:sz="0" w:space="0" w:color="auto"/>
                                <w:right w:val="none" w:sz="0" w:space="0" w:color="auto"/>
                              </w:divBdr>
                              <w:divsChild>
                                <w:div w:id="1148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82237">
      <w:bodyDiv w:val="1"/>
      <w:marLeft w:val="0"/>
      <w:marRight w:val="0"/>
      <w:marTop w:val="0"/>
      <w:marBottom w:val="0"/>
      <w:divBdr>
        <w:top w:val="none" w:sz="0" w:space="0" w:color="auto"/>
        <w:left w:val="none" w:sz="0" w:space="0" w:color="auto"/>
        <w:bottom w:val="none" w:sz="0" w:space="0" w:color="auto"/>
        <w:right w:val="none" w:sz="0" w:space="0" w:color="auto"/>
      </w:divBdr>
    </w:div>
    <w:div w:id="341709886">
      <w:bodyDiv w:val="1"/>
      <w:marLeft w:val="0"/>
      <w:marRight w:val="0"/>
      <w:marTop w:val="0"/>
      <w:marBottom w:val="0"/>
      <w:divBdr>
        <w:top w:val="none" w:sz="0" w:space="0" w:color="auto"/>
        <w:left w:val="none" w:sz="0" w:space="0" w:color="auto"/>
        <w:bottom w:val="none" w:sz="0" w:space="0" w:color="auto"/>
        <w:right w:val="none" w:sz="0" w:space="0" w:color="auto"/>
      </w:divBdr>
    </w:div>
    <w:div w:id="344987646">
      <w:bodyDiv w:val="1"/>
      <w:marLeft w:val="0"/>
      <w:marRight w:val="0"/>
      <w:marTop w:val="0"/>
      <w:marBottom w:val="0"/>
      <w:divBdr>
        <w:top w:val="none" w:sz="0" w:space="0" w:color="auto"/>
        <w:left w:val="none" w:sz="0" w:space="0" w:color="auto"/>
        <w:bottom w:val="none" w:sz="0" w:space="0" w:color="auto"/>
        <w:right w:val="none" w:sz="0" w:space="0" w:color="auto"/>
      </w:divBdr>
    </w:div>
    <w:div w:id="346948713">
      <w:bodyDiv w:val="1"/>
      <w:marLeft w:val="0"/>
      <w:marRight w:val="0"/>
      <w:marTop w:val="0"/>
      <w:marBottom w:val="0"/>
      <w:divBdr>
        <w:top w:val="none" w:sz="0" w:space="0" w:color="auto"/>
        <w:left w:val="none" w:sz="0" w:space="0" w:color="auto"/>
        <w:bottom w:val="none" w:sz="0" w:space="0" w:color="auto"/>
        <w:right w:val="none" w:sz="0" w:space="0" w:color="auto"/>
      </w:divBdr>
    </w:div>
    <w:div w:id="356583821">
      <w:bodyDiv w:val="1"/>
      <w:marLeft w:val="0"/>
      <w:marRight w:val="0"/>
      <w:marTop w:val="0"/>
      <w:marBottom w:val="0"/>
      <w:divBdr>
        <w:top w:val="none" w:sz="0" w:space="0" w:color="auto"/>
        <w:left w:val="none" w:sz="0" w:space="0" w:color="auto"/>
        <w:bottom w:val="none" w:sz="0" w:space="0" w:color="auto"/>
        <w:right w:val="none" w:sz="0" w:space="0" w:color="auto"/>
      </w:divBdr>
    </w:div>
    <w:div w:id="367879679">
      <w:bodyDiv w:val="1"/>
      <w:marLeft w:val="0"/>
      <w:marRight w:val="0"/>
      <w:marTop w:val="0"/>
      <w:marBottom w:val="0"/>
      <w:divBdr>
        <w:top w:val="none" w:sz="0" w:space="0" w:color="auto"/>
        <w:left w:val="none" w:sz="0" w:space="0" w:color="auto"/>
        <w:bottom w:val="none" w:sz="0" w:space="0" w:color="auto"/>
        <w:right w:val="none" w:sz="0" w:space="0" w:color="auto"/>
      </w:divBdr>
    </w:div>
    <w:div w:id="368339222">
      <w:bodyDiv w:val="1"/>
      <w:marLeft w:val="0"/>
      <w:marRight w:val="0"/>
      <w:marTop w:val="0"/>
      <w:marBottom w:val="0"/>
      <w:divBdr>
        <w:top w:val="none" w:sz="0" w:space="0" w:color="auto"/>
        <w:left w:val="none" w:sz="0" w:space="0" w:color="auto"/>
        <w:bottom w:val="none" w:sz="0" w:space="0" w:color="auto"/>
        <w:right w:val="none" w:sz="0" w:space="0" w:color="auto"/>
      </w:divBdr>
    </w:div>
    <w:div w:id="377555772">
      <w:bodyDiv w:val="1"/>
      <w:marLeft w:val="0"/>
      <w:marRight w:val="0"/>
      <w:marTop w:val="0"/>
      <w:marBottom w:val="0"/>
      <w:divBdr>
        <w:top w:val="none" w:sz="0" w:space="0" w:color="auto"/>
        <w:left w:val="none" w:sz="0" w:space="0" w:color="auto"/>
        <w:bottom w:val="none" w:sz="0" w:space="0" w:color="auto"/>
        <w:right w:val="none" w:sz="0" w:space="0" w:color="auto"/>
      </w:divBdr>
    </w:div>
    <w:div w:id="383870680">
      <w:bodyDiv w:val="1"/>
      <w:marLeft w:val="0"/>
      <w:marRight w:val="0"/>
      <w:marTop w:val="0"/>
      <w:marBottom w:val="0"/>
      <w:divBdr>
        <w:top w:val="none" w:sz="0" w:space="0" w:color="auto"/>
        <w:left w:val="none" w:sz="0" w:space="0" w:color="auto"/>
        <w:bottom w:val="none" w:sz="0" w:space="0" w:color="auto"/>
        <w:right w:val="none" w:sz="0" w:space="0" w:color="auto"/>
      </w:divBdr>
    </w:div>
    <w:div w:id="391277691">
      <w:bodyDiv w:val="1"/>
      <w:marLeft w:val="0"/>
      <w:marRight w:val="0"/>
      <w:marTop w:val="0"/>
      <w:marBottom w:val="0"/>
      <w:divBdr>
        <w:top w:val="none" w:sz="0" w:space="0" w:color="auto"/>
        <w:left w:val="none" w:sz="0" w:space="0" w:color="auto"/>
        <w:bottom w:val="none" w:sz="0" w:space="0" w:color="auto"/>
        <w:right w:val="none" w:sz="0" w:space="0" w:color="auto"/>
      </w:divBdr>
    </w:div>
    <w:div w:id="393046029">
      <w:bodyDiv w:val="1"/>
      <w:marLeft w:val="0"/>
      <w:marRight w:val="0"/>
      <w:marTop w:val="0"/>
      <w:marBottom w:val="0"/>
      <w:divBdr>
        <w:top w:val="none" w:sz="0" w:space="0" w:color="auto"/>
        <w:left w:val="none" w:sz="0" w:space="0" w:color="auto"/>
        <w:bottom w:val="none" w:sz="0" w:space="0" w:color="auto"/>
        <w:right w:val="none" w:sz="0" w:space="0" w:color="auto"/>
      </w:divBdr>
    </w:div>
    <w:div w:id="410200442">
      <w:bodyDiv w:val="1"/>
      <w:marLeft w:val="0"/>
      <w:marRight w:val="0"/>
      <w:marTop w:val="0"/>
      <w:marBottom w:val="0"/>
      <w:divBdr>
        <w:top w:val="none" w:sz="0" w:space="0" w:color="auto"/>
        <w:left w:val="none" w:sz="0" w:space="0" w:color="auto"/>
        <w:bottom w:val="none" w:sz="0" w:space="0" w:color="auto"/>
        <w:right w:val="none" w:sz="0" w:space="0" w:color="auto"/>
      </w:divBdr>
    </w:div>
    <w:div w:id="414329595">
      <w:bodyDiv w:val="1"/>
      <w:marLeft w:val="0"/>
      <w:marRight w:val="0"/>
      <w:marTop w:val="0"/>
      <w:marBottom w:val="0"/>
      <w:divBdr>
        <w:top w:val="none" w:sz="0" w:space="0" w:color="auto"/>
        <w:left w:val="none" w:sz="0" w:space="0" w:color="auto"/>
        <w:bottom w:val="none" w:sz="0" w:space="0" w:color="auto"/>
        <w:right w:val="none" w:sz="0" w:space="0" w:color="auto"/>
      </w:divBdr>
      <w:divsChild>
        <w:div w:id="791486535">
          <w:marLeft w:val="0"/>
          <w:marRight w:val="0"/>
          <w:marTop w:val="0"/>
          <w:marBottom w:val="0"/>
          <w:divBdr>
            <w:top w:val="none" w:sz="0" w:space="0" w:color="auto"/>
            <w:left w:val="none" w:sz="0" w:space="0" w:color="auto"/>
            <w:bottom w:val="none" w:sz="0" w:space="0" w:color="auto"/>
            <w:right w:val="none" w:sz="0" w:space="0" w:color="auto"/>
          </w:divBdr>
        </w:div>
        <w:div w:id="1745493101">
          <w:marLeft w:val="0"/>
          <w:marRight w:val="0"/>
          <w:marTop w:val="0"/>
          <w:marBottom w:val="0"/>
          <w:divBdr>
            <w:top w:val="none" w:sz="0" w:space="0" w:color="auto"/>
            <w:left w:val="none" w:sz="0" w:space="0" w:color="auto"/>
            <w:bottom w:val="none" w:sz="0" w:space="0" w:color="auto"/>
            <w:right w:val="none" w:sz="0" w:space="0" w:color="auto"/>
          </w:divBdr>
        </w:div>
      </w:divsChild>
    </w:div>
    <w:div w:id="432555924">
      <w:bodyDiv w:val="1"/>
      <w:marLeft w:val="0"/>
      <w:marRight w:val="0"/>
      <w:marTop w:val="0"/>
      <w:marBottom w:val="0"/>
      <w:divBdr>
        <w:top w:val="none" w:sz="0" w:space="0" w:color="auto"/>
        <w:left w:val="none" w:sz="0" w:space="0" w:color="auto"/>
        <w:bottom w:val="none" w:sz="0" w:space="0" w:color="auto"/>
        <w:right w:val="none" w:sz="0" w:space="0" w:color="auto"/>
      </w:divBdr>
    </w:div>
    <w:div w:id="433867463">
      <w:bodyDiv w:val="1"/>
      <w:marLeft w:val="0"/>
      <w:marRight w:val="0"/>
      <w:marTop w:val="0"/>
      <w:marBottom w:val="0"/>
      <w:divBdr>
        <w:top w:val="none" w:sz="0" w:space="0" w:color="auto"/>
        <w:left w:val="none" w:sz="0" w:space="0" w:color="auto"/>
        <w:bottom w:val="none" w:sz="0" w:space="0" w:color="auto"/>
        <w:right w:val="none" w:sz="0" w:space="0" w:color="auto"/>
      </w:divBdr>
    </w:div>
    <w:div w:id="437454497">
      <w:bodyDiv w:val="1"/>
      <w:marLeft w:val="0"/>
      <w:marRight w:val="0"/>
      <w:marTop w:val="0"/>
      <w:marBottom w:val="0"/>
      <w:divBdr>
        <w:top w:val="none" w:sz="0" w:space="0" w:color="auto"/>
        <w:left w:val="none" w:sz="0" w:space="0" w:color="auto"/>
        <w:bottom w:val="none" w:sz="0" w:space="0" w:color="auto"/>
        <w:right w:val="none" w:sz="0" w:space="0" w:color="auto"/>
      </w:divBdr>
    </w:div>
    <w:div w:id="438181889">
      <w:bodyDiv w:val="1"/>
      <w:marLeft w:val="0"/>
      <w:marRight w:val="0"/>
      <w:marTop w:val="0"/>
      <w:marBottom w:val="0"/>
      <w:divBdr>
        <w:top w:val="none" w:sz="0" w:space="0" w:color="auto"/>
        <w:left w:val="none" w:sz="0" w:space="0" w:color="auto"/>
        <w:bottom w:val="none" w:sz="0" w:space="0" w:color="auto"/>
        <w:right w:val="none" w:sz="0" w:space="0" w:color="auto"/>
      </w:divBdr>
    </w:div>
    <w:div w:id="442189828">
      <w:bodyDiv w:val="1"/>
      <w:marLeft w:val="0"/>
      <w:marRight w:val="0"/>
      <w:marTop w:val="0"/>
      <w:marBottom w:val="0"/>
      <w:divBdr>
        <w:top w:val="none" w:sz="0" w:space="0" w:color="auto"/>
        <w:left w:val="none" w:sz="0" w:space="0" w:color="auto"/>
        <w:bottom w:val="none" w:sz="0" w:space="0" w:color="auto"/>
        <w:right w:val="none" w:sz="0" w:space="0" w:color="auto"/>
      </w:divBdr>
    </w:div>
    <w:div w:id="446506201">
      <w:bodyDiv w:val="1"/>
      <w:marLeft w:val="0"/>
      <w:marRight w:val="0"/>
      <w:marTop w:val="0"/>
      <w:marBottom w:val="0"/>
      <w:divBdr>
        <w:top w:val="none" w:sz="0" w:space="0" w:color="auto"/>
        <w:left w:val="none" w:sz="0" w:space="0" w:color="auto"/>
        <w:bottom w:val="none" w:sz="0" w:space="0" w:color="auto"/>
        <w:right w:val="none" w:sz="0" w:space="0" w:color="auto"/>
      </w:divBdr>
    </w:div>
    <w:div w:id="450125488">
      <w:bodyDiv w:val="1"/>
      <w:marLeft w:val="0"/>
      <w:marRight w:val="0"/>
      <w:marTop w:val="0"/>
      <w:marBottom w:val="0"/>
      <w:divBdr>
        <w:top w:val="none" w:sz="0" w:space="0" w:color="auto"/>
        <w:left w:val="none" w:sz="0" w:space="0" w:color="auto"/>
        <w:bottom w:val="none" w:sz="0" w:space="0" w:color="auto"/>
        <w:right w:val="none" w:sz="0" w:space="0" w:color="auto"/>
      </w:divBdr>
    </w:div>
    <w:div w:id="454057265">
      <w:bodyDiv w:val="1"/>
      <w:marLeft w:val="0"/>
      <w:marRight w:val="0"/>
      <w:marTop w:val="0"/>
      <w:marBottom w:val="0"/>
      <w:divBdr>
        <w:top w:val="none" w:sz="0" w:space="0" w:color="auto"/>
        <w:left w:val="none" w:sz="0" w:space="0" w:color="auto"/>
        <w:bottom w:val="none" w:sz="0" w:space="0" w:color="auto"/>
        <w:right w:val="none" w:sz="0" w:space="0" w:color="auto"/>
      </w:divBdr>
    </w:div>
    <w:div w:id="457187803">
      <w:bodyDiv w:val="1"/>
      <w:marLeft w:val="0"/>
      <w:marRight w:val="0"/>
      <w:marTop w:val="0"/>
      <w:marBottom w:val="0"/>
      <w:divBdr>
        <w:top w:val="none" w:sz="0" w:space="0" w:color="auto"/>
        <w:left w:val="none" w:sz="0" w:space="0" w:color="auto"/>
        <w:bottom w:val="none" w:sz="0" w:space="0" w:color="auto"/>
        <w:right w:val="none" w:sz="0" w:space="0" w:color="auto"/>
      </w:divBdr>
    </w:div>
    <w:div w:id="464739633">
      <w:bodyDiv w:val="1"/>
      <w:marLeft w:val="0"/>
      <w:marRight w:val="0"/>
      <w:marTop w:val="0"/>
      <w:marBottom w:val="0"/>
      <w:divBdr>
        <w:top w:val="none" w:sz="0" w:space="0" w:color="auto"/>
        <w:left w:val="none" w:sz="0" w:space="0" w:color="auto"/>
        <w:bottom w:val="none" w:sz="0" w:space="0" w:color="auto"/>
        <w:right w:val="none" w:sz="0" w:space="0" w:color="auto"/>
      </w:divBdr>
    </w:div>
    <w:div w:id="466747508">
      <w:bodyDiv w:val="1"/>
      <w:marLeft w:val="0"/>
      <w:marRight w:val="0"/>
      <w:marTop w:val="0"/>
      <w:marBottom w:val="0"/>
      <w:divBdr>
        <w:top w:val="none" w:sz="0" w:space="0" w:color="auto"/>
        <w:left w:val="none" w:sz="0" w:space="0" w:color="auto"/>
        <w:bottom w:val="none" w:sz="0" w:space="0" w:color="auto"/>
        <w:right w:val="none" w:sz="0" w:space="0" w:color="auto"/>
      </w:divBdr>
    </w:div>
    <w:div w:id="480271744">
      <w:bodyDiv w:val="1"/>
      <w:marLeft w:val="0"/>
      <w:marRight w:val="0"/>
      <w:marTop w:val="0"/>
      <w:marBottom w:val="0"/>
      <w:divBdr>
        <w:top w:val="none" w:sz="0" w:space="0" w:color="auto"/>
        <w:left w:val="none" w:sz="0" w:space="0" w:color="auto"/>
        <w:bottom w:val="none" w:sz="0" w:space="0" w:color="auto"/>
        <w:right w:val="none" w:sz="0" w:space="0" w:color="auto"/>
      </w:divBdr>
    </w:div>
    <w:div w:id="484321045">
      <w:bodyDiv w:val="1"/>
      <w:marLeft w:val="0"/>
      <w:marRight w:val="0"/>
      <w:marTop w:val="0"/>
      <w:marBottom w:val="0"/>
      <w:divBdr>
        <w:top w:val="none" w:sz="0" w:space="0" w:color="auto"/>
        <w:left w:val="none" w:sz="0" w:space="0" w:color="auto"/>
        <w:bottom w:val="none" w:sz="0" w:space="0" w:color="auto"/>
        <w:right w:val="none" w:sz="0" w:space="0" w:color="auto"/>
      </w:divBdr>
    </w:div>
    <w:div w:id="488399133">
      <w:bodyDiv w:val="1"/>
      <w:marLeft w:val="0"/>
      <w:marRight w:val="0"/>
      <w:marTop w:val="0"/>
      <w:marBottom w:val="0"/>
      <w:divBdr>
        <w:top w:val="none" w:sz="0" w:space="0" w:color="auto"/>
        <w:left w:val="none" w:sz="0" w:space="0" w:color="auto"/>
        <w:bottom w:val="none" w:sz="0" w:space="0" w:color="auto"/>
        <w:right w:val="none" w:sz="0" w:space="0" w:color="auto"/>
      </w:divBdr>
    </w:div>
    <w:div w:id="506676344">
      <w:bodyDiv w:val="1"/>
      <w:marLeft w:val="0"/>
      <w:marRight w:val="0"/>
      <w:marTop w:val="0"/>
      <w:marBottom w:val="0"/>
      <w:divBdr>
        <w:top w:val="none" w:sz="0" w:space="0" w:color="auto"/>
        <w:left w:val="none" w:sz="0" w:space="0" w:color="auto"/>
        <w:bottom w:val="none" w:sz="0" w:space="0" w:color="auto"/>
        <w:right w:val="none" w:sz="0" w:space="0" w:color="auto"/>
      </w:divBdr>
    </w:div>
    <w:div w:id="507450167">
      <w:bodyDiv w:val="1"/>
      <w:marLeft w:val="0"/>
      <w:marRight w:val="0"/>
      <w:marTop w:val="0"/>
      <w:marBottom w:val="0"/>
      <w:divBdr>
        <w:top w:val="none" w:sz="0" w:space="0" w:color="auto"/>
        <w:left w:val="none" w:sz="0" w:space="0" w:color="auto"/>
        <w:bottom w:val="none" w:sz="0" w:space="0" w:color="auto"/>
        <w:right w:val="none" w:sz="0" w:space="0" w:color="auto"/>
      </w:divBdr>
      <w:divsChild>
        <w:div w:id="1954555013">
          <w:marLeft w:val="0"/>
          <w:marRight w:val="0"/>
          <w:marTop w:val="0"/>
          <w:marBottom w:val="0"/>
          <w:divBdr>
            <w:top w:val="none" w:sz="0" w:space="0" w:color="auto"/>
            <w:left w:val="none" w:sz="0" w:space="0" w:color="auto"/>
            <w:bottom w:val="none" w:sz="0" w:space="0" w:color="auto"/>
            <w:right w:val="none" w:sz="0" w:space="0" w:color="auto"/>
          </w:divBdr>
        </w:div>
      </w:divsChild>
    </w:div>
    <w:div w:id="509223626">
      <w:bodyDiv w:val="1"/>
      <w:marLeft w:val="0"/>
      <w:marRight w:val="0"/>
      <w:marTop w:val="0"/>
      <w:marBottom w:val="0"/>
      <w:divBdr>
        <w:top w:val="none" w:sz="0" w:space="0" w:color="auto"/>
        <w:left w:val="none" w:sz="0" w:space="0" w:color="auto"/>
        <w:bottom w:val="none" w:sz="0" w:space="0" w:color="auto"/>
        <w:right w:val="none" w:sz="0" w:space="0" w:color="auto"/>
      </w:divBdr>
    </w:div>
    <w:div w:id="510333804">
      <w:bodyDiv w:val="1"/>
      <w:marLeft w:val="0"/>
      <w:marRight w:val="0"/>
      <w:marTop w:val="0"/>
      <w:marBottom w:val="0"/>
      <w:divBdr>
        <w:top w:val="none" w:sz="0" w:space="0" w:color="auto"/>
        <w:left w:val="none" w:sz="0" w:space="0" w:color="auto"/>
        <w:bottom w:val="none" w:sz="0" w:space="0" w:color="auto"/>
        <w:right w:val="none" w:sz="0" w:space="0" w:color="auto"/>
      </w:divBdr>
    </w:div>
    <w:div w:id="532428135">
      <w:bodyDiv w:val="1"/>
      <w:marLeft w:val="0"/>
      <w:marRight w:val="0"/>
      <w:marTop w:val="0"/>
      <w:marBottom w:val="0"/>
      <w:divBdr>
        <w:top w:val="none" w:sz="0" w:space="0" w:color="auto"/>
        <w:left w:val="none" w:sz="0" w:space="0" w:color="auto"/>
        <w:bottom w:val="none" w:sz="0" w:space="0" w:color="auto"/>
        <w:right w:val="none" w:sz="0" w:space="0" w:color="auto"/>
      </w:divBdr>
    </w:div>
    <w:div w:id="540021522">
      <w:bodyDiv w:val="1"/>
      <w:marLeft w:val="0"/>
      <w:marRight w:val="0"/>
      <w:marTop w:val="0"/>
      <w:marBottom w:val="0"/>
      <w:divBdr>
        <w:top w:val="none" w:sz="0" w:space="0" w:color="auto"/>
        <w:left w:val="none" w:sz="0" w:space="0" w:color="auto"/>
        <w:bottom w:val="none" w:sz="0" w:space="0" w:color="auto"/>
        <w:right w:val="none" w:sz="0" w:space="0" w:color="auto"/>
      </w:divBdr>
    </w:div>
    <w:div w:id="540745721">
      <w:bodyDiv w:val="1"/>
      <w:marLeft w:val="0"/>
      <w:marRight w:val="0"/>
      <w:marTop w:val="0"/>
      <w:marBottom w:val="0"/>
      <w:divBdr>
        <w:top w:val="none" w:sz="0" w:space="0" w:color="auto"/>
        <w:left w:val="none" w:sz="0" w:space="0" w:color="auto"/>
        <w:bottom w:val="none" w:sz="0" w:space="0" w:color="auto"/>
        <w:right w:val="none" w:sz="0" w:space="0" w:color="auto"/>
      </w:divBdr>
    </w:div>
    <w:div w:id="551503975">
      <w:bodyDiv w:val="1"/>
      <w:marLeft w:val="0"/>
      <w:marRight w:val="0"/>
      <w:marTop w:val="0"/>
      <w:marBottom w:val="0"/>
      <w:divBdr>
        <w:top w:val="none" w:sz="0" w:space="0" w:color="auto"/>
        <w:left w:val="none" w:sz="0" w:space="0" w:color="auto"/>
        <w:bottom w:val="none" w:sz="0" w:space="0" w:color="auto"/>
        <w:right w:val="none" w:sz="0" w:space="0" w:color="auto"/>
      </w:divBdr>
    </w:div>
    <w:div w:id="552695610">
      <w:bodyDiv w:val="1"/>
      <w:marLeft w:val="0"/>
      <w:marRight w:val="0"/>
      <w:marTop w:val="0"/>
      <w:marBottom w:val="0"/>
      <w:divBdr>
        <w:top w:val="none" w:sz="0" w:space="0" w:color="auto"/>
        <w:left w:val="none" w:sz="0" w:space="0" w:color="auto"/>
        <w:bottom w:val="none" w:sz="0" w:space="0" w:color="auto"/>
        <w:right w:val="none" w:sz="0" w:space="0" w:color="auto"/>
      </w:divBdr>
    </w:div>
    <w:div w:id="571164322">
      <w:bodyDiv w:val="1"/>
      <w:marLeft w:val="0"/>
      <w:marRight w:val="0"/>
      <w:marTop w:val="0"/>
      <w:marBottom w:val="0"/>
      <w:divBdr>
        <w:top w:val="none" w:sz="0" w:space="0" w:color="auto"/>
        <w:left w:val="none" w:sz="0" w:space="0" w:color="auto"/>
        <w:bottom w:val="none" w:sz="0" w:space="0" w:color="auto"/>
        <w:right w:val="none" w:sz="0" w:space="0" w:color="auto"/>
      </w:divBdr>
    </w:div>
    <w:div w:id="574707188">
      <w:bodyDiv w:val="1"/>
      <w:marLeft w:val="0"/>
      <w:marRight w:val="0"/>
      <w:marTop w:val="0"/>
      <w:marBottom w:val="0"/>
      <w:divBdr>
        <w:top w:val="none" w:sz="0" w:space="0" w:color="auto"/>
        <w:left w:val="none" w:sz="0" w:space="0" w:color="auto"/>
        <w:bottom w:val="none" w:sz="0" w:space="0" w:color="auto"/>
        <w:right w:val="none" w:sz="0" w:space="0" w:color="auto"/>
      </w:divBdr>
    </w:div>
    <w:div w:id="583994295">
      <w:bodyDiv w:val="1"/>
      <w:marLeft w:val="0"/>
      <w:marRight w:val="0"/>
      <w:marTop w:val="0"/>
      <w:marBottom w:val="0"/>
      <w:divBdr>
        <w:top w:val="none" w:sz="0" w:space="0" w:color="auto"/>
        <w:left w:val="none" w:sz="0" w:space="0" w:color="auto"/>
        <w:bottom w:val="none" w:sz="0" w:space="0" w:color="auto"/>
        <w:right w:val="none" w:sz="0" w:space="0" w:color="auto"/>
      </w:divBdr>
    </w:div>
    <w:div w:id="606352887">
      <w:bodyDiv w:val="1"/>
      <w:marLeft w:val="0"/>
      <w:marRight w:val="0"/>
      <w:marTop w:val="0"/>
      <w:marBottom w:val="0"/>
      <w:divBdr>
        <w:top w:val="none" w:sz="0" w:space="0" w:color="auto"/>
        <w:left w:val="none" w:sz="0" w:space="0" w:color="auto"/>
        <w:bottom w:val="none" w:sz="0" w:space="0" w:color="auto"/>
        <w:right w:val="none" w:sz="0" w:space="0" w:color="auto"/>
      </w:divBdr>
    </w:div>
    <w:div w:id="608320484">
      <w:bodyDiv w:val="1"/>
      <w:marLeft w:val="0"/>
      <w:marRight w:val="0"/>
      <w:marTop w:val="0"/>
      <w:marBottom w:val="0"/>
      <w:divBdr>
        <w:top w:val="none" w:sz="0" w:space="0" w:color="auto"/>
        <w:left w:val="none" w:sz="0" w:space="0" w:color="auto"/>
        <w:bottom w:val="none" w:sz="0" w:space="0" w:color="auto"/>
        <w:right w:val="none" w:sz="0" w:space="0" w:color="auto"/>
      </w:divBdr>
    </w:div>
    <w:div w:id="608583902">
      <w:bodyDiv w:val="1"/>
      <w:marLeft w:val="0"/>
      <w:marRight w:val="0"/>
      <w:marTop w:val="0"/>
      <w:marBottom w:val="0"/>
      <w:divBdr>
        <w:top w:val="none" w:sz="0" w:space="0" w:color="auto"/>
        <w:left w:val="none" w:sz="0" w:space="0" w:color="auto"/>
        <w:bottom w:val="none" w:sz="0" w:space="0" w:color="auto"/>
        <w:right w:val="none" w:sz="0" w:space="0" w:color="auto"/>
      </w:divBdr>
    </w:div>
    <w:div w:id="609357154">
      <w:bodyDiv w:val="1"/>
      <w:marLeft w:val="0"/>
      <w:marRight w:val="0"/>
      <w:marTop w:val="0"/>
      <w:marBottom w:val="0"/>
      <w:divBdr>
        <w:top w:val="none" w:sz="0" w:space="0" w:color="auto"/>
        <w:left w:val="none" w:sz="0" w:space="0" w:color="auto"/>
        <w:bottom w:val="none" w:sz="0" w:space="0" w:color="auto"/>
        <w:right w:val="none" w:sz="0" w:space="0" w:color="auto"/>
      </w:divBdr>
    </w:div>
    <w:div w:id="636764996">
      <w:bodyDiv w:val="1"/>
      <w:marLeft w:val="0"/>
      <w:marRight w:val="0"/>
      <w:marTop w:val="0"/>
      <w:marBottom w:val="0"/>
      <w:divBdr>
        <w:top w:val="none" w:sz="0" w:space="0" w:color="auto"/>
        <w:left w:val="none" w:sz="0" w:space="0" w:color="auto"/>
        <w:bottom w:val="none" w:sz="0" w:space="0" w:color="auto"/>
        <w:right w:val="none" w:sz="0" w:space="0" w:color="auto"/>
      </w:divBdr>
    </w:div>
    <w:div w:id="638192787">
      <w:bodyDiv w:val="1"/>
      <w:marLeft w:val="0"/>
      <w:marRight w:val="0"/>
      <w:marTop w:val="0"/>
      <w:marBottom w:val="0"/>
      <w:divBdr>
        <w:top w:val="none" w:sz="0" w:space="0" w:color="auto"/>
        <w:left w:val="none" w:sz="0" w:space="0" w:color="auto"/>
        <w:bottom w:val="none" w:sz="0" w:space="0" w:color="auto"/>
        <w:right w:val="none" w:sz="0" w:space="0" w:color="auto"/>
      </w:divBdr>
    </w:div>
    <w:div w:id="643044923">
      <w:bodyDiv w:val="1"/>
      <w:marLeft w:val="0"/>
      <w:marRight w:val="0"/>
      <w:marTop w:val="0"/>
      <w:marBottom w:val="0"/>
      <w:divBdr>
        <w:top w:val="none" w:sz="0" w:space="0" w:color="auto"/>
        <w:left w:val="none" w:sz="0" w:space="0" w:color="auto"/>
        <w:bottom w:val="none" w:sz="0" w:space="0" w:color="auto"/>
        <w:right w:val="none" w:sz="0" w:space="0" w:color="auto"/>
      </w:divBdr>
    </w:div>
    <w:div w:id="661811844">
      <w:bodyDiv w:val="1"/>
      <w:marLeft w:val="0"/>
      <w:marRight w:val="0"/>
      <w:marTop w:val="0"/>
      <w:marBottom w:val="0"/>
      <w:divBdr>
        <w:top w:val="none" w:sz="0" w:space="0" w:color="auto"/>
        <w:left w:val="none" w:sz="0" w:space="0" w:color="auto"/>
        <w:bottom w:val="none" w:sz="0" w:space="0" w:color="auto"/>
        <w:right w:val="none" w:sz="0" w:space="0" w:color="auto"/>
      </w:divBdr>
    </w:div>
    <w:div w:id="664476266">
      <w:bodyDiv w:val="1"/>
      <w:marLeft w:val="0"/>
      <w:marRight w:val="0"/>
      <w:marTop w:val="0"/>
      <w:marBottom w:val="0"/>
      <w:divBdr>
        <w:top w:val="none" w:sz="0" w:space="0" w:color="auto"/>
        <w:left w:val="none" w:sz="0" w:space="0" w:color="auto"/>
        <w:bottom w:val="none" w:sz="0" w:space="0" w:color="auto"/>
        <w:right w:val="none" w:sz="0" w:space="0" w:color="auto"/>
      </w:divBdr>
    </w:div>
    <w:div w:id="666445640">
      <w:bodyDiv w:val="1"/>
      <w:marLeft w:val="0"/>
      <w:marRight w:val="0"/>
      <w:marTop w:val="0"/>
      <w:marBottom w:val="0"/>
      <w:divBdr>
        <w:top w:val="none" w:sz="0" w:space="0" w:color="auto"/>
        <w:left w:val="none" w:sz="0" w:space="0" w:color="auto"/>
        <w:bottom w:val="none" w:sz="0" w:space="0" w:color="auto"/>
        <w:right w:val="none" w:sz="0" w:space="0" w:color="auto"/>
      </w:divBdr>
    </w:div>
    <w:div w:id="668799581">
      <w:bodyDiv w:val="1"/>
      <w:marLeft w:val="0"/>
      <w:marRight w:val="0"/>
      <w:marTop w:val="0"/>
      <w:marBottom w:val="0"/>
      <w:divBdr>
        <w:top w:val="none" w:sz="0" w:space="0" w:color="auto"/>
        <w:left w:val="none" w:sz="0" w:space="0" w:color="auto"/>
        <w:bottom w:val="none" w:sz="0" w:space="0" w:color="auto"/>
        <w:right w:val="none" w:sz="0" w:space="0" w:color="auto"/>
      </w:divBdr>
    </w:div>
    <w:div w:id="669521704">
      <w:bodyDiv w:val="1"/>
      <w:marLeft w:val="0"/>
      <w:marRight w:val="0"/>
      <w:marTop w:val="0"/>
      <w:marBottom w:val="0"/>
      <w:divBdr>
        <w:top w:val="none" w:sz="0" w:space="0" w:color="auto"/>
        <w:left w:val="none" w:sz="0" w:space="0" w:color="auto"/>
        <w:bottom w:val="none" w:sz="0" w:space="0" w:color="auto"/>
        <w:right w:val="none" w:sz="0" w:space="0" w:color="auto"/>
      </w:divBdr>
    </w:div>
    <w:div w:id="673383312">
      <w:bodyDiv w:val="1"/>
      <w:marLeft w:val="0"/>
      <w:marRight w:val="0"/>
      <w:marTop w:val="0"/>
      <w:marBottom w:val="0"/>
      <w:divBdr>
        <w:top w:val="none" w:sz="0" w:space="0" w:color="auto"/>
        <w:left w:val="none" w:sz="0" w:space="0" w:color="auto"/>
        <w:bottom w:val="none" w:sz="0" w:space="0" w:color="auto"/>
        <w:right w:val="none" w:sz="0" w:space="0" w:color="auto"/>
      </w:divBdr>
    </w:div>
    <w:div w:id="677276076">
      <w:bodyDiv w:val="1"/>
      <w:marLeft w:val="0"/>
      <w:marRight w:val="0"/>
      <w:marTop w:val="0"/>
      <w:marBottom w:val="0"/>
      <w:divBdr>
        <w:top w:val="none" w:sz="0" w:space="0" w:color="auto"/>
        <w:left w:val="none" w:sz="0" w:space="0" w:color="auto"/>
        <w:bottom w:val="none" w:sz="0" w:space="0" w:color="auto"/>
        <w:right w:val="none" w:sz="0" w:space="0" w:color="auto"/>
      </w:divBdr>
    </w:div>
    <w:div w:id="687567350">
      <w:bodyDiv w:val="1"/>
      <w:marLeft w:val="0"/>
      <w:marRight w:val="0"/>
      <w:marTop w:val="0"/>
      <w:marBottom w:val="0"/>
      <w:divBdr>
        <w:top w:val="none" w:sz="0" w:space="0" w:color="auto"/>
        <w:left w:val="none" w:sz="0" w:space="0" w:color="auto"/>
        <w:bottom w:val="none" w:sz="0" w:space="0" w:color="auto"/>
        <w:right w:val="none" w:sz="0" w:space="0" w:color="auto"/>
      </w:divBdr>
    </w:div>
    <w:div w:id="692540342">
      <w:bodyDiv w:val="1"/>
      <w:marLeft w:val="0"/>
      <w:marRight w:val="0"/>
      <w:marTop w:val="0"/>
      <w:marBottom w:val="0"/>
      <w:divBdr>
        <w:top w:val="none" w:sz="0" w:space="0" w:color="auto"/>
        <w:left w:val="none" w:sz="0" w:space="0" w:color="auto"/>
        <w:bottom w:val="none" w:sz="0" w:space="0" w:color="auto"/>
        <w:right w:val="none" w:sz="0" w:space="0" w:color="auto"/>
      </w:divBdr>
    </w:div>
    <w:div w:id="692612719">
      <w:bodyDiv w:val="1"/>
      <w:marLeft w:val="0"/>
      <w:marRight w:val="0"/>
      <w:marTop w:val="0"/>
      <w:marBottom w:val="0"/>
      <w:divBdr>
        <w:top w:val="none" w:sz="0" w:space="0" w:color="auto"/>
        <w:left w:val="none" w:sz="0" w:space="0" w:color="auto"/>
        <w:bottom w:val="none" w:sz="0" w:space="0" w:color="auto"/>
        <w:right w:val="none" w:sz="0" w:space="0" w:color="auto"/>
      </w:divBdr>
      <w:divsChild>
        <w:div w:id="1037895975">
          <w:marLeft w:val="0"/>
          <w:marRight w:val="0"/>
          <w:marTop w:val="0"/>
          <w:marBottom w:val="0"/>
          <w:divBdr>
            <w:top w:val="none" w:sz="0" w:space="0" w:color="auto"/>
            <w:left w:val="none" w:sz="0" w:space="0" w:color="auto"/>
            <w:bottom w:val="none" w:sz="0" w:space="0" w:color="auto"/>
            <w:right w:val="none" w:sz="0" w:space="0" w:color="auto"/>
          </w:divBdr>
        </w:div>
      </w:divsChild>
    </w:div>
    <w:div w:id="692921751">
      <w:bodyDiv w:val="1"/>
      <w:marLeft w:val="0"/>
      <w:marRight w:val="0"/>
      <w:marTop w:val="0"/>
      <w:marBottom w:val="0"/>
      <w:divBdr>
        <w:top w:val="none" w:sz="0" w:space="0" w:color="auto"/>
        <w:left w:val="none" w:sz="0" w:space="0" w:color="auto"/>
        <w:bottom w:val="none" w:sz="0" w:space="0" w:color="auto"/>
        <w:right w:val="none" w:sz="0" w:space="0" w:color="auto"/>
      </w:divBdr>
    </w:div>
    <w:div w:id="695734857">
      <w:bodyDiv w:val="1"/>
      <w:marLeft w:val="0"/>
      <w:marRight w:val="0"/>
      <w:marTop w:val="0"/>
      <w:marBottom w:val="0"/>
      <w:divBdr>
        <w:top w:val="none" w:sz="0" w:space="0" w:color="auto"/>
        <w:left w:val="none" w:sz="0" w:space="0" w:color="auto"/>
        <w:bottom w:val="none" w:sz="0" w:space="0" w:color="auto"/>
        <w:right w:val="none" w:sz="0" w:space="0" w:color="auto"/>
      </w:divBdr>
    </w:div>
    <w:div w:id="703868224">
      <w:bodyDiv w:val="1"/>
      <w:marLeft w:val="0"/>
      <w:marRight w:val="0"/>
      <w:marTop w:val="0"/>
      <w:marBottom w:val="0"/>
      <w:divBdr>
        <w:top w:val="none" w:sz="0" w:space="0" w:color="auto"/>
        <w:left w:val="none" w:sz="0" w:space="0" w:color="auto"/>
        <w:bottom w:val="none" w:sz="0" w:space="0" w:color="auto"/>
        <w:right w:val="none" w:sz="0" w:space="0" w:color="auto"/>
      </w:divBdr>
    </w:div>
    <w:div w:id="709307841">
      <w:bodyDiv w:val="1"/>
      <w:marLeft w:val="0"/>
      <w:marRight w:val="0"/>
      <w:marTop w:val="0"/>
      <w:marBottom w:val="0"/>
      <w:divBdr>
        <w:top w:val="none" w:sz="0" w:space="0" w:color="auto"/>
        <w:left w:val="none" w:sz="0" w:space="0" w:color="auto"/>
        <w:bottom w:val="none" w:sz="0" w:space="0" w:color="auto"/>
        <w:right w:val="none" w:sz="0" w:space="0" w:color="auto"/>
      </w:divBdr>
    </w:div>
    <w:div w:id="716440968">
      <w:bodyDiv w:val="1"/>
      <w:marLeft w:val="0"/>
      <w:marRight w:val="0"/>
      <w:marTop w:val="0"/>
      <w:marBottom w:val="0"/>
      <w:divBdr>
        <w:top w:val="none" w:sz="0" w:space="0" w:color="auto"/>
        <w:left w:val="none" w:sz="0" w:space="0" w:color="auto"/>
        <w:bottom w:val="none" w:sz="0" w:space="0" w:color="auto"/>
        <w:right w:val="none" w:sz="0" w:space="0" w:color="auto"/>
      </w:divBdr>
    </w:div>
    <w:div w:id="722410253">
      <w:bodyDiv w:val="1"/>
      <w:marLeft w:val="0"/>
      <w:marRight w:val="0"/>
      <w:marTop w:val="0"/>
      <w:marBottom w:val="0"/>
      <w:divBdr>
        <w:top w:val="none" w:sz="0" w:space="0" w:color="auto"/>
        <w:left w:val="none" w:sz="0" w:space="0" w:color="auto"/>
        <w:bottom w:val="none" w:sz="0" w:space="0" w:color="auto"/>
        <w:right w:val="none" w:sz="0" w:space="0" w:color="auto"/>
      </w:divBdr>
    </w:div>
    <w:div w:id="731778537">
      <w:bodyDiv w:val="1"/>
      <w:marLeft w:val="0"/>
      <w:marRight w:val="0"/>
      <w:marTop w:val="0"/>
      <w:marBottom w:val="0"/>
      <w:divBdr>
        <w:top w:val="none" w:sz="0" w:space="0" w:color="auto"/>
        <w:left w:val="none" w:sz="0" w:space="0" w:color="auto"/>
        <w:bottom w:val="none" w:sz="0" w:space="0" w:color="auto"/>
        <w:right w:val="none" w:sz="0" w:space="0" w:color="auto"/>
      </w:divBdr>
    </w:div>
    <w:div w:id="735277342">
      <w:bodyDiv w:val="1"/>
      <w:marLeft w:val="0"/>
      <w:marRight w:val="0"/>
      <w:marTop w:val="0"/>
      <w:marBottom w:val="0"/>
      <w:divBdr>
        <w:top w:val="none" w:sz="0" w:space="0" w:color="auto"/>
        <w:left w:val="none" w:sz="0" w:space="0" w:color="auto"/>
        <w:bottom w:val="none" w:sz="0" w:space="0" w:color="auto"/>
        <w:right w:val="none" w:sz="0" w:space="0" w:color="auto"/>
      </w:divBdr>
    </w:div>
    <w:div w:id="743651097">
      <w:bodyDiv w:val="1"/>
      <w:marLeft w:val="0"/>
      <w:marRight w:val="0"/>
      <w:marTop w:val="0"/>
      <w:marBottom w:val="0"/>
      <w:divBdr>
        <w:top w:val="none" w:sz="0" w:space="0" w:color="auto"/>
        <w:left w:val="none" w:sz="0" w:space="0" w:color="auto"/>
        <w:bottom w:val="none" w:sz="0" w:space="0" w:color="auto"/>
        <w:right w:val="none" w:sz="0" w:space="0" w:color="auto"/>
      </w:divBdr>
    </w:div>
    <w:div w:id="748305354">
      <w:bodyDiv w:val="1"/>
      <w:marLeft w:val="0"/>
      <w:marRight w:val="0"/>
      <w:marTop w:val="0"/>
      <w:marBottom w:val="0"/>
      <w:divBdr>
        <w:top w:val="none" w:sz="0" w:space="0" w:color="auto"/>
        <w:left w:val="none" w:sz="0" w:space="0" w:color="auto"/>
        <w:bottom w:val="none" w:sz="0" w:space="0" w:color="auto"/>
        <w:right w:val="none" w:sz="0" w:space="0" w:color="auto"/>
      </w:divBdr>
    </w:div>
    <w:div w:id="752750091">
      <w:bodyDiv w:val="1"/>
      <w:marLeft w:val="0"/>
      <w:marRight w:val="0"/>
      <w:marTop w:val="0"/>
      <w:marBottom w:val="0"/>
      <w:divBdr>
        <w:top w:val="none" w:sz="0" w:space="0" w:color="auto"/>
        <w:left w:val="none" w:sz="0" w:space="0" w:color="auto"/>
        <w:bottom w:val="none" w:sz="0" w:space="0" w:color="auto"/>
        <w:right w:val="none" w:sz="0" w:space="0" w:color="auto"/>
      </w:divBdr>
    </w:div>
    <w:div w:id="753864445">
      <w:bodyDiv w:val="1"/>
      <w:marLeft w:val="0"/>
      <w:marRight w:val="0"/>
      <w:marTop w:val="0"/>
      <w:marBottom w:val="0"/>
      <w:divBdr>
        <w:top w:val="none" w:sz="0" w:space="0" w:color="auto"/>
        <w:left w:val="none" w:sz="0" w:space="0" w:color="auto"/>
        <w:bottom w:val="none" w:sz="0" w:space="0" w:color="auto"/>
        <w:right w:val="none" w:sz="0" w:space="0" w:color="auto"/>
      </w:divBdr>
    </w:div>
    <w:div w:id="762920353">
      <w:bodyDiv w:val="1"/>
      <w:marLeft w:val="0"/>
      <w:marRight w:val="0"/>
      <w:marTop w:val="0"/>
      <w:marBottom w:val="0"/>
      <w:divBdr>
        <w:top w:val="none" w:sz="0" w:space="0" w:color="auto"/>
        <w:left w:val="none" w:sz="0" w:space="0" w:color="auto"/>
        <w:bottom w:val="none" w:sz="0" w:space="0" w:color="auto"/>
        <w:right w:val="none" w:sz="0" w:space="0" w:color="auto"/>
      </w:divBdr>
    </w:div>
    <w:div w:id="764958774">
      <w:bodyDiv w:val="1"/>
      <w:marLeft w:val="0"/>
      <w:marRight w:val="0"/>
      <w:marTop w:val="0"/>
      <w:marBottom w:val="0"/>
      <w:divBdr>
        <w:top w:val="none" w:sz="0" w:space="0" w:color="auto"/>
        <w:left w:val="none" w:sz="0" w:space="0" w:color="auto"/>
        <w:bottom w:val="none" w:sz="0" w:space="0" w:color="auto"/>
        <w:right w:val="none" w:sz="0" w:space="0" w:color="auto"/>
      </w:divBdr>
    </w:div>
    <w:div w:id="783423715">
      <w:bodyDiv w:val="1"/>
      <w:marLeft w:val="0"/>
      <w:marRight w:val="0"/>
      <w:marTop w:val="0"/>
      <w:marBottom w:val="0"/>
      <w:divBdr>
        <w:top w:val="none" w:sz="0" w:space="0" w:color="auto"/>
        <w:left w:val="none" w:sz="0" w:space="0" w:color="auto"/>
        <w:bottom w:val="none" w:sz="0" w:space="0" w:color="auto"/>
        <w:right w:val="none" w:sz="0" w:space="0" w:color="auto"/>
      </w:divBdr>
    </w:div>
    <w:div w:id="784466013">
      <w:bodyDiv w:val="1"/>
      <w:marLeft w:val="0"/>
      <w:marRight w:val="0"/>
      <w:marTop w:val="0"/>
      <w:marBottom w:val="0"/>
      <w:divBdr>
        <w:top w:val="none" w:sz="0" w:space="0" w:color="auto"/>
        <w:left w:val="none" w:sz="0" w:space="0" w:color="auto"/>
        <w:bottom w:val="none" w:sz="0" w:space="0" w:color="auto"/>
        <w:right w:val="none" w:sz="0" w:space="0" w:color="auto"/>
      </w:divBdr>
    </w:div>
    <w:div w:id="786201265">
      <w:bodyDiv w:val="1"/>
      <w:marLeft w:val="0"/>
      <w:marRight w:val="0"/>
      <w:marTop w:val="0"/>
      <w:marBottom w:val="0"/>
      <w:divBdr>
        <w:top w:val="none" w:sz="0" w:space="0" w:color="auto"/>
        <w:left w:val="none" w:sz="0" w:space="0" w:color="auto"/>
        <w:bottom w:val="none" w:sz="0" w:space="0" w:color="auto"/>
        <w:right w:val="none" w:sz="0" w:space="0" w:color="auto"/>
      </w:divBdr>
    </w:div>
    <w:div w:id="803737510">
      <w:bodyDiv w:val="1"/>
      <w:marLeft w:val="0"/>
      <w:marRight w:val="0"/>
      <w:marTop w:val="0"/>
      <w:marBottom w:val="0"/>
      <w:divBdr>
        <w:top w:val="none" w:sz="0" w:space="0" w:color="auto"/>
        <w:left w:val="none" w:sz="0" w:space="0" w:color="auto"/>
        <w:bottom w:val="none" w:sz="0" w:space="0" w:color="auto"/>
        <w:right w:val="none" w:sz="0" w:space="0" w:color="auto"/>
      </w:divBdr>
    </w:div>
    <w:div w:id="807207472">
      <w:bodyDiv w:val="1"/>
      <w:marLeft w:val="0"/>
      <w:marRight w:val="0"/>
      <w:marTop w:val="0"/>
      <w:marBottom w:val="0"/>
      <w:divBdr>
        <w:top w:val="none" w:sz="0" w:space="0" w:color="auto"/>
        <w:left w:val="none" w:sz="0" w:space="0" w:color="auto"/>
        <w:bottom w:val="none" w:sz="0" w:space="0" w:color="auto"/>
        <w:right w:val="none" w:sz="0" w:space="0" w:color="auto"/>
      </w:divBdr>
    </w:div>
    <w:div w:id="808939189">
      <w:bodyDiv w:val="1"/>
      <w:marLeft w:val="0"/>
      <w:marRight w:val="0"/>
      <w:marTop w:val="0"/>
      <w:marBottom w:val="0"/>
      <w:divBdr>
        <w:top w:val="none" w:sz="0" w:space="0" w:color="auto"/>
        <w:left w:val="none" w:sz="0" w:space="0" w:color="auto"/>
        <w:bottom w:val="none" w:sz="0" w:space="0" w:color="auto"/>
        <w:right w:val="none" w:sz="0" w:space="0" w:color="auto"/>
      </w:divBdr>
    </w:div>
    <w:div w:id="814220622">
      <w:bodyDiv w:val="1"/>
      <w:marLeft w:val="0"/>
      <w:marRight w:val="0"/>
      <w:marTop w:val="0"/>
      <w:marBottom w:val="0"/>
      <w:divBdr>
        <w:top w:val="none" w:sz="0" w:space="0" w:color="auto"/>
        <w:left w:val="none" w:sz="0" w:space="0" w:color="auto"/>
        <w:bottom w:val="none" w:sz="0" w:space="0" w:color="auto"/>
        <w:right w:val="none" w:sz="0" w:space="0" w:color="auto"/>
      </w:divBdr>
    </w:div>
    <w:div w:id="822354262">
      <w:bodyDiv w:val="1"/>
      <w:marLeft w:val="0"/>
      <w:marRight w:val="0"/>
      <w:marTop w:val="0"/>
      <w:marBottom w:val="0"/>
      <w:divBdr>
        <w:top w:val="none" w:sz="0" w:space="0" w:color="auto"/>
        <w:left w:val="none" w:sz="0" w:space="0" w:color="auto"/>
        <w:bottom w:val="none" w:sz="0" w:space="0" w:color="auto"/>
        <w:right w:val="none" w:sz="0" w:space="0" w:color="auto"/>
      </w:divBdr>
    </w:div>
    <w:div w:id="842664775">
      <w:bodyDiv w:val="1"/>
      <w:marLeft w:val="0"/>
      <w:marRight w:val="0"/>
      <w:marTop w:val="0"/>
      <w:marBottom w:val="0"/>
      <w:divBdr>
        <w:top w:val="none" w:sz="0" w:space="0" w:color="auto"/>
        <w:left w:val="none" w:sz="0" w:space="0" w:color="auto"/>
        <w:bottom w:val="none" w:sz="0" w:space="0" w:color="auto"/>
        <w:right w:val="none" w:sz="0" w:space="0" w:color="auto"/>
      </w:divBdr>
    </w:div>
    <w:div w:id="852843718">
      <w:bodyDiv w:val="1"/>
      <w:marLeft w:val="0"/>
      <w:marRight w:val="0"/>
      <w:marTop w:val="0"/>
      <w:marBottom w:val="0"/>
      <w:divBdr>
        <w:top w:val="none" w:sz="0" w:space="0" w:color="auto"/>
        <w:left w:val="none" w:sz="0" w:space="0" w:color="auto"/>
        <w:bottom w:val="none" w:sz="0" w:space="0" w:color="auto"/>
        <w:right w:val="none" w:sz="0" w:space="0" w:color="auto"/>
      </w:divBdr>
    </w:div>
    <w:div w:id="859046513">
      <w:bodyDiv w:val="1"/>
      <w:marLeft w:val="0"/>
      <w:marRight w:val="0"/>
      <w:marTop w:val="0"/>
      <w:marBottom w:val="0"/>
      <w:divBdr>
        <w:top w:val="none" w:sz="0" w:space="0" w:color="auto"/>
        <w:left w:val="none" w:sz="0" w:space="0" w:color="auto"/>
        <w:bottom w:val="none" w:sz="0" w:space="0" w:color="auto"/>
        <w:right w:val="none" w:sz="0" w:space="0" w:color="auto"/>
      </w:divBdr>
    </w:div>
    <w:div w:id="860362400">
      <w:bodyDiv w:val="1"/>
      <w:marLeft w:val="0"/>
      <w:marRight w:val="0"/>
      <w:marTop w:val="0"/>
      <w:marBottom w:val="0"/>
      <w:divBdr>
        <w:top w:val="none" w:sz="0" w:space="0" w:color="auto"/>
        <w:left w:val="none" w:sz="0" w:space="0" w:color="auto"/>
        <w:bottom w:val="none" w:sz="0" w:space="0" w:color="auto"/>
        <w:right w:val="none" w:sz="0" w:space="0" w:color="auto"/>
      </w:divBdr>
    </w:div>
    <w:div w:id="860584027">
      <w:bodyDiv w:val="1"/>
      <w:marLeft w:val="0"/>
      <w:marRight w:val="0"/>
      <w:marTop w:val="0"/>
      <w:marBottom w:val="0"/>
      <w:divBdr>
        <w:top w:val="none" w:sz="0" w:space="0" w:color="auto"/>
        <w:left w:val="none" w:sz="0" w:space="0" w:color="auto"/>
        <w:bottom w:val="none" w:sz="0" w:space="0" w:color="auto"/>
        <w:right w:val="none" w:sz="0" w:space="0" w:color="auto"/>
      </w:divBdr>
    </w:div>
    <w:div w:id="865405078">
      <w:bodyDiv w:val="1"/>
      <w:marLeft w:val="0"/>
      <w:marRight w:val="0"/>
      <w:marTop w:val="0"/>
      <w:marBottom w:val="0"/>
      <w:divBdr>
        <w:top w:val="none" w:sz="0" w:space="0" w:color="auto"/>
        <w:left w:val="none" w:sz="0" w:space="0" w:color="auto"/>
        <w:bottom w:val="none" w:sz="0" w:space="0" w:color="auto"/>
        <w:right w:val="none" w:sz="0" w:space="0" w:color="auto"/>
      </w:divBdr>
      <w:divsChild>
        <w:div w:id="1442339210">
          <w:marLeft w:val="0"/>
          <w:marRight w:val="0"/>
          <w:marTop w:val="0"/>
          <w:marBottom w:val="75"/>
          <w:divBdr>
            <w:top w:val="none" w:sz="0" w:space="0" w:color="auto"/>
            <w:left w:val="none" w:sz="0" w:space="0" w:color="auto"/>
            <w:bottom w:val="none" w:sz="0" w:space="0" w:color="auto"/>
            <w:right w:val="none" w:sz="0" w:space="0" w:color="auto"/>
          </w:divBdr>
        </w:div>
      </w:divsChild>
    </w:div>
    <w:div w:id="867330675">
      <w:bodyDiv w:val="1"/>
      <w:marLeft w:val="0"/>
      <w:marRight w:val="0"/>
      <w:marTop w:val="0"/>
      <w:marBottom w:val="0"/>
      <w:divBdr>
        <w:top w:val="none" w:sz="0" w:space="0" w:color="auto"/>
        <w:left w:val="none" w:sz="0" w:space="0" w:color="auto"/>
        <w:bottom w:val="none" w:sz="0" w:space="0" w:color="auto"/>
        <w:right w:val="none" w:sz="0" w:space="0" w:color="auto"/>
      </w:divBdr>
    </w:div>
    <w:div w:id="873616562">
      <w:bodyDiv w:val="1"/>
      <w:marLeft w:val="0"/>
      <w:marRight w:val="0"/>
      <w:marTop w:val="0"/>
      <w:marBottom w:val="0"/>
      <w:divBdr>
        <w:top w:val="none" w:sz="0" w:space="0" w:color="auto"/>
        <w:left w:val="none" w:sz="0" w:space="0" w:color="auto"/>
        <w:bottom w:val="none" w:sz="0" w:space="0" w:color="auto"/>
        <w:right w:val="none" w:sz="0" w:space="0" w:color="auto"/>
      </w:divBdr>
    </w:div>
    <w:div w:id="877819956">
      <w:bodyDiv w:val="1"/>
      <w:marLeft w:val="0"/>
      <w:marRight w:val="0"/>
      <w:marTop w:val="0"/>
      <w:marBottom w:val="0"/>
      <w:divBdr>
        <w:top w:val="none" w:sz="0" w:space="0" w:color="auto"/>
        <w:left w:val="none" w:sz="0" w:space="0" w:color="auto"/>
        <w:bottom w:val="none" w:sz="0" w:space="0" w:color="auto"/>
        <w:right w:val="none" w:sz="0" w:space="0" w:color="auto"/>
      </w:divBdr>
    </w:div>
    <w:div w:id="882060831">
      <w:bodyDiv w:val="1"/>
      <w:marLeft w:val="0"/>
      <w:marRight w:val="0"/>
      <w:marTop w:val="0"/>
      <w:marBottom w:val="0"/>
      <w:divBdr>
        <w:top w:val="none" w:sz="0" w:space="0" w:color="auto"/>
        <w:left w:val="none" w:sz="0" w:space="0" w:color="auto"/>
        <w:bottom w:val="none" w:sz="0" w:space="0" w:color="auto"/>
        <w:right w:val="none" w:sz="0" w:space="0" w:color="auto"/>
      </w:divBdr>
    </w:div>
    <w:div w:id="884023333">
      <w:bodyDiv w:val="1"/>
      <w:marLeft w:val="0"/>
      <w:marRight w:val="0"/>
      <w:marTop w:val="0"/>
      <w:marBottom w:val="0"/>
      <w:divBdr>
        <w:top w:val="none" w:sz="0" w:space="0" w:color="auto"/>
        <w:left w:val="none" w:sz="0" w:space="0" w:color="auto"/>
        <w:bottom w:val="none" w:sz="0" w:space="0" w:color="auto"/>
        <w:right w:val="none" w:sz="0" w:space="0" w:color="auto"/>
      </w:divBdr>
    </w:div>
    <w:div w:id="885602579">
      <w:bodyDiv w:val="1"/>
      <w:marLeft w:val="0"/>
      <w:marRight w:val="0"/>
      <w:marTop w:val="0"/>
      <w:marBottom w:val="0"/>
      <w:divBdr>
        <w:top w:val="none" w:sz="0" w:space="0" w:color="auto"/>
        <w:left w:val="none" w:sz="0" w:space="0" w:color="auto"/>
        <w:bottom w:val="none" w:sz="0" w:space="0" w:color="auto"/>
        <w:right w:val="none" w:sz="0" w:space="0" w:color="auto"/>
      </w:divBdr>
    </w:div>
    <w:div w:id="937909537">
      <w:bodyDiv w:val="1"/>
      <w:marLeft w:val="0"/>
      <w:marRight w:val="0"/>
      <w:marTop w:val="0"/>
      <w:marBottom w:val="0"/>
      <w:divBdr>
        <w:top w:val="none" w:sz="0" w:space="0" w:color="auto"/>
        <w:left w:val="none" w:sz="0" w:space="0" w:color="auto"/>
        <w:bottom w:val="none" w:sz="0" w:space="0" w:color="auto"/>
        <w:right w:val="none" w:sz="0" w:space="0" w:color="auto"/>
      </w:divBdr>
    </w:div>
    <w:div w:id="940256705">
      <w:bodyDiv w:val="1"/>
      <w:marLeft w:val="0"/>
      <w:marRight w:val="0"/>
      <w:marTop w:val="0"/>
      <w:marBottom w:val="0"/>
      <w:divBdr>
        <w:top w:val="none" w:sz="0" w:space="0" w:color="auto"/>
        <w:left w:val="none" w:sz="0" w:space="0" w:color="auto"/>
        <w:bottom w:val="none" w:sz="0" w:space="0" w:color="auto"/>
        <w:right w:val="none" w:sz="0" w:space="0" w:color="auto"/>
      </w:divBdr>
    </w:div>
    <w:div w:id="941036771">
      <w:bodyDiv w:val="1"/>
      <w:marLeft w:val="0"/>
      <w:marRight w:val="0"/>
      <w:marTop w:val="0"/>
      <w:marBottom w:val="0"/>
      <w:divBdr>
        <w:top w:val="none" w:sz="0" w:space="0" w:color="auto"/>
        <w:left w:val="none" w:sz="0" w:space="0" w:color="auto"/>
        <w:bottom w:val="none" w:sz="0" w:space="0" w:color="auto"/>
        <w:right w:val="none" w:sz="0" w:space="0" w:color="auto"/>
      </w:divBdr>
      <w:divsChild>
        <w:div w:id="2172875">
          <w:marLeft w:val="0"/>
          <w:marRight w:val="0"/>
          <w:marTop w:val="0"/>
          <w:marBottom w:val="0"/>
          <w:divBdr>
            <w:top w:val="none" w:sz="0" w:space="0" w:color="auto"/>
            <w:left w:val="none" w:sz="0" w:space="0" w:color="auto"/>
            <w:bottom w:val="none" w:sz="0" w:space="0" w:color="auto"/>
            <w:right w:val="none" w:sz="0" w:space="0" w:color="auto"/>
          </w:divBdr>
        </w:div>
      </w:divsChild>
    </w:div>
    <w:div w:id="944850703">
      <w:bodyDiv w:val="1"/>
      <w:marLeft w:val="0"/>
      <w:marRight w:val="0"/>
      <w:marTop w:val="0"/>
      <w:marBottom w:val="0"/>
      <w:divBdr>
        <w:top w:val="none" w:sz="0" w:space="0" w:color="auto"/>
        <w:left w:val="none" w:sz="0" w:space="0" w:color="auto"/>
        <w:bottom w:val="none" w:sz="0" w:space="0" w:color="auto"/>
        <w:right w:val="none" w:sz="0" w:space="0" w:color="auto"/>
      </w:divBdr>
    </w:div>
    <w:div w:id="955790790">
      <w:bodyDiv w:val="1"/>
      <w:marLeft w:val="0"/>
      <w:marRight w:val="0"/>
      <w:marTop w:val="0"/>
      <w:marBottom w:val="0"/>
      <w:divBdr>
        <w:top w:val="none" w:sz="0" w:space="0" w:color="auto"/>
        <w:left w:val="none" w:sz="0" w:space="0" w:color="auto"/>
        <w:bottom w:val="none" w:sz="0" w:space="0" w:color="auto"/>
        <w:right w:val="none" w:sz="0" w:space="0" w:color="auto"/>
      </w:divBdr>
    </w:div>
    <w:div w:id="959846475">
      <w:bodyDiv w:val="1"/>
      <w:marLeft w:val="0"/>
      <w:marRight w:val="0"/>
      <w:marTop w:val="0"/>
      <w:marBottom w:val="0"/>
      <w:divBdr>
        <w:top w:val="none" w:sz="0" w:space="0" w:color="auto"/>
        <w:left w:val="none" w:sz="0" w:space="0" w:color="auto"/>
        <w:bottom w:val="none" w:sz="0" w:space="0" w:color="auto"/>
        <w:right w:val="none" w:sz="0" w:space="0" w:color="auto"/>
      </w:divBdr>
    </w:div>
    <w:div w:id="960764067">
      <w:bodyDiv w:val="1"/>
      <w:marLeft w:val="0"/>
      <w:marRight w:val="0"/>
      <w:marTop w:val="0"/>
      <w:marBottom w:val="0"/>
      <w:divBdr>
        <w:top w:val="none" w:sz="0" w:space="0" w:color="auto"/>
        <w:left w:val="none" w:sz="0" w:space="0" w:color="auto"/>
        <w:bottom w:val="none" w:sz="0" w:space="0" w:color="auto"/>
        <w:right w:val="none" w:sz="0" w:space="0" w:color="auto"/>
      </w:divBdr>
    </w:div>
    <w:div w:id="967203392">
      <w:bodyDiv w:val="1"/>
      <w:marLeft w:val="0"/>
      <w:marRight w:val="0"/>
      <w:marTop w:val="0"/>
      <w:marBottom w:val="0"/>
      <w:divBdr>
        <w:top w:val="none" w:sz="0" w:space="0" w:color="auto"/>
        <w:left w:val="none" w:sz="0" w:space="0" w:color="auto"/>
        <w:bottom w:val="none" w:sz="0" w:space="0" w:color="auto"/>
        <w:right w:val="none" w:sz="0" w:space="0" w:color="auto"/>
      </w:divBdr>
    </w:div>
    <w:div w:id="975599242">
      <w:bodyDiv w:val="1"/>
      <w:marLeft w:val="0"/>
      <w:marRight w:val="0"/>
      <w:marTop w:val="0"/>
      <w:marBottom w:val="0"/>
      <w:divBdr>
        <w:top w:val="none" w:sz="0" w:space="0" w:color="auto"/>
        <w:left w:val="none" w:sz="0" w:space="0" w:color="auto"/>
        <w:bottom w:val="none" w:sz="0" w:space="0" w:color="auto"/>
        <w:right w:val="none" w:sz="0" w:space="0" w:color="auto"/>
      </w:divBdr>
    </w:div>
    <w:div w:id="977153800">
      <w:bodyDiv w:val="1"/>
      <w:marLeft w:val="0"/>
      <w:marRight w:val="0"/>
      <w:marTop w:val="0"/>
      <w:marBottom w:val="0"/>
      <w:divBdr>
        <w:top w:val="none" w:sz="0" w:space="0" w:color="auto"/>
        <w:left w:val="none" w:sz="0" w:space="0" w:color="auto"/>
        <w:bottom w:val="none" w:sz="0" w:space="0" w:color="auto"/>
        <w:right w:val="none" w:sz="0" w:space="0" w:color="auto"/>
      </w:divBdr>
    </w:div>
    <w:div w:id="979270399">
      <w:bodyDiv w:val="1"/>
      <w:marLeft w:val="0"/>
      <w:marRight w:val="0"/>
      <w:marTop w:val="0"/>
      <w:marBottom w:val="0"/>
      <w:divBdr>
        <w:top w:val="none" w:sz="0" w:space="0" w:color="auto"/>
        <w:left w:val="none" w:sz="0" w:space="0" w:color="auto"/>
        <w:bottom w:val="none" w:sz="0" w:space="0" w:color="auto"/>
        <w:right w:val="none" w:sz="0" w:space="0" w:color="auto"/>
      </w:divBdr>
    </w:div>
    <w:div w:id="989283383">
      <w:bodyDiv w:val="1"/>
      <w:marLeft w:val="0"/>
      <w:marRight w:val="0"/>
      <w:marTop w:val="0"/>
      <w:marBottom w:val="0"/>
      <w:divBdr>
        <w:top w:val="none" w:sz="0" w:space="0" w:color="auto"/>
        <w:left w:val="none" w:sz="0" w:space="0" w:color="auto"/>
        <w:bottom w:val="none" w:sz="0" w:space="0" w:color="auto"/>
        <w:right w:val="none" w:sz="0" w:space="0" w:color="auto"/>
      </w:divBdr>
    </w:div>
    <w:div w:id="1002471116">
      <w:bodyDiv w:val="1"/>
      <w:marLeft w:val="0"/>
      <w:marRight w:val="0"/>
      <w:marTop w:val="0"/>
      <w:marBottom w:val="0"/>
      <w:divBdr>
        <w:top w:val="none" w:sz="0" w:space="0" w:color="auto"/>
        <w:left w:val="none" w:sz="0" w:space="0" w:color="auto"/>
        <w:bottom w:val="none" w:sz="0" w:space="0" w:color="auto"/>
        <w:right w:val="none" w:sz="0" w:space="0" w:color="auto"/>
      </w:divBdr>
    </w:div>
    <w:div w:id="1003584785">
      <w:bodyDiv w:val="1"/>
      <w:marLeft w:val="0"/>
      <w:marRight w:val="0"/>
      <w:marTop w:val="0"/>
      <w:marBottom w:val="0"/>
      <w:divBdr>
        <w:top w:val="none" w:sz="0" w:space="0" w:color="auto"/>
        <w:left w:val="none" w:sz="0" w:space="0" w:color="auto"/>
        <w:bottom w:val="none" w:sz="0" w:space="0" w:color="auto"/>
        <w:right w:val="none" w:sz="0" w:space="0" w:color="auto"/>
      </w:divBdr>
    </w:div>
    <w:div w:id="1021659851">
      <w:bodyDiv w:val="1"/>
      <w:marLeft w:val="0"/>
      <w:marRight w:val="0"/>
      <w:marTop w:val="0"/>
      <w:marBottom w:val="0"/>
      <w:divBdr>
        <w:top w:val="none" w:sz="0" w:space="0" w:color="auto"/>
        <w:left w:val="none" w:sz="0" w:space="0" w:color="auto"/>
        <w:bottom w:val="none" w:sz="0" w:space="0" w:color="auto"/>
        <w:right w:val="none" w:sz="0" w:space="0" w:color="auto"/>
      </w:divBdr>
    </w:div>
    <w:div w:id="1021666376">
      <w:bodyDiv w:val="1"/>
      <w:marLeft w:val="0"/>
      <w:marRight w:val="0"/>
      <w:marTop w:val="0"/>
      <w:marBottom w:val="0"/>
      <w:divBdr>
        <w:top w:val="none" w:sz="0" w:space="0" w:color="auto"/>
        <w:left w:val="none" w:sz="0" w:space="0" w:color="auto"/>
        <w:bottom w:val="none" w:sz="0" w:space="0" w:color="auto"/>
        <w:right w:val="none" w:sz="0" w:space="0" w:color="auto"/>
      </w:divBdr>
    </w:div>
    <w:div w:id="1028605887">
      <w:bodyDiv w:val="1"/>
      <w:marLeft w:val="0"/>
      <w:marRight w:val="0"/>
      <w:marTop w:val="0"/>
      <w:marBottom w:val="0"/>
      <w:divBdr>
        <w:top w:val="none" w:sz="0" w:space="0" w:color="auto"/>
        <w:left w:val="none" w:sz="0" w:space="0" w:color="auto"/>
        <w:bottom w:val="none" w:sz="0" w:space="0" w:color="auto"/>
        <w:right w:val="none" w:sz="0" w:space="0" w:color="auto"/>
      </w:divBdr>
    </w:div>
    <w:div w:id="1028876988">
      <w:bodyDiv w:val="1"/>
      <w:marLeft w:val="0"/>
      <w:marRight w:val="0"/>
      <w:marTop w:val="0"/>
      <w:marBottom w:val="0"/>
      <w:divBdr>
        <w:top w:val="none" w:sz="0" w:space="0" w:color="auto"/>
        <w:left w:val="none" w:sz="0" w:space="0" w:color="auto"/>
        <w:bottom w:val="none" w:sz="0" w:space="0" w:color="auto"/>
        <w:right w:val="none" w:sz="0" w:space="0" w:color="auto"/>
      </w:divBdr>
    </w:div>
    <w:div w:id="1034619880">
      <w:bodyDiv w:val="1"/>
      <w:marLeft w:val="0"/>
      <w:marRight w:val="0"/>
      <w:marTop w:val="0"/>
      <w:marBottom w:val="0"/>
      <w:divBdr>
        <w:top w:val="none" w:sz="0" w:space="0" w:color="auto"/>
        <w:left w:val="none" w:sz="0" w:space="0" w:color="auto"/>
        <w:bottom w:val="none" w:sz="0" w:space="0" w:color="auto"/>
        <w:right w:val="none" w:sz="0" w:space="0" w:color="auto"/>
      </w:divBdr>
    </w:div>
    <w:div w:id="1061249452">
      <w:bodyDiv w:val="1"/>
      <w:marLeft w:val="0"/>
      <w:marRight w:val="0"/>
      <w:marTop w:val="0"/>
      <w:marBottom w:val="0"/>
      <w:divBdr>
        <w:top w:val="none" w:sz="0" w:space="0" w:color="auto"/>
        <w:left w:val="none" w:sz="0" w:space="0" w:color="auto"/>
        <w:bottom w:val="none" w:sz="0" w:space="0" w:color="auto"/>
        <w:right w:val="none" w:sz="0" w:space="0" w:color="auto"/>
      </w:divBdr>
    </w:div>
    <w:div w:id="1066146468">
      <w:bodyDiv w:val="1"/>
      <w:marLeft w:val="0"/>
      <w:marRight w:val="0"/>
      <w:marTop w:val="0"/>
      <w:marBottom w:val="0"/>
      <w:divBdr>
        <w:top w:val="none" w:sz="0" w:space="0" w:color="auto"/>
        <w:left w:val="none" w:sz="0" w:space="0" w:color="auto"/>
        <w:bottom w:val="none" w:sz="0" w:space="0" w:color="auto"/>
        <w:right w:val="none" w:sz="0" w:space="0" w:color="auto"/>
      </w:divBdr>
    </w:div>
    <w:div w:id="1078361418">
      <w:bodyDiv w:val="1"/>
      <w:marLeft w:val="0"/>
      <w:marRight w:val="0"/>
      <w:marTop w:val="0"/>
      <w:marBottom w:val="0"/>
      <w:divBdr>
        <w:top w:val="none" w:sz="0" w:space="0" w:color="auto"/>
        <w:left w:val="none" w:sz="0" w:space="0" w:color="auto"/>
        <w:bottom w:val="none" w:sz="0" w:space="0" w:color="auto"/>
        <w:right w:val="none" w:sz="0" w:space="0" w:color="auto"/>
      </w:divBdr>
    </w:div>
    <w:div w:id="1082215216">
      <w:bodyDiv w:val="1"/>
      <w:marLeft w:val="0"/>
      <w:marRight w:val="0"/>
      <w:marTop w:val="0"/>
      <w:marBottom w:val="0"/>
      <w:divBdr>
        <w:top w:val="none" w:sz="0" w:space="0" w:color="auto"/>
        <w:left w:val="none" w:sz="0" w:space="0" w:color="auto"/>
        <w:bottom w:val="none" w:sz="0" w:space="0" w:color="auto"/>
        <w:right w:val="none" w:sz="0" w:space="0" w:color="auto"/>
      </w:divBdr>
    </w:div>
    <w:div w:id="1083602629">
      <w:bodyDiv w:val="1"/>
      <w:marLeft w:val="0"/>
      <w:marRight w:val="0"/>
      <w:marTop w:val="0"/>
      <w:marBottom w:val="0"/>
      <w:divBdr>
        <w:top w:val="none" w:sz="0" w:space="0" w:color="auto"/>
        <w:left w:val="none" w:sz="0" w:space="0" w:color="auto"/>
        <w:bottom w:val="none" w:sz="0" w:space="0" w:color="auto"/>
        <w:right w:val="none" w:sz="0" w:space="0" w:color="auto"/>
      </w:divBdr>
    </w:div>
    <w:div w:id="1086539799">
      <w:bodyDiv w:val="1"/>
      <w:marLeft w:val="0"/>
      <w:marRight w:val="0"/>
      <w:marTop w:val="0"/>
      <w:marBottom w:val="0"/>
      <w:divBdr>
        <w:top w:val="none" w:sz="0" w:space="0" w:color="auto"/>
        <w:left w:val="none" w:sz="0" w:space="0" w:color="auto"/>
        <w:bottom w:val="none" w:sz="0" w:space="0" w:color="auto"/>
        <w:right w:val="none" w:sz="0" w:space="0" w:color="auto"/>
      </w:divBdr>
    </w:div>
    <w:div w:id="1093355866">
      <w:bodyDiv w:val="1"/>
      <w:marLeft w:val="0"/>
      <w:marRight w:val="0"/>
      <w:marTop w:val="0"/>
      <w:marBottom w:val="0"/>
      <w:divBdr>
        <w:top w:val="none" w:sz="0" w:space="0" w:color="auto"/>
        <w:left w:val="none" w:sz="0" w:space="0" w:color="auto"/>
        <w:bottom w:val="none" w:sz="0" w:space="0" w:color="auto"/>
        <w:right w:val="none" w:sz="0" w:space="0" w:color="auto"/>
      </w:divBdr>
    </w:div>
    <w:div w:id="1108156238">
      <w:bodyDiv w:val="1"/>
      <w:marLeft w:val="0"/>
      <w:marRight w:val="0"/>
      <w:marTop w:val="0"/>
      <w:marBottom w:val="0"/>
      <w:divBdr>
        <w:top w:val="none" w:sz="0" w:space="0" w:color="auto"/>
        <w:left w:val="none" w:sz="0" w:space="0" w:color="auto"/>
        <w:bottom w:val="none" w:sz="0" w:space="0" w:color="auto"/>
        <w:right w:val="none" w:sz="0" w:space="0" w:color="auto"/>
      </w:divBdr>
    </w:div>
    <w:div w:id="1122306043">
      <w:bodyDiv w:val="1"/>
      <w:marLeft w:val="0"/>
      <w:marRight w:val="0"/>
      <w:marTop w:val="0"/>
      <w:marBottom w:val="0"/>
      <w:divBdr>
        <w:top w:val="none" w:sz="0" w:space="0" w:color="auto"/>
        <w:left w:val="none" w:sz="0" w:space="0" w:color="auto"/>
        <w:bottom w:val="none" w:sz="0" w:space="0" w:color="auto"/>
        <w:right w:val="none" w:sz="0" w:space="0" w:color="auto"/>
      </w:divBdr>
    </w:div>
    <w:div w:id="1127553397">
      <w:bodyDiv w:val="1"/>
      <w:marLeft w:val="0"/>
      <w:marRight w:val="0"/>
      <w:marTop w:val="0"/>
      <w:marBottom w:val="0"/>
      <w:divBdr>
        <w:top w:val="none" w:sz="0" w:space="0" w:color="auto"/>
        <w:left w:val="none" w:sz="0" w:space="0" w:color="auto"/>
        <w:bottom w:val="none" w:sz="0" w:space="0" w:color="auto"/>
        <w:right w:val="none" w:sz="0" w:space="0" w:color="auto"/>
      </w:divBdr>
    </w:div>
    <w:div w:id="1142113443">
      <w:bodyDiv w:val="1"/>
      <w:marLeft w:val="0"/>
      <w:marRight w:val="0"/>
      <w:marTop w:val="0"/>
      <w:marBottom w:val="0"/>
      <w:divBdr>
        <w:top w:val="none" w:sz="0" w:space="0" w:color="auto"/>
        <w:left w:val="none" w:sz="0" w:space="0" w:color="auto"/>
        <w:bottom w:val="none" w:sz="0" w:space="0" w:color="auto"/>
        <w:right w:val="none" w:sz="0" w:space="0" w:color="auto"/>
      </w:divBdr>
    </w:div>
    <w:div w:id="1142769290">
      <w:bodyDiv w:val="1"/>
      <w:marLeft w:val="0"/>
      <w:marRight w:val="0"/>
      <w:marTop w:val="0"/>
      <w:marBottom w:val="0"/>
      <w:divBdr>
        <w:top w:val="none" w:sz="0" w:space="0" w:color="auto"/>
        <w:left w:val="none" w:sz="0" w:space="0" w:color="auto"/>
        <w:bottom w:val="none" w:sz="0" w:space="0" w:color="auto"/>
        <w:right w:val="none" w:sz="0" w:space="0" w:color="auto"/>
      </w:divBdr>
    </w:div>
    <w:div w:id="1148593684">
      <w:bodyDiv w:val="1"/>
      <w:marLeft w:val="0"/>
      <w:marRight w:val="0"/>
      <w:marTop w:val="0"/>
      <w:marBottom w:val="0"/>
      <w:divBdr>
        <w:top w:val="none" w:sz="0" w:space="0" w:color="auto"/>
        <w:left w:val="none" w:sz="0" w:space="0" w:color="auto"/>
        <w:bottom w:val="none" w:sz="0" w:space="0" w:color="auto"/>
        <w:right w:val="none" w:sz="0" w:space="0" w:color="auto"/>
      </w:divBdr>
    </w:div>
    <w:div w:id="1150444992">
      <w:bodyDiv w:val="1"/>
      <w:marLeft w:val="0"/>
      <w:marRight w:val="0"/>
      <w:marTop w:val="0"/>
      <w:marBottom w:val="0"/>
      <w:divBdr>
        <w:top w:val="none" w:sz="0" w:space="0" w:color="auto"/>
        <w:left w:val="none" w:sz="0" w:space="0" w:color="auto"/>
        <w:bottom w:val="none" w:sz="0" w:space="0" w:color="auto"/>
        <w:right w:val="none" w:sz="0" w:space="0" w:color="auto"/>
      </w:divBdr>
    </w:div>
    <w:div w:id="1159808338">
      <w:bodyDiv w:val="1"/>
      <w:marLeft w:val="0"/>
      <w:marRight w:val="0"/>
      <w:marTop w:val="0"/>
      <w:marBottom w:val="0"/>
      <w:divBdr>
        <w:top w:val="none" w:sz="0" w:space="0" w:color="auto"/>
        <w:left w:val="none" w:sz="0" w:space="0" w:color="auto"/>
        <w:bottom w:val="none" w:sz="0" w:space="0" w:color="auto"/>
        <w:right w:val="none" w:sz="0" w:space="0" w:color="auto"/>
      </w:divBdr>
    </w:div>
    <w:div w:id="1162937735">
      <w:bodyDiv w:val="1"/>
      <w:marLeft w:val="0"/>
      <w:marRight w:val="0"/>
      <w:marTop w:val="0"/>
      <w:marBottom w:val="0"/>
      <w:divBdr>
        <w:top w:val="none" w:sz="0" w:space="0" w:color="auto"/>
        <w:left w:val="none" w:sz="0" w:space="0" w:color="auto"/>
        <w:bottom w:val="none" w:sz="0" w:space="0" w:color="auto"/>
        <w:right w:val="none" w:sz="0" w:space="0" w:color="auto"/>
      </w:divBdr>
    </w:div>
    <w:div w:id="1170483289">
      <w:bodyDiv w:val="1"/>
      <w:marLeft w:val="0"/>
      <w:marRight w:val="0"/>
      <w:marTop w:val="0"/>
      <w:marBottom w:val="0"/>
      <w:divBdr>
        <w:top w:val="none" w:sz="0" w:space="0" w:color="auto"/>
        <w:left w:val="none" w:sz="0" w:space="0" w:color="auto"/>
        <w:bottom w:val="none" w:sz="0" w:space="0" w:color="auto"/>
        <w:right w:val="none" w:sz="0" w:space="0" w:color="auto"/>
      </w:divBdr>
    </w:div>
    <w:div w:id="1171142193">
      <w:bodyDiv w:val="1"/>
      <w:marLeft w:val="0"/>
      <w:marRight w:val="0"/>
      <w:marTop w:val="0"/>
      <w:marBottom w:val="0"/>
      <w:divBdr>
        <w:top w:val="none" w:sz="0" w:space="0" w:color="auto"/>
        <w:left w:val="none" w:sz="0" w:space="0" w:color="auto"/>
        <w:bottom w:val="none" w:sz="0" w:space="0" w:color="auto"/>
        <w:right w:val="none" w:sz="0" w:space="0" w:color="auto"/>
      </w:divBdr>
    </w:div>
    <w:div w:id="1179463247">
      <w:bodyDiv w:val="1"/>
      <w:marLeft w:val="0"/>
      <w:marRight w:val="0"/>
      <w:marTop w:val="0"/>
      <w:marBottom w:val="0"/>
      <w:divBdr>
        <w:top w:val="none" w:sz="0" w:space="0" w:color="auto"/>
        <w:left w:val="none" w:sz="0" w:space="0" w:color="auto"/>
        <w:bottom w:val="none" w:sz="0" w:space="0" w:color="auto"/>
        <w:right w:val="none" w:sz="0" w:space="0" w:color="auto"/>
      </w:divBdr>
    </w:div>
    <w:div w:id="1180898256">
      <w:bodyDiv w:val="1"/>
      <w:marLeft w:val="0"/>
      <w:marRight w:val="0"/>
      <w:marTop w:val="0"/>
      <w:marBottom w:val="0"/>
      <w:divBdr>
        <w:top w:val="none" w:sz="0" w:space="0" w:color="auto"/>
        <w:left w:val="none" w:sz="0" w:space="0" w:color="auto"/>
        <w:bottom w:val="none" w:sz="0" w:space="0" w:color="auto"/>
        <w:right w:val="none" w:sz="0" w:space="0" w:color="auto"/>
      </w:divBdr>
    </w:div>
    <w:div w:id="1187330369">
      <w:bodyDiv w:val="1"/>
      <w:marLeft w:val="0"/>
      <w:marRight w:val="0"/>
      <w:marTop w:val="0"/>
      <w:marBottom w:val="0"/>
      <w:divBdr>
        <w:top w:val="none" w:sz="0" w:space="0" w:color="auto"/>
        <w:left w:val="none" w:sz="0" w:space="0" w:color="auto"/>
        <w:bottom w:val="none" w:sz="0" w:space="0" w:color="auto"/>
        <w:right w:val="none" w:sz="0" w:space="0" w:color="auto"/>
      </w:divBdr>
      <w:divsChild>
        <w:div w:id="709765098">
          <w:marLeft w:val="0"/>
          <w:marRight w:val="0"/>
          <w:marTop w:val="0"/>
          <w:marBottom w:val="0"/>
          <w:divBdr>
            <w:top w:val="none" w:sz="0" w:space="0" w:color="auto"/>
            <w:left w:val="none" w:sz="0" w:space="0" w:color="auto"/>
            <w:bottom w:val="none" w:sz="0" w:space="0" w:color="auto"/>
            <w:right w:val="none" w:sz="0" w:space="0" w:color="auto"/>
          </w:divBdr>
        </w:div>
      </w:divsChild>
    </w:div>
    <w:div w:id="1190801958">
      <w:bodyDiv w:val="1"/>
      <w:marLeft w:val="0"/>
      <w:marRight w:val="0"/>
      <w:marTop w:val="0"/>
      <w:marBottom w:val="0"/>
      <w:divBdr>
        <w:top w:val="none" w:sz="0" w:space="0" w:color="auto"/>
        <w:left w:val="none" w:sz="0" w:space="0" w:color="auto"/>
        <w:bottom w:val="none" w:sz="0" w:space="0" w:color="auto"/>
        <w:right w:val="none" w:sz="0" w:space="0" w:color="auto"/>
      </w:divBdr>
    </w:div>
    <w:div w:id="1196965991">
      <w:bodyDiv w:val="1"/>
      <w:marLeft w:val="0"/>
      <w:marRight w:val="0"/>
      <w:marTop w:val="0"/>
      <w:marBottom w:val="0"/>
      <w:divBdr>
        <w:top w:val="none" w:sz="0" w:space="0" w:color="auto"/>
        <w:left w:val="none" w:sz="0" w:space="0" w:color="auto"/>
        <w:bottom w:val="none" w:sz="0" w:space="0" w:color="auto"/>
        <w:right w:val="none" w:sz="0" w:space="0" w:color="auto"/>
      </w:divBdr>
    </w:div>
    <w:div w:id="1205482496">
      <w:bodyDiv w:val="1"/>
      <w:marLeft w:val="0"/>
      <w:marRight w:val="0"/>
      <w:marTop w:val="0"/>
      <w:marBottom w:val="0"/>
      <w:divBdr>
        <w:top w:val="none" w:sz="0" w:space="0" w:color="auto"/>
        <w:left w:val="none" w:sz="0" w:space="0" w:color="auto"/>
        <w:bottom w:val="none" w:sz="0" w:space="0" w:color="auto"/>
        <w:right w:val="none" w:sz="0" w:space="0" w:color="auto"/>
      </w:divBdr>
    </w:div>
    <w:div w:id="1210385847">
      <w:bodyDiv w:val="1"/>
      <w:marLeft w:val="0"/>
      <w:marRight w:val="0"/>
      <w:marTop w:val="0"/>
      <w:marBottom w:val="0"/>
      <w:divBdr>
        <w:top w:val="none" w:sz="0" w:space="0" w:color="auto"/>
        <w:left w:val="none" w:sz="0" w:space="0" w:color="auto"/>
        <w:bottom w:val="none" w:sz="0" w:space="0" w:color="auto"/>
        <w:right w:val="none" w:sz="0" w:space="0" w:color="auto"/>
      </w:divBdr>
    </w:div>
    <w:div w:id="1213538858">
      <w:bodyDiv w:val="1"/>
      <w:marLeft w:val="0"/>
      <w:marRight w:val="0"/>
      <w:marTop w:val="0"/>
      <w:marBottom w:val="0"/>
      <w:divBdr>
        <w:top w:val="none" w:sz="0" w:space="0" w:color="auto"/>
        <w:left w:val="none" w:sz="0" w:space="0" w:color="auto"/>
        <w:bottom w:val="none" w:sz="0" w:space="0" w:color="auto"/>
        <w:right w:val="none" w:sz="0" w:space="0" w:color="auto"/>
      </w:divBdr>
    </w:div>
    <w:div w:id="1222642931">
      <w:bodyDiv w:val="1"/>
      <w:marLeft w:val="0"/>
      <w:marRight w:val="0"/>
      <w:marTop w:val="0"/>
      <w:marBottom w:val="0"/>
      <w:divBdr>
        <w:top w:val="none" w:sz="0" w:space="0" w:color="auto"/>
        <w:left w:val="none" w:sz="0" w:space="0" w:color="auto"/>
        <w:bottom w:val="none" w:sz="0" w:space="0" w:color="auto"/>
        <w:right w:val="none" w:sz="0" w:space="0" w:color="auto"/>
      </w:divBdr>
    </w:div>
    <w:div w:id="1223516492">
      <w:bodyDiv w:val="1"/>
      <w:marLeft w:val="0"/>
      <w:marRight w:val="0"/>
      <w:marTop w:val="0"/>
      <w:marBottom w:val="0"/>
      <w:divBdr>
        <w:top w:val="none" w:sz="0" w:space="0" w:color="auto"/>
        <w:left w:val="none" w:sz="0" w:space="0" w:color="auto"/>
        <w:bottom w:val="none" w:sz="0" w:space="0" w:color="auto"/>
        <w:right w:val="none" w:sz="0" w:space="0" w:color="auto"/>
      </w:divBdr>
    </w:div>
    <w:div w:id="1224874259">
      <w:bodyDiv w:val="1"/>
      <w:marLeft w:val="0"/>
      <w:marRight w:val="0"/>
      <w:marTop w:val="0"/>
      <w:marBottom w:val="0"/>
      <w:divBdr>
        <w:top w:val="none" w:sz="0" w:space="0" w:color="auto"/>
        <w:left w:val="none" w:sz="0" w:space="0" w:color="auto"/>
        <w:bottom w:val="none" w:sz="0" w:space="0" w:color="auto"/>
        <w:right w:val="none" w:sz="0" w:space="0" w:color="auto"/>
      </w:divBdr>
    </w:div>
    <w:div w:id="1244802138">
      <w:bodyDiv w:val="1"/>
      <w:marLeft w:val="0"/>
      <w:marRight w:val="0"/>
      <w:marTop w:val="0"/>
      <w:marBottom w:val="0"/>
      <w:divBdr>
        <w:top w:val="none" w:sz="0" w:space="0" w:color="auto"/>
        <w:left w:val="none" w:sz="0" w:space="0" w:color="auto"/>
        <w:bottom w:val="none" w:sz="0" w:space="0" w:color="auto"/>
        <w:right w:val="none" w:sz="0" w:space="0" w:color="auto"/>
      </w:divBdr>
    </w:div>
    <w:div w:id="1247422234">
      <w:bodyDiv w:val="1"/>
      <w:marLeft w:val="0"/>
      <w:marRight w:val="0"/>
      <w:marTop w:val="0"/>
      <w:marBottom w:val="0"/>
      <w:divBdr>
        <w:top w:val="none" w:sz="0" w:space="0" w:color="auto"/>
        <w:left w:val="none" w:sz="0" w:space="0" w:color="auto"/>
        <w:bottom w:val="none" w:sz="0" w:space="0" w:color="auto"/>
        <w:right w:val="none" w:sz="0" w:space="0" w:color="auto"/>
      </w:divBdr>
    </w:div>
    <w:div w:id="1257133988">
      <w:bodyDiv w:val="1"/>
      <w:marLeft w:val="0"/>
      <w:marRight w:val="0"/>
      <w:marTop w:val="0"/>
      <w:marBottom w:val="0"/>
      <w:divBdr>
        <w:top w:val="none" w:sz="0" w:space="0" w:color="auto"/>
        <w:left w:val="none" w:sz="0" w:space="0" w:color="auto"/>
        <w:bottom w:val="none" w:sz="0" w:space="0" w:color="auto"/>
        <w:right w:val="none" w:sz="0" w:space="0" w:color="auto"/>
      </w:divBdr>
    </w:div>
    <w:div w:id="1257520813">
      <w:bodyDiv w:val="1"/>
      <w:marLeft w:val="0"/>
      <w:marRight w:val="0"/>
      <w:marTop w:val="0"/>
      <w:marBottom w:val="0"/>
      <w:divBdr>
        <w:top w:val="none" w:sz="0" w:space="0" w:color="auto"/>
        <w:left w:val="none" w:sz="0" w:space="0" w:color="auto"/>
        <w:bottom w:val="none" w:sz="0" w:space="0" w:color="auto"/>
        <w:right w:val="none" w:sz="0" w:space="0" w:color="auto"/>
      </w:divBdr>
    </w:div>
    <w:div w:id="1261109953">
      <w:bodyDiv w:val="1"/>
      <w:marLeft w:val="0"/>
      <w:marRight w:val="0"/>
      <w:marTop w:val="0"/>
      <w:marBottom w:val="0"/>
      <w:divBdr>
        <w:top w:val="none" w:sz="0" w:space="0" w:color="auto"/>
        <w:left w:val="none" w:sz="0" w:space="0" w:color="auto"/>
        <w:bottom w:val="none" w:sz="0" w:space="0" w:color="auto"/>
        <w:right w:val="none" w:sz="0" w:space="0" w:color="auto"/>
      </w:divBdr>
    </w:div>
    <w:div w:id="1264535129">
      <w:bodyDiv w:val="1"/>
      <w:marLeft w:val="0"/>
      <w:marRight w:val="0"/>
      <w:marTop w:val="0"/>
      <w:marBottom w:val="0"/>
      <w:divBdr>
        <w:top w:val="none" w:sz="0" w:space="0" w:color="auto"/>
        <w:left w:val="none" w:sz="0" w:space="0" w:color="auto"/>
        <w:bottom w:val="none" w:sz="0" w:space="0" w:color="auto"/>
        <w:right w:val="none" w:sz="0" w:space="0" w:color="auto"/>
      </w:divBdr>
    </w:div>
    <w:div w:id="1265066975">
      <w:bodyDiv w:val="1"/>
      <w:marLeft w:val="0"/>
      <w:marRight w:val="0"/>
      <w:marTop w:val="0"/>
      <w:marBottom w:val="0"/>
      <w:divBdr>
        <w:top w:val="none" w:sz="0" w:space="0" w:color="auto"/>
        <w:left w:val="none" w:sz="0" w:space="0" w:color="auto"/>
        <w:bottom w:val="none" w:sz="0" w:space="0" w:color="auto"/>
        <w:right w:val="none" w:sz="0" w:space="0" w:color="auto"/>
      </w:divBdr>
    </w:div>
    <w:div w:id="1266109516">
      <w:bodyDiv w:val="1"/>
      <w:marLeft w:val="0"/>
      <w:marRight w:val="0"/>
      <w:marTop w:val="0"/>
      <w:marBottom w:val="0"/>
      <w:divBdr>
        <w:top w:val="none" w:sz="0" w:space="0" w:color="auto"/>
        <w:left w:val="none" w:sz="0" w:space="0" w:color="auto"/>
        <w:bottom w:val="none" w:sz="0" w:space="0" w:color="auto"/>
        <w:right w:val="none" w:sz="0" w:space="0" w:color="auto"/>
      </w:divBdr>
    </w:div>
    <w:div w:id="1267543037">
      <w:bodyDiv w:val="1"/>
      <w:marLeft w:val="0"/>
      <w:marRight w:val="0"/>
      <w:marTop w:val="0"/>
      <w:marBottom w:val="0"/>
      <w:divBdr>
        <w:top w:val="none" w:sz="0" w:space="0" w:color="auto"/>
        <w:left w:val="none" w:sz="0" w:space="0" w:color="auto"/>
        <w:bottom w:val="none" w:sz="0" w:space="0" w:color="auto"/>
        <w:right w:val="none" w:sz="0" w:space="0" w:color="auto"/>
      </w:divBdr>
    </w:div>
    <w:div w:id="1271665259">
      <w:bodyDiv w:val="1"/>
      <w:marLeft w:val="0"/>
      <w:marRight w:val="0"/>
      <w:marTop w:val="0"/>
      <w:marBottom w:val="0"/>
      <w:divBdr>
        <w:top w:val="none" w:sz="0" w:space="0" w:color="auto"/>
        <w:left w:val="none" w:sz="0" w:space="0" w:color="auto"/>
        <w:bottom w:val="none" w:sz="0" w:space="0" w:color="auto"/>
        <w:right w:val="none" w:sz="0" w:space="0" w:color="auto"/>
      </w:divBdr>
    </w:div>
    <w:div w:id="1281182556">
      <w:bodyDiv w:val="1"/>
      <w:marLeft w:val="0"/>
      <w:marRight w:val="0"/>
      <w:marTop w:val="0"/>
      <w:marBottom w:val="0"/>
      <w:divBdr>
        <w:top w:val="none" w:sz="0" w:space="0" w:color="auto"/>
        <w:left w:val="none" w:sz="0" w:space="0" w:color="auto"/>
        <w:bottom w:val="none" w:sz="0" w:space="0" w:color="auto"/>
        <w:right w:val="none" w:sz="0" w:space="0" w:color="auto"/>
      </w:divBdr>
    </w:div>
    <w:div w:id="1290472048">
      <w:bodyDiv w:val="1"/>
      <w:marLeft w:val="0"/>
      <w:marRight w:val="0"/>
      <w:marTop w:val="0"/>
      <w:marBottom w:val="0"/>
      <w:divBdr>
        <w:top w:val="none" w:sz="0" w:space="0" w:color="auto"/>
        <w:left w:val="none" w:sz="0" w:space="0" w:color="auto"/>
        <w:bottom w:val="none" w:sz="0" w:space="0" w:color="auto"/>
        <w:right w:val="none" w:sz="0" w:space="0" w:color="auto"/>
      </w:divBdr>
    </w:div>
    <w:div w:id="1294749411">
      <w:bodyDiv w:val="1"/>
      <w:marLeft w:val="0"/>
      <w:marRight w:val="0"/>
      <w:marTop w:val="0"/>
      <w:marBottom w:val="0"/>
      <w:divBdr>
        <w:top w:val="none" w:sz="0" w:space="0" w:color="auto"/>
        <w:left w:val="none" w:sz="0" w:space="0" w:color="auto"/>
        <w:bottom w:val="none" w:sz="0" w:space="0" w:color="auto"/>
        <w:right w:val="none" w:sz="0" w:space="0" w:color="auto"/>
      </w:divBdr>
    </w:div>
    <w:div w:id="1301223889">
      <w:bodyDiv w:val="1"/>
      <w:marLeft w:val="0"/>
      <w:marRight w:val="0"/>
      <w:marTop w:val="0"/>
      <w:marBottom w:val="0"/>
      <w:divBdr>
        <w:top w:val="none" w:sz="0" w:space="0" w:color="auto"/>
        <w:left w:val="none" w:sz="0" w:space="0" w:color="auto"/>
        <w:bottom w:val="none" w:sz="0" w:space="0" w:color="auto"/>
        <w:right w:val="none" w:sz="0" w:space="0" w:color="auto"/>
      </w:divBdr>
    </w:div>
    <w:div w:id="1303076831">
      <w:bodyDiv w:val="1"/>
      <w:marLeft w:val="0"/>
      <w:marRight w:val="0"/>
      <w:marTop w:val="0"/>
      <w:marBottom w:val="0"/>
      <w:divBdr>
        <w:top w:val="none" w:sz="0" w:space="0" w:color="auto"/>
        <w:left w:val="none" w:sz="0" w:space="0" w:color="auto"/>
        <w:bottom w:val="none" w:sz="0" w:space="0" w:color="auto"/>
        <w:right w:val="none" w:sz="0" w:space="0" w:color="auto"/>
      </w:divBdr>
    </w:div>
    <w:div w:id="1304191118">
      <w:bodyDiv w:val="1"/>
      <w:marLeft w:val="0"/>
      <w:marRight w:val="0"/>
      <w:marTop w:val="0"/>
      <w:marBottom w:val="0"/>
      <w:divBdr>
        <w:top w:val="none" w:sz="0" w:space="0" w:color="auto"/>
        <w:left w:val="none" w:sz="0" w:space="0" w:color="auto"/>
        <w:bottom w:val="none" w:sz="0" w:space="0" w:color="auto"/>
        <w:right w:val="none" w:sz="0" w:space="0" w:color="auto"/>
      </w:divBdr>
    </w:div>
    <w:div w:id="1307317330">
      <w:bodyDiv w:val="1"/>
      <w:marLeft w:val="0"/>
      <w:marRight w:val="0"/>
      <w:marTop w:val="0"/>
      <w:marBottom w:val="0"/>
      <w:divBdr>
        <w:top w:val="none" w:sz="0" w:space="0" w:color="auto"/>
        <w:left w:val="none" w:sz="0" w:space="0" w:color="auto"/>
        <w:bottom w:val="none" w:sz="0" w:space="0" w:color="auto"/>
        <w:right w:val="none" w:sz="0" w:space="0" w:color="auto"/>
      </w:divBdr>
    </w:div>
    <w:div w:id="1320885309">
      <w:bodyDiv w:val="1"/>
      <w:marLeft w:val="0"/>
      <w:marRight w:val="0"/>
      <w:marTop w:val="0"/>
      <w:marBottom w:val="0"/>
      <w:divBdr>
        <w:top w:val="none" w:sz="0" w:space="0" w:color="auto"/>
        <w:left w:val="none" w:sz="0" w:space="0" w:color="auto"/>
        <w:bottom w:val="none" w:sz="0" w:space="0" w:color="auto"/>
        <w:right w:val="none" w:sz="0" w:space="0" w:color="auto"/>
      </w:divBdr>
    </w:div>
    <w:div w:id="1322196125">
      <w:bodyDiv w:val="1"/>
      <w:marLeft w:val="0"/>
      <w:marRight w:val="0"/>
      <w:marTop w:val="0"/>
      <w:marBottom w:val="0"/>
      <w:divBdr>
        <w:top w:val="none" w:sz="0" w:space="0" w:color="auto"/>
        <w:left w:val="none" w:sz="0" w:space="0" w:color="auto"/>
        <w:bottom w:val="none" w:sz="0" w:space="0" w:color="auto"/>
        <w:right w:val="none" w:sz="0" w:space="0" w:color="auto"/>
      </w:divBdr>
    </w:div>
    <w:div w:id="1366515149">
      <w:bodyDiv w:val="1"/>
      <w:marLeft w:val="0"/>
      <w:marRight w:val="0"/>
      <w:marTop w:val="0"/>
      <w:marBottom w:val="0"/>
      <w:divBdr>
        <w:top w:val="none" w:sz="0" w:space="0" w:color="auto"/>
        <w:left w:val="none" w:sz="0" w:space="0" w:color="auto"/>
        <w:bottom w:val="none" w:sz="0" w:space="0" w:color="auto"/>
        <w:right w:val="none" w:sz="0" w:space="0" w:color="auto"/>
      </w:divBdr>
    </w:div>
    <w:div w:id="1384449781">
      <w:bodyDiv w:val="1"/>
      <w:marLeft w:val="0"/>
      <w:marRight w:val="0"/>
      <w:marTop w:val="0"/>
      <w:marBottom w:val="0"/>
      <w:divBdr>
        <w:top w:val="none" w:sz="0" w:space="0" w:color="auto"/>
        <w:left w:val="none" w:sz="0" w:space="0" w:color="auto"/>
        <w:bottom w:val="none" w:sz="0" w:space="0" w:color="auto"/>
        <w:right w:val="none" w:sz="0" w:space="0" w:color="auto"/>
      </w:divBdr>
    </w:div>
    <w:div w:id="1412194786">
      <w:bodyDiv w:val="1"/>
      <w:marLeft w:val="0"/>
      <w:marRight w:val="0"/>
      <w:marTop w:val="0"/>
      <w:marBottom w:val="0"/>
      <w:divBdr>
        <w:top w:val="none" w:sz="0" w:space="0" w:color="auto"/>
        <w:left w:val="none" w:sz="0" w:space="0" w:color="auto"/>
        <w:bottom w:val="none" w:sz="0" w:space="0" w:color="auto"/>
        <w:right w:val="none" w:sz="0" w:space="0" w:color="auto"/>
      </w:divBdr>
    </w:div>
    <w:div w:id="1425685554">
      <w:bodyDiv w:val="1"/>
      <w:marLeft w:val="0"/>
      <w:marRight w:val="0"/>
      <w:marTop w:val="0"/>
      <w:marBottom w:val="0"/>
      <w:divBdr>
        <w:top w:val="none" w:sz="0" w:space="0" w:color="auto"/>
        <w:left w:val="none" w:sz="0" w:space="0" w:color="auto"/>
        <w:bottom w:val="none" w:sz="0" w:space="0" w:color="auto"/>
        <w:right w:val="none" w:sz="0" w:space="0" w:color="auto"/>
      </w:divBdr>
    </w:div>
    <w:div w:id="1434127431">
      <w:bodyDiv w:val="1"/>
      <w:marLeft w:val="0"/>
      <w:marRight w:val="0"/>
      <w:marTop w:val="0"/>
      <w:marBottom w:val="0"/>
      <w:divBdr>
        <w:top w:val="none" w:sz="0" w:space="0" w:color="auto"/>
        <w:left w:val="none" w:sz="0" w:space="0" w:color="auto"/>
        <w:bottom w:val="none" w:sz="0" w:space="0" w:color="auto"/>
        <w:right w:val="none" w:sz="0" w:space="0" w:color="auto"/>
      </w:divBdr>
    </w:div>
    <w:div w:id="1440296078">
      <w:bodyDiv w:val="1"/>
      <w:marLeft w:val="0"/>
      <w:marRight w:val="0"/>
      <w:marTop w:val="0"/>
      <w:marBottom w:val="0"/>
      <w:divBdr>
        <w:top w:val="none" w:sz="0" w:space="0" w:color="auto"/>
        <w:left w:val="none" w:sz="0" w:space="0" w:color="auto"/>
        <w:bottom w:val="none" w:sz="0" w:space="0" w:color="auto"/>
        <w:right w:val="none" w:sz="0" w:space="0" w:color="auto"/>
      </w:divBdr>
    </w:div>
    <w:div w:id="1447191838">
      <w:bodyDiv w:val="1"/>
      <w:marLeft w:val="0"/>
      <w:marRight w:val="0"/>
      <w:marTop w:val="0"/>
      <w:marBottom w:val="0"/>
      <w:divBdr>
        <w:top w:val="none" w:sz="0" w:space="0" w:color="auto"/>
        <w:left w:val="none" w:sz="0" w:space="0" w:color="auto"/>
        <w:bottom w:val="none" w:sz="0" w:space="0" w:color="auto"/>
        <w:right w:val="none" w:sz="0" w:space="0" w:color="auto"/>
      </w:divBdr>
    </w:div>
    <w:div w:id="1459107849">
      <w:bodyDiv w:val="1"/>
      <w:marLeft w:val="0"/>
      <w:marRight w:val="0"/>
      <w:marTop w:val="0"/>
      <w:marBottom w:val="0"/>
      <w:divBdr>
        <w:top w:val="none" w:sz="0" w:space="0" w:color="auto"/>
        <w:left w:val="none" w:sz="0" w:space="0" w:color="auto"/>
        <w:bottom w:val="none" w:sz="0" w:space="0" w:color="auto"/>
        <w:right w:val="none" w:sz="0" w:space="0" w:color="auto"/>
      </w:divBdr>
    </w:div>
    <w:div w:id="1468813747">
      <w:bodyDiv w:val="1"/>
      <w:marLeft w:val="0"/>
      <w:marRight w:val="0"/>
      <w:marTop w:val="0"/>
      <w:marBottom w:val="0"/>
      <w:divBdr>
        <w:top w:val="none" w:sz="0" w:space="0" w:color="auto"/>
        <w:left w:val="none" w:sz="0" w:space="0" w:color="auto"/>
        <w:bottom w:val="none" w:sz="0" w:space="0" w:color="auto"/>
        <w:right w:val="none" w:sz="0" w:space="0" w:color="auto"/>
      </w:divBdr>
    </w:div>
    <w:div w:id="1475566543">
      <w:bodyDiv w:val="1"/>
      <w:marLeft w:val="0"/>
      <w:marRight w:val="0"/>
      <w:marTop w:val="0"/>
      <w:marBottom w:val="0"/>
      <w:divBdr>
        <w:top w:val="none" w:sz="0" w:space="0" w:color="auto"/>
        <w:left w:val="none" w:sz="0" w:space="0" w:color="auto"/>
        <w:bottom w:val="none" w:sz="0" w:space="0" w:color="auto"/>
        <w:right w:val="none" w:sz="0" w:space="0" w:color="auto"/>
      </w:divBdr>
    </w:div>
    <w:div w:id="1491216301">
      <w:bodyDiv w:val="1"/>
      <w:marLeft w:val="0"/>
      <w:marRight w:val="0"/>
      <w:marTop w:val="0"/>
      <w:marBottom w:val="0"/>
      <w:divBdr>
        <w:top w:val="none" w:sz="0" w:space="0" w:color="auto"/>
        <w:left w:val="none" w:sz="0" w:space="0" w:color="auto"/>
        <w:bottom w:val="none" w:sz="0" w:space="0" w:color="auto"/>
        <w:right w:val="none" w:sz="0" w:space="0" w:color="auto"/>
      </w:divBdr>
    </w:div>
    <w:div w:id="1500656893">
      <w:bodyDiv w:val="1"/>
      <w:marLeft w:val="0"/>
      <w:marRight w:val="0"/>
      <w:marTop w:val="0"/>
      <w:marBottom w:val="0"/>
      <w:divBdr>
        <w:top w:val="none" w:sz="0" w:space="0" w:color="auto"/>
        <w:left w:val="none" w:sz="0" w:space="0" w:color="auto"/>
        <w:bottom w:val="none" w:sz="0" w:space="0" w:color="auto"/>
        <w:right w:val="none" w:sz="0" w:space="0" w:color="auto"/>
      </w:divBdr>
    </w:div>
    <w:div w:id="1506631506">
      <w:bodyDiv w:val="1"/>
      <w:marLeft w:val="0"/>
      <w:marRight w:val="0"/>
      <w:marTop w:val="0"/>
      <w:marBottom w:val="0"/>
      <w:divBdr>
        <w:top w:val="none" w:sz="0" w:space="0" w:color="auto"/>
        <w:left w:val="none" w:sz="0" w:space="0" w:color="auto"/>
        <w:bottom w:val="none" w:sz="0" w:space="0" w:color="auto"/>
        <w:right w:val="none" w:sz="0" w:space="0" w:color="auto"/>
      </w:divBdr>
    </w:div>
    <w:div w:id="1522430620">
      <w:bodyDiv w:val="1"/>
      <w:marLeft w:val="0"/>
      <w:marRight w:val="0"/>
      <w:marTop w:val="0"/>
      <w:marBottom w:val="0"/>
      <w:divBdr>
        <w:top w:val="none" w:sz="0" w:space="0" w:color="auto"/>
        <w:left w:val="none" w:sz="0" w:space="0" w:color="auto"/>
        <w:bottom w:val="none" w:sz="0" w:space="0" w:color="auto"/>
        <w:right w:val="none" w:sz="0" w:space="0" w:color="auto"/>
      </w:divBdr>
    </w:div>
    <w:div w:id="1531190186">
      <w:bodyDiv w:val="1"/>
      <w:marLeft w:val="0"/>
      <w:marRight w:val="0"/>
      <w:marTop w:val="0"/>
      <w:marBottom w:val="0"/>
      <w:divBdr>
        <w:top w:val="none" w:sz="0" w:space="0" w:color="auto"/>
        <w:left w:val="none" w:sz="0" w:space="0" w:color="auto"/>
        <w:bottom w:val="none" w:sz="0" w:space="0" w:color="auto"/>
        <w:right w:val="none" w:sz="0" w:space="0" w:color="auto"/>
      </w:divBdr>
    </w:div>
    <w:div w:id="1538157349">
      <w:bodyDiv w:val="1"/>
      <w:marLeft w:val="0"/>
      <w:marRight w:val="0"/>
      <w:marTop w:val="0"/>
      <w:marBottom w:val="0"/>
      <w:divBdr>
        <w:top w:val="none" w:sz="0" w:space="0" w:color="auto"/>
        <w:left w:val="none" w:sz="0" w:space="0" w:color="auto"/>
        <w:bottom w:val="none" w:sz="0" w:space="0" w:color="auto"/>
        <w:right w:val="none" w:sz="0" w:space="0" w:color="auto"/>
      </w:divBdr>
    </w:div>
    <w:div w:id="1543514757">
      <w:bodyDiv w:val="1"/>
      <w:marLeft w:val="0"/>
      <w:marRight w:val="0"/>
      <w:marTop w:val="0"/>
      <w:marBottom w:val="0"/>
      <w:divBdr>
        <w:top w:val="none" w:sz="0" w:space="0" w:color="auto"/>
        <w:left w:val="none" w:sz="0" w:space="0" w:color="auto"/>
        <w:bottom w:val="none" w:sz="0" w:space="0" w:color="auto"/>
        <w:right w:val="none" w:sz="0" w:space="0" w:color="auto"/>
      </w:divBdr>
    </w:div>
    <w:div w:id="1562516449">
      <w:bodyDiv w:val="1"/>
      <w:marLeft w:val="0"/>
      <w:marRight w:val="0"/>
      <w:marTop w:val="0"/>
      <w:marBottom w:val="0"/>
      <w:divBdr>
        <w:top w:val="none" w:sz="0" w:space="0" w:color="auto"/>
        <w:left w:val="none" w:sz="0" w:space="0" w:color="auto"/>
        <w:bottom w:val="none" w:sz="0" w:space="0" w:color="auto"/>
        <w:right w:val="none" w:sz="0" w:space="0" w:color="auto"/>
      </w:divBdr>
    </w:div>
    <w:div w:id="1563104533">
      <w:bodyDiv w:val="1"/>
      <w:marLeft w:val="0"/>
      <w:marRight w:val="0"/>
      <w:marTop w:val="0"/>
      <w:marBottom w:val="0"/>
      <w:divBdr>
        <w:top w:val="none" w:sz="0" w:space="0" w:color="auto"/>
        <w:left w:val="none" w:sz="0" w:space="0" w:color="auto"/>
        <w:bottom w:val="none" w:sz="0" w:space="0" w:color="auto"/>
        <w:right w:val="none" w:sz="0" w:space="0" w:color="auto"/>
      </w:divBdr>
    </w:div>
    <w:div w:id="1565869373">
      <w:bodyDiv w:val="1"/>
      <w:marLeft w:val="0"/>
      <w:marRight w:val="0"/>
      <w:marTop w:val="0"/>
      <w:marBottom w:val="0"/>
      <w:divBdr>
        <w:top w:val="none" w:sz="0" w:space="0" w:color="auto"/>
        <w:left w:val="none" w:sz="0" w:space="0" w:color="auto"/>
        <w:bottom w:val="none" w:sz="0" w:space="0" w:color="auto"/>
        <w:right w:val="none" w:sz="0" w:space="0" w:color="auto"/>
      </w:divBdr>
    </w:div>
    <w:div w:id="1579361724">
      <w:bodyDiv w:val="1"/>
      <w:marLeft w:val="0"/>
      <w:marRight w:val="0"/>
      <w:marTop w:val="0"/>
      <w:marBottom w:val="0"/>
      <w:divBdr>
        <w:top w:val="none" w:sz="0" w:space="0" w:color="auto"/>
        <w:left w:val="none" w:sz="0" w:space="0" w:color="auto"/>
        <w:bottom w:val="none" w:sz="0" w:space="0" w:color="auto"/>
        <w:right w:val="none" w:sz="0" w:space="0" w:color="auto"/>
      </w:divBdr>
    </w:div>
    <w:div w:id="1586306652">
      <w:bodyDiv w:val="1"/>
      <w:marLeft w:val="0"/>
      <w:marRight w:val="0"/>
      <w:marTop w:val="0"/>
      <w:marBottom w:val="0"/>
      <w:divBdr>
        <w:top w:val="none" w:sz="0" w:space="0" w:color="auto"/>
        <w:left w:val="none" w:sz="0" w:space="0" w:color="auto"/>
        <w:bottom w:val="none" w:sz="0" w:space="0" w:color="auto"/>
        <w:right w:val="none" w:sz="0" w:space="0" w:color="auto"/>
      </w:divBdr>
    </w:div>
    <w:div w:id="1598828532">
      <w:bodyDiv w:val="1"/>
      <w:marLeft w:val="0"/>
      <w:marRight w:val="0"/>
      <w:marTop w:val="0"/>
      <w:marBottom w:val="0"/>
      <w:divBdr>
        <w:top w:val="none" w:sz="0" w:space="0" w:color="auto"/>
        <w:left w:val="none" w:sz="0" w:space="0" w:color="auto"/>
        <w:bottom w:val="none" w:sz="0" w:space="0" w:color="auto"/>
        <w:right w:val="none" w:sz="0" w:space="0" w:color="auto"/>
      </w:divBdr>
    </w:div>
    <w:div w:id="1599211225">
      <w:bodyDiv w:val="1"/>
      <w:marLeft w:val="0"/>
      <w:marRight w:val="0"/>
      <w:marTop w:val="0"/>
      <w:marBottom w:val="0"/>
      <w:divBdr>
        <w:top w:val="none" w:sz="0" w:space="0" w:color="auto"/>
        <w:left w:val="none" w:sz="0" w:space="0" w:color="auto"/>
        <w:bottom w:val="none" w:sz="0" w:space="0" w:color="auto"/>
        <w:right w:val="none" w:sz="0" w:space="0" w:color="auto"/>
      </w:divBdr>
    </w:div>
    <w:div w:id="1600672864">
      <w:bodyDiv w:val="1"/>
      <w:marLeft w:val="0"/>
      <w:marRight w:val="0"/>
      <w:marTop w:val="0"/>
      <w:marBottom w:val="0"/>
      <w:divBdr>
        <w:top w:val="none" w:sz="0" w:space="0" w:color="auto"/>
        <w:left w:val="none" w:sz="0" w:space="0" w:color="auto"/>
        <w:bottom w:val="none" w:sz="0" w:space="0" w:color="auto"/>
        <w:right w:val="none" w:sz="0" w:space="0" w:color="auto"/>
      </w:divBdr>
    </w:div>
    <w:div w:id="1610813196">
      <w:bodyDiv w:val="1"/>
      <w:marLeft w:val="0"/>
      <w:marRight w:val="0"/>
      <w:marTop w:val="0"/>
      <w:marBottom w:val="0"/>
      <w:divBdr>
        <w:top w:val="none" w:sz="0" w:space="0" w:color="auto"/>
        <w:left w:val="none" w:sz="0" w:space="0" w:color="auto"/>
        <w:bottom w:val="none" w:sz="0" w:space="0" w:color="auto"/>
        <w:right w:val="none" w:sz="0" w:space="0" w:color="auto"/>
      </w:divBdr>
    </w:div>
    <w:div w:id="1623801127">
      <w:bodyDiv w:val="1"/>
      <w:marLeft w:val="0"/>
      <w:marRight w:val="0"/>
      <w:marTop w:val="0"/>
      <w:marBottom w:val="0"/>
      <w:divBdr>
        <w:top w:val="none" w:sz="0" w:space="0" w:color="auto"/>
        <w:left w:val="none" w:sz="0" w:space="0" w:color="auto"/>
        <w:bottom w:val="none" w:sz="0" w:space="0" w:color="auto"/>
        <w:right w:val="none" w:sz="0" w:space="0" w:color="auto"/>
      </w:divBdr>
    </w:div>
    <w:div w:id="1628049523">
      <w:bodyDiv w:val="1"/>
      <w:marLeft w:val="0"/>
      <w:marRight w:val="0"/>
      <w:marTop w:val="0"/>
      <w:marBottom w:val="0"/>
      <w:divBdr>
        <w:top w:val="none" w:sz="0" w:space="0" w:color="auto"/>
        <w:left w:val="none" w:sz="0" w:space="0" w:color="auto"/>
        <w:bottom w:val="none" w:sz="0" w:space="0" w:color="auto"/>
        <w:right w:val="none" w:sz="0" w:space="0" w:color="auto"/>
      </w:divBdr>
      <w:divsChild>
        <w:div w:id="514001389">
          <w:marLeft w:val="0"/>
          <w:marRight w:val="0"/>
          <w:marTop w:val="0"/>
          <w:marBottom w:val="0"/>
          <w:divBdr>
            <w:top w:val="none" w:sz="0" w:space="0" w:color="auto"/>
            <w:left w:val="none" w:sz="0" w:space="0" w:color="auto"/>
            <w:bottom w:val="none" w:sz="0" w:space="0" w:color="auto"/>
            <w:right w:val="none" w:sz="0" w:space="0" w:color="auto"/>
          </w:divBdr>
          <w:divsChild>
            <w:div w:id="1258978313">
              <w:marLeft w:val="0"/>
              <w:marRight w:val="0"/>
              <w:marTop w:val="0"/>
              <w:marBottom w:val="0"/>
              <w:divBdr>
                <w:top w:val="none" w:sz="0" w:space="0" w:color="auto"/>
                <w:left w:val="none" w:sz="0" w:space="0" w:color="auto"/>
                <w:bottom w:val="none" w:sz="0" w:space="0" w:color="auto"/>
                <w:right w:val="none" w:sz="0" w:space="0" w:color="auto"/>
              </w:divBdr>
              <w:divsChild>
                <w:div w:id="117574682">
                  <w:marLeft w:val="0"/>
                  <w:marRight w:val="0"/>
                  <w:marTop w:val="0"/>
                  <w:marBottom w:val="0"/>
                  <w:divBdr>
                    <w:top w:val="none" w:sz="0" w:space="0" w:color="auto"/>
                    <w:left w:val="none" w:sz="0" w:space="0" w:color="auto"/>
                    <w:bottom w:val="none" w:sz="0" w:space="0" w:color="auto"/>
                    <w:right w:val="none" w:sz="0" w:space="0" w:color="auto"/>
                  </w:divBdr>
                  <w:divsChild>
                    <w:div w:id="2136287725">
                      <w:marLeft w:val="300"/>
                      <w:marRight w:val="0"/>
                      <w:marTop w:val="0"/>
                      <w:marBottom w:val="0"/>
                      <w:divBdr>
                        <w:top w:val="none" w:sz="0" w:space="0" w:color="auto"/>
                        <w:left w:val="none" w:sz="0" w:space="0" w:color="auto"/>
                        <w:bottom w:val="none" w:sz="0" w:space="0" w:color="auto"/>
                        <w:right w:val="none" w:sz="0" w:space="0" w:color="auto"/>
                      </w:divBdr>
                      <w:divsChild>
                        <w:div w:id="1570575545">
                          <w:marLeft w:val="-300"/>
                          <w:marRight w:val="0"/>
                          <w:marTop w:val="0"/>
                          <w:marBottom w:val="0"/>
                          <w:divBdr>
                            <w:top w:val="none" w:sz="0" w:space="0" w:color="auto"/>
                            <w:left w:val="none" w:sz="0" w:space="0" w:color="auto"/>
                            <w:bottom w:val="none" w:sz="0" w:space="0" w:color="auto"/>
                            <w:right w:val="none" w:sz="0" w:space="0" w:color="auto"/>
                          </w:divBdr>
                          <w:divsChild>
                            <w:div w:id="800731782">
                              <w:marLeft w:val="0"/>
                              <w:marRight w:val="0"/>
                              <w:marTop w:val="0"/>
                              <w:marBottom w:val="0"/>
                              <w:divBdr>
                                <w:top w:val="none" w:sz="0" w:space="0" w:color="auto"/>
                                <w:left w:val="none" w:sz="0" w:space="0" w:color="auto"/>
                                <w:bottom w:val="none" w:sz="0" w:space="0" w:color="auto"/>
                                <w:right w:val="none" w:sz="0" w:space="0" w:color="auto"/>
                              </w:divBdr>
                              <w:divsChild>
                                <w:div w:id="7308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662300">
      <w:bodyDiv w:val="1"/>
      <w:marLeft w:val="0"/>
      <w:marRight w:val="0"/>
      <w:marTop w:val="0"/>
      <w:marBottom w:val="0"/>
      <w:divBdr>
        <w:top w:val="none" w:sz="0" w:space="0" w:color="auto"/>
        <w:left w:val="none" w:sz="0" w:space="0" w:color="auto"/>
        <w:bottom w:val="none" w:sz="0" w:space="0" w:color="auto"/>
        <w:right w:val="none" w:sz="0" w:space="0" w:color="auto"/>
      </w:divBdr>
    </w:div>
    <w:div w:id="1633824101">
      <w:bodyDiv w:val="1"/>
      <w:marLeft w:val="0"/>
      <w:marRight w:val="0"/>
      <w:marTop w:val="0"/>
      <w:marBottom w:val="0"/>
      <w:divBdr>
        <w:top w:val="none" w:sz="0" w:space="0" w:color="auto"/>
        <w:left w:val="none" w:sz="0" w:space="0" w:color="auto"/>
        <w:bottom w:val="none" w:sz="0" w:space="0" w:color="auto"/>
        <w:right w:val="none" w:sz="0" w:space="0" w:color="auto"/>
      </w:divBdr>
    </w:div>
    <w:div w:id="1636183248">
      <w:bodyDiv w:val="1"/>
      <w:marLeft w:val="0"/>
      <w:marRight w:val="0"/>
      <w:marTop w:val="0"/>
      <w:marBottom w:val="0"/>
      <w:divBdr>
        <w:top w:val="none" w:sz="0" w:space="0" w:color="auto"/>
        <w:left w:val="none" w:sz="0" w:space="0" w:color="auto"/>
        <w:bottom w:val="none" w:sz="0" w:space="0" w:color="auto"/>
        <w:right w:val="none" w:sz="0" w:space="0" w:color="auto"/>
      </w:divBdr>
    </w:div>
    <w:div w:id="1636644294">
      <w:bodyDiv w:val="1"/>
      <w:marLeft w:val="0"/>
      <w:marRight w:val="0"/>
      <w:marTop w:val="0"/>
      <w:marBottom w:val="0"/>
      <w:divBdr>
        <w:top w:val="none" w:sz="0" w:space="0" w:color="auto"/>
        <w:left w:val="none" w:sz="0" w:space="0" w:color="auto"/>
        <w:bottom w:val="none" w:sz="0" w:space="0" w:color="auto"/>
        <w:right w:val="none" w:sz="0" w:space="0" w:color="auto"/>
      </w:divBdr>
    </w:div>
    <w:div w:id="1640260163">
      <w:bodyDiv w:val="1"/>
      <w:marLeft w:val="0"/>
      <w:marRight w:val="0"/>
      <w:marTop w:val="0"/>
      <w:marBottom w:val="0"/>
      <w:divBdr>
        <w:top w:val="none" w:sz="0" w:space="0" w:color="auto"/>
        <w:left w:val="none" w:sz="0" w:space="0" w:color="auto"/>
        <w:bottom w:val="none" w:sz="0" w:space="0" w:color="auto"/>
        <w:right w:val="none" w:sz="0" w:space="0" w:color="auto"/>
      </w:divBdr>
    </w:div>
    <w:div w:id="1666128019">
      <w:bodyDiv w:val="1"/>
      <w:marLeft w:val="0"/>
      <w:marRight w:val="0"/>
      <w:marTop w:val="0"/>
      <w:marBottom w:val="0"/>
      <w:divBdr>
        <w:top w:val="none" w:sz="0" w:space="0" w:color="auto"/>
        <w:left w:val="none" w:sz="0" w:space="0" w:color="auto"/>
        <w:bottom w:val="none" w:sz="0" w:space="0" w:color="auto"/>
        <w:right w:val="none" w:sz="0" w:space="0" w:color="auto"/>
      </w:divBdr>
    </w:div>
    <w:div w:id="1671135033">
      <w:bodyDiv w:val="1"/>
      <w:marLeft w:val="0"/>
      <w:marRight w:val="0"/>
      <w:marTop w:val="0"/>
      <w:marBottom w:val="0"/>
      <w:divBdr>
        <w:top w:val="none" w:sz="0" w:space="0" w:color="auto"/>
        <w:left w:val="none" w:sz="0" w:space="0" w:color="auto"/>
        <w:bottom w:val="none" w:sz="0" w:space="0" w:color="auto"/>
        <w:right w:val="none" w:sz="0" w:space="0" w:color="auto"/>
      </w:divBdr>
    </w:div>
    <w:div w:id="1672633739">
      <w:bodyDiv w:val="1"/>
      <w:marLeft w:val="0"/>
      <w:marRight w:val="0"/>
      <w:marTop w:val="0"/>
      <w:marBottom w:val="0"/>
      <w:divBdr>
        <w:top w:val="none" w:sz="0" w:space="0" w:color="auto"/>
        <w:left w:val="none" w:sz="0" w:space="0" w:color="auto"/>
        <w:bottom w:val="none" w:sz="0" w:space="0" w:color="auto"/>
        <w:right w:val="none" w:sz="0" w:space="0" w:color="auto"/>
      </w:divBdr>
    </w:div>
    <w:div w:id="1674144074">
      <w:bodyDiv w:val="1"/>
      <w:marLeft w:val="0"/>
      <w:marRight w:val="0"/>
      <w:marTop w:val="0"/>
      <w:marBottom w:val="0"/>
      <w:divBdr>
        <w:top w:val="none" w:sz="0" w:space="0" w:color="auto"/>
        <w:left w:val="none" w:sz="0" w:space="0" w:color="auto"/>
        <w:bottom w:val="none" w:sz="0" w:space="0" w:color="auto"/>
        <w:right w:val="none" w:sz="0" w:space="0" w:color="auto"/>
      </w:divBdr>
    </w:div>
    <w:div w:id="1679237921">
      <w:bodyDiv w:val="1"/>
      <w:marLeft w:val="0"/>
      <w:marRight w:val="0"/>
      <w:marTop w:val="0"/>
      <w:marBottom w:val="0"/>
      <w:divBdr>
        <w:top w:val="none" w:sz="0" w:space="0" w:color="auto"/>
        <w:left w:val="none" w:sz="0" w:space="0" w:color="auto"/>
        <w:bottom w:val="none" w:sz="0" w:space="0" w:color="auto"/>
        <w:right w:val="none" w:sz="0" w:space="0" w:color="auto"/>
      </w:divBdr>
    </w:div>
    <w:div w:id="1685744314">
      <w:bodyDiv w:val="1"/>
      <w:marLeft w:val="0"/>
      <w:marRight w:val="0"/>
      <w:marTop w:val="0"/>
      <w:marBottom w:val="0"/>
      <w:divBdr>
        <w:top w:val="none" w:sz="0" w:space="0" w:color="auto"/>
        <w:left w:val="none" w:sz="0" w:space="0" w:color="auto"/>
        <w:bottom w:val="none" w:sz="0" w:space="0" w:color="auto"/>
        <w:right w:val="none" w:sz="0" w:space="0" w:color="auto"/>
      </w:divBdr>
    </w:div>
    <w:div w:id="1688017461">
      <w:bodyDiv w:val="1"/>
      <w:marLeft w:val="0"/>
      <w:marRight w:val="0"/>
      <w:marTop w:val="0"/>
      <w:marBottom w:val="0"/>
      <w:divBdr>
        <w:top w:val="none" w:sz="0" w:space="0" w:color="auto"/>
        <w:left w:val="none" w:sz="0" w:space="0" w:color="auto"/>
        <w:bottom w:val="none" w:sz="0" w:space="0" w:color="auto"/>
        <w:right w:val="none" w:sz="0" w:space="0" w:color="auto"/>
      </w:divBdr>
    </w:div>
    <w:div w:id="1688754231">
      <w:bodyDiv w:val="1"/>
      <w:marLeft w:val="0"/>
      <w:marRight w:val="0"/>
      <w:marTop w:val="0"/>
      <w:marBottom w:val="0"/>
      <w:divBdr>
        <w:top w:val="none" w:sz="0" w:space="0" w:color="auto"/>
        <w:left w:val="none" w:sz="0" w:space="0" w:color="auto"/>
        <w:bottom w:val="none" w:sz="0" w:space="0" w:color="auto"/>
        <w:right w:val="none" w:sz="0" w:space="0" w:color="auto"/>
      </w:divBdr>
    </w:div>
    <w:div w:id="1691029547">
      <w:bodyDiv w:val="1"/>
      <w:marLeft w:val="0"/>
      <w:marRight w:val="0"/>
      <w:marTop w:val="0"/>
      <w:marBottom w:val="0"/>
      <w:divBdr>
        <w:top w:val="none" w:sz="0" w:space="0" w:color="auto"/>
        <w:left w:val="none" w:sz="0" w:space="0" w:color="auto"/>
        <w:bottom w:val="none" w:sz="0" w:space="0" w:color="auto"/>
        <w:right w:val="none" w:sz="0" w:space="0" w:color="auto"/>
      </w:divBdr>
    </w:div>
    <w:div w:id="1700163357">
      <w:bodyDiv w:val="1"/>
      <w:marLeft w:val="0"/>
      <w:marRight w:val="0"/>
      <w:marTop w:val="0"/>
      <w:marBottom w:val="0"/>
      <w:divBdr>
        <w:top w:val="none" w:sz="0" w:space="0" w:color="auto"/>
        <w:left w:val="none" w:sz="0" w:space="0" w:color="auto"/>
        <w:bottom w:val="none" w:sz="0" w:space="0" w:color="auto"/>
        <w:right w:val="none" w:sz="0" w:space="0" w:color="auto"/>
      </w:divBdr>
    </w:div>
    <w:div w:id="1713266361">
      <w:bodyDiv w:val="1"/>
      <w:marLeft w:val="0"/>
      <w:marRight w:val="0"/>
      <w:marTop w:val="0"/>
      <w:marBottom w:val="0"/>
      <w:divBdr>
        <w:top w:val="none" w:sz="0" w:space="0" w:color="auto"/>
        <w:left w:val="none" w:sz="0" w:space="0" w:color="auto"/>
        <w:bottom w:val="none" w:sz="0" w:space="0" w:color="auto"/>
        <w:right w:val="none" w:sz="0" w:space="0" w:color="auto"/>
      </w:divBdr>
    </w:div>
    <w:div w:id="1736320098">
      <w:bodyDiv w:val="1"/>
      <w:marLeft w:val="0"/>
      <w:marRight w:val="0"/>
      <w:marTop w:val="0"/>
      <w:marBottom w:val="0"/>
      <w:divBdr>
        <w:top w:val="none" w:sz="0" w:space="0" w:color="auto"/>
        <w:left w:val="none" w:sz="0" w:space="0" w:color="auto"/>
        <w:bottom w:val="none" w:sz="0" w:space="0" w:color="auto"/>
        <w:right w:val="none" w:sz="0" w:space="0" w:color="auto"/>
      </w:divBdr>
    </w:div>
    <w:div w:id="1748110427">
      <w:bodyDiv w:val="1"/>
      <w:marLeft w:val="0"/>
      <w:marRight w:val="0"/>
      <w:marTop w:val="0"/>
      <w:marBottom w:val="0"/>
      <w:divBdr>
        <w:top w:val="none" w:sz="0" w:space="0" w:color="auto"/>
        <w:left w:val="none" w:sz="0" w:space="0" w:color="auto"/>
        <w:bottom w:val="none" w:sz="0" w:space="0" w:color="auto"/>
        <w:right w:val="none" w:sz="0" w:space="0" w:color="auto"/>
      </w:divBdr>
    </w:div>
    <w:div w:id="1752190882">
      <w:bodyDiv w:val="1"/>
      <w:marLeft w:val="0"/>
      <w:marRight w:val="0"/>
      <w:marTop w:val="0"/>
      <w:marBottom w:val="0"/>
      <w:divBdr>
        <w:top w:val="none" w:sz="0" w:space="0" w:color="auto"/>
        <w:left w:val="none" w:sz="0" w:space="0" w:color="auto"/>
        <w:bottom w:val="none" w:sz="0" w:space="0" w:color="auto"/>
        <w:right w:val="none" w:sz="0" w:space="0" w:color="auto"/>
      </w:divBdr>
    </w:div>
    <w:div w:id="1754744048">
      <w:bodyDiv w:val="1"/>
      <w:marLeft w:val="0"/>
      <w:marRight w:val="0"/>
      <w:marTop w:val="0"/>
      <w:marBottom w:val="0"/>
      <w:divBdr>
        <w:top w:val="none" w:sz="0" w:space="0" w:color="auto"/>
        <w:left w:val="none" w:sz="0" w:space="0" w:color="auto"/>
        <w:bottom w:val="none" w:sz="0" w:space="0" w:color="auto"/>
        <w:right w:val="none" w:sz="0" w:space="0" w:color="auto"/>
      </w:divBdr>
      <w:divsChild>
        <w:div w:id="963660183">
          <w:marLeft w:val="0"/>
          <w:marRight w:val="0"/>
          <w:marTop w:val="0"/>
          <w:marBottom w:val="0"/>
          <w:divBdr>
            <w:top w:val="none" w:sz="0" w:space="0" w:color="auto"/>
            <w:left w:val="none" w:sz="0" w:space="0" w:color="auto"/>
            <w:bottom w:val="none" w:sz="0" w:space="0" w:color="auto"/>
            <w:right w:val="none" w:sz="0" w:space="0" w:color="auto"/>
          </w:divBdr>
        </w:div>
        <w:div w:id="1008631579">
          <w:marLeft w:val="0"/>
          <w:marRight w:val="0"/>
          <w:marTop w:val="0"/>
          <w:marBottom w:val="0"/>
          <w:divBdr>
            <w:top w:val="none" w:sz="0" w:space="0" w:color="auto"/>
            <w:left w:val="none" w:sz="0" w:space="0" w:color="auto"/>
            <w:bottom w:val="none" w:sz="0" w:space="0" w:color="auto"/>
            <w:right w:val="none" w:sz="0" w:space="0" w:color="auto"/>
          </w:divBdr>
        </w:div>
      </w:divsChild>
    </w:div>
    <w:div w:id="1763448236">
      <w:bodyDiv w:val="1"/>
      <w:marLeft w:val="0"/>
      <w:marRight w:val="0"/>
      <w:marTop w:val="0"/>
      <w:marBottom w:val="0"/>
      <w:divBdr>
        <w:top w:val="none" w:sz="0" w:space="0" w:color="auto"/>
        <w:left w:val="none" w:sz="0" w:space="0" w:color="auto"/>
        <w:bottom w:val="none" w:sz="0" w:space="0" w:color="auto"/>
        <w:right w:val="none" w:sz="0" w:space="0" w:color="auto"/>
      </w:divBdr>
    </w:div>
    <w:div w:id="1763604581">
      <w:bodyDiv w:val="1"/>
      <w:marLeft w:val="0"/>
      <w:marRight w:val="0"/>
      <w:marTop w:val="0"/>
      <w:marBottom w:val="0"/>
      <w:divBdr>
        <w:top w:val="none" w:sz="0" w:space="0" w:color="auto"/>
        <w:left w:val="none" w:sz="0" w:space="0" w:color="auto"/>
        <w:bottom w:val="none" w:sz="0" w:space="0" w:color="auto"/>
        <w:right w:val="none" w:sz="0" w:space="0" w:color="auto"/>
      </w:divBdr>
    </w:div>
    <w:div w:id="1771971440">
      <w:bodyDiv w:val="1"/>
      <w:marLeft w:val="0"/>
      <w:marRight w:val="0"/>
      <w:marTop w:val="0"/>
      <w:marBottom w:val="0"/>
      <w:divBdr>
        <w:top w:val="none" w:sz="0" w:space="0" w:color="auto"/>
        <w:left w:val="none" w:sz="0" w:space="0" w:color="auto"/>
        <w:bottom w:val="none" w:sz="0" w:space="0" w:color="auto"/>
        <w:right w:val="none" w:sz="0" w:space="0" w:color="auto"/>
      </w:divBdr>
    </w:div>
    <w:div w:id="1774864693">
      <w:bodyDiv w:val="1"/>
      <w:marLeft w:val="0"/>
      <w:marRight w:val="0"/>
      <w:marTop w:val="0"/>
      <w:marBottom w:val="0"/>
      <w:divBdr>
        <w:top w:val="none" w:sz="0" w:space="0" w:color="auto"/>
        <w:left w:val="none" w:sz="0" w:space="0" w:color="auto"/>
        <w:bottom w:val="none" w:sz="0" w:space="0" w:color="auto"/>
        <w:right w:val="none" w:sz="0" w:space="0" w:color="auto"/>
      </w:divBdr>
    </w:div>
    <w:div w:id="1780251976">
      <w:bodyDiv w:val="1"/>
      <w:marLeft w:val="0"/>
      <w:marRight w:val="0"/>
      <w:marTop w:val="0"/>
      <w:marBottom w:val="0"/>
      <w:divBdr>
        <w:top w:val="none" w:sz="0" w:space="0" w:color="auto"/>
        <w:left w:val="none" w:sz="0" w:space="0" w:color="auto"/>
        <w:bottom w:val="none" w:sz="0" w:space="0" w:color="auto"/>
        <w:right w:val="none" w:sz="0" w:space="0" w:color="auto"/>
      </w:divBdr>
    </w:div>
    <w:div w:id="1783069916">
      <w:bodyDiv w:val="1"/>
      <w:marLeft w:val="0"/>
      <w:marRight w:val="0"/>
      <w:marTop w:val="0"/>
      <w:marBottom w:val="0"/>
      <w:divBdr>
        <w:top w:val="none" w:sz="0" w:space="0" w:color="auto"/>
        <w:left w:val="none" w:sz="0" w:space="0" w:color="auto"/>
        <w:bottom w:val="none" w:sz="0" w:space="0" w:color="auto"/>
        <w:right w:val="none" w:sz="0" w:space="0" w:color="auto"/>
      </w:divBdr>
    </w:div>
    <w:div w:id="1806581791">
      <w:bodyDiv w:val="1"/>
      <w:marLeft w:val="0"/>
      <w:marRight w:val="0"/>
      <w:marTop w:val="0"/>
      <w:marBottom w:val="0"/>
      <w:divBdr>
        <w:top w:val="none" w:sz="0" w:space="0" w:color="auto"/>
        <w:left w:val="none" w:sz="0" w:space="0" w:color="auto"/>
        <w:bottom w:val="none" w:sz="0" w:space="0" w:color="auto"/>
        <w:right w:val="none" w:sz="0" w:space="0" w:color="auto"/>
      </w:divBdr>
    </w:div>
    <w:div w:id="1819345797">
      <w:bodyDiv w:val="1"/>
      <w:marLeft w:val="0"/>
      <w:marRight w:val="0"/>
      <w:marTop w:val="0"/>
      <w:marBottom w:val="0"/>
      <w:divBdr>
        <w:top w:val="none" w:sz="0" w:space="0" w:color="auto"/>
        <w:left w:val="none" w:sz="0" w:space="0" w:color="auto"/>
        <w:bottom w:val="none" w:sz="0" w:space="0" w:color="auto"/>
        <w:right w:val="none" w:sz="0" w:space="0" w:color="auto"/>
      </w:divBdr>
    </w:div>
    <w:div w:id="1819690311">
      <w:bodyDiv w:val="1"/>
      <w:marLeft w:val="0"/>
      <w:marRight w:val="0"/>
      <w:marTop w:val="0"/>
      <w:marBottom w:val="0"/>
      <w:divBdr>
        <w:top w:val="none" w:sz="0" w:space="0" w:color="auto"/>
        <w:left w:val="none" w:sz="0" w:space="0" w:color="auto"/>
        <w:bottom w:val="none" w:sz="0" w:space="0" w:color="auto"/>
        <w:right w:val="none" w:sz="0" w:space="0" w:color="auto"/>
      </w:divBdr>
    </w:div>
    <w:div w:id="1821120597">
      <w:bodyDiv w:val="1"/>
      <w:marLeft w:val="0"/>
      <w:marRight w:val="0"/>
      <w:marTop w:val="0"/>
      <w:marBottom w:val="0"/>
      <w:divBdr>
        <w:top w:val="none" w:sz="0" w:space="0" w:color="auto"/>
        <w:left w:val="none" w:sz="0" w:space="0" w:color="auto"/>
        <w:bottom w:val="none" w:sz="0" w:space="0" w:color="auto"/>
        <w:right w:val="none" w:sz="0" w:space="0" w:color="auto"/>
      </w:divBdr>
    </w:div>
    <w:div w:id="1835023317">
      <w:bodyDiv w:val="1"/>
      <w:marLeft w:val="0"/>
      <w:marRight w:val="0"/>
      <w:marTop w:val="0"/>
      <w:marBottom w:val="0"/>
      <w:divBdr>
        <w:top w:val="none" w:sz="0" w:space="0" w:color="auto"/>
        <w:left w:val="none" w:sz="0" w:space="0" w:color="auto"/>
        <w:bottom w:val="none" w:sz="0" w:space="0" w:color="auto"/>
        <w:right w:val="none" w:sz="0" w:space="0" w:color="auto"/>
      </w:divBdr>
    </w:div>
    <w:div w:id="1836919398">
      <w:bodyDiv w:val="1"/>
      <w:marLeft w:val="0"/>
      <w:marRight w:val="0"/>
      <w:marTop w:val="0"/>
      <w:marBottom w:val="0"/>
      <w:divBdr>
        <w:top w:val="none" w:sz="0" w:space="0" w:color="auto"/>
        <w:left w:val="none" w:sz="0" w:space="0" w:color="auto"/>
        <w:bottom w:val="none" w:sz="0" w:space="0" w:color="auto"/>
        <w:right w:val="none" w:sz="0" w:space="0" w:color="auto"/>
      </w:divBdr>
    </w:div>
    <w:div w:id="1837527830">
      <w:bodyDiv w:val="1"/>
      <w:marLeft w:val="0"/>
      <w:marRight w:val="0"/>
      <w:marTop w:val="0"/>
      <w:marBottom w:val="0"/>
      <w:divBdr>
        <w:top w:val="none" w:sz="0" w:space="0" w:color="auto"/>
        <w:left w:val="none" w:sz="0" w:space="0" w:color="auto"/>
        <w:bottom w:val="none" w:sz="0" w:space="0" w:color="auto"/>
        <w:right w:val="none" w:sz="0" w:space="0" w:color="auto"/>
      </w:divBdr>
    </w:div>
    <w:div w:id="1855070717">
      <w:bodyDiv w:val="1"/>
      <w:marLeft w:val="0"/>
      <w:marRight w:val="0"/>
      <w:marTop w:val="0"/>
      <w:marBottom w:val="0"/>
      <w:divBdr>
        <w:top w:val="none" w:sz="0" w:space="0" w:color="auto"/>
        <w:left w:val="none" w:sz="0" w:space="0" w:color="auto"/>
        <w:bottom w:val="none" w:sz="0" w:space="0" w:color="auto"/>
        <w:right w:val="none" w:sz="0" w:space="0" w:color="auto"/>
      </w:divBdr>
    </w:div>
    <w:div w:id="1860780767">
      <w:bodyDiv w:val="1"/>
      <w:marLeft w:val="0"/>
      <w:marRight w:val="0"/>
      <w:marTop w:val="0"/>
      <w:marBottom w:val="0"/>
      <w:divBdr>
        <w:top w:val="none" w:sz="0" w:space="0" w:color="auto"/>
        <w:left w:val="none" w:sz="0" w:space="0" w:color="auto"/>
        <w:bottom w:val="none" w:sz="0" w:space="0" w:color="auto"/>
        <w:right w:val="none" w:sz="0" w:space="0" w:color="auto"/>
      </w:divBdr>
    </w:div>
    <w:div w:id="1861579271">
      <w:bodyDiv w:val="1"/>
      <w:marLeft w:val="0"/>
      <w:marRight w:val="0"/>
      <w:marTop w:val="0"/>
      <w:marBottom w:val="0"/>
      <w:divBdr>
        <w:top w:val="none" w:sz="0" w:space="0" w:color="auto"/>
        <w:left w:val="none" w:sz="0" w:space="0" w:color="auto"/>
        <w:bottom w:val="none" w:sz="0" w:space="0" w:color="auto"/>
        <w:right w:val="none" w:sz="0" w:space="0" w:color="auto"/>
      </w:divBdr>
    </w:div>
    <w:div w:id="1864780336">
      <w:bodyDiv w:val="1"/>
      <w:marLeft w:val="0"/>
      <w:marRight w:val="0"/>
      <w:marTop w:val="0"/>
      <w:marBottom w:val="0"/>
      <w:divBdr>
        <w:top w:val="none" w:sz="0" w:space="0" w:color="auto"/>
        <w:left w:val="none" w:sz="0" w:space="0" w:color="auto"/>
        <w:bottom w:val="none" w:sz="0" w:space="0" w:color="auto"/>
        <w:right w:val="none" w:sz="0" w:space="0" w:color="auto"/>
      </w:divBdr>
    </w:div>
    <w:div w:id="1868987447">
      <w:bodyDiv w:val="1"/>
      <w:marLeft w:val="0"/>
      <w:marRight w:val="0"/>
      <w:marTop w:val="0"/>
      <w:marBottom w:val="0"/>
      <w:divBdr>
        <w:top w:val="none" w:sz="0" w:space="0" w:color="auto"/>
        <w:left w:val="none" w:sz="0" w:space="0" w:color="auto"/>
        <w:bottom w:val="none" w:sz="0" w:space="0" w:color="auto"/>
        <w:right w:val="none" w:sz="0" w:space="0" w:color="auto"/>
      </w:divBdr>
    </w:div>
    <w:div w:id="1873835047">
      <w:bodyDiv w:val="1"/>
      <w:marLeft w:val="0"/>
      <w:marRight w:val="0"/>
      <w:marTop w:val="0"/>
      <w:marBottom w:val="0"/>
      <w:divBdr>
        <w:top w:val="none" w:sz="0" w:space="0" w:color="auto"/>
        <w:left w:val="none" w:sz="0" w:space="0" w:color="auto"/>
        <w:bottom w:val="none" w:sz="0" w:space="0" w:color="auto"/>
        <w:right w:val="none" w:sz="0" w:space="0" w:color="auto"/>
      </w:divBdr>
    </w:div>
    <w:div w:id="1879538702">
      <w:bodyDiv w:val="1"/>
      <w:marLeft w:val="0"/>
      <w:marRight w:val="0"/>
      <w:marTop w:val="0"/>
      <w:marBottom w:val="0"/>
      <w:divBdr>
        <w:top w:val="none" w:sz="0" w:space="0" w:color="auto"/>
        <w:left w:val="none" w:sz="0" w:space="0" w:color="auto"/>
        <w:bottom w:val="none" w:sz="0" w:space="0" w:color="auto"/>
        <w:right w:val="none" w:sz="0" w:space="0" w:color="auto"/>
      </w:divBdr>
    </w:div>
    <w:div w:id="1886142684">
      <w:bodyDiv w:val="1"/>
      <w:marLeft w:val="0"/>
      <w:marRight w:val="0"/>
      <w:marTop w:val="0"/>
      <w:marBottom w:val="0"/>
      <w:divBdr>
        <w:top w:val="none" w:sz="0" w:space="0" w:color="auto"/>
        <w:left w:val="none" w:sz="0" w:space="0" w:color="auto"/>
        <w:bottom w:val="none" w:sz="0" w:space="0" w:color="auto"/>
        <w:right w:val="none" w:sz="0" w:space="0" w:color="auto"/>
      </w:divBdr>
    </w:div>
    <w:div w:id="1887910616">
      <w:bodyDiv w:val="1"/>
      <w:marLeft w:val="0"/>
      <w:marRight w:val="0"/>
      <w:marTop w:val="0"/>
      <w:marBottom w:val="0"/>
      <w:divBdr>
        <w:top w:val="none" w:sz="0" w:space="0" w:color="auto"/>
        <w:left w:val="none" w:sz="0" w:space="0" w:color="auto"/>
        <w:bottom w:val="none" w:sz="0" w:space="0" w:color="auto"/>
        <w:right w:val="none" w:sz="0" w:space="0" w:color="auto"/>
      </w:divBdr>
    </w:div>
    <w:div w:id="1892188091">
      <w:bodyDiv w:val="1"/>
      <w:marLeft w:val="0"/>
      <w:marRight w:val="0"/>
      <w:marTop w:val="0"/>
      <w:marBottom w:val="0"/>
      <w:divBdr>
        <w:top w:val="none" w:sz="0" w:space="0" w:color="auto"/>
        <w:left w:val="none" w:sz="0" w:space="0" w:color="auto"/>
        <w:bottom w:val="none" w:sz="0" w:space="0" w:color="auto"/>
        <w:right w:val="none" w:sz="0" w:space="0" w:color="auto"/>
      </w:divBdr>
    </w:div>
    <w:div w:id="1894458524">
      <w:bodyDiv w:val="1"/>
      <w:marLeft w:val="0"/>
      <w:marRight w:val="0"/>
      <w:marTop w:val="0"/>
      <w:marBottom w:val="0"/>
      <w:divBdr>
        <w:top w:val="none" w:sz="0" w:space="0" w:color="auto"/>
        <w:left w:val="none" w:sz="0" w:space="0" w:color="auto"/>
        <w:bottom w:val="none" w:sz="0" w:space="0" w:color="auto"/>
        <w:right w:val="none" w:sz="0" w:space="0" w:color="auto"/>
      </w:divBdr>
      <w:divsChild>
        <w:div w:id="956327282">
          <w:marLeft w:val="0"/>
          <w:marRight w:val="0"/>
          <w:marTop w:val="0"/>
          <w:marBottom w:val="0"/>
          <w:divBdr>
            <w:top w:val="none" w:sz="0" w:space="0" w:color="auto"/>
            <w:left w:val="none" w:sz="0" w:space="0" w:color="auto"/>
            <w:bottom w:val="none" w:sz="0" w:space="0" w:color="auto"/>
            <w:right w:val="none" w:sz="0" w:space="0" w:color="auto"/>
          </w:divBdr>
        </w:div>
      </w:divsChild>
    </w:div>
    <w:div w:id="1908416581">
      <w:bodyDiv w:val="1"/>
      <w:marLeft w:val="0"/>
      <w:marRight w:val="0"/>
      <w:marTop w:val="0"/>
      <w:marBottom w:val="0"/>
      <w:divBdr>
        <w:top w:val="none" w:sz="0" w:space="0" w:color="auto"/>
        <w:left w:val="none" w:sz="0" w:space="0" w:color="auto"/>
        <w:bottom w:val="none" w:sz="0" w:space="0" w:color="auto"/>
        <w:right w:val="none" w:sz="0" w:space="0" w:color="auto"/>
      </w:divBdr>
    </w:div>
    <w:div w:id="1919485264">
      <w:bodyDiv w:val="1"/>
      <w:marLeft w:val="0"/>
      <w:marRight w:val="0"/>
      <w:marTop w:val="0"/>
      <w:marBottom w:val="0"/>
      <w:divBdr>
        <w:top w:val="none" w:sz="0" w:space="0" w:color="auto"/>
        <w:left w:val="none" w:sz="0" w:space="0" w:color="auto"/>
        <w:bottom w:val="none" w:sz="0" w:space="0" w:color="auto"/>
        <w:right w:val="none" w:sz="0" w:space="0" w:color="auto"/>
      </w:divBdr>
    </w:div>
    <w:div w:id="1919750548">
      <w:bodyDiv w:val="1"/>
      <w:marLeft w:val="0"/>
      <w:marRight w:val="0"/>
      <w:marTop w:val="0"/>
      <w:marBottom w:val="0"/>
      <w:divBdr>
        <w:top w:val="none" w:sz="0" w:space="0" w:color="auto"/>
        <w:left w:val="none" w:sz="0" w:space="0" w:color="auto"/>
        <w:bottom w:val="none" w:sz="0" w:space="0" w:color="auto"/>
        <w:right w:val="none" w:sz="0" w:space="0" w:color="auto"/>
      </w:divBdr>
    </w:div>
    <w:div w:id="1926265132">
      <w:bodyDiv w:val="1"/>
      <w:marLeft w:val="0"/>
      <w:marRight w:val="0"/>
      <w:marTop w:val="0"/>
      <w:marBottom w:val="0"/>
      <w:divBdr>
        <w:top w:val="none" w:sz="0" w:space="0" w:color="auto"/>
        <w:left w:val="none" w:sz="0" w:space="0" w:color="auto"/>
        <w:bottom w:val="none" w:sz="0" w:space="0" w:color="auto"/>
        <w:right w:val="none" w:sz="0" w:space="0" w:color="auto"/>
      </w:divBdr>
    </w:div>
    <w:div w:id="1942252432">
      <w:bodyDiv w:val="1"/>
      <w:marLeft w:val="0"/>
      <w:marRight w:val="0"/>
      <w:marTop w:val="0"/>
      <w:marBottom w:val="0"/>
      <w:divBdr>
        <w:top w:val="none" w:sz="0" w:space="0" w:color="auto"/>
        <w:left w:val="none" w:sz="0" w:space="0" w:color="auto"/>
        <w:bottom w:val="none" w:sz="0" w:space="0" w:color="auto"/>
        <w:right w:val="none" w:sz="0" w:space="0" w:color="auto"/>
      </w:divBdr>
    </w:div>
    <w:div w:id="1950503495">
      <w:bodyDiv w:val="1"/>
      <w:marLeft w:val="0"/>
      <w:marRight w:val="0"/>
      <w:marTop w:val="0"/>
      <w:marBottom w:val="0"/>
      <w:divBdr>
        <w:top w:val="none" w:sz="0" w:space="0" w:color="auto"/>
        <w:left w:val="none" w:sz="0" w:space="0" w:color="auto"/>
        <w:bottom w:val="none" w:sz="0" w:space="0" w:color="auto"/>
        <w:right w:val="none" w:sz="0" w:space="0" w:color="auto"/>
      </w:divBdr>
    </w:div>
    <w:div w:id="1952125073">
      <w:bodyDiv w:val="1"/>
      <w:marLeft w:val="0"/>
      <w:marRight w:val="0"/>
      <w:marTop w:val="0"/>
      <w:marBottom w:val="0"/>
      <w:divBdr>
        <w:top w:val="none" w:sz="0" w:space="0" w:color="auto"/>
        <w:left w:val="none" w:sz="0" w:space="0" w:color="auto"/>
        <w:bottom w:val="none" w:sz="0" w:space="0" w:color="auto"/>
        <w:right w:val="none" w:sz="0" w:space="0" w:color="auto"/>
      </w:divBdr>
      <w:divsChild>
        <w:div w:id="907760966">
          <w:marLeft w:val="0"/>
          <w:marRight w:val="0"/>
          <w:marTop w:val="0"/>
          <w:marBottom w:val="0"/>
          <w:divBdr>
            <w:top w:val="none" w:sz="0" w:space="0" w:color="auto"/>
            <w:left w:val="none" w:sz="0" w:space="0" w:color="auto"/>
            <w:bottom w:val="none" w:sz="0" w:space="0" w:color="auto"/>
            <w:right w:val="none" w:sz="0" w:space="0" w:color="auto"/>
          </w:divBdr>
        </w:div>
      </w:divsChild>
    </w:div>
    <w:div w:id="1957834593">
      <w:bodyDiv w:val="1"/>
      <w:marLeft w:val="0"/>
      <w:marRight w:val="0"/>
      <w:marTop w:val="0"/>
      <w:marBottom w:val="0"/>
      <w:divBdr>
        <w:top w:val="none" w:sz="0" w:space="0" w:color="auto"/>
        <w:left w:val="none" w:sz="0" w:space="0" w:color="auto"/>
        <w:bottom w:val="none" w:sz="0" w:space="0" w:color="auto"/>
        <w:right w:val="none" w:sz="0" w:space="0" w:color="auto"/>
      </w:divBdr>
    </w:div>
    <w:div w:id="1976333212">
      <w:bodyDiv w:val="1"/>
      <w:marLeft w:val="0"/>
      <w:marRight w:val="0"/>
      <w:marTop w:val="0"/>
      <w:marBottom w:val="0"/>
      <w:divBdr>
        <w:top w:val="none" w:sz="0" w:space="0" w:color="auto"/>
        <w:left w:val="none" w:sz="0" w:space="0" w:color="auto"/>
        <w:bottom w:val="none" w:sz="0" w:space="0" w:color="auto"/>
        <w:right w:val="none" w:sz="0" w:space="0" w:color="auto"/>
      </w:divBdr>
    </w:div>
    <w:div w:id="2001300170">
      <w:bodyDiv w:val="1"/>
      <w:marLeft w:val="0"/>
      <w:marRight w:val="0"/>
      <w:marTop w:val="0"/>
      <w:marBottom w:val="0"/>
      <w:divBdr>
        <w:top w:val="none" w:sz="0" w:space="0" w:color="auto"/>
        <w:left w:val="none" w:sz="0" w:space="0" w:color="auto"/>
        <w:bottom w:val="none" w:sz="0" w:space="0" w:color="auto"/>
        <w:right w:val="none" w:sz="0" w:space="0" w:color="auto"/>
      </w:divBdr>
    </w:div>
    <w:div w:id="2011368227">
      <w:bodyDiv w:val="1"/>
      <w:marLeft w:val="0"/>
      <w:marRight w:val="0"/>
      <w:marTop w:val="0"/>
      <w:marBottom w:val="0"/>
      <w:divBdr>
        <w:top w:val="none" w:sz="0" w:space="0" w:color="auto"/>
        <w:left w:val="none" w:sz="0" w:space="0" w:color="auto"/>
        <w:bottom w:val="none" w:sz="0" w:space="0" w:color="auto"/>
        <w:right w:val="none" w:sz="0" w:space="0" w:color="auto"/>
      </w:divBdr>
    </w:div>
    <w:div w:id="2014339025">
      <w:bodyDiv w:val="1"/>
      <w:marLeft w:val="0"/>
      <w:marRight w:val="0"/>
      <w:marTop w:val="0"/>
      <w:marBottom w:val="0"/>
      <w:divBdr>
        <w:top w:val="none" w:sz="0" w:space="0" w:color="auto"/>
        <w:left w:val="none" w:sz="0" w:space="0" w:color="auto"/>
        <w:bottom w:val="none" w:sz="0" w:space="0" w:color="auto"/>
        <w:right w:val="none" w:sz="0" w:space="0" w:color="auto"/>
      </w:divBdr>
    </w:div>
    <w:div w:id="2031829419">
      <w:bodyDiv w:val="1"/>
      <w:marLeft w:val="0"/>
      <w:marRight w:val="0"/>
      <w:marTop w:val="0"/>
      <w:marBottom w:val="0"/>
      <w:divBdr>
        <w:top w:val="none" w:sz="0" w:space="0" w:color="auto"/>
        <w:left w:val="none" w:sz="0" w:space="0" w:color="auto"/>
        <w:bottom w:val="none" w:sz="0" w:space="0" w:color="auto"/>
        <w:right w:val="none" w:sz="0" w:space="0" w:color="auto"/>
      </w:divBdr>
    </w:div>
    <w:div w:id="2037271138">
      <w:bodyDiv w:val="1"/>
      <w:marLeft w:val="0"/>
      <w:marRight w:val="0"/>
      <w:marTop w:val="0"/>
      <w:marBottom w:val="0"/>
      <w:divBdr>
        <w:top w:val="none" w:sz="0" w:space="0" w:color="auto"/>
        <w:left w:val="none" w:sz="0" w:space="0" w:color="auto"/>
        <w:bottom w:val="none" w:sz="0" w:space="0" w:color="auto"/>
        <w:right w:val="none" w:sz="0" w:space="0" w:color="auto"/>
      </w:divBdr>
    </w:div>
    <w:div w:id="2045324290">
      <w:bodyDiv w:val="1"/>
      <w:marLeft w:val="0"/>
      <w:marRight w:val="0"/>
      <w:marTop w:val="0"/>
      <w:marBottom w:val="0"/>
      <w:divBdr>
        <w:top w:val="none" w:sz="0" w:space="0" w:color="auto"/>
        <w:left w:val="none" w:sz="0" w:space="0" w:color="auto"/>
        <w:bottom w:val="none" w:sz="0" w:space="0" w:color="auto"/>
        <w:right w:val="none" w:sz="0" w:space="0" w:color="auto"/>
      </w:divBdr>
    </w:div>
    <w:div w:id="2053068713">
      <w:bodyDiv w:val="1"/>
      <w:marLeft w:val="0"/>
      <w:marRight w:val="0"/>
      <w:marTop w:val="0"/>
      <w:marBottom w:val="0"/>
      <w:divBdr>
        <w:top w:val="none" w:sz="0" w:space="0" w:color="auto"/>
        <w:left w:val="none" w:sz="0" w:space="0" w:color="auto"/>
        <w:bottom w:val="none" w:sz="0" w:space="0" w:color="auto"/>
        <w:right w:val="none" w:sz="0" w:space="0" w:color="auto"/>
      </w:divBdr>
    </w:div>
    <w:div w:id="2063864312">
      <w:bodyDiv w:val="1"/>
      <w:marLeft w:val="0"/>
      <w:marRight w:val="0"/>
      <w:marTop w:val="0"/>
      <w:marBottom w:val="0"/>
      <w:divBdr>
        <w:top w:val="none" w:sz="0" w:space="0" w:color="auto"/>
        <w:left w:val="none" w:sz="0" w:space="0" w:color="auto"/>
        <w:bottom w:val="none" w:sz="0" w:space="0" w:color="auto"/>
        <w:right w:val="none" w:sz="0" w:space="0" w:color="auto"/>
      </w:divBdr>
    </w:div>
    <w:div w:id="2067071733">
      <w:bodyDiv w:val="1"/>
      <w:marLeft w:val="0"/>
      <w:marRight w:val="0"/>
      <w:marTop w:val="0"/>
      <w:marBottom w:val="0"/>
      <w:divBdr>
        <w:top w:val="none" w:sz="0" w:space="0" w:color="auto"/>
        <w:left w:val="none" w:sz="0" w:space="0" w:color="auto"/>
        <w:bottom w:val="none" w:sz="0" w:space="0" w:color="auto"/>
        <w:right w:val="none" w:sz="0" w:space="0" w:color="auto"/>
      </w:divBdr>
    </w:div>
    <w:div w:id="2071807164">
      <w:bodyDiv w:val="1"/>
      <w:marLeft w:val="0"/>
      <w:marRight w:val="0"/>
      <w:marTop w:val="0"/>
      <w:marBottom w:val="0"/>
      <w:divBdr>
        <w:top w:val="none" w:sz="0" w:space="0" w:color="auto"/>
        <w:left w:val="none" w:sz="0" w:space="0" w:color="auto"/>
        <w:bottom w:val="none" w:sz="0" w:space="0" w:color="auto"/>
        <w:right w:val="none" w:sz="0" w:space="0" w:color="auto"/>
      </w:divBdr>
      <w:divsChild>
        <w:div w:id="1283538881">
          <w:marLeft w:val="0"/>
          <w:marRight w:val="0"/>
          <w:marTop w:val="0"/>
          <w:marBottom w:val="0"/>
          <w:divBdr>
            <w:top w:val="none" w:sz="0" w:space="0" w:color="auto"/>
            <w:left w:val="none" w:sz="0" w:space="0" w:color="auto"/>
            <w:bottom w:val="none" w:sz="0" w:space="0" w:color="auto"/>
            <w:right w:val="none" w:sz="0" w:space="0" w:color="auto"/>
          </w:divBdr>
        </w:div>
      </w:divsChild>
    </w:div>
    <w:div w:id="2075424104">
      <w:bodyDiv w:val="1"/>
      <w:marLeft w:val="0"/>
      <w:marRight w:val="0"/>
      <w:marTop w:val="0"/>
      <w:marBottom w:val="0"/>
      <w:divBdr>
        <w:top w:val="none" w:sz="0" w:space="0" w:color="auto"/>
        <w:left w:val="none" w:sz="0" w:space="0" w:color="auto"/>
        <w:bottom w:val="none" w:sz="0" w:space="0" w:color="auto"/>
        <w:right w:val="none" w:sz="0" w:space="0" w:color="auto"/>
      </w:divBdr>
    </w:div>
    <w:div w:id="2076471190">
      <w:bodyDiv w:val="1"/>
      <w:marLeft w:val="0"/>
      <w:marRight w:val="0"/>
      <w:marTop w:val="0"/>
      <w:marBottom w:val="0"/>
      <w:divBdr>
        <w:top w:val="none" w:sz="0" w:space="0" w:color="auto"/>
        <w:left w:val="none" w:sz="0" w:space="0" w:color="auto"/>
        <w:bottom w:val="none" w:sz="0" w:space="0" w:color="auto"/>
        <w:right w:val="none" w:sz="0" w:space="0" w:color="auto"/>
      </w:divBdr>
    </w:div>
    <w:div w:id="2091582578">
      <w:bodyDiv w:val="1"/>
      <w:marLeft w:val="0"/>
      <w:marRight w:val="0"/>
      <w:marTop w:val="0"/>
      <w:marBottom w:val="0"/>
      <w:divBdr>
        <w:top w:val="none" w:sz="0" w:space="0" w:color="auto"/>
        <w:left w:val="none" w:sz="0" w:space="0" w:color="auto"/>
        <w:bottom w:val="none" w:sz="0" w:space="0" w:color="auto"/>
        <w:right w:val="none" w:sz="0" w:space="0" w:color="auto"/>
      </w:divBdr>
    </w:div>
    <w:div w:id="2095934860">
      <w:bodyDiv w:val="1"/>
      <w:marLeft w:val="0"/>
      <w:marRight w:val="0"/>
      <w:marTop w:val="0"/>
      <w:marBottom w:val="0"/>
      <w:divBdr>
        <w:top w:val="none" w:sz="0" w:space="0" w:color="auto"/>
        <w:left w:val="none" w:sz="0" w:space="0" w:color="auto"/>
        <w:bottom w:val="none" w:sz="0" w:space="0" w:color="auto"/>
        <w:right w:val="none" w:sz="0" w:space="0" w:color="auto"/>
      </w:divBdr>
    </w:div>
    <w:div w:id="2119790310">
      <w:bodyDiv w:val="1"/>
      <w:marLeft w:val="0"/>
      <w:marRight w:val="0"/>
      <w:marTop w:val="0"/>
      <w:marBottom w:val="0"/>
      <w:divBdr>
        <w:top w:val="none" w:sz="0" w:space="0" w:color="auto"/>
        <w:left w:val="none" w:sz="0" w:space="0" w:color="auto"/>
        <w:bottom w:val="none" w:sz="0" w:space="0" w:color="auto"/>
        <w:right w:val="none" w:sz="0" w:space="0" w:color="auto"/>
      </w:divBdr>
    </w:div>
    <w:div w:id="2126651029">
      <w:bodyDiv w:val="1"/>
      <w:marLeft w:val="0"/>
      <w:marRight w:val="0"/>
      <w:marTop w:val="0"/>
      <w:marBottom w:val="0"/>
      <w:divBdr>
        <w:top w:val="none" w:sz="0" w:space="0" w:color="auto"/>
        <w:left w:val="none" w:sz="0" w:space="0" w:color="auto"/>
        <w:bottom w:val="none" w:sz="0" w:space="0" w:color="auto"/>
        <w:right w:val="none" w:sz="0" w:space="0" w:color="auto"/>
      </w:divBdr>
    </w:div>
    <w:div w:id="2127237431">
      <w:bodyDiv w:val="1"/>
      <w:marLeft w:val="0"/>
      <w:marRight w:val="0"/>
      <w:marTop w:val="0"/>
      <w:marBottom w:val="0"/>
      <w:divBdr>
        <w:top w:val="none" w:sz="0" w:space="0" w:color="auto"/>
        <w:left w:val="none" w:sz="0" w:space="0" w:color="auto"/>
        <w:bottom w:val="none" w:sz="0" w:space="0" w:color="auto"/>
        <w:right w:val="none" w:sz="0" w:space="0" w:color="auto"/>
      </w:divBdr>
    </w:div>
    <w:div w:id="214499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at.it/comunicato-stampa/la-poverta-in-italia-anno-2024/" TargetMode="External"/><Relationship Id="rId13" Type="http://schemas.openxmlformats.org/officeDocument/2006/relationships/hyperlink" Target="http://www.gazzettaufficiale.it/eli/id/2019/09/10/19A05560/s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stampa@gimbe.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rgs.mef.gov.it/_Documenti/VERSIONE-I/Attivit--i/Spesa-soci/Attivit-monitoraggio-RGS/2024/IMDSS-RS202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ute.gov.it/new/sites/default/files/imported/C_17_pubblicazioni_3523_allegato.pdf" TargetMode="Externa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8944-5688-48BF-BC7E-A7232D8D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10</Pages>
  <Words>3199</Words>
  <Characters>18235</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Cartabellotta</dc:creator>
  <cp:keywords/>
  <dc:description/>
  <cp:lastModifiedBy>Roberto Luceri</cp:lastModifiedBy>
  <cp:revision>126</cp:revision>
  <cp:lastPrinted>2025-10-29T11:24:00Z</cp:lastPrinted>
  <dcterms:created xsi:type="dcterms:W3CDTF">2025-11-21T10:55:00Z</dcterms:created>
  <dcterms:modified xsi:type="dcterms:W3CDTF">2025-11-25T11:36:00Z</dcterms:modified>
</cp:coreProperties>
</file>