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COMUNICATO STAMPA</w:t>
      </w:r>
    </w:p>
    <w:p>
      <w:pPr>
        <w:pStyle w:val="Normal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CURE ESSENZIALI 2022, LE PAGELLE DEL MINISTERO DELLA SALUTE: PROMOSSE SOLO 13 REGIONI. EMILIA-ROMAGNA IN VETTA, AL SUD PASSANO SOLO PUGLIA E BASILICATA. </w:t>
        <w:br/>
        <w:t xml:space="preserve">PEGGIORANO LE PERFORMANCE IN 10 REGIONI E AUMENTANO I DIVARI TRA NORD E SUD DEL PAESE. </w:t>
        <w:br/>
        <w:t>LA LEGGE SULL’AUTONOMIA DIFFERENZIATA COMPROMETTE L’UGUAGLIANZA IN SANITÀ</w:t>
      </w:r>
      <w:r>
        <w:rPr>
          <w:rStyle w:val="Annotationreference"/>
          <w:b/>
          <w:bCs/>
          <w:sz w:val="32"/>
          <w:szCs w:val="32"/>
        </w:rPr>
        <w:t xml:space="preserve"> </w:t>
      </w:r>
    </w:p>
    <w:p>
      <w:pPr>
        <w:pStyle w:val="Normal"/>
        <w:jc w:val="center"/>
        <w:rPr>
          <w:rFonts w:ascii="Calibri" w:hAnsi="Calibri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18 luglio 2024 - Fondazione GIMBE, Bologna</w:t>
      </w:r>
    </w:p>
    <w:p>
      <w:pPr>
        <w:pStyle w:val="Normal"/>
        <w:spacing w:before="0" w:after="8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Nel 2022 solo 13 Regioni rispettano gli standard essenziali di cura, con un ulteriore aumento del divario Nord-Sud: la Puglia e la Basilicata uniche promosse al Sud, ma in posizioni di coda. In 10 Regioni le performance peggiorano rispetto al 2021.</w:t>
      </w:r>
      <w:bookmarkStart w:id="0" w:name="_GoBack"/>
      <w:bookmarkEnd w:id="0"/>
    </w:p>
    <w:p>
      <w:pPr>
        <w:pStyle w:val="Normal"/>
        <w:jc w:val="both"/>
        <w:rPr/>
      </w:pPr>
      <w:r>
        <w:rPr>
          <w:rFonts w:eastAsia="Times New Roman" w:cs="Calibri" w:cstheme="minorHAnsi"/>
        </w:rPr>
        <w:t xml:space="preserve">Sono i dati del Ministero della Salute che, come ogni anno, valuta l’erogazione dei Livelli Essenziali di Assistenza (LEA), ovvero delle prestazioni sanitarie che tutte le Regioni e Province Autonome devono garantire gratuitamente o previo il pagamento del ticket. </w:t>
      </w:r>
      <w:r>
        <w:rPr/>
        <w:t xml:space="preserve">«Si tratta di una vera e propria </w:t>
      </w:r>
      <w:r>
        <w:rPr>
          <w:rFonts w:eastAsia="Times New Roman" w:cs="Calibri" w:cstheme="minorHAnsi"/>
        </w:rPr>
        <w:t xml:space="preserve">“pagella” </w:t>
      </w:r>
      <w:r>
        <w:rPr/>
        <w:t>per i servizi sanitari regionali – afferma Nino Cartabellotta, Presidente della Fondazione GIMBE– che identifica quali Regioni sono promosse (adempienti), pertanto meritevoli di accedere alla quota di finanziamento premiale, e quali bocciate (inadempienti)»</w:t>
      </w:r>
      <w:r>
        <w:rPr>
          <w:rFonts w:eastAsia="Times New Roman" w:cs="Calibri" w:cstheme="minorHAnsi"/>
        </w:rPr>
        <w:t xml:space="preserve">. Le Regioni inadempienti vengono sottoposte ai Piani di rientro, uno specifico affiancamento da parte del Ministero della Salute che nelle situazioni più critiche può arrivare sino al commissariamento della Regione. </w:t>
      </w:r>
    </w:p>
    <w:p>
      <w:pPr>
        <w:pStyle w:val="Normal"/>
        <w:spacing w:before="0" w:after="80"/>
        <w:jc w:val="both"/>
        <w:rPr/>
      </w:pPr>
      <w:r>
        <w:rPr/>
        <w:t xml:space="preserve">Dal 2020 la </w:t>
      </w:r>
      <w:r>
        <w:rPr>
          <w:rFonts w:eastAsia="Times New Roman" w:cs="Calibri" w:cstheme="minorHAnsi"/>
        </w:rPr>
        <w:t>“Griglia LEA” è stata sostituita da 22 indicatori CORE del Nuovo Sistema di Garanzia (NSG)</w:t>
      </w:r>
      <w:r>
        <w:rPr/>
        <w:t>, suddivisi in tre aree: prevenzione collettiva e sanità pubblica, assistenza distrettuale e assistenza ospedaliera. In ogni area le Regioni possono ottenere un punteggio tra 0 e 100 e vengono considerate adempienti se raggiungono almeno 60 punti in tutte le tre aree; invece, se il punteggio è inferiore a 60 anche in una sola area, la Regione risulta inadempiente. «Se nel 2020 e nel 2021, segnati dall’emergenza pandemica, il monitoraggio ha avuto solo un ruolo informativo – precisa il Presidente – nel 2022 per la prima volta i risultati degli indicatori CORE vengono utilizzati a scopo valutativo».</w:t>
      </w:r>
    </w:p>
    <w:p>
      <w:pPr>
        <w:pStyle w:val="Normal"/>
        <w:jc w:val="both"/>
        <w:rPr/>
      </w:pPr>
      <w:r>
        <w:rPr/>
        <w:t>A seguito della recente pubblicazione della Relazione 2022 del “</w:t>
      </w:r>
      <w:hyperlink r:id="rId2">
        <w:r>
          <w:rPr>
            <w:rStyle w:val="InternetLink"/>
            <w:color w:val="auto"/>
          </w:rPr>
          <w:t>Monitoraggio dei LEA attraverso il Nuovo Sistema di Garanzia</w:t>
        </w:r>
      </w:hyperlink>
      <w:r>
        <w:rPr/>
        <w:t>” da parte del Ministero della Salute, «la Fondazione GIMBE – spiega il Presidente –  ha effettuato alcune analisi per stimare l’entità dell’attuale frattura Nord-Sud nel garantire il diritto costituzionale alla tutela della salute anche alla luce della recente approvazione della legge sull’autonomia differenziata»</w:t>
      </w:r>
      <w:r>
        <w:rPr>
          <w:rFonts w:eastAsia="Times New Roman" w:cs="Calibri" w:cstheme="minorHAnsi"/>
        </w:rPr>
        <w:t>.</w:t>
      </w:r>
    </w:p>
    <w:p>
      <w:pPr>
        <w:pStyle w:val="Normal"/>
        <w:spacing w:before="0" w:after="80"/>
        <w:jc w:val="both"/>
        <w:rPr>
          <w:rFonts w:cs="Calibri" w:cstheme="minorHAnsi"/>
          <w:color w:val="FF0000"/>
        </w:rPr>
      </w:pPr>
      <w:r>
        <w:rPr>
          <w:rFonts w:cs="Calibri" w:cstheme="minorHAnsi"/>
          <w:b/>
          <w:bCs/>
        </w:rPr>
        <w:t>Adempimenti LEA 2022</w:t>
      </w:r>
      <w:r>
        <w:rPr>
          <w:rFonts w:cs="Calibri" w:cstheme="minorHAnsi"/>
        </w:rPr>
        <w:t>. Rispetto al 2021 le Regioni adempienti nel 2022 scendono da 14 a 13: Basilicata, Emilia-Romagna, Friuli Venezia Giulia, Lazio, Liguria, Lombardia, Marche, Provincia Autonoma di Trento, Piemonte, Puglia, Toscana, Umbria e Veneto. In particolare, dal 2021 al 2022 nessuna Regione passa da inadempiente ad adempiente, mentre l’Abruzzo diventa inadempiente per il punteggio insufficiente nell’area della prevenzione. Rimangono inadempienti 7 Regioni: Campania, Molise, Provincia Autonoma di Bolzano con un punteggio insufficiente in una sola area; Calabria, Sardegna e Sicilia con un punteggio insufficiente in due aree; Valle D’Aosta insufficiente in tutte le tre aree (</w:t>
      </w:r>
      <w:r>
        <w:rPr>
          <w:rFonts w:cs="Calibri" w:cstheme="minorHAnsi"/>
          <w:highlight w:val="yellow"/>
        </w:rPr>
        <w:t>tabella 1</w:t>
      </w:r>
      <w:r>
        <w:rPr>
          <w:rFonts w:cs="Calibri" w:cstheme="minorHAnsi"/>
        </w:rPr>
        <w:t xml:space="preserve">). «Nel 2022 – commenta il Presidente – aumenta il gap Nord-Sud, visto che solo Puglia e Basilicata si trovano tra le 13 Regioni adempienti, collocandosi rispettivamente in terzultima e in ultima posizione tra quelle “promosse”». </w:t>
      </w:r>
      <w:bookmarkStart w:id="1" w:name="_Hlk127886266"/>
      <w:bookmarkEnd w:id="1"/>
    </w:p>
    <w:p>
      <w:pPr>
        <w:pStyle w:val="Normal"/>
        <w:jc w:val="both"/>
        <w:rPr/>
      </w:pPr>
      <w:r>
        <w:rPr/>
        <w:t>Considerato che il Ministero della Salute non sintetizza in un punteggio unico la valutazione degli adempimenti LEA, la Fondazione GIMBE ha elaborato una classifica di Regioni e Province Autonome sommando gli score ottenuti nelle tre aree; i risultati sono riportati in ordine decrescente di punteggio totale e suddivisi in quartili (</w:t>
      </w:r>
      <w:r>
        <w:rPr>
          <w:highlight w:val="yellow"/>
        </w:rPr>
        <w:t>tabella 2</w:t>
      </w:r>
      <w:r>
        <w:rPr/>
        <w:t xml:space="preserve"> e </w:t>
      </w:r>
      <w:r>
        <w:rPr>
          <w:highlight w:val="yellow"/>
        </w:rPr>
        <w:t>figura 1</w:t>
      </w:r>
      <w:r>
        <w:rPr/>
        <w:t xml:space="preserve">). </w:t>
      </w:r>
      <w:r>
        <w:rPr>
          <w:rFonts w:cs="Calibri" w:cstheme="minorHAnsi"/>
        </w:rPr>
        <w:t>«Rispetto al semplice status di adempiente o inadempiente – commenta Cartabellotta – il punteggio totale mostra ancora più chiaramente l’entità del gap Nord-Sud: infatti, ai primi 10 posti si trovano 6 Regioni del Nord, 4 del Centro e nessuna del Sud, mentre nelle ultime 7 posizioni – fatta eccezione per la Valle D’Aosta – si collocano solo Regioni del Mezzogiorno».</w:t>
      </w:r>
    </w:p>
    <w:p>
      <w:pPr>
        <w:pStyle w:val="Normal"/>
        <w:spacing w:before="0" w:after="80"/>
        <w:jc w:val="both"/>
        <w:rPr/>
      </w:pPr>
      <w:r>
        <w:rPr>
          <w:rFonts w:cs="Calibri" w:cstheme="minorHAnsi"/>
          <w:b/>
          <w:bCs/>
        </w:rPr>
        <w:t>Variazioni 2021-2022</w:t>
      </w:r>
      <w:r>
        <w:rPr/>
        <w:t>. La Fondazione GIMBE ha analizzato le differenze tra gli adempimenti 2021 e quelli 2022,</w:t>
      </w:r>
      <w:r>
        <w:rPr>
          <w:color w:val="FF0000"/>
        </w:rPr>
        <w:t xml:space="preserve"> </w:t>
      </w:r>
      <w:r>
        <w:rPr/>
        <w:t>misurando i punteggi totali delle Regioni e le performance nazionali sui tre macro-livelli assistenziali. Nel 2022 quasi la metà delle Regioni ha performance inferiori al 2021, seppure con gap di entità notevolmente diversa: Umbria (-0,03), Sardegna (-3,57), Campania (-4,47), Liguria (-6,86), Lazio (-8,06), Marche (-14,7), Molise (-17,48), Friuli Venezia Giulia (-23,13), Calabria (-24,74), Abruzzo (-30,86) (</w:t>
      </w:r>
      <w:r>
        <w:rPr>
          <w:highlight w:val="yellow"/>
        </w:rPr>
        <w:t>tabella 3</w:t>
      </w:r>
      <w:r>
        <w:rPr/>
        <w:t>). «Anche questo dato – commenta il Presidente – conferma l’aumento del divario Nord-Sud: infatti, fatta eccezione per Liguria e Friuli-Venezia Giulia, tutte le Regioni in cui si rilevano riduzioni dei punteggi totali si trovano al Centro o al Sud del Paese».</w:t>
      </w:r>
    </w:p>
    <w:p>
      <w:pPr>
        <w:pStyle w:val="Normal"/>
        <w:spacing w:before="0" w:after="80"/>
        <w:jc w:val="both"/>
        <w:rPr>
          <w:color w:val="FF0000"/>
        </w:rPr>
      </w:pPr>
      <w:r>
        <w:rPr/>
        <w:t>Nel 2022 a livello nazionale si rileva un miglioramento nell’area ospedaliera (+90 punti), un lieve peggioramento per l’area distrettuale (-12 punti) e un netto peggioramento nell’area della prevenzione (-146 punti); complessivamente le tre aree perdono 68 punti rispetto al 2021 (</w:t>
      </w:r>
      <w:r>
        <w:rPr>
          <w:highlight w:val="yellow"/>
        </w:rPr>
        <w:t>tabella 4</w:t>
      </w:r>
      <w:r>
        <w:rPr/>
        <w:t>). «Gli indicatori più critici dell’area prevenzione – spiega il Presidente – riguardano gli screening oncologici, in particolare nelle Regioni del Sud, e le coperture vaccinali in età pediatrica su cui potrebbe aver inciso il passaggio alla fonte informativa dell’Anagrafe Vaccinale Nazionale».</w:t>
      </w:r>
    </w:p>
    <w:p>
      <w:pPr>
        <w:pStyle w:val="Normal"/>
        <w:spacing w:before="0" w:after="80"/>
        <w:jc w:val="both"/>
        <w:rPr>
          <w:color w:val="FF0000"/>
        </w:rPr>
      </w:pPr>
      <w:r>
        <w:rPr/>
        <w:t>«Il monitoraggio del Ministero della Salute 2022 sulle cure essenziali – conclude Cartabellotta – conferma che la frattura strutturale tra Nord e Sud del Paese non solo non accenna a ridursi, ma addirittura si amplia sia con l’Abruzzo che diventa inadempiente, sia per riduzione dei punteggi LEA nella maggior parte delle Regioni del Mezzogiorno.</w:t>
      </w:r>
      <w:r>
        <w:rPr>
          <w:color w:val="FF0000"/>
        </w:rPr>
        <w:t xml:space="preserve"> </w:t>
      </w:r>
      <w:r>
        <w:rPr/>
        <w:t>Proprio nel momento in cui entra in vigore la legge sull’autonomia differenziata che in materia di salute non ha ritenuto necessario definire i livelli essenziali delle prestazioni (LEP) in quanto esistono già i LEA. Considerato che i dati sull’esigibilità dei LEA, oltre a segnare un peggioramento complessivo rispetto al 2021, confermano anche per l’anno 2022 un enorme gap Nord-Sud, è evidente che senza definire, finanziare e garantire i LEP anche in sanità, le maggiori autonomie in sanità legittimeranno normativamente questa frattura, compromettendo l’uguaglianza dei cittadini di fronte al diritto costituzionale alla tutela della salute».</w:t>
      </w:r>
    </w:p>
    <w:p>
      <w:pPr>
        <w:pStyle w:val="Normal"/>
        <w:spacing w:before="0" w:after="8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spacing w:before="0" w:after="0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b/>
          <w:bCs/>
        </w:rPr>
        <w:t>Fondazione GIMBE</w:t>
      </w:r>
      <w:r>
        <w:rPr>
          <w:rFonts w:eastAsia="Calibri" w:cs="Times New Roman" w:ascii="Trebuchet MS" w:hAnsi="Trebuchet MS"/>
        </w:rPr>
        <w:br/>
      </w:r>
      <w:r>
        <w:rPr>
          <w:rFonts w:eastAsia="Calibri" w:cs="Times New Roman"/>
          <w:sz w:val="20"/>
          <w:szCs w:val="20"/>
        </w:rPr>
        <w:t>Via Amendola 2 - 40121 Bologna</w:t>
      </w:r>
    </w:p>
    <w:p>
      <w:pPr>
        <w:pStyle w:val="Normal"/>
        <w:spacing w:before="0" w:after="0"/>
        <w:rPr>
          <w:rFonts w:ascii="Calibri" w:hAnsi="Calibri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Tel. 051 5883920 - Fax 051 4075774</w:t>
      </w:r>
    </w:p>
    <w:p>
      <w:pPr>
        <w:pStyle w:val="Normal"/>
        <w:spacing w:before="0" w:after="0"/>
        <w:rPr/>
      </w:pPr>
      <w:r>
        <w:rPr>
          <w:rFonts w:eastAsia="Calibri" w:cs="Times New Roman"/>
          <w:sz w:val="20"/>
          <w:szCs w:val="20"/>
        </w:rPr>
        <w:t xml:space="preserve">E-mail: </w:t>
      </w:r>
      <w:hyperlink r:id="rId3">
        <w:r>
          <w:rPr>
            <w:rStyle w:val="InternetLink"/>
            <w:rFonts w:eastAsia="Calibri" w:cs="Times New Roman"/>
            <w:sz w:val="20"/>
            <w:szCs w:val="20"/>
          </w:rPr>
          <w:t>ufficio.stampa@gimbe.org</w:t>
        </w:r>
      </w:hyperlink>
      <w:r>
        <w:br w:type="page"/>
      </w:r>
    </w:p>
    <w:p>
      <w:pPr>
        <w:pStyle w:val="Normal"/>
        <w:spacing w:before="0" w:after="80"/>
        <w:jc w:val="center"/>
        <w:rPr>
          <w:rFonts w:cs="Calibri" w:cstheme="minorHAnsi"/>
          <w:b/>
          <w:b/>
          <w:bCs/>
          <w:color w:val="1F497D" w:themeColor="text2"/>
        </w:rPr>
      </w:pPr>
      <w:r>
        <w:rPr>
          <w:rFonts w:cs="Calibri" w:cstheme="minorHAnsi"/>
          <w:b/>
          <w:bCs/>
          <w:color w:val="1F497D" w:themeColor="text2"/>
        </w:rPr>
        <w:t>Tabella 1. Adempimenti LEA anno 2022</w:t>
      </w:r>
    </w:p>
    <w:tbl>
      <w:tblPr>
        <w:tblW w:w="8212" w:type="dxa"/>
        <w:jc w:val="center"/>
        <w:tblInd w:w="0" w:type="dxa"/>
        <w:tblCellMar>
          <w:top w:w="45" w:type="dxa"/>
          <w:left w:w="70" w:type="dxa"/>
          <w:bottom w:w="45" w:type="dxa"/>
          <w:right w:w="70" w:type="dxa"/>
        </w:tblCellMar>
        <w:tblLook w:firstRow="1" w:noVBand="1" w:lastRow="0" w:firstColumn="1" w:lastColumn="0" w:noHBand="0" w:val="04a0"/>
      </w:tblPr>
      <w:tblGrid>
        <w:gridCol w:w="2257"/>
        <w:gridCol w:w="1417"/>
        <w:gridCol w:w="1417"/>
        <w:gridCol w:w="1417"/>
        <w:gridCol w:w="1704"/>
      </w:tblGrid>
      <w:tr>
        <w:trPr>
          <w:trHeight w:val="315" w:hRule="atLeast"/>
        </w:trPr>
        <w:tc>
          <w:tcPr>
            <w:tcW w:w="2257" w:type="dxa"/>
            <w:tcBorders>
              <w:top w:val="single" w:sz="8" w:space="0" w:color="FFFFFF"/>
              <w:left w:val="single" w:sz="8" w:space="0" w:color="00457D"/>
              <w:bottom w:val="single" w:sz="8" w:space="0" w:color="00457D"/>
              <w:right w:val="single" w:sz="8" w:space="0" w:color="FFFFFF"/>
            </w:tcBorders>
            <w:shd w:color="000000" w:fill="00457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417" w:type="dxa"/>
            <w:tcBorders>
              <w:top w:val="single" w:sz="8" w:space="0" w:color="FFFFFF"/>
              <w:bottom w:val="single" w:sz="8" w:space="0" w:color="00457D"/>
              <w:right w:val="single" w:sz="8" w:space="0" w:color="FFFFFF"/>
            </w:tcBorders>
            <w:shd w:color="000000" w:fill="00457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it-IT"/>
              </w:rPr>
              <w:t>Prevenzione</w:t>
            </w:r>
          </w:p>
        </w:tc>
        <w:tc>
          <w:tcPr>
            <w:tcW w:w="1417" w:type="dxa"/>
            <w:tcBorders>
              <w:top w:val="single" w:sz="8" w:space="0" w:color="FFFFFF"/>
              <w:bottom w:val="single" w:sz="8" w:space="0" w:color="00457D"/>
              <w:right w:val="single" w:sz="8" w:space="0" w:color="FFFFFF"/>
            </w:tcBorders>
            <w:shd w:color="000000" w:fill="00457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it-IT"/>
              </w:rPr>
              <w:t>Distrettuale</w:t>
            </w:r>
          </w:p>
        </w:tc>
        <w:tc>
          <w:tcPr>
            <w:tcW w:w="1417" w:type="dxa"/>
            <w:tcBorders>
              <w:top w:val="single" w:sz="8" w:space="0" w:color="FFFFFF"/>
              <w:bottom w:val="single" w:sz="8" w:space="0" w:color="00457D"/>
              <w:right w:val="single" w:sz="8" w:space="0" w:color="FFFFFF"/>
            </w:tcBorders>
            <w:shd w:color="000000" w:fill="00457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it-IT"/>
              </w:rPr>
              <w:t>Ospedaliera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000000" w:fill="00457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it-IT"/>
              </w:rPr>
              <w:t>Status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FFFFFF"/>
                <w:sz w:val="20"/>
                <w:szCs w:val="20"/>
                <w:lang w:eastAsia="it-IT"/>
              </w:rPr>
              <w:t>49,31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62,18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73,10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68,46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61,92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78,03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B05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FFFFFF"/>
                <w:sz w:val="20"/>
                <w:szCs w:val="20"/>
                <w:lang w:eastAsia="it-IT"/>
              </w:rPr>
              <w:t>36,59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FFFFFF"/>
                <w:sz w:val="20"/>
                <w:szCs w:val="20"/>
                <w:lang w:eastAsia="it-IT"/>
              </w:rPr>
              <w:t>34,88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63,78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69,68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FFFFFF"/>
                <w:sz w:val="20"/>
                <w:szCs w:val="20"/>
                <w:lang w:eastAsia="it-IT"/>
              </w:rPr>
              <w:t>55,76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68,66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Emilia Romagna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96,13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95,57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93,50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B05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71,24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73,30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75,29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B05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74,08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72,07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81,30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B05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61,41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86,81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77,49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B05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90,18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94,66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86,09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B05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60,91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91,03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91,26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B05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FFFFFF"/>
                <w:sz w:val="20"/>
                <w:szCs w:val="20"/>
                <w:lang w:eastAsia="it-IT"/>
              </w:rPr>
              <w:t>50,69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61,23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67,54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Provincia Aut. di Bolzano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FFFFFF"/>
                <w:sz w:val="20"/>
                <w:szCs w:val="20"/>
                <w:lang w:eastAsia="it-IT"/>
              </w:rPr>
              <w:t>54,14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77,03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75,23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Provincia Aut. di Trento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94,27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76,45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98,35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B05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88,79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86,55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87,07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B05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75,97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70,02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79,69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B05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FFFFFF"/>
                <w:sz w:val="20"/>
                <w:szCs w:val="20"/>
                <w:lang w:eastAsia="it-IT"/>
              </w:rPr>
              <w:t>46,55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FFFFFF"/>
                <w:sz w:val="20"/>
                <w:szCs w:val="20"/>
                <w:lang w:eastAsia="it-IT"/>
              </w:rPr>
              <w:t>50,45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69,11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FFFFFF"/>
                <w:sz w:val="20"/>
                <w:szCs w:val="20"/>
                <w:lang w:eastAsia="it-IT"/>
              </w:rPr>
              <w:t>47,18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FFFFFF"/>
                <w:sz w:val="20"/>
                <w:szCs w:val="20"/>
                <w:lang w:eastAsia="it-IT"/>
              </w:rPr>
              <w:t>58,04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78,38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86,57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96,42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92,32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B05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79,59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83,88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84,42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B05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FFFFFF"/>
                <w:sz w:val="20"/>
                <w:szCs w:val="20"/>
                <w:lang w:eastAsia="it-IT"/>
              </w:rPr>
              <w:t>48,48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FFFFFF"/>
                <w:sz w:val="20"/>
                <w:szCs w:val="20"/>
                <w:lang w:eastAsia="it-IT"/>
              </w:rPr>
              <w:t>47,25</w:t>
            </w:r>
          </w:p>
        </w:tc>
        <w:tc>
          <w:tcPr>
            <w:tcW w:w="1417" w:type="dxa"/>
            <w:tcBorders>
              <w:bottom w:val="single" w:sz="8" w:space="0" w:color="00457D"/>
              <w:right w:val="single" w:sz="8" w:space="0" w:color="00457D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FFFFFF"/>
                <w:sz w:val="20"/>
                <w:szCs w:val="20"/>
                <w:lang w:eastAsia="it-IT"/>
              </w:rPr>
              <w:t>55,23</w:t>
            </w:r>
          </w:p>
        </w:tc>
        <w:tc>
          <w:tcPr>
            <w:tcW w:w="1704" w:type="dxa"/>
            <w:tcBorders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0000"/>
                <w:sz w:val="20"/>
                <w:szCs w:val="20"/>
                <w:lang w:eastAsia="it-IT"/>
              </w:rPr>
              <w:t>Inadempiente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left w:val="single" w:sz="8" w:space="0" w:color="00457D"/>
              <w:bottom w:val="single" w:sz="4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417" w:type="dxa"/>
            <w:tcBorders>
              <w:bottom w:val="single" w:sz="4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94,08</w:t>
            </w:r>
          </w:p>
        </w:tc>
        <w:tc>
          <w:tcPr>
            <w:tcW w:w="1417" w:type="dxa"/>
            <w:tcBorders>
              <w:bottom w:val="single" w:sz="4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96,40</w:t>
            </w:r>
          </w:p>
        </w:tc>
        <w:tc>
          <w:tcPr>
            <w:tcW w:w="1417" w:type="dxa"/>
            <w:tcBorders>
              <w:bottom w:val="single" w:sz="4" w:space="0" w:color="00457D"/>
              <w:right w:val="single" w:sz="8" w:space="0" w:color="00457D"/>
            </w:tcBorders>
            <w:shd w:color="000000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91,36</w:t>
            </w:r>
          </w:p>
        </w:tc>
        <w:tc>
          <w:tcPr>
            <w:tcW w:w="1704" w:type="dxa"/>
            <w:tcBorders>
              <w:bottom w:val="single" w:sz="4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B05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B050"/>
                <w:sz w:val="20"/>
                <w:szCs w:val="20"/>
                <w:lang w:eastAsia="it-IT"/>
              </w:rPr>
              <w:t>Adempiente</w:t>
            </w:r>
          </w:p>
        </w:tc>
      </w:tr>
      <w:tr>
        <w:trPr>
          <w:trHeight w:val="113" w:hRule="atLeast"/>
        </w:trPr>
        <w:tc>
          <w:tcPr>
            <w:tcW w:w="8212" w:type="dxa"/>
            <w:gridSpan w:val="5"/>
            <w:tcBorders>
              <w:bottom w:val="single" w:sz="4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cs="Calibri" w:cstheme="minorHAnsi"/>
                <w:color w:val="000000"/>
                <w:sz w:val="10"/>
                <w:szCs w:val="10"/>
              </w:rPr>
            </w:pPr>
            <w:r>
              <w:rPr>
                <w:rFonts w:cs="Calibri" w:cstheme="minorHAnsi"/>
                <w:color w:val="000000"/>
                <w:sz w:val="10"/>
                <w:szCs w:val="10"/>
              </w:rPr>
            </w:r>
          </w:p>
          <w:tbl>
            <w:tblPr>
              <w:tblW w:w="2937" w:type="dxa"/>
              <w:jc w:val="center"/>
              <w:tblInd w:w="0" w:type="dxa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1101"/>
              <w:gridCol w:w="917"/>
              <w:gridCol w:w="919"/>
            </w:tblGrid>
            <w:tr>
              <w:trPr>
                <w:trHeight w:val="315" w:hRule="atLeast"/>
              </w:trPr>
              <w:tc>
                <w:tcPr>
                  <w:tcW w:w="1101" w:type="dxa"/>
                  <w:tcBorders>
                    <w:top w:val="single" w:sz="4" w:space="0" w:color="00457D"/>
                    <w:left w:val="single" w:sz="4" w:space="0" w:color="00457D"/>
                    <w:bottom w:val="single" w:sz="4" w:space="0" w:color="00457D"/>
                    <w:right w:val="single" w:sz="4" w:space="0" w:color="00457D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rPr>
                      <w:rFonts w:eastAsia="Times New Roman" w:cs="Calibri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Calibri" w:cstheme="minorHAnsi"/>
                      <w:color w:val="000000"/>
                      <w:sz w:val="20"/>
                      <w:szCs w:val="20"/>
                      <w:lang w:eastAsia="it-IT"/>
                    </w:rPr>
                    <w:t>Punteggio</w:t>
                  </w:r>
                </w:p>
              </w:tc>
              <w:tc>
                <w:tcPr>
                  <w:tcW w:w="917" w:type="dxa"/>
                  <w:tcBorders>
                    <w:top w:val="single" w:sz="4" w:space="0" w:color="00457D"/>
                    <w:left w:val="single" w:sz="4" w:space="0" w:color="00457D"/>
                    <w:bottom w:val="single" w:sz="4" w:space="0" w:color="00457D"/>
                    <w:right w:val="single" w:sz="4" w:space="0" w:color="00457D"/>
                  </w:tcBorders>
                  <w:shd w:color="auto" w:fill="92D050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eastAsia="Times New Roman" w:cs="Calibri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Calibri" w:cstheme="minorHAnsi"/>
                      <w:color w:val="000000"/>
                      <w:sz w:val="20"/>
                      <w:szCs w:val="20"/>
                      <w:lang w:eastAsia="it-IT"/>
                    </w:rPr>
                    <w:t xml:space="preserve">≥ </w:t>
                  </w:r>
                  <w:r>
                    <w:rPr>
                      <w:rFonts w:eastAsia="Times New Roman" w:cs="Calibri" w:cstheme="minorHAnsi"/>
                      <w:color w:val="000000"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919" w:type="dxa"/>
                  <w:tcBorders>
                    <w:top w:val="single" w:sz="4" w:space="0" w:color="00457D"/>
                    <w:left w:val="single" w:sz="4" w:space="0" w:color="00457D"/>
                    <w:bottom w:val="single" w:sz="4" w:space="0" w:color="00457D"/>
                    <w:right w:val="single" w:sz="4" w:space="0" w:color="00457D"/>
                  </w:tcBorders>
                  <w:shd w:color="auto" w:fill="FF0000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contextualSpacing/>
                    <w:jc w:val="center"/>
                    <w:rPr>
                      <w:rFonts w:eastAsia="Times New Roman" w:cs="Calibri" w:cstheme="minorHAnsi"/>
                      <w:color w:val="FFFFFF" w:themeColor="background1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Calibri" w:cstheme="minorHAnsi"/>
                      <w:color w:val="FFFFFF" w:themeColor="background1"/>
                      <w:sz w:val="20"/>
                      <w:szCs w:val="20"/>
                      <w:lang w:eastAsia="it-IT"/>
                    </w:rPr>
                    <w:t>&lt; 60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contextualSpacing/>
              <w:rPr>
                <w:rFonts w:cs="Calibri" w:cstheme="minorHAnsi"/>
                <w:color w:val="000000"/>
                <w:sz w:val="10"/>
                <w:szCs w:val="10"/>
              </w:rPr>
            </w:pPr>
            <w:r>
              <w:rPr>
                <w:rFonts w:cs="Calibri" w:cstheme="minorHAnsi"/>
                <w:color w:val="000000"/>
                <w:sz w:val="10"/>
                <w:szCs w:val="1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cs="Calibri" w:cstheme="minorHAnsi"/>
                <w:color w:val="000000"/>
                <w:sz w:val="10"/>
                <w:szCs w:val="10"/>
              </w:rPr>
            </w:pPr>
            <w:r>
              <w:rPr>
                <w:rFonts w:cs="Calibri" w:cstheme="minorHAnsi"/>
                <w:color w:val="00457D"/>
                <w:sz w:val="18"/>
                <w:szCs w:val="18"/>
              </w:rPr>
              <w:t>Dati Ministero della Salute</w:t>
            </w:r>
            <w:r>
              <w:rPr>
                <w:rFonts w:cs="Calibr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jc w:val="center"/>
        <w:rPr>
          <w:b/>
          <w:b/>
          <w:bCs/>
          <w:color w:val="1F497D" w:themeColor="text2"/>
        </w:rPr>
      </w:pPr>
      <w:r>
        <w:rPr>
          <w:b/>
          <w:bCs/>
          <w:color w:val="1F497D" w:themeColor="text2"/>
        </w:rPr>
        <w:t>Tabella 2.  Punteggio totale adempimenti LEA anno 2022</w:t>
      </w:r>
    </w:p>
    <w:tbl>
      <w:tblPr>
        <w:tblW w:w="7530" w:type="dxa"/>
        <w:jc w:val="center"/>
        <w:tblInd w:w="0" w:type="dxa"/>
        <w:tblCellMar>
          <w:top w:w="17" w:type="dxa"/>
          <w:left w:w="70" w:type="dxa"/>
          <w:bottom w:w="17" w:type="dxa"/>
          <w:right w:w="70" w:type="dxa"/>
        </w:tblCellMar>
        <w:tblLook w:firstRow="1" w:noVBand="1" w:lastRow="0" w:firstColumn="1" w:lastColumn="0" w:noHBand="0" w:val="04a0"/>
      </w:tblPr>
      <w:tblGrid>
        <w:gridCol w:w="3069"/>
        <w:gridCol w:w="4460"/>
      </w:tblGrid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/>
            </w:tcBorders>
            <w:shd w:color="auto" w:fill="00457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FFFFFF"/>
              <w:bottom w:val="single" w:sz="4" w:space="0" w:color="00457D"/>
              <w:right w:val="single" w:sz="4" w:space="0" w:color="00457D"/>
            </w:tcBorders>
            <w:shd w:color="auto" w:fill="00457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Punteggio totale 2022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00B05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Emilia Romagna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000000" w:fill="00B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285,20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00B05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Veneto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000000" w:fill="00B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281,84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00B05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Toscana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000000" w:fill="00B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275,31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00B05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Lombardia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000000" w:fill="00B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270,93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00B05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Prov. Aut. Trento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000000" w:fill="00B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269,07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Piemonte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262,41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Umbria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247,89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Marche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243,20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Lazio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227,45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Liguria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225,71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Puglia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225,68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Friuli Venezia Giulia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219,83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Basilicata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208,41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Prov. Aut. Bolzano</w:t>
            </w:r>
            <w:r>
              <w:rPr>
                <w:rFonts w:cs="Calibri" w:cs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206,40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FFFF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Campania</w:t>
            </w:r>
            <w:r>
              <w:rPr>
                <w:rFonts w:cs="Calibri" w:cs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000000"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194,10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Abruzzo</w:t>
            </w:r>
            <w:r>
              <w:rPr>
                <w:rFonts w:cs="Calibri"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184,59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Sicilia</w:t>
            </w:r>
            <w:r>
              <w:rPr>
                <w:rFonts w:cs="Calibri"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183,60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Molise</w:t>
            </w:r>
            <w:r>
              <w:rPr>
                <w:rFonts w:cs="Calibri"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179,46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Sardegna</w:t>
            </w:r>
            <w:r>
              <w:rPr>
                <w:rFonts w:cs="Calibri"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166,11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Valle d'Aosta</w:t>
            </w:r>
            <w:r>
              <w:rPr>
                <w:rFonts w:cs="Calibri"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150,96</w:t>
            </w:r>
          </w:p>
        </w:tc>
      </w:tr>
      <w:tr>
        <w:trPr>
          <w:trHeight w:val="340" w:hRule="atLeast"/>
        </w:trPr>
        <w:tc>
          <w:tcPr>
            <w:tcW w:w="306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Calabria</w:t>
            </w:r>
            <w:r>
              <w:rPr>
                <w:rFonts w:cs="Calibri" w:cstheme="minorHAnsi"/>
                <w:color w:val="FFFFFF" w:themeColor="background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4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000000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color w:val="FFFFFF" w:themeColor="background1"/>
                <w:sz w:val="20"/>
                <w:szCs w:val="20"/>
              </w:rPr>
              <w:t>135,25</w:t>
            </w:r>
          </w:p>
        </w:tc>
      </w:tr>
      <w:tr>
        <w:trPr>
          <w:trHeight w:val="340" w:hRule="atLeast"/>
        </w:trPr>
        <w:tc>
          <w:tcPr>
            <w:tcW w:w="7529" w:type="dxa"/>
            <w:gridSpan w:val="2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lang w:eastAsia="it-IT"/>
              </w:rPr>
            </w:r>
          </w:p>
          <w:tbl>
            <w:tblPr>
              <w:tblStyle w:val="Grigliatabella"/>
              <w:tblW w:w="7380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05"/>
              <w:gridCol w:w="1618"/>
              <w:gridCol w:w="1618"/>
              <w:gridCol w:w="1618"/>
              <w:gridCol w:w="1621"/>
            </w:tblGrid>
            <w:tr>
              <w:trPr>
                <w:trHeight w:val="397" w:hRule="atLeast"/>
              </w:trPr>
              <w:tc>
                <w:tcPr>
                  <w:tcW w:w="905" w:type="dxa"/>
                  <w:tcBorders>
                    <w:top w:val="single" w:sz="4" w:space="0" w:color="00457D"/>
                    <w:left w:val="single" w:sz="4" w:space="0" w:color="00457D"/>
                    <w:bottom w:val="single" w:sz="4" w:space="0" w:color="00457D"/>
                    <w:right w:val="single" w:sz="4" w:space="0" w:color="00457D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 w:cstheme="minorHAnsi"/>
                      <w:sz w:val="18"/>
                      <w:szCs w:val="20"/>
                    </w:rPr>
                  </w:pPr>
                  <w:r>
                    <w:rPr>
                      <w:rFonts w:cs="Calibri" w:cstheme="minorHAnsi"/>
                      <w:sz w:val="18"/>
                      <w:szCs w:val="20"/>
                    </w:rPr>
                    <w:t xml:space="preserve">Quartili 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457D"/>
                    <w:left w:val="single" w:sz="4" w:space="0" w:color="00457D"/>
                    <w:bottom w:val="single" w:sz="4" w:space="0" w:color="00457D"/>
                    <w:right w:val="single" w:sz="4" w:space="0" w:color="00457D"/>
                  </w:tcBorders>
                  <w:shd w:color="auto" w:fill="FF0000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Calibri" w:cstheme="minorHAnsi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FFFFFF" w:themeColor="background1"/>
                      <w:sz w:val="18"/>
                      <w:szCs w:val="18"/>
                    </w:rPr>
                    <w:t>≤</w:t>
                  </w:r>
                  <w:r>
                    <w:rPr>
                      <w:rFonts w:cs="Calibri" w:cstheme="minorHAnsi"/>
                      <w:color w:val="FFFFFF" w:themeColor="background1"/>
                      <w:sz w:val="18"/>
                      <w:szCs w:val="18"/>
                    </w:rPr>
                    <w:t>184,59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457D"/>
                    <w:left w:val="single" w:sz="4" w:space="0" w:color="00457D"/>
                    <w:bottom w:val="single" w:sz="4" w:space="0" w:color="00457D"/>
                    <w:right w:val="single" w:sz="4" w:space="0" w:color="00457D"/>
                  </w:tcBorders>
                  <w:shd w:color="auto" w:fill="FFFF00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Calibri" w:cstheme="minorHAnsi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  <w:t>&gt;184,59 e ≤225,68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457D"/>
                    <w:left w:val="single" w:sz="4" w:space="0" w:color="00457D"/>
                    <w:bottom w:val="single" w:sz="4" w:space="0" w:color="00457D"/>
                    <w:right w:val="single" w:sz="4" w:space="0" w:color="00457D"/>
                  </w:tcBorders>
                  <w:shd w:color="auto" w:fill="92D050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Calibri" w:cstheme="minorHAnsi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000000"/>
                      <w:sz w:val="18"/>
                      <w:szCs w:val="18"/>
                    </w:rPr>
                    <w:t>&gt;225,68 e ≤262,41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457D"/>
                    <w:left w:val="single" w:sz="4" w:space="0" w:color="00457D"/>
                    <w:bottom w:val="single" w:sz="4" w:space="0" w:color="00457D"/>
                    <w:right w:val="single" w:sz="4" w:space="0" w:color="00457D"/>
                  </w:tcBorders>
                  <w:shd w:color="auto" w:fill="00B050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cs="Calibri" w:cstheme="minorHAnsi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cs="Calibri" w:cstheme="minorHAnsi"/>
                      <w:color w:val="FFFFFF" w:themeColor="background1"/>
                      <w:sz w:val="18"/>
                      <w:szCs w:val="18"/>
                    </w:rPr>
                    <w:t>&gt;262,41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it-IT"/>
              </w:rPr>
            </w:pPr>
            <w:r>
              <w:rPr>
                <w:rFonts w:eastAsia="Times New Roman" w:cs="Calibri" w:cstheme="minorHAnsi"/>
                <w:color w:val="000000"/>
                <w:lang w:eastAsia="it-IT"/>
              </w:rPr>
              <w:t xml:space="preserve"> </w:t>
            </w:r>
          </w:p>
          <w:p>
            <w:pPr>
              <w:pStyle w:val="Normal"/>
              <w:spacing w:lineRule="auto" w:line="240" w:before="0" w:after="120"/>
              <w:rPr>
                <w:rFonts w:cs="Calibri" w:cstheme="minorHAnsi"/>
                <w:color w:val="00457D"/>
                <w:sz w:val="18"/>
                <w:szCs w:val="18"/>
              </w:rPr>
            </w:pPr>
            <w:r>
              <w:rPr>
                <w:rFonts w:cs="Calibri" w:cstheme="minorHAnsi"/>
                <w:color w:val="00457D"/>
                <w:sz w:val="18"/>
                <w:szCs w:val="18"/>
              </w:rPr>
              <w:t>*Regione inadempiente secondo il Nuovo Sistema di Garanzia (NSG)</w:t>
            </w:r>
          </w:p>
          <w:p>
            <w:pPr>
              <w:pStyle w:val="Normal"/>
              <w:spacing w:lineRule="auto" w:line="240" w:before="0" w:after="120"/>
              <w:rPr>
                <w:rFonts w:cs="Calibri" w:cstheme="minorHAnsi"/>
                <w:color w:val="00457D"/>
                <w:sz w:val="18"/>
                <w:szCs w:val="18"/>
              </w:rPr>
            </w:pPr>
            <w:r>
              <w:rPr>
                <w:rFonts w:cs="Calibri" w:cstheme="minorHAnsi"/>
                <w:color w:val="00457D"/>
                <w:sz w:val="18"/>
                <w:szCs w:val="18"/>
              </w:rPr>
              <w:t>Elaborazione GIMBE su dati Ministero della Salute</w:t>
            </w:r>
            <w:bookmarkStart w:id="2" w:name="_Hlk140811395"/>
            <w:bookmarkEnd w:id="2"/>
          </w:p>
        </w:tc>
      </w:tr>
    </w:tbl>
    <w:p>
      <w:pPr>
        <w:pStyle w:val="Normal"/>
        <w:rPr>
          <w:rFonts w:ascii="Calibri" w:hAnsi="Calibri" w:eastAsia="Calibri" w:cs="Times New Roman"/>
          <w:color w:val="0000FF" w:themeColor="hyperlink"/>
          <w:sz w:val="20"/>
          <w:szCs w:val="20"/>
          <w:u w:val="single"/>
        </w:rPr>
      </w:pPr>
      <w:r>
        <w:rPr>
          <w:rFonts w:eastAsia="Calibri" w:cs="Times New Roman"/>
          <w:color w:val="0000FF" w:themeColor="hyperlink"/>
          <w:sz w:val="20"/>
          <w:szCs w:val="20"/>
          <w:u w:val="single"/>
        </w:rPr>
      </w:r>
    </w:p>
    <w:p>
      <w:pPr>
        <w:pStyle w:val="Normal"/>
        <w:rPr>
          <w:rFonts w:ascii="Calibri" w:hAnsi="Calibri" w:eastAsia="Calibri" w:cs="Times New Roman"/>
          <w:color w:val="0000FF" w:themeColor="hyperlink"/>
          <w:sz w:val="20"/>
          <w:szCs w:val="20"/>
          <w:u w:val="single"/>
        </w:rPr>
      </w:pPr>
      <w:r>
        <w:rPr>
          <w:rFonts w:eastAsia="Calibri" w:cs="Times New Roman"/>
          <w:color w:val="0000FF" w:themeColor="hyperlink"/>
          <w:sz w:val="20"/>
          <w:szCs w:val="20"/>
          <w:u w:val="single"/>
        </w:rPr>
      </w:r>
      <w:r>
        <w:br w:type="page"/>
      </w:r>
    </w:p>
    <w:p>
      <w:pPr>
        <w:pStyle w:val="Normal"/>
        <w:jc w:val="center"/>
        <w:rPr>
          <w:b/>
          <w:b/>
          <w:bCs/>
          <w:color w:val="1F497D" w:themeColor="text2"/>
        </w:rPr>
      </w:pPr>
      <w:r>
        <w:rPr>
          <w:b/>
          <w:bCs/>
          <w:color w:val="1F497D" w:themeColor="text2"/>
        </w:rPr>
        <w:t>Figura 1.  Punteggi totali adempimenti LEA anno 2022</w:t>
      </w:r>
      <w:r>
        <w:rPr/>
        <mc:AlternateContent>
          <mc:Choice Requires="wps">
            <w:drawing>
              <wp:inline distT="0" distB="0" distL="0" distR="0">
                <wp:extent cx="6115685" cy="412813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6114960" cy="4127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325.05pt;width:481.45pt;height:324.95pt;mso-position-vertical:top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jc w:val="center"/>
        <w:rPr>
          <w:rFonts w:ascii="Calibri" w:hAnsi="Calibri" w:eastAsia="Calibri" w:cs="Times New Roman"/>
          <w:color w:val="0000FF" w:themeColor="hyperlink"/>
          <w:sz w:val="20"/>
          <w:szCs w:val="20"/>
          <w:u w:val="single"/>
        </w:rPr>
      </w:pPr>
      <w:r>
        <w:rPr>
          <w:rFonts w:eastAsia="Calibri" w:cs="Times New Roman"/>
          <w:color w:val="0000FF" w:themeColor="hyperlink"/>
          <w:sz w:val="20"/>
          <w:szCs w:val="20"/>
          <w:u w:val="single"/>
        </w:rPr>
      </w:r>
    </w:p>
    <w:p>
      <w:pPr>
        <w:pStyle w:val="Normal"/>
        <w:rPr>
          <w:rFonts w:ascii="Calibri" w:hAnsi="Calibri" w:eastAsia="Calibri" w:cs="Times New Roman"/>
          <w:color w:val="0000FF" w:themeColor="hyperlink"/>
          <w:sz w:val="20"/>
          <w:szCs w:val="20"/>
          <w:u w:val="single"/>
        </w:rPr>
      </w:pPr>
      <w:r>
        <w:rPr>
          <w:rFonts w:eastAsia="Calibri" w:cs="Times New Roman"/>
          <w:color w:val="0000FF" w:themeColor="hyperlink"/>
          <w:sz w:val="20"/>
          <w:szCs w:val="20"/>
          <w:u w:val="single"/>
        </w:rPr>
      </w:r>
      <w:r>
        <w:br w:type="page"/>
      </w:r>
    </w:p>
    <w:p>
      <w:pPr>
        <w:pStyle w:val="Normal"/>
        <w:spacing w:lineRule="auto" w:line="240"/>
        <w:jc w:val="center"/>
        <w:rPr>
          <w:rFonts w:eastAsia="Times New Roman" w:cs="Calibri" w:cstheme="minorHAnsi"/>
          <w:b/>
          <w:b/>
          <w:bCs/>
          <w:color w:val="00457D"/>
          <w:sz w:val="20"/>
          <w:szCs w:val="20"/>
          <w:lang w:eastAsia="it-IT"/>
        </w:rPr>
      </w:pPr>
      <w:r>
        <w:rPr>
          <w:b/>
          <w:bCs/>
          <w:color w:val="00457D"/>
        </w:rPr>
        <w:t xml:space="preserve">Tabella 3.  </w:t>
      </w:r>
      <w:r>
        <w:rPr>
          <w:b/>
          <w:bCs/>
          <w:color w:val="1F497D" w:themeColor="text2"/>
        </w:rPr>
        <w:t xml:space="preserve">Punteggio totale adempimenti LEA: gap </w:t>
      </w:r>
      <w:r>
        <w:rPr>
          <w:b/>
          <w:bCs/>
          <w:color w:val="00457D"/>
        </w:rPr>
        <w:t>2022 vs 2021</w:t>
      </w:r>
    </w:p>
    <w:tbl>
      <w:tblPr>
        <w:tblW w:w="4527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824"/>
        <w:gridCol w:w="1695"/>
        <w:gridCol w:w="8"/>
      </w:tblGrid>
      <w:tr>
        <w:trPr>
          <w:trHeight w:val="300" w:hRule="atLeast"/>
        </w:trPr>
        <w:tc>
          <w:tcPr>
            <w:tcW w:w="2824" w:type="dxa"/>
            <w:tcBorders>
              <w:top w:val="single" w:sz="8" w:space="0" w:color="00457D"/>
              <w:left w:val="single" w:sz="8" w:space="0" w:color="00457D"/>
              <w:bottom w:val="single" w:sz="8" w:space="0" w:color="00457D"/>
              <w:right w:val="single" w:sz="8" w:space="0" w:color="FFFFFF"/>
            </w:tcBorders>
            <w:shd w:color="000000" w:fill="00457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695" w:type="dxa"/>
            <w:tcBorders>
              <w:top w:val="single" w:sz="8" w:space="0" w:color="00457D"/>
              <w:bottom w:val="single" w:sz="8" w:space="0" w:color="00457D"/>
              <w:right w:val="single" w:sz="8" w:space="0" w:color="00457D"/>
            </w:tcBorders>
            <w:shd w:color="000000" w:fill="00457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it-IT"/>
              </w:rPr>
              <w:t>Gap 2022 vs 2021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Veneto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000000" w:fill="C6EF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006100"/>
                <w:sz w:val="20"/>
                <w:szCs w:val="20"/>
              </w:rPr>
            </w:pPr>
            <w:r>
              <w:rPr>
                <w:rFonts w:cs="Calibri" w:cstheme="minorHAnsi"/>
                <w:color w:val="006100"/>
                <w:sz w:val="20"/>
                <w:szCs w:val="20"/>
              </w:rPr>
              <w:t>16,96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Puglia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000000" w:fill="C6EF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006100"/>
                <w:sz w:val="20"/>
                <w:szCs w:val="20"/>
              </w:rPr>
            </w:pPr>
            <w:r>
              <w:rPr>
                <w:rFonts w:cs="Calibri" w:cstheme="minorHAnsi"/>
                <w:color w:val="006100"/>
                <w:sz w:val="20"/>
                <w:szCs w:val="20"/>
              </w:rPr>
              <w:t>16,34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Piemonte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auto" w:fill="C6EF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006100"/>
                <w:sz w:val="20"/>
                <w:szCs w:val="20"/>
              </w:rPr>
            </w:pPr>
            <w:r>
              <w:rPr>
                <w:rFonts w:cs="Calibri" w:cstheme="minorHAnsi"/>
                <w:color w:val="006100"/>
                <w:sz w:val="20"/>
                <w:szCs w:val="20"/>
              </w:rPr>
              <w:t>10,53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Lombardia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auto" w:fill="C6EF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006100"/>
                <w:sz w:val="20"/>
                <w:szCs w:val="20"/>
              </w:rPr>
            </w:pPr>
            <w:r>
              <w:rPr>
                <w:rFonts w:cs="Calibri" w:cstheme="minorHAnsi"/>
                <w:color w:val="006100"/>
                <w:sz w:val="20"/>
                <w:szCs w:val="20"/>
              </w:rPr>
              <w:t>5,67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Prov. Aut. Bolzano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000000" w:fill="C6EF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006100"/>
                <w:sz w:val="20"/>
                <w:szCs w:val="20"/>
              </w:rPr>
            </w:pPr>
            <w:r>
              <w:rPr>
                <w:rFonts w:cs="Calibri" w:cstheme="minorHAnsi"/>
                <w:color w:val="006100"/>
                <w:sz w:val="20"/>
                <w:szCs w:val="20"/>
              </w:rPr>
              <w:t>5,63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Emilia Romagna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000000" w:fill="C6EF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006100"/>
                <w:sz w:val="20"/>
                <w:szCs w:val="20"/>
              </w:rPr>
            </w:pPr>
            <w:r>
              <w:rPr>
                <w:rFonts w:cs="Calibri" w:cstheme="minorHAnsi"/>
                <w:color w:val="006100"/>
                <w:sz w:val="20"/>
                <w:szCs w:val="20"/>
              </w:rPr>
              <w:t>4,01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Valle d'Aosta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000000" w:fill="C6EF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006100"/>
                <w:sz w:val="20"/>
                <w:szCs w:val="20"/>
              </w:rPr>
            </w:pPr>
            <w:r>
              <w:rPr>
                <w:rFonts w:cs="Calibri" w:cstheme="minorHAnsi"/>
                <w:color w:val="006100"/>
                <w:sz w:val="20"/>
                <w:szCs w:val="20"/>
              </w:rPr>
              <w:t>3,75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Basilicata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000000" w:fill="C6EF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006100"/>
                <w:sz w:val="20"/>
                <w:szCs w:val="20"/>
              </w:rPr>
            </w:pPr>
            <w:r>
              <w:rPr>
                <w:rFonts w:cs="Calibri" w:cstheme="minorHAnsi"/>
                <w:color w:val="006100"/>
                <w:sz w:val="20"/>
                <w:szCs w:val="20"/>
              </w:rPr>
              <w:t>0,87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Toscana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000000" w:fill="C6EF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006100"/>
                <w:sz w:val="20"/>
                <w:szCs w:val="20"/>
              </w:rPr>
            </w:pPr>
            <w:r>
              <w:rPr>
                <w:rFonts w:cs="Calibri" w:cstheme="minorHAnsi"/>
                <w:color w:val="006100"/>
                <w:sz w:val="20"/>
                <w:szCs w:val="20"/>
              </w:rPr>
              <w:t>0,85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Prov. Aut. Trento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000000" w:fill="C6EF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006100"/>
                <w:sz w:val="20"/>
                <w:szCs w:val="20"/>
              </w:rPr>
            </w:pPr>
            <w:r>
              <w:rPr>
                <w:rFonts w:cs="Calibri" w:cstheme="minorHAnsi"/>
                <w:color w:val="006100"/>
                <w:sz w:val="20"/>
                <w:szCs w:val="20"/>
              </w:rPr>
              <w:t>0,67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Sicilia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000000" w:fill="C6EF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006100"/>
                <w:sz w:val="20"/>
                <w:szCs w:val="20"/>
              </w:rPr>
            </w:pPr>
            <w:r>
              <w:rPr>
                <w:rFonts w:cs="Calibri" w:cstheme="minorHAnsi"/>
                <w:color w:val="006100"/>
                <w:sz w:val="20"/>
                <w:szCs w:val="20"/>
              </w:rPr>
              <w:t>0,59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Umbria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auto" w:fill="FFC7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9C0006"/>
                <w:sz w:val="20"/>
                <w:szCs w:val="20"/>
              </w:rPr>
            </w:pPr>
            <w:r>
              <w:rPr>
                <w:rFonts w:cs="Calibri" w:cstheme="minorHAnsi"/>
                <w:color w:val="9C0006"/>
                <w:sz w:val="20"/>
                <w:szCs w:val="20"/>
              </w:rPr>
              <w:t>-0,03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Sardegna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auto" w:fill="FFC7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9C0006"/>
                <w:sz w:val="20"/>
                <w:szCs w:val="20"/>
              </w:rPr>
            </w:pPr>
            <w:r>
              <w:rPr>
                <w:rFonts w:cs="Calibri" w:cstheme="minorHAnsi"/>
                <w:color w:val="9C0006"/>
                <w:sz w:val="20"/>
                <w:szCs w:val="20"/>
              </w:rPr>
              <w:t>-3,57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Campania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auto" w:fill="FFC7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9C0006"/>
                <w:sz w:val="20"/>
                <w:szCs w:val="20"/>
              </w:rPr>
            </w:pPr>
            <w:r>
              <w:rPr>
                <w:rFonts w:cs="Calibri" w:cstheme="minorHAnsi"/>
                <w:color w:val="9C0006"/>
                <w:sz w:val="20"/>
                <w:szCs w:val="20"/>
              </w:rPr>
              <w:t>-4,47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Liguria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auto" w:fill="FFC7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9C0006"/>
                <w:sz w:val="20"/>
                <w:szCs w:val="20"/>
              </w:rPr>
            </w:pPr>
            <w:r>
              <w:rPr>
                <w:rFonts w:cs="Calibri" w:cstheme="minorHAnsi"/>
                <w:color w:val="9C0006"/>
                <w:sz w:val="20"/>
                <w:szCs w:val="20"/>
              </w:rPr>
              <w:t>-6,86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Lazio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auto" w:fill="FFC7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9C0006"/>
                <w:sz w:val="20"/>
                <w:szCs w:val="20"/>
              </w:rPr>
            </w:pPr>
            <w:r>
              <w:rPr>
                <w:rFonts w:cs="Calibri" w:cstheme="minorHAnsi"/>
                <w:color w:val="9C0006"/>
                <w:sz w:val="20"/>
                <w:szCs w:val="20"/>
              </w:rPr>
              <w:t>-8,06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Marche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auto" w:fill="FFC7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9C0006"/>
                <w:sz w:val="20"/>
                <w:szCs w:val="20"/>
              </w:rPr>
            </w:pPr>
            <w:r>
              <w:rPr>
                <w:rFonts w:cs="Calibri" w:cstheme="minorHAnsi"/>
                <w:color w:val="9C0006"/>
                <w:sz w:val="20"/>
                <w:szCs w:val="20"/>
              </w:rPr>
              <w:t>-14,7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Molise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auto" w:fill="FFC7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9C0006"/>
                <w:sz w:val="20"/>
                <w:szCs w:val="20"/>
              </w:rPr>
            </w:pPr>
            <w:r>
              <w:rPr>
                <w:rFonts w:cs="Calibri" w:cstheme="minorHAnsi"/>
                <w:color w:val="9C0006"/>
                <w:sz w:val="20"/>
                <w:szCs w:val="20"/>
              </w:rPr>
              <w:t>-17,48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Friuli Venezia Giulia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auto" w:fill="FFC7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9C0006"/>
                <w:sz w:val="20"/>
                <w:szCs w:val="20"/>
              </w:rPr>
            </w:pPr>
            <w:r>
              <w:rPr>
                <w:rFonts w:cs="Calibri" w:cstheme="minorHAnsi"/>
                <w:color w:val="9C0006"/>
                <w:sz w:val="20"/>
                <w:szCs w:val="20"/>
              </w:rPr>
              <w:t>-23,13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Calabria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auto" w:fill="FFC7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9C0006"/>
                <w:sz w:val="20"/>
                <w:szCs w:val="20"/>
              </w:rPr>
            </w:pPr>
            <w:r>
              <w:rPr>
                <w:rFonts w:cs="Calibri" w:cstheme="minorHAnsi"/>
                <w:color w:val="9C0006"/>
                <w:sz w:val="20"/>
                <w:szCs w:val="20"/>
              </w:rPr>
              <w:t>-24,74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824" w:type="dxa"/>
            <w:tcBorders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 w:cstheme="minorHAnsi"/>
                <w:sz w:val="20"/>
                <w:szCs w:val="20"/>
              </w:rPr>
              <w:t>Abruzzo</w:t>
            </w:r>
          </w:p>
        </w:tc>
        <w:tc>
          <w:tcPr>
            <w:tcW w:w="1695" w:type="dxa"/>
            <w:tcBorders>
              <w:bottom w:val="single" w:sz="8" w:space="0" w:color="00457D"/>
              <w:right w:val="single" w:sz="8" w:space="0" w:color="00457D"/>
            </w:tcBorders>
            <w:shd w:color="auto" w:fill="FFC7C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cstheme="minorHAnsi"/>
                <w:color w:val="9C0006"/>
                <w:sz w:val="20"/>
                <w:szCs w:val="20"/>
              </w:rPr>
            </w:pPr>
            <w:r>
              <w:rPr>
                <w:rFonts w:cs="Calibri" w:cstheme="minorHAnsi"/>
                <w:color w:val="9C0006"/>
                <w:sz w:val="20"/>
                <w:szCs w:val="20"/>
              </w:rPr>
              <w:t>-30,86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527" w:type="dxa"/>
            <w:gridSpan w:val="3"/>
            <w:tcBorders>
              <w:top w:val="single" w:sz="8" w:space="0" w:color="00457D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457D"/>
                <w:sz w:val="18"/>
                <w:szCs w:val="18"/>
                <w:lang w:eastAsia="it-IT"/>
              </w:rPr>
            </w:pPr>
            <w:r>
              <w:rPr>
                <w:rFonts w:eastAsia="Times New Roman" w:cs="Calibri" w:cstheme="minorHAnsi"/>
                <w:color w:val="00457D"/>
                <w:sz w:val="18"/>
                <w:szCs w:val="18"/>
                <w:lang w:eastAsia="it-IT"/>
              </w:rPr>
              <w:t>Elaborazione GIMBE su dati Ministero della Salute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bookmarkStart w:id="3" w:name="_Hlk140811782"/>
            <w:bookmarkEnd w:id="3"/>
          </w:p>
        </w:tc>
      </w:tr>
    </w:tbl>
    <w:p>
      <w:pPr>
        <w:pStyle w:val="Normal"/>
        <w:spacing w:before="0" w:after="80"/>
        <w:jc w:val="center"/>
        <w:rPr>
          <w:b/>
          <w:b/>
          <w:bCs/>
          <w:color w:val="00457D"/>
        </w:rPr>
      </w:pPr>
      <w:r>
        <w:rPr>
          <w:b/>
          <w:bCs/>
          <w:color w:val="00457D"/>
        </w:rPr>
      </w:r>
    </w:p>
    <w:p>
      <w:pPr>
        <w:pStyle w:val="Normal"/>
        <w:spacing w:before="0" w:after="80"/>
        <w:jc w:val="center"/>
        <w:rPr>
          <w:b/>
          <w:b/>
          <w:bCs/>
          <w:color w:val="00457D"/>
        </w:rPr>
      </w:pPr>
      <w:r>
        <w:rPr>
          <w:b/>
          <w:bCs/>
          <w:color w:val="00457D"/>
        </w:rPr>
      </w:r>
    </w:p>
    <w:p>
      <w:pPr>
        <w:pStyle w:val="Normal"/>
        <w:spacing w:before="0" w:after="80"/>
        <w:jc w:val="center"/>
        <w:rPr/>
      </w:pPr>
      <w:r>
        <w:rPr>
          <w:b/>
          <w:bCs/>
          <w:color w:val="00457D"/>
        </w:rPr>
        <w:t xml:space="preserve">Tabella 4.  </w:t>
      </w:r>
      <w:r>
        <w:rPr>
          <w:b/>
          <w:bCs/>
          <w:color w:val="1F497D" w:themeColor="text2"/>
        </w:rPr>
        <w:t xml:space="preserve">Punteggio totale nazionale adempimenti LEA: gap </w:t>
      </w:r>
      <w:r>
        <w:rPr>
          <w:b/>
          <w:bCs/>
          <w:color w:val="00457D"/>
        </w:rPr>
        <w:t>2022 vs 2021</w:t>
      </w:r>
    </w:p>
    <w:tbl>
      <w:tblPr>
        <w:tblW w:w="5888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64"/>
        <w:gridCol w:w="1440"/>
        <w:gridCol w:w="1299"/>
        <w:gridCol w:w="1884"/>
      </w:tblGrid>
      <w:tr>
        <w:trPr>
          <w:trHeight w:val="300" w:hRule="atLeast"/>
        </w:trPr>
        <w:tc>
          <w:tcPr>
            <w:tcW w:w="126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/>
            </w:tcBorders>
            <w:shd w:color="000000" w:fill="00457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FFFF"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1440" w:type="dxa"/>
            <w:tcBorders>
              <w:top w:val="single" w:sz="4" w:space="0" w:color="00457D"/>
              <w:left w:val="single" w:sz="4" w:space="0" w:color="FFFFFF"/>
              <w:bottom w:val="single" w:sz="4" w:space="0" w:color="00457D"/>
              <w:right w:val="single" w:sz="4" w:space="0" w:color="FFFFFF"/>
            </w:tcBorders>
            <w:shd w:color="000000" w:fill="00457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FFFF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1299" w:type="dxa"/>
            <w:tcBorders>
              <w:top w:val="single" w:sz="4" w:space="0" w:color="00457D"/>
              <w:left w:val="single" w:sz="4" w:space="0" w:color="FFFFFF"/>
              <w:bottom w:val="single" w:sz="4" w:space="0" w:color="00457D"/>
              <w:right w:val="single" w:sz="4" w:space="0" w:color="FFFFFF"/>
            </w:tcBorders>
            <w:shd w:color="000000" w:fill="00457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FFFF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1884" w:type="dxa"/>
            <w:tcBorders>
              <w:top w:val="single" w:sz="4" w:space="0" w:color="00457D"/>
              <w:left w:val="single" w:sz="4" w:space="0" w:color="FFFFFF"/>
              <w:bottom w:val="single" w:sz="4" w:space="0" w:color="00457D"/>
              <w:right w:val="single" w:sz="4" w:space="0" w:color="00457D"/>
            </w:tcBorders>
            <w:shd w:color="000000" w:fill="00457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FFFFFF"/>
                <w:sz w:val="20"/>
                <w:szCs w:val="20"/>
                <w:lang w:eastAsia="it-IT"/>
              </w:rPr>
              <w:t>Gap 2022 vs 2021</w:t>
            </w:r>
          </w:p>
        </w:tc>
      </w:tr>
      <w:tr>
        <w:trPr>
          <w:trHeight w:val="300" w:hRule="atLeast"/>
        </w:trPr>
        <w:tc>
          <w:tcPr>
            <w:tcW w:w="1264" w:type="dxa"/>
            <w:tcBorders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457D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457D"/>
                <w:sz w:val="20"/>
                <w:szCs w:val="20"/>
                <w:lang w:eastAsia="it-IT"/>
              </w:rPr>
              <w:t>Prevenzione</w:t>
            </w:r>
          </w:p>
        </w:tc>
        <w:tc>
          <w:tcPr>
            <w:tcW w:w="1440" w:type="dxa"/>
            <w:tcBorders>
              <w:bottom w:val="single" w:sz="4" w:space="0" w:color="00457D"/>
              <w:right w:val="single" w:sz="4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457D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1.444</w:t>
            </w:r>
          </w:p>
        </w:tc>
        <w:tc>
          <w:tcPr>
            <w:tcW w:w="1299" w:type="dxa"/>
            <w:tcBorders>
              <w:bottom w:val="single" w:sz="4" w:space="0" w:color="00457D"/>
              <w:right w:val="single" w:sz="4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457D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1.590</w:t>
            </w:r>
          </w:p>
        </w:tc>
        <w:tc>
          <w:tcPr>
            <w:tcW w:w="1884" w:type="dxa"/>
            <w:tcBorders>
              <w:bottom w:val="single" w:sz="4" w:space="0" w:color="00457D"/>
              <w:right w:val="single" w:sz="4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457D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-146</w:t>
            </w:r>
          </w:p>
        </w:tc>
      </w:tr>
      <w:tr>
        <w:trPr>
          <w:trHeight w:val="300" w:hRule="atLeast"/>
        </w:trPr>
        <w:tc>
          <w:tcPr>
            <w:tcW w:w="1264" w:type="dxa"/>
            <w:tcBorders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457D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457D"/>
                <w:sz w:val="20"/>
                <w:szCs w:val="20"/>
                <w:lang w:eastAsia="it-IT"/>
              </w:rPr>
              <w:t>Distrettuale</w:t>
            </w:r>
          </w:p>
        </w:tc>
        <w:tc>
          <w:tcPr>
            <w:tcW w:w="1440" w:type="dxa"/>
            <w:tcBorders>
              <w:bottom w:val="single" w:sz="4" w:space="0" w:color="00457D"/>
              <w:right w:val="single" w:sz="4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457D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1.532</w:t>
            </w:r>
          </w:p>
        </w:tc>
        <w:tc>
          <w:tcPr>
            <w:tcW w:w="1299" w:type="dxa"/>
            <w:tcBorders>
              <w:bottom w:val="single" w:sz="4" w:space="0" w:color="00457D"/>
              <w:right w:val="single" w:sz="4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457D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1.544</w:t>
            </w:r>
          </w:p>
        </w:tc>
        <w:tc>
          <w:tcPr>
            <w:tcW w:w="1884" w:type="dxa"/>
            <w:tcBorders>
              <w:bottom w:val="single" w:sz="4" w:space="0" w:color="00457D"/>
              <w:right w:val="single" w:sz="4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457D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-12</w:t>
            </w:r>
          </w:p>
        </w:tc>
      </w:tr>
      <w:tr>
        <w:trPr>
          <w:trHeight w:val="300" w:hRule="atLeast"/>
        </w:trPr>
        <w:tc>
          <w:tcPr>
            <w:tcW w:w="1264" w:type="dxa"/>
            <w:tcBorders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457D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457D"/>
                <w:sz w:val="20"/>
                <w:szCs w:val="20"/>
                <w:lang w:eastAsia="it-IT"/>
              </w:rPr>
              <w:t>Ospedaliera</w:t>
            </w:r>
          </w:p>
        </w:tc>
        <w:tc>
          <w:tcPr>
            <w:tcW w:w="1440" w:type="dxa"/>
            <w:tcBorders>
              <w:bottom w:val="single" w:sz="4" w:space="0" w:color="00457D"/>
              <w:right w:val="single" w:sz="4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457D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1.667</w:t>
            </w:r>
          </w:p>
        </w:tc>
        <w:tc>
          <w:tcPr>
            <w:tcW w:w="1299" w:type="dxa"/>
            <w:tcBorders>
              <w:bottom w:val="single" w:sz="4" w:space="0" w:color="00457D"/>
              <w:right w:val="single" w:sz="4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457D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1.577</w:t>
            </w:r>
          </w:p>
        </w:tc>
        <w:tc>
          <w:tcPr>
            <w:tcW w:w="1884" w:type="dxa"/>
            <w:tcBorders>
              <w:bottom w:val="single" w:sz="4" w:space="0" w:color="00457D"/>
              <w:right w:val="single" w:sz="4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457D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+90</w:t>
            </w:r>
          </w:p>
        </w:tc>
      </w:tr>
      <w:tr>
        <w:trPr>
          <w:trHeight w:val="300" w:hRule="atLeast"/>
        </w:trPr>
        <w:tc>
          <w:tcPr>
            <w:tcW w:w="1264" w:type="dxa"/>
            <w:tcBorders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457D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/>
                <w:b/>
                <w:bCs/>
                <w:color w:val="00457D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440" w:type="dxa"/>
            <w:tcBorders>
              <w:bottom w:val="single" w:sz="4" w:space="0" w:color="00457D"/>
              <w:right w:val="single" w:sz="4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457D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4.643</w:t>
            </w:r>
          </w:p>
        </w:tc>
        <w:tc>
          <w:tcPr>
            <w:tcW w:w="1299" w:type="dxa"/>
            <w:tcBorders>
              <w:bottom w:val="single" w:sz="4" w:space="0" w:color="00457D"/>
              <w:right w:val="single" w:sz="4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457D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4.711</w:t>
            </w:r>
          </w:p>
        </w:tc>
        <w:tc>
          <w:tcPr>
            <w:tcW w:w="1884" w:type="dxa"/>
            <w:tcBorders>
              <w:bottom w:val="single" w:sz="4" w:space="0" w:color="00457D"/>
              <w:right w:val="single" w:sz="4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457D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-68</w:t>
            </w:r>
          </w:p>
        </w:tc>
      </w:tr>
      <w:tr>
        <w:trPr>
          <w:trHeight w:val="397" w:hRule="atLeast"/>
        </w:trPr>
        <w:tc>
          <w:tcPr>
            <w:tcW w:w="5887" w:type="dxa"/>
            <w:gridSpan w:val="4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457D"/>
                <w:sz w:val="18"/>
                <w:szCs w:val="18"/>
              </w:rPr>
              <w:t>Elaborazione GIMBE su dati Ministero della Salute</w:t>
            </w:r>
            <w:bookmarkStart w:id="4" w:name="_Hlk140813018"/>
            <w:bookmarkEnd w:id="4"/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5"/>
      <w:type w:val="nextPage"/>
      <w:pgSz w:w="11906" w:h="16838"/>
      <w:pgMar w:left="1134" w:right="1134" w:header="709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Trebuchet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b/>
        <w:b/>
        <w:bCs/>
        <w:color w:val="FF0000"/>
        <w:sz w:val="36"/>
        <w:szCs w:val="36"/>
      </w:rPr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4c9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97ae8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qFormat/>
    <w:rsid w:val="00b97ae8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b97ae8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97ae8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rsid w:val="00e544c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805a5"/>
    <w:rPr>
      <w:i/>
      <w:iCs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a4a4f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a4a4f"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332812"/>
    <w:rPr>
      <w:color w:val="800080" w:themeColor="followed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aa2af4"/>
    <w:rPr>
      <w:color w:val="605E5C"/>
      <w:shd w:fill="E1DFDD" w:val="clear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1b5257"/>
    <w:rPr>
      <w:color w:val="605E5C"/>
      <w:shd w:fill="E1DFDD" w:val="clear"/>
    </w:rPr>
  </w:style>
  <w:style w:type="character" w:styleId="Menzionenonrisolta3" w:customStyle="1">
    <w:name w:val="Menzione non risolta3"/>
    <w:basedOn w:val="DefaultParagraphFont"/>
    <w:uiPriority w:val="99"/>
    <w:semiHidden/>
    <w:unhideWhenUsed/>
    <w:qFormat/>
    <w:rsid w:val="002d405c"/>
    <w:rPr>
      <w:color w:val="605E5C"/>
      <w:shd w:fill="E1DFDD" w:val="clear"/>
    </w:rPr>
  </w:style>
  <w:style w:type="character" w:styleId="Menzionenonrisolta4" w:customStyle="1">
    <w:name w:val="Menzione non risolta4"/>
    <w:basedOn w:val="DefaultParagraphFont"/>
    <w:uiPriority w:val="99"/>
    <w:semiHidden/>
    <w:unhideWhenUsed/>
    <w:qFormat/>
    <w:rsid w:val="00185f23"/>
    <w:rPr>
      <w:color w:val="605E5C"/>
      <w:shd w:fill="E1DFDD" w:val="clear"/>
    </w:rPr>
  </w:style>
  <w:style w:type="character" w:styleId="Menzionenonrisolta5" w:customStyle="1">
    <w:name w:val="Menzione non risolta5"/>
    <w:basedOn w:val="DefaultParagraphFont"/>
    <w:uiPriority w:val="99"/>
    <w:semiHidden/>
    <w:unhideWhenUsed/>
    <w:qFormat/>
    <w:rsid w:val="000f3315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Calibri" w:cs="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rFonts w:eastAsia="Calibri" w:cs="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b w:val="false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color w:val="00457D"/>
    </w:rPr>
  </w:style>
  <w:style w:type="character" w:styleId="ListLabel71">
    <w:name w:val="ListLabel 71"/>
    <w:qFormat/>
    <w:rPr>
      <w:rFonts w:cs="Courier New"/>
      <w:color w:val="00457D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eastAsia="Calibri" w:cs="Calibri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color w:val="auto"/>
    </w:rPr>
  </w:style>
  <w:style w:type="character" w:styleId="ListLabel91">
    <w:name w:val="ListLabel 91"/>
    <w:qFormat/>
    <w:rPr>
      <w:rFonts w:ascii="Calibri" w:hAnsi="Calibri" w:eastAsia="Calibri" w:cs="Times New Roman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42312"/>
    <w:pPr>
      <w:spacing w:lineRule="auto" w:line="240" w:before="0" w:after="0"/>
      <w:ind w:left="720" w:hanging="0"/>
      <w:contextualSpacing/>
    </w:pPr>
    <w:rPr>
      <w:rFonts w:ascii="Calibri" w:hAnsi="Calibri" w:cs="Calibri"/>
      <w:lang w:eastAsia="it-IT"/>
    </w:rPr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b97ae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b97ae8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97ae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50179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Paragrafobase" w:customStyle="1">
    <w:name w:val="[Paragrafo base]"/>
    <w:basedOn w:val="Normal"/>
    <w:uiPriority w:val="99"/>
    <w:qFormat/>
    <w:rsid w:val="001c51e2"/>
    <w:pPr>
      <w:spacing w:lineRule="atLeast" w:line="240" w:before="0" w:after="0"/>
      <w:textAlignment w:val="center"/>
    </w:pPr>
    <w:rPr>
      <w:rFonts w:ascii="Calibri" w:hAnsi="Calibri" w:cs="Calibri"/>
      <w:color w:val="000000"/>
      <w:sz w:val="20"/>
      <w:szCs w:val="20"/>
    </w:rPr>
  </w:style>
  <w:style w:type="paragraph" w:styleId="Header">
    <w:name w:val="Header"/>
    <w:basedOn w:val="Normal"/>
    <w:link w:val="IntestazioneCarattere"/>
    <w:uiPriority w:val="99"/>
    <w:unhideWhenUsed/>
    <w:rsid w:val="00da4a4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da4a4f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20b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rsid w:val="0083539a"/>
    <w:pPr>
      <w:spacing w:after="0" w:line="360" w:lineRule="auto"/>
      <w:jc w:val="both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alute.gov.it/imgs/C_17_pubblicazioni_3456_allegato.pdf" TargetMode="External"/><Relationship Id="rId3" Type="http://schemas.openxmlformats.org/officeDocument/2006/relationships/hyperlink" Target="mailto:ufficio.stampa@gimbe.org" TargetMode="Externa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6680-00D3-438B-A3FE-C4BCE8BD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Trio_Office/6.2.8.2$Windows_x86 LibreOffice_project/</Application>
  <Pages>6</Pages>
  <Words>1318</Words>
  <Characters>7779</Characters>
  <CharactersWithSpaces>8877</CharactersWithSpaces>
  <Paragraphs>252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2024-07-16T10:58:00Z</dcterms:created>
  <dc:creator>Nino</dc:creator>
  <dc:description/>
  <dc:language>it-IT</dc:language>
  <cp:lastModifiedBy/>
  <cp:lastPrinted>2024-07-15T14:03:00Z</cp:lastPrinted>
  <dcterms:modified xsi:type="dcterms:W3CDTF">2024-07-18T09:44:33Z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