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73" w:rsidRDefault="00414B70" w:rsidP="003473A9">
      <w:pPr>
        <w:spacing w:afterLines="100" w:after="240" w:line="276" w:lineRule="auto"/>
        <w:jc w:val="center"/>
        <w:rPr>
          <w:b/>
          <w:sz w:val="36"/>
          <w:szCs w:val="36"/>
          <w:lang w:eastAsia="it-IT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  <w:r w:rsidR="0089647D">
        <w:rPr>
          <w:b/>
          <w:bCs/>
          <w:sz w:val="36"/>
          <w:szCs w:val="36"/>
        </w:rPr>
        <w:br/>
      </w:r>
      <w:r w:rsidR="00D57961">
        <w:rPr>
          <w:b/>
          <w:sz w:val="36"/>
          <w:szCs w:val="36"/>
          <w:lang w:eastAsia="it-IT"/>
        </w:rPr>
        <w:t>VACCINAZIONE ANTINFLU</w:t>
      </w:r>
      <w:bookmarkStart w:id="0" w:name="_GoBack"/>
      <w:bookmarkEnd w:id="0"/>
      <w:r w:rsidR="00D57961">
        <w:rPr>
          <w:b/>
          <w:sz w:val="36"/>
          <w:szCs w:val="36"/>
          <w:lang w:eastAsia="it-IT"/>
        </w:rPr>
        <w:t xml:space="preserve">ENZALE: </w:t>
      </w:r>
      <w:r w:rsidR="00AE71EA">
        <w:rPr>
          <w:b/>
          <w:sz w:val="36"/>
          <w:szCs w:val="36"/>
          <w:lang w:eastAsia="it-IT"/>
        </w:rPr>
        <w:t xml:space="preserve">REPORT </w:t>
      </w:r>
      <w:r w:rsidR="007E4E2B">
        <w:rPr>
          <w:b/>
          <w:sz w:val="36"/>
          <w:szCs w:val="36"/>
          <w:lang w:eastAsia="it-IT"/>
        </w:rPr>
        <w:t>GIMBE.</w:t>
      </w:r>
      <w:r w:rsidR="007E4E2B">
        <w:rPr>
          <w:b/>
          <w:sz w:val="36"/>
          <w:szCs w:val="36"/>
          <w:lang w:eastAsia="it-IT"/>
        </w:rPr>
        <w:br/>
      </w:r>
      <w:r w:rsidR="003473A9">
        <w:rPr>
          <w:b/>
          <w:sz w:val="36"/>
          <w:szCs w:val="36"/>
          <w:lang w:eastAsia="it-IT"/>
        </w:rPr>
        <w:t xml:space="preserve">DISPONIBILI </w:t>
      </w:r>
      <w:r w:rsidR="006D6B9B">
        <w:rPr>
          <w:b/>
          <w:sz w:val="36"/>
          <w:szCs w:val="36"/>
          <w:lang w:eastAsia="it-IT"/>
        </w:rPr>
        <w:t>17,7 MILIONI DI DOSI</w:t>
      </w:r>
      <w:r w:rsidR="007E4E2B">
        <w:rPr>
          <w:b/>
          <w:sz w:val="36"/>
          <w:szCs w:val="36"/>
          <w:lang w:eastAsia="it-IT"/>
        </w:rPr>
        <w:t>,</w:t>
      </w:r>
      <w:r w:rsidR="003473A9">
        <w:rPr>
          <w:b/>
          <w:sz w:val="36"/>
          <w:szCs w:val="36"/>
          <w:lang w:eastAsia="it-IT"/>
        </w:rPr>
        <w:t xml:space="preserve"> </w:t>
      </w:r>
      <w:r w:rsidR="0023669E">
        <w:rPr>
          <w:b/>
          <w:sz w:val="36"/>
          <w:szCs w:val="36"/>
          <w:lang w:eastAsia="it-IT"/>
        </w:rPr>
        <w:t>MIGLIOR</w:t>
      </w:r>
      <w:r w:rsidR="007E4E2B">
        <w:rPr>
          <w:b/>
          <w:sz w:val="36"/>
          <w:szCs w:val="36"/>
          <w:lang w:eastAsia="it-IT"/>
        </w:rPr>
        <w:t xml:space="preserve">ANO LE TEMPISTICHE DELLE FORNITURE, </w:t>
      </w:r>
      <w:r w:rsidR="00C55D73">
        <w:rPr>
          <w:b/>
          <w:sz w:val="36"/>
          <w:szCs w:val="36"/>
          <w:lang w:eastAsia="it-IT"/>
        </w:rPr>
        <w:t>5 REGIONI SOTTO LA SOGLIA DEL 75% PER COP</w:t>
      </w:r>
      <w:r w:rsidR="006D6B9B">
        <w:rPr>
          <w:b/>
          <w:sz w:val="36"/>
          <w:szCs w:val="36"/>
          <w:lang w:eastAsia="it-IT"/>
        </w:rPr>
        <w:t xml:space="preserve">RIRE </w:t>
      </w:r>
      <w:r w:rsidR="00C55D73">
        <w:rPr>
          <w:b/>
          <w:sz w:val="36"/>
          <w:szCs w:val="36"/>
          <w:lang w:eastAsia="it-IT"/>
        </w:rPr>
        <w:t>LE CATEGORIE A RISCHIO</w:t>
      </w:r>
    </w:p>
    <w:p w:rsidR="00C55D73" w:rsidRDefault="00D57961" w:rsidP="001A2F5E">
      <w:pPr>
        <w:spacing w:after="80" w:line="276" w:lineRule="auto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 xml:space="preserve">LA PIENA RIPRESA DELLE ATTIVITÀ LAVORATIVE, SOCIALI E RICREATIVE </w:t>
      </w:r>
      <w:r w:rsidR="001A2F5E" w:rsidRPr="001A2F5E">
        <w:rPr>
          <w:b/>
          <w:sz w:val="23"/>
          <w:szCs w:val="23"/>
          <w:lang w:eastAsia="it-IT"/>
        </w:rPr>
        <w:t>IMPONE DI TENERE ALTA LA GUARDIA IN QUANTO</w:t>
      </w:r>
      <w:r>
        <w:rPr>
          <w:b/>
          <w:sz w:val="23"/>
          <w:szCs w:val="23"/>
          <w:lang w:eastAsia="it-IT"/>
        </w:rPr>
        <w:t>, DOPO LA “PAUSA” DELLO SCORSO ANNO,</w:t>
      </w:r>
      <w:r w:rsidR="001A2F5E" w:rsidRPr="001A2F5E">
        <w:rPr>
          <w:b/>
          <w:sz w:val="23"/>
          <w:szCs w:val="23"/>
          <w:lang w:eastAsia="it-IT"/>
        </w:rPr>
        <w:t xml:space="preserve"> NON È POSSIBILE PRE</w:t>
      </w:r>
      <w:r w:rsidR="006D6B9B">
        <w:rPr>
          <w:b/>
          <w:sz w:val="23"/>
          <w:szCs w:val="23"/>
          <w:lang w:eastAsia="it-IT"/>
        </w:rPr>
        <w:t>VEDERE L’IMP</w:t>
      </w:r>
      <w:r w:rsidR="0023669E">
        <w:rPr>
          <w:b/>
          <w:sz w:val="23"/>
          <w:szCs w:val="23"/>
          <w:lang w:eastAsia="it-IT"/>
        </w:rPr>
        <w:t>A</w:t>
      </w:r>
      <w:r w:rsidR="006D6B9B">
        <w:rPr>
          <w:b/>
          <w:sz w:val="23"/>
          <w:szCs w:val="23"/>
          <w:lang w:eastAsia="it-IT"/>
        </w:rPr>
        <w:t>TTO DELL’INFLUENZA</w:t>
      </w:r>
      <w:r w:rsidR="001A2F5E" w:rsidRPr="001A2F5E">
        <w:rPr>
          <w:b/>
          <w:sz w:val="23"/>
          <w:szCs w:val="23"/>
          <w:lang w:eastAsia="it-IT"/>
        </w:rPr>
        <w:t xml:space="preserve"> </w:t>
      </w:r>
      <w:r w:rsidR="006D6B9B">
        <w:rPr>
          <w:b/>
          <w:sz w:val="23"/>
          <w:szCs w:val="23"/>
          <w:lang w:eastAsia="it-IT"/>
        </w:rPr>
        <w:t>NE</w:t>
      </w:r>
      <w:r w:rsidR="00AA29D7">
        <w:rPr>
          <w:b/>
          <w:sz w:val="23"/>
          <w:szCs w:val="23"/>
          <w:lang w:eastAsia="it-IT"/>
        </w:rPr>
        <w:t>LLA STAGIONE 2021-</w:t>
      </w:r>
      <w:r w:rsidR="001A2F5E" w:rsidRPr="001A2F5E">
        <w:rPr>
          <w:b/>
          <w:sz w:val="23"/>
          <w:szCs w:val="23"/>
          <w:lang w:eastAsia="it-IT"/>
        </w:rPr>
        <w:t xml:space="preserve">2022. </w:t>
      </w:r>
      <w:r w:rsidR="003473A9">
        <w:rPr>
          <w:b/>
          <w:sz w:val="23"/>
          <w:szCs w:val="23"/>
          <w:lang w:eastAsia="it-IT"/>
        </w:rPr>
        <w:t>L’ANALISI DELLA FONDAZION</w:t>
      </w:r>
      <w:r w:rsidR="007E4E2B">
        <w:rPr>
          <w:b/>
          <w:sz w:val="23"/>
          <w:szCs w:val="23"/>
          <w:lang w:eastAsia="it-IT"/>
        </w:rPr>
        <w:t xml:space="preserve">E GIMBE </w:t>
      </w:r>
      <w:r w:rsidR="003473A9" w:rsidRPr="003473A9">
        <w:rPr>
          <w:b/>
        </w:rPr>
        <w:t>DIMOSTRA CHE</w:t>
      </w:r>
      <w:r w:rsidR="003473A9">
        <w:t xml:space="preserve"> </w:t>
      </w:r>
      <w:r w:rsidR="00C55D73" w:rsidRPr="00C55D73">
        <w:rPr>
          <w:b/>
          <w:sz w:val="23"/>
          <w:szCs w:val="23"/>
          <w:lang w:eastAsia="it-IT"/>
        </w:rPr>
        <w:t>LA DI</w:t>
      </w:r>
      <w:r w:rsidR="007E4E2B">
        <w:rPr>
          <w:b/>
          <w:sz w:val="23"/>
          <w:szCs w:val="23"/>
          <w:lang w:eastAsia="it-IT"/>
        </w:rPr>
        <w:t>SPONIBILITÀ NAZIONALE DI VACCINO ANTINFLUENZALE</w:t>
      </w:r>
      <w:r w:rsidR="00C55D73" w:rsidRPr="00C55D73">
        <w:rPr>
          <w:b/>
          <w:sz w:val="23"/>
          <w:szCs w:val="23"/>
          <w:lang w:eastAsia="it-IT"/>
        </w:rPr>
        <w:t xml:space="preserve"> </w:t>
      </w:r>
      <w:r w:rsidR="00311D4E">
        <w:rPr>
          <w:b/>
          <w:sz w:val="23"/>
          <w:szCs w:val="23"/>
          <w:lang w:eastAsia="it-IT"/>
        </w:rPr>
        <w:t>RIMANE</w:t>
      </w:r>
      <w:r w:rsidR="00C55D73">
        <w:rPr>
          <w:b/>
          <w:sz w:val="23"/>
          <w:szCs w:val="23"/>
          <w:lang w:eastAsia="it-IT"/>
        </w:rPr>
        <w:t xml:space="preserve"> </w:t>
      </w:r>
      <w:r w:rsidR="00C55D73" w:rsidRPr="00C55D73">
        <w:rPr>
          <w:b/>
          <w:sz w:val="23"/>
          <w:szCs w:val="23"/>
          <w:lang w:eastAsia="it-IT"/>
        </w:rPr>
        <w:t xml:space="preserve">IN LINEA CON </w:t>
      </w:r>
      <w:r w:rsidR="00311D4E">
        <w:rPr>
          <w:b/>
          <w:sz w:val="23"/>
          <w:szCs w:val="23"/>
          <w:lang w:eastAsia="it-IT"/>
        </w:rPr>
        <w:t>QUELLA DEL</w:t>
      </w:r>
      <w:r w:rsidR="00C55D73" w:rsidRPr="00C55D73">
        <w:rPr>
          <w:b/>
          <w:sz w:val="23"/>
          <w:szCs w:val="23"/>
          <w:lang w:eastAsia="it-IT"/>
        </w:rPr>
        <w:t>LO SCORSO ANNO</w:t>
      </w:r>
      <w:r w:rsidR="001A2F5E">
        <w:rPr>
          <w:b/>
          <w:sz w:val="23"/>
          <w:szCs w:val="23"/>
          <w:lang w:eastAsia="it-IT"/>
        </w:rPr>
        <w:t xml:space="preserve"> </w:t>
      </w:r>
      <w:r w:rsidR="003473A9">
        <w:rPr>
          <w:b/>
          <w:sz w:val="23"/>
          <w:szCs w:val="23"/>
          <w:lang w:eastAsia="it-IT"/>
        </w:rPr>
        <w:t>E</w:t>
      </w:r>
      <w:r w:rsidR="00311D4E">
        <w:rPr>
          <w:b/>
          <w:sz w:val="23"/>
          <w:szCs w:val="23"/>
          <w:lang w:eastAsia="it-IT"/>
        </w:rPr>
        <w:t xml:space="preserve"> </w:t>
      </w:r>
      <w:r w:rsidR="003473A9" w:rsidRPr="003473A9">
        <w:rPr>
          <w:b/>
          <w:sz w:val="23"/>
          <w:szCs w:val="23"/>
          <w:lang w:eastAsia="it-IT"/>
        </w:rPr>
        <w:t xml:space="preserve">RILEVA UN NETTO MIGLIORAMENTO NELLA GESTIONE </w:t>
      </w:r>
      <w:r w:rsidR="003473A9">
        <w:rPr>
          <w:b/>
          <w:sz w:val="23"/>
          <w:szCs w:val="23"/>
          <w:lang w:eastAsia="it-IT"/>
        </w:rPr>
        <w:t xml:space="preserve">DEI TIMING DEI BANDI DI GARA PER LE </w:t>
      </w:r>
      <w:r w:rsidR="003473A9" w:rsidRPr="003473A9">
        <w:rPr>
          <w:b/>
          <w:sz w:val="23"/>
          <w:szCs w:val="23"/>
          <w:lang w:eastAsia="it-IT"/>
        </w:rPr>
        <w:t>FORNITURE</w:t>
      </w:r>
      <w:r w:rsidR="003473A9">
        <w:rPr>
          <w:b/>
          <w:sz w:val="23"/>
          <w:szCs w:val="23"/>
          <w:lang w:eastAsia="it-IT"/>
        </w:rPr>
        <w:t xml:space="preserve">. </w:t>
      </w:r>
      <w:r w:rsidR="007E4E2B">
        <w:rPr>
          <w:b/>
          <w:sz w:val="23"/>
          <w:szCs w:val="23"/>
          <w:lang w:eastAsia="it-IT"/>
        </w:rPr>
        <w:t xml:space="preserve">NON MANCANO </w:t>
      </w:r>
      <w:r w:rsidR="00AA29D7">
        <w:rPr>
          <w:b/>
          <w:sz w:val="23"/>
          <w:szCs w:val="23"/>
          <w:lang w:eastAsia="it-IT"/>
        </w:rPr>
        <w:t xml:space="preserve">LE </w:t>
      </w:r>
      <w:r w:rsidR="00C55D73" w:rsidRPr="00C55D73">
        <w:rPr>
          <w:b/>
          <w:sz w:val="23"/>
          <w:szCs w:val="23"/>
          <w:lang w:eastAsia="it-IT"/>
        </w:rPr>
        <w:t>VARIABILITÀ REGIONALI</w:t>
      </w:r>
      <w:r w:rsidR="001A2F5E">
        <w:rPr>
          <w:b/>
          <w:sz w:val="23"/>
          <w:szCs w:val="23"/>
          <w:lang w:eastAsia="it-IT"/>
        </w:rPr>
        <w:t>: 15 REGIONI E UNA PROVINCIA AUTONOMA RAGGIUNGONO</w:t>
      </w:r>
      <w:r w:rsidR="001A2F5E" w:rsidRPr="001A2F5E">
        <w:rPr>
          <w:b/>
          <w:sz w:val="23"/>
          <w:szCs w:val="23"/>
          <w:lang w:eastAsia="it-IT"/>
        </w:rPr>
        <w:t xml:space="preserve"> COPERTURE PARI O SUPERIORI AL 75% DELLA POPOLAZIONE TARGET PER ETÀ</w:t>
      </w:r>
      <w:r>
        <w:rPr>
          <w:b/>
          <w:sz w:val="23"/>
          <w:szCs w:val="23"/>
          <w:lang w:eastAsia="it-IT"/>
        </w:rPr>
        <w:t>,</w:t>
      </w:r>
      <w:r w:rsidR="001A2F5E">
        <w:rPr>
          <w:b/>
          <w:sz w:val="23"/>
          <w:szCs w:val="23"/>
          <w:lang w:eastAsia="it-IT"/>
        </w:rPr>
        <w:t xml:space="preserve"> </w:t>
      </w:r>
      <w:r w:rsidR="003473A9">
        <w:rPr>
          <w:b/>
          <w:sz w:val="23"/>
          <w:szCs w:val="23"/>
          <w:lang w:eastAsia="it-IT"/>
        </w:rPr>
        <w:t>MENTR</w:t>
      </w:r>
      <w:r w:rsidR="00E67492">
        <w:rPr>
          <w:b/>
          <w:sz w:val="23"/>
          <w:szCs w:val="23"/>
          <w:lang w:eastAsia="it-IT"/>
        </w:rPr>
        <w:t>E</w:t>
      </w:r>
      <w:r w:rsidR="003473A9">
        <w:rPr>
          <w:b/>
          <w:sz w:val="23"/>
          <w:szCs w:val="23"/>
          <w:lang w:eastAsia="it-IT"/>
        </w:rPr>
        <w:t xml:space="preserve"> IN 5</w:t>
      </w:r>
      <w:r w:rsidR="001A2F5E">
        <w:rPr>
          <w:b/>
          <w:sz w:val="23"/>
          <w:szCs w:val="23"/>
          <w:lang w:eastAsia="it-IT"/>
        </w:rPr>
        <w:t xml:space="preserve"> REGIONI</w:t>
      </w:r>
      <w:r w:rsidR="00E67492">
        <w:rPr>
          <w:b/>
          <w:sz w:val="23"/>
          <w:szCs w:val="23"/>
          <w:lang w:eastAsia="it-IT"/>
        </w:rPr>
        <w:t xml:space="preserve"> E UNA PROVINCIA AUTONOMA</w:t>
      </w:r>
      <w:r w:rsidR="001A2F5E">
        <w:rPr>
          <w:b/>
          <w:sz w:val="23"/>
          <w:szCs w:val="23"/>
          <w:lang w:eastAsia="it-IT"/>
        </w:rPr>
        <w:t xml:space="preserve"> </w:t>
      </w:r>
      <w:r w:rsidR="003473A9">
        <w:rPr>
          <w:b/>
          <w:sz w:val="23"/>
          <w:szCs w:val="23"/>
          <w:lang w:eastAsia="it-IT"/>
        </w:rPr>
        <w:t xml:space="preserve">NON </w:t>
      </w:r>
      <w:r w:rsidR="001A2F5E">
        <w:rPr>
          <w:b/>
          <w:sz w:val="23"/>
          <w:szCs w:val="23"/>
          <w:lang w:eastAsia="it-IT"/>
        </w:rPr>
        <w:t xml:space="preserve">SONO DISPONIBILI </w:t>
      </w:r>
      <w:r w:rsidR="00E67492">
        <w:rPr>
          <w:b/>
          <w:sz w:val="23"/>
          <w:szCs w:val="23"/>
          <w:lang w:eastAsia="it-IT"/>
        </w:rPr>
        <w:t>ULTERIORI</w:t>
      </w:r>
      <w:r w:rsidR="001A2F5E">
        <w:rPr>
          <w:b/>
          <w:sz w:val="23"/>
          <w:szCs w:val="23"/>
          <w:lang w:eastAsia="it-IT"/>
        </w:rPr>
        <w:t xml:space="preserve"> DOSI</w:t>
      </w:r>
      <w:r w:rsidR="00E67492">
        <w:rPr>
          <w:b/>
          <w:sz w:val="23"/>
          <w:szCs w:val="23"/>
          <w:lang w:eastAsia="it-IT"/>
        </w:rPr>
        <w:t xml:space="preserve"> </w:t>
      </w:r>
      <w:r w:rsidR="001A2F5E" w:rsidRPr="00311D4E">
        <w:rPr>
          <w:b/>
          <w:sz w:val="23"/>
          <w:szCs w:val="23"/>
          <w:lang w:eastAsia="it-IT"/>
        </w:rPr>
        <w:t>PER LA POPOLAZIONE NON A RISCHIO</w:t>
      </w:r>
      <w:r w:rsidR="001A2F5E">
        <w:rPr>
          <w:b/>
          <w:sz w:val="23"/>
          <w:szCs w:val="23"/>
          <w:lang w:eastAsia="it-IT"/>
        </w:rPr>
        <w:t>.</w:t>
      </w:r>
      <w:r w:rsidR="00311D4E">
        <w:rPr>
          <w:b/>
          <w:sz w:val="23"/>
          <w:szCs w:val="23"/>
          <w:lang w:eastAsia="it-IT"/>
        </w:rPr>
        <w:t xml:space="preserve"> </w:t>
      </w:r>
    </w:p>
    <w:p w:rsidR="00414B70" w:rsidRDefault="00C7552E" w:rsidP="00450383">
      <w:pPr>
        <w:spacing w:after="8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30 novembre</w:t>
      </w:r>
      <w:r w:rsidR="00414B70">
        <w:rPr>
          <w:rFonts w:ascii="Calibri" w:eastAsia="Calibri" w:hAnsi="Calibri" w:cs="Times New Roman"/>
          <w:b/>
          <w:bCs/>
          <w:sz w:val="24"/>
          <w:szCs w:val="24"/>
        </w:rPr>
        <w:t xml:space="preserve"> 202</w:t>
      </w: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414B70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414B70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3403BB" w:rsidRDefault="00990466" w:rsidP="00450383">
      <w:pPr>
        <w:spacing w:after="80" w:line="276" w:lineRule="auto"/>
        <w:jc w:val="both"/>
      </w:pPr>
      <w:r>
        <w:t>L</w:t>
      </w:r>
      <w:r w:rsidR="00D97677" w:rsidRPr="00D97677">
        <w:t>’ampia gamma di misure restrittive</w:t>
      </w:r>
      <w:r>
        <w:t xml:space="preserve"> </w:t>
      </w:r>
      <w:r w:rsidR="00C76554">
        <w:t>per</w:t>
      </w:r>
      <w:r w:rsidR="00D97677" w:rsidRPr="00D97677">
        <w:t xml:space="preserve"> contenere la diffusione del SARS-CoV-2</w:t>
      </w:r>
      <w:r>
        <w:t xml:space="preserve"> e </w:t>
      </w:r>
      <w:r w:rsidR="00D6748C">
        <w:t xml:space="preserve">il contestuale </w:t>
      </w:r>
      <w:r>
        <w:t xml:space="preserve">aumento delle coperture vaccinali antinfluenzali hanno limitato nettamente l’impatto </w:t>
      </w:r>
      <w:r w:rsidR="00D97677" w:rsidRPr="00D97677">
        <w:t>dell’influenza stagionale</w:t>
      </w:r>
      <w:r>
        <w:t xml:space="preserve">, </w:t>
      </w:r>
      <w:r w:rsidR="007E4E2B">
        <w:t xml:space="preserve">la cui </w:t>
      </w:r>
      <w:r w:rsidRPr="00990466">
        <w:t>incidenza</w:t>
      </w:r>
      <w:r w:rsidR="005E7252">
        <w:t xml:space="preserve"> nella stagione 2020/2021</w:t>
      </w:r>
      <w:r>
        <w:t xml:space="preserve">, secondo i dati dell’Istituto Superiore di Sanità, è </w:t>
      </w:r>
      <w:r w:rsidRPr="00990466">
        <w:t>sempre rimasto sotto la soglia basale</w:t>
      </w:r>
      <w:r w:rsidR="00D97677" w:rsidRPr="00D97677">
        <w:t>.</w:t>
      </w:r>
      <w:r w:rsidR="00D6748C">
        <w:t xml:space="preserve"> </w:t>
      </w:r>
      <w:r w:rsidR="005E7252">
        <w:t xml:space="preserve">Tuttavia, </w:t>
      </w:r>
      <w:r w:rsidR="00AE71EA">
        <w:t xml:space="preserve">con </w:t>
      </w:r>
      <w:r w:rsidR="00AE71EA" w:rsidRPr="00AE71EA">
        <w:t>la piena ripresa delle attività lavorative, sociali e ricreative</w:t>
      </w:r>
      <w:r w:rsidR="005E7252">
        <w:t xml:space="preserve"> è necessario tenere alta la guardia</w:t>
      </w:r>
      <w:r w:rsidR="00446A1C">
        <w:t>:</w:t>
      </w:r>
      <w:r w:rsidR="005E7252">
        <w:t xml:space="preserve"> </w:t>
      </w:r>
      <w:r w:rsidR="00446A1C">
        <w:t xml:space="preserve">infatti, </w:t>
      </w:r>
      <w:r w:rsidR="007E4E2B">
        <w:t>se da un lato mancano</w:t>
      </w:r>
      <w:r w:rsidR="00446A1C" w:rsidRPr="005E7252">
        <w:t xml:space="preserve"> fattori prognostici affidabili</w:t>
      </w:r>
      <w:r w:rsidR="007E4E2B">
        <w:t xml:space="preserve"> per </w:t>
      </w:r>
      <w:r w:rsidR="00C76554">
        <w:t>prevedere l’impatto dell’</w:t>
      </w:r>
      <w:r w:rsidR="005E7252">
        <w:t xml:space="preserve">influenza </w:t>
      </w:r>
      <w:r w:rsidR="00C76554">
        <w:t xml:space="preserve">nella </w:t>
      </w:r>
      <w:r w:rsidR="007E4E2B">
        <w:t>stagione 2021-</w:t>
      </w:r>
      <w:r w:rsidR="005E7252">
        <w:t>2022</w:t>
      </w:r>
      <w:r w:rsidR="007E4E2B">
        <w:t xml:space="preserve">, </w:t>
      </w:r>
      <w:r w:rsidR="00446A1C">
        <w:t>dall’altro i</w:t>
      </w:r>
      <w:r w:rsidR="005E7252">
        <w:t xml:space="preserve"> </w:t>
      </w:r>
      <w:hyperlink r:id="rId8" w:history="1">
        <w:r w:rsidR="005E7252" w:rsidRPr="00B05444">
          <w:rPr>
            <w:rStyle w:val="Collegamentoipertestuale"/>
          </w:rPr>
          <w:t>dati attuali</w:t>
        </w:r>
      </w:hyperlink>
      <w:r w:rsidR="005E7252">
        <w:t xml:space="preserve"> rilevano un’incidenza delle sindromi simil-influenzali superiore a quella degli anni precedenti.</w:t>
      </w:r>
    </w:p>
    <w:p w:rsidR="003403BB" w:rsidRDefault="00E12FB4" w:rsidP="00450383">
      <w:pPr>
        <w:spacing w:after="80" w:line="276" w:lineRule="auto"/>
        <w:jc w:val="both"/>
      </w:pPr>
      <w:r>
        <w:t>L</w:t>
      </w:r>
      <w:r w:rsidR="00D93747">
        <w:t xml:space="preserve">a </w:t>
      </w:r>
      <w:hyperlink r:id="rId9" w:history="1">
        <w:r w:rsidR="00D93747" w:rsidRPr="000F4A02">
          <w:rPr>
            <w:rStyle w:val="Collegamentoipertestuale"/>
          </w:rPr>
          <w:t>circolare del Ministero della Salute</w:t>
        </w:r>
        <w:r w:rsidR="00B05444" w:rsidRPr="000F4A02">
          <w:rPr>
            <w:rStyle w:val="Collegamentoipertestuale"/>
          </w:rPr>
          <w:t xml:space="preserve"> d</w:t>
        </w:r>
        <w:r w:rsidR="00D93747" w:rsidRPr="000F4A02">
          <w:rPr>
            <w:rStyle w:val="Collegamentoipertestuale"/>
          </w:rPr>
          <w:t>e</w:t>
        </w:r>
        <w:r w:rsidR="00B05444" w:rsidRPr="000F4A02">
          <w:rPr>
            <w:rStyle w:val="Collegamentoipertestuale"/>
          </w:rPr>
          <w:t>ll’8 aprile 2021</w:t>
        </w:r>
      </w:hyperlink>
      <w:r w:rsidR="00D93747">
        <w:t xml:space="preserve"> </w:t>
      </w:r>
      <w:r w:rsidR="00C867D6">
        <w:t>raccomanda</w:t>
      </w:r>
      <w:r w:rsidR="00B05444">
        <w:t xml:space="preserve">, </w:t>
      </w:r>
      <w:r w:rsidR="007E4E2B">
        <w:t>come per la stagione 2020-2021</w:t>
      </w:r>
      <w:r w:rsidR="00B05444">
        <w:t>,</w:t>
      </w:r>
      <w:r w:rsidR="00C867D6">
        <w:t xml:space="preserve"> </w:t>
      </w:r>
      <w:r>
        <w:t>la vaccinazione antinfluenzale</w:t>
      </w:r>
      <w:r w:rsidR="00C867D6" w:rsidRPr="00A908CD">
        <w:t xml:space="preserve"> “</w:t>
      </w:r>
      <w:r w:rsidR="00C867D6" w:rsidRPr="00C6729F">
        <w:t>per tutti i soggetti a partire dai 6 mesi di età che non hanno controindicazioni</w:t>
      </w:r>
      <w:r w:rsidR="00C867D6" w:rsidRPr="00A908CD">
        <w:t>”,</w:t>
      </w:r>
      <w:r w:rsidR="00C867D6">
        <w:t xml:space="preserve"> con offerta attiva e gratuita</w:t>
      </w:r>
      <w:r w:rsidR="00D27C9F">
        <w:t xml:space="preserve"> per alcune categorie</w:t>
      </w:r>
      <w:r w:rsidR="00CF6465">
        <w:t xml:space="preserve"> di popolazione</w:t>
      </w:r>
      <w:r w:rsidR="00D27C9F">
        <w:t xml:space="preserve"> a rischio</w:t>
      </w:r>
      <w:r w:rsidR="00335158">
        <w:t>.</w:t>
      </w:r>
      <w:r w:rsidR="003403BB">
        <w:t xml:space="preserve"> </w:t>
      </w:r>
      <w:r w:rsidR="00514B73" w:rsidRPr="00F72BD8">
        <w:t>«</w:t>
      </w:r>
      <w:r w:rsidR="003403BB">
        <w:t xml:space="preserve">Durante la </w:t>
      </w:r>
      <w:r w:rsidR="00A908CD">
        <w:t xml:space="preserve">scorsa </w:t>
      </w:r>
      <w:r w:rsidR="003403BB">
        <w:t>stagione influenzale</w:t>
      </w:r>
      <w:r w:rsidR="00C867D6" w:rsidRPr="00F72BD8">
        <w:t xml:space="preserve"> </w:t>
      </w:r>
      <w:r w:rsidR="00514B73">
        <w:t xml:space="preserve">– afferma Nino Cartabellotta, </w:t>
      </w:r>
      <w:r w:rsidR="00A908CD">
        <w:t xml:space="preserve">Presidente </w:t>
      </w:r>
      <w:r w:rsidR="00514B73">
        <w:t>della Fondazione GIMBE –</w:t>
      </w:r>
      <w:r w:rsidR="00C867D6">
        <w:t xml:space="preserve"> </w:t>
      </w:r>
      <w:r w:rsidR="003403BB">
        <w:t xml:space="preserve">sono stati guadagnati </w:t>
      </w:r>
      <w:r w:rsidR="003403BB" w:rsidRPr="003403BB">
        <w:t>oltre dieci punti percentuali</w:t>
      </w:r>
      <w:r w:rsidR="003403BB">
        <w:t xml:space="preserve"> </w:t>
      </w:r>
      <w:r w:rsidR="00A908CD">
        <w:t>(da 54,6% a 65,3%) n</w:t>
      </w:r>
      <w:r w:rsidR="003403BB">
        <w:t>elle coperture vaccinali antinfluenzali della popolazione over 65 anni</w:t>
      </w:r>
      <w:r w:rsidR="00A908CD">
        <w:t>:</w:t>
      </w:r>
      <w:r w:rsidR="003403BB">
        <w:t xml:space="preserve"> un risultato di salute pubblica che ha permesso, insieme alle restrizioni in atto per la pandemia COVID-19, di ridurre </w:t>
      </w:r>
      <w:r w:rsidR="007E4E2B">
        <w:t xml:space="preserve">la circolazione del virus influenzale e </w:t>
      </w:r>
      <w:r w:rsidR="003403BB">
        <w:t>le complican</w:t>
      </w:r>
      <w:r w:rsidR="00A908CD">
        <w:t>z</w:t>
      </w:r>
      <w:r w:rsidR="007E4E2B">
        <w:t xml:space="preserve">e, </w:t>
      </w:r>
      <w:r w:rsidR="003403BB">
        <w:t xml:space="preserve">in un </w:t>
      </w:r>
      <w:r w:rsidR="007E4E2B">
        <w:t xml:space="preserve">periodo </w:t>
      </w:r>
      <w:r w:rsidR="003403BB">
        <w:t xml:space="preserve">di </w:t>
      </w:r>
      <w:r w:rsidR="007E4E2B">
        <w:t xml:space="preserve">imponente </w:t>
      </w:r>
      <w:r w:rsidR="003403BB">
        <w:t>sovraccarico dei servizi sanitari territoriali e ospedalieri».</w:t>
      </w:r>
    </w:p>
    <w:p w:rsidR="003403BB" w:rsidRDefault="003403BB" w:rsidP="00450383">
      <w:pPr>
        <w:spacing w:after="80" w:line="276" w:lineRule="auto"/>
        <w:jc w:val="both"/>
      </w:pPr>
      <w:r>
        <w:t>Anche le coperture della popolazione generale son</w:t>
      </w:r>
      <w:r w:rsidR="007E4E2B">
        <w:t>o aumentate nella stagione 2020-</w:t>
      </w:r>
      <w:r>
        <w:t xml:space="preserve">2021 rispetto all’anno precedente, passando </w:t>
      </w:r>
      <w:r w:rsidRPr="003403BB">
        <w:t>dal 16,8% al 23,7</w:t>
      </w:r>
      <w:r w:rsidR="00BE68AF" w:rsidRPr="003403BB">
        <w:t>%</w:t>
      </w:r>
      <w:r w:rsidR="00BE68AF">
        <w:t>:</w:t>
      </w:r>
      <w:r>
        <w:t xml:space="preserve"> valori </w:t>
      </w:r>
      <w:r w:rsidR="00BE68AF">
        <w:t>che</w:t>
      </w:r>
      <w:r w:rsidR="00E344E6">
        <w:t>,</w:t>
      </w:r>
      <w:r w:rsidR="00BE68AF">
        <w:t xml:space="preserve"> tuttavia</w:t>
      </w:r>
      <w:r w:rsidR="00E344E6">
        <w:t>,</w:t>
      </w:r>
      <w:r w:rsidR="00BE68AF">
        <w:t xml:space="preserve"> lasciano enormi margini</w:t>
      </w:r>
      <w:r>
        <w:t xml:space="preserve"> di miglioramento.</w:t>
      </w:r>
    </w:p>
    <w:p w:rsidR="006963DD" w:rsidRPr="006963DD" w:rsidRDefault="00B15342" w:rsidP="00C76554">
      <w:pPr>
        <w:pStyle w:val="Testonormale"/>
        <w:spacing w:after="80" w:line="276" w:lineRule="auto"/>
        <w:jc w:val="both"/>
      </w:pPr>
      <w:r w:rsidRPr="00F72BD8">
        <w:t>«</w:t>
      </w:r>
      <w:r w:rsidR="00696343">
        <w:t xml:space="preserve">La Fondazione GIMBE </w:t>
      </w:r>
      <w:r>
        <w:t xml:space="preserve">– spiega Renata Gili, </w:t>
      </w:r>
      <w:r w:rsidR="005D1B3F">
        <w:t>Responsabile della Ricerca sui Servizi Sanitari della Fondazione GIMBE –</w:t>
      </w:r>
      <w:r>
        <w:t xml:space="preserve"> </w:t>
      </w:r>
      <w:r w:rsidR="00696343">
        <w:t>ha condotto</w:t>
      </w:r>
      <w:r w:rsidR="005D1B3F">
        <w:t xml:space="preserve"> anche quest’anno</w:t>
      </w:r>
      <w:r w:rsidR="00696343">
        <w:t xml:space="preserve"> un’</w:t>
      </w:r>
      <w:hyperlink r:id="rId10" w:history="1">
        <w:r w:rsidR="00696343" w:rsidRPr="00AE71EA">
          <w:rPr>
            <w:rStyle w:val="Collegamentoipertestuale"/>
          </w:rPr>
          <w:t>analisi indipendente</w:t>
        </w:r>
      </w:hyperlink>
      <w:r w:rsidR="00696343">
        <w:t xml:space="preserve"> con l’obiettivo</w:t>
      </w:r>
      <w:r w:rsidR="00335158">
        <w:t xml:space="preserve"> di</w:t>
      </w:r>
      <w:r w:rsidR="00514B73">
        <w:t xml:space="preserve"> mappare le scorte regionali di vaccino antinfluenzale</w:t>
      </w:r>
      <w:r w:rsidR="005C534D">
        <w:t>,</w:t>
      </w:r>
      <w:r w:rsidR="00514B73">
        <w:t xml:space="preserve"> </w:t>
      </w:r>
      <w:r w:rsidR="005C534D">
        <w:t xml:space="preserve">valutare </w:t>
      </w:r>
      <w:r w:rsidR="00514B73">
        <w:t>l</w:t>
      </w:r>
      <w:r w:rsidR="005C534D">
        <w:t xml:space="preserve">a </w:t>
      </w:r>
      <w:r w:rsidR="0050340A">
        <w:t>potenziale</w:t>
      </w:r>
      <w:r w:rsidR="005C534D">
        <w:t xml:space="preserve"> </w:t>
      </w:r>
      <w:r w:rsidR="0050340A">
        <w:t xml:space="preserve">copertura </w:t>
      </w:r>
      <w:r w:rsidR="005C534D">
        <w:t xml:space="preserve">per le categorie a rischio e stimare </w:t>
      </w:r>
      <w:r w:rsidR="00514B73">
        <w:t>la disponibilità di dosi per la popolazione generale</w:t>
      </w:r>
      <w:r>
        <w:t>».</w:t>
      </w:r>
      <w:r w:rsidR="00335158">
        <w:t xml:space="preserve"> </w:t>
      </w:r>
      <w:r w:rsidR="0013798E">
        <w:t>In particolare, l</w:t>
      </w:r>
      <w:r w:rsidR="00335DA8">
        <w:t>a</w:t>
      </w:r>
      <w:r w:rsidR="006963DD">
        <w:t xml:space="preserve"> disponibilità </w:t>
      </w:r>
      <w:r w:rsidR="006963DD" w:rsidRPr="00CD07DA">
        <w:t>nazionale</w:t>
      </w:r>
      <w:r w:rsidR="0013798E">
        <w:t xml:space="preserve"> di vaccini antinfluenzali</w:t>
      </w:r>
      <w:r w:rsidR="006963DD" w:rsidRPr="00CD07DA">
        <w:t xml:space="preserve"> </w:t>
      </w:r>
      <w:r w:rsidR="006B64DD">
        <w:t xml:space="preserve">per la stagione 2021/2022 </w:t>
      </w:r>
      <w:r w:rsidR="00335DA8">
        <w:t xml:space="preserve">è </w:t>
      </w:r>
      <w:r w:rsidR="006963DD" w:rsidRPr="00CD07DA">
        <w:t xml:space="preserve">di </w:t>
      </w:r>
      <w:r w:rsidR="00E92ED2" w:rsidRPr="00E92ED2">
        <w:t>17.702.476</w:t>
      </w:r>
      <w:r w:rsidR="006963DD" w:rsidRPr="00CD07DA">
        <w:t xml:space="preserve"> dosi</w:t>
      </w:r>
      <w:r w:rsidR="00335DA8">
        <w:t>,</w:t>
      </w:r>
      <w:r w:rsidR="005D33CD">
        <w:t xml:space="preserve"> in linea con lo scorso anno,</w:t>
      </w:r>
      <w:r w:rsidR="00335DA8">
        <w:t xml:space="preserve"> </w:t>
      </w:r>
      <w:r w:rsidR="0073662A">
        <w:t xml:space="preserve">in un quadro di </w:t>
      </w:r>
      <w:r w:rsidR="006963DD">
        <w:t xml:space="preserve">notevoli variabilità </w:t>
      </w:r>
      <w:r w:rsidR="00335DA8">
        <w:t>regionali</w:t>
      </w:r>
      <w:r w:rsidR="006963DD">
        <w:t>:</w:t>
      </w:r>
    </w:p>
    <w:p w:rsidR="00450383" w:rsidRPr="00450383" w:rsidRDefault="00450383" w:rsidP="00450383">
      <w:pPr>
        <w:pStyle w:val="Paragrafoelenco"/>
        <w:numPr>
          <w:ilvl w:val="0"/>
          <w:numId w:val="4"/>
        </w:numPr>
        <w:spacing w:after="80" w:line="276" w:lineRule="auto"/>
        <w:jc w:val="both"/>
        <w:rPr>
          <w:rFonts w:cstheme="minorHAnsi"/>
        </w:rPr>
      </w:pPr>
      <w:r w:rsidRPr="006B64DD">
        <w:rPr>
          <w:rFonts w:cstheme="minorHAnsi"/>
        </w:rPr>
        <w:t>4</w:t>
      </w:r>
      <w:r w:rsidRPr="00450383">
        <w:rPr>
          <w:rFonts w:cstheme="minorHAnsi"/>
        </w:rPr>
        <w:t xml:space="preserve"> Regioni e </w:t>
      </w:r>
      <w:r w:rsidRPr="006B64DD">
        <w:rPr>
          <w:rFonts w:cstheme="minorHAnsi"/>
        </w:rPr>
        <w:t>1</w:t>
      </w:r>
      <w:r w:rsidRPr="00450383">
        <w:rPr>
          <w:rFonts w:cstheme="minorHAnsi"/>
        </w:rPr>
        <w:t xml:space="preserve"> Provincia Autonoma, con le scorte disponibili, </w:t>
      </w:r>
      <w:r w:rsidR="005D33CD">
        <w:rPr>
          <w:rFonts w:cstheme="minorHAnsi"/>
        </w:rPr>
        <w:t xml:space="preserve">non </w:t>
      </w:r>
      <w:r w:rsidR="00982E4A">
        <w:rPr>
          <w:rFonts w:cstheme="minorHAnsi"/>
        </w:rPr>
        <w:t>raggiungono</w:t>
      </w:r>
      <w:r w:rsidRPr="00450383">
        <w:rPr>
          <w:rFonts w:cstheme="minorHAnsi"/>
        </w:rPr>
        <w:t xml:space="preserve"> coperture </w:t>
      </w:r>
      <w:r w:rsidR="005D33CD">
        <w:rPr>
          <w:rFonts w:cstheme="minorHAnsi"/>
        </w:rPr>
        <w:t>pari o superiori</w:t>
      </w:r>
      <w:r w:rsidRPr="00450383">
        <w:rPr>
          <w:rFonts w:cstheme="minorHAnsi"/>
        </w:rPr>
        <w:t xml:space="preserve"> al 75% della popolazione target per età: Piemonte (61%), Molise (60%), Campania (56%), Provincia Autonoma di Bolzano (52%) e Valle d’Aosta (48%)</w:t>
      </w:r>
      <w:r w:rsidR="006B64DD">
        <w:rPr>
          <w:rFonts w:cstheme="minorHAnsi"/>
        </w:rPr>
        <w:t xml:space="preserve">. Questo dato è in miglioramento rispetto alla scorsa </w:t>
      </w:r>
      <w:r w:rsidR="006B64DD">
        <w:rPr>
          <w:rFonts w:cstheme="minorHAnsi"/>
        </w:rPr>
        <w:lastRenderedPageBreak/>
        <w:t xml:space="preserve">stagione, quando a non poter raggiungere coperture vaccinali sufficienti erano </w:t>
      </w:r>
      <w:r w:rsidR="006B64DD" w:rsidRPr="00450383">
        <w:rPr>
          <w:rFonts w:cstheme="minorHAnsi"/>
        </w:rPr>
        <w:t>7 Regioni e 2 Province Autonome</w:t>
      </w:r>
      <w:r w:rsidR="006B64DD">
        <w:rPr>
          <w:rFonts w:cstheme="minorHAnsi"/>
        </w:rPr>
        <w:t>.</w:t>
      </w:r>
    </w:p>
    <w:p w:rsidR="00450383" w:rsidRPr="00450383" w:rsidRDefault="00450383" w:rsidP="00450383">
      <w:pPr>
        <w:pStyle w:val="Paragrafoelenco"/>
        <w:numPr>
          <w:ilvl w:val="0"/>
          <w:numId w:val="4"/>
        </w:numPr>
        <w:spacing w:after="80" w:line="276" w:lineRule="auto"/>
        <w:jc w:val="both"/>
        <w:rPr>
          <w:rFonts w:cstheme="minorHAnsi"/>
        </w:rPr>
      </w:pPr>
      <w:r w:rsidRPr="006B64DD">
        <w:rPr>
          <w:rFonts w:cstheme="minorHAnsi"/>
        </w:rPr>
        <w:t>15</w:t>
      </w:r>
      <w:r w:rsidRPr="00450383">
        <w:rPr>
          <w:rFonts w:cstheme="minorHAnsi"/>
        </w:rPr>
        <w:t xml:space="preserve"> Regioni e </w:t>
      </w:r>
      <w:r w:rsidRPr="006B64DD">
        <w:rPr>
          <w:rFonts w:cstheme="minorHAnsi"/>
        </w:rPr>
        <w:t>1</w:t>
      </w:r>
      <w:r w:rsidRPr="00450383">
        <w:rPr>
          <w:rFonts w:cstheme="minorHAnsi"/>
        </w:rPr>
        <w:t xml:space="preserve"> Provincia Autonoma si sono aggiudicate un quantitativo adeguato di dosi per raggiungere la copertura del 75% della popolazione target per età. Tuttavia la disponibilità di dosi residue per la popolazione non a rischio è molto variabile: Puglia (n. 582.917), Veneto (n. 406.445),</w:t>
      </w:r>
      <w:r w:rsidR="006A2F78" w:rsidRPr="006A2F78">
        <w:rPr>
          <w:rFonts w:cstheme="minorHAnsi"/>
        </w:rPr>
        <w:t xml:space="preserve"> </w:t>
      </w:r>
      <w:r w:rsidR="006A2F78" w:rsidRPr="00450383">
        <w:rPr>
          <w:rFonts w:cstheme="minorHAnsi"/>
        </w:rPr>
        <w:t xml:space="preserve">Emilia-Romagna (n. </w:t>
      </w:r>
      <w:r w:rsidR="006A2F78" w:rsidRPr="006A2F78">
        <w:rPr>
          <w:rFonts w:cstheme="minorHAnsi"/>
        </w:rPr>
        <w:t>330.946</w:t>
      </w:r>
      <w:r w:rsidR="006A2F78" w:rsidRPr="00450383">
        <w:rPr>
          <w:rFonts w:cstheme="minorHAnsi"/>
        </w:rPr>
        <w:t>),</w:t>
      </w:r>
      <w:r w:rsidRPr="00450383">
        <w:rPr>
          <w:rFonts w:cstheme="minorHAnsi"/>
        </w:rPr>
        <w:t xml:space="preserve"> Lazio (n. 287.451), Sicilia (n. 281.163), Liguria (n. 229.876), Lombardia (178.698), Friuli-Venezia Giulia (n. </w:t>
      </w:r>
      <w:r w:rsidR="006A2F78" w:rsidRPr="006A2F78">
        <w:rPr>
          <w:rFonts w:cstheme="minorHAnsi"/>
        </w:rPr>
        <w:t>152.715</w:t>
      </w:r>
      <w:r w:rsidRPr="00450383">
        <w:rPr>
          <w:rFonts w:cstheme="minorHAnsi"/>
        </w:rPr>
        <w:t xml:space="preserve">), Calabria (n. 75.286), Toscana (n. 52.992), Umbria (n. 35.099), Marche (n. </w:t>
      </w:r>
      <w:r w:rsidR="006A2F78" w:rsidRPr="006A2F78">
        <w:rPr>
          <w:rFonts w:cstheme="minorHAnsi"/>
        </w:rPr>
        <w:t>32.749</w:t>
      </w:r>
      <w:r w:rsidRPr="00450383">
        <w:rPr>
          <w:rFonts w:cstheme="minorHAnsi"/>
        </w:rPr>
        <w:t>), Provincia Autonoma di Trento (n. 22.553), Basilicata (n. 22.539), Sardegna (n. 17.739), Abruzzo (n. 0).</w:t>
      </w:r>
      <w:r w:rsidR="006B64DD">
        <w:rPr>
          <w:rFonts w:cstheme="minorHAnsi"/>
        </w:rPr>
        <w:t xml:space="preserve"> Anche in questo caso il dato è in miglioramento rispetto alla scorsa stagione, quando a</w:t>
      </w:r>
      <w:r w:rsidR="0073662A">
        <w:rPr>
          <w:rFonts w:cstheme="minorHAnsi"/>
        </w:rPr>
        <w:t>d</w:t>
      </w:r>
      <w:r w:rsidR="006B64DD">
        <w:rPr>
          <w:rFonts w:cstheme="minorHAnsi"/>
        </w:rPr>
        <w:t xml:space="preserve"> ottenere il numero di dosi sufficienti a raggiungere l’obiettivo di copertura sono state solo</w:t>
      </w:r>
      <w:r w:rsidR="006B64DD" w:rsidRPr="00450383">
        <w:rPr>
          <w:rFonts w:cstheme="minorHAnsi"/>
        </w:rPr>
        <w:t xml:space="preserve"> 12 Regioni</w:t>
      </w:r>
      <w:r w:rsidR="007F33A5">
        <w:rPr>
          <w:rFonts w:cstheme="minorHAnsi"/>
        </w:rPr>
        <w:t xml:space="preserve"> </w:t>
      </w:r>
      <w:r w:rsidR="007F33A5" w:rsidRPr="006963DD">
        <w:t>(</w:t>
      </w:r>
      <w:r w:rsidR="007F33A5" w:rsidRPr="006963DD">
        <w:rPr>
          <w:highlight w:val="yellow"/>
        </w:rPr>
        <w:t>tabella</w:t>
      </w:r>
      <w:r w:rsidR="007F33A5" w:rsidRPr="006963DD">
        <w:t>)</w:t>
      </w:r>
      <w:r w:rsidR="006B64DD">
        <w:rPr>
          <w:rFonts w:cstheme="minorHAnsi"/>
        </w:rPr>
        <w:t>.</w:t>
      </w:r>
    </w:p>
    <w:p w:rsidR="00450383" w:rsidRDefault="00BB165D" w:rsidP="00450383">
      <w:pPr>
        <w:spacing w:after="80" w:line="276" w:lineRule="auto"/>
        <w:jc w:val="both"/>
      </w:pPr>
      <w:r w:rsidRPr="00F72BD8">
        <w:t>«</w:t>
      </w:r>
      <w:r w:rsidR="0028382D">
        <w:t xml:space="preserve">La nostra analisi </w:t>
      </w:r>
      <w:r w:rsidR="0041212B">
        <w:t xml:space="preserve">– </w:t>
      </w:r>
      <w:r w:rsidR="007C6632">
        <w:t>conclude Cartabellotta</w:t>
      </w:r>
      <w:r>
        <w:t xml:space="preserve"> </w:t>
      </w:r>
      <w:r w:rsidR="0028382D">
        <w:t>–</w:t>
      </w:r>
      <w:r w:rsidR="00370FA4">
        <w:t xml:space="preserve"> </w:t>
      </w:r>
      <w:r w:rsidR="00C76554">
        <w:t xml:space="preserve">se da un lato </w:t>
      </w:r>
      <w:r w:rsidR="00370FA4">
        <w:t>quantifica</w:t>
      </w:r>
      <w:r w:rsidR="00450383">
        <w:t xml:space="preserve"> </w:t>
      </w:r>
      <w:r w:rsidR="00C76554">
        <w:t xml:space="preserve">ancora </w:t>
      </w:r>
      <w:r w:rsidR="0079448E">
        <w:t>difficoltà di accesso</w:t>
      </w:r>
      <w:r w:rsidR="0028382D">
        <w:t xml:space="preserve"> </w:t>
      </w:r>
      <w:r w:rsidR="00BB6729">
        <w:t xml:space="preserve">per la popolazione generale </w:t>
      </w:r>
      <w:r w:rsidR="0028382D">
        <w:t xml:space="preserve">al vaccino </w:t>
      </w:r>
      <w:r w:rsidR="0079448E">
        <w:t>antinfluenzale</w:t>
      </w:r>
      <w:r w:rsidR="00450383">
        <w:t xml:space="preserve">, </w:t>
      </w:r>
      <w:r w:rsidR="00C76554">
        <w:t xml:space="preserve">dall’altro rileva </w:t>
      </w:r>
      <w:r w:rsidR="00450383">
        <w:t xml:space="preserve">un </w:t>
      </w:r>
      <w:r w:rsidR="00C76554">
        <w:t>netto miglioramento ne</w:t>
      </w:r>
      <w:r w:rsidR="00450383">
        <w:t>lla gestione delle forniture dei vaccini</w:t>
      </w:r>
      <w:r w:rsidR="0061023E">
        <w:t xml:space="preserve">: </w:t>
      </w:r>
      <w:r w:rsidR="0061023E" w:rsidRPr="00F331D2">
        <w:t>da</w:t>
      </w:r>
      <w:r w:rsidR="0061023E">
        <w:t>i timing di</w:t>
      </w:r>
      <w:r w:rsidR="0061023E" w:rsidRPr="00F331D2">
        <w:t xml:space="preserve"> </w:t>
      </w:r>
      <w:r w:rsidR="00F331D2" w:rsidRPr="00F331D2">
        <w:t>pubblicazione della Circolare Ministeriale</w:t>
      </w:r>
      <w:r w:rsidR="0061023E">
        <w:t>, quest’anno anticipata di un mese,</w:t>
      </w:r>
      <w:r w:rsidR="00F331D2" w:rsidRPr="00F331D2">
        <w:t xml:space="preserve"> a</w:t>
      </w:r>
      <w:r w:rsidR="0061023E">
        <w:t>lle</w:t>
      </w:r>
      <w:r w:rsidR="00F331D2" w:rsidRPr="00F331D2">
        <w:t xml:space="preserve"> tempistiche dei bandi di gara per la fornitura dei vaccini antinfluenzali</w:t>
      </w:r>
      <w:r w:rsidR="002C05E9">
        <w:t xml:space="preserve"> da parte delle Regioni</w:t>
      </w:r>
      <w:r w:rsidR="0061023E">
        <w:t>,</w:t>
      </w:r>
      <w:r w:rsidR="0061023E" w:rsidRPr="0061023E">
        <w:t xml:space="preserve"> nel rispetto dei tempi utili per la produzione dei vaccini da parte delle aziende farmaceutiche</w:t>
      </w:r>
      <w:r w:rsidR="002C05E9">
        <w:t xml:space="preserve">. </w:t>
      </w:r>
      <w:r w:rsidR="0061023E">
        <w:t>Se</w:t>
      </w:r>
      <w:r w:rsidR="00E74A9D">
        <w:t xml:space="preserve">, </w:t>
      </w:r>
      <w:r w:rsidR="003C0298">
        <w:t>tuttavia</w:t>
      </w:r>
      <w:r w:rsidR="00E74A9D">
        <w:t xml:space="preserve">, </w:t>
      </w:r>
      <w:r w:rsidR="0061023E">
        <w:t xml:space="preserve">da un lato si evidenziano </w:t>
      </w:r>
      <w:r w:rsidR="007E4E2B">
        <w:t>miglioramenti organizzativi che</w:t>
      </w:r>
      <w:r w:rsidR="00E74A9D">
        <w:t xml:space="preserve"> senz’altro</w:t>
      </w:r>
      <w:r w:rsidR="007E4E2B">
        <w:t xml:space="preserve"> favoriscono </w:t>
      </w:r>
      <w:r w:rsidR="002C05E9" w:rsidRPr="002C05E9">
        <w:t>il raggiungimento di coperture vaccinali</w:t>
      </w:r>
      <w:r w:rsidR="007E4E2B">
        <w:t xml:space="preserve"> più elevate</w:t>
      </w:r>
      <w:r w:rsidR="0061023E">
        <w:t xml:space="preserve">, dall’altro </w:t>
      </w:r>
      <w:r w:rsidR="002C05E9" w:rsidRPr="002C05E9">
        <w:t xml:space="preserve">non è possibile </w:t>
      </w:r>
      <w:r w:rsidR="0061023E">
        <w:t>conoscere l’impatto</w:t>
      </w:r>
      <w:r w:rsidR="0061023E" w:rsidRPr="002C05E9">
        <w:t xml:space="preserve"> </w:t>
      </w:r>
      <w:r w:rsidR="0061023E">
        <w:t>delle misure anti-</w:t>
      </w:r>
      <w:r w:rsidR="002C05E9" w:rsidRPr="002C05E9">
        <w:t>COVID-19</w:t>
      </w:r>
      <w:r w:rsidR="00E74A9D">
        <w:t xml:space="preserve"> ancora in vigore</w:t>
      </w:r>
      <w:r w:rsidR="002C05E9" w:rsidRPr="002C05E9">
        <w:t xml:space="preserve"> sull’</w:t>
      </w:r>
      <w:r w:rsidR="00E74A9D">
        <w:t>andamento dell’</w:t>
      </w:r>
      <w:r w:rsidR="002C05E9" w:rsidRPr="002C05E9">
        <w:t>influenza</w:t>
      </w:r>
      <w:r w:rsidR="00E74A9D">
        <w:t xml:space="preserve"> nella stagione 2021</w:t>
      </w:r>
      <w:r w:rsidR="00AE71EA">
        <w:t>-</w:t>
      </w:r>
      <w:r w:rsidR="00E74A9D">
        <w:t>2022</w:t>
      </w:r>
      <w:r w:rsidR="003C0298">
        <w:t>. Per questo</w:t>
      </w:r>
      <w:r w:rsidR="00E74A9D">
        <w:t xml:space="preserve">, </w:t>
      </w:r>
      <w:r w:rsidR="002C05E9" w:rsidRPr="002C05E9">
        <w:t>è</w:t>
      </w:r>
      <w:r w:rsidR="00E74A9D">
        <w:t xml:space="preserve"> di</w:t>
      </w:r>
      <w:r w:rsidR="002C05E9" w:rsidRPr="002C05E9">
        <w:t xml:space="preserve"> fondamentale</w:t>
      </w:r>
      <w:r w:rsidR="00E74A9D">
        <w:t xml:space="preserve"> importanza continuare a</w:t>
      </w:r>
      <w:r w:rsidR="002C05E9" w:rsidRPr="002C05E9">
        <w:t xml:space="preserve"> incrementare </w:t>
      </w:r>
      <w:r w:rsidR="00E74A9D">
        <w:t>il numero di persone che si sottoporranno a vaccinazione antinfluenzale, con particolare attenzione verso le categorie a maggior rischio</w:t>
      </w:r>
      <w:r w:rsidR="002C05E9">
        <w:t>».</w:t>
      </w:r>
    </w:p>
    <w:p w:rsidR="007E4E2B" w:rsidRDefault="007E4E2B" w:rsidP="00450383">
      <w:pPr>
        <w:spacing w:after="80" w:line="276" w:lineRule="auto"/>
        <w:jc w:val="both"/>
      </w:pPr>
    </w:p>
    <w:p w:rsidR="00AE71EA" w:rsidRPr="00AE71EA" w:rsidRDefault="00E57336" w:rsidP="00A102A0">
      <w:pPr>
        <w:spacing w:after="80" w:line="276" w:lineRule="auto"/>
        <w:rPr>
          <w:rFonts w:ascii="Calibri" w:eastAsia="Calibri" w:hAnsi="Calibri" w:cs="Times New Roman"/>
          <w:b/>
          <w:bCs/>
        </w:rPr>
      </w:pPr>
      <w:r w:rsidRPr="00AE71EA">
        <w:rPr>
          <w:rFonts w:ascii="Calibri" w:eastAsia="Calibri" w:hAnsi="Calibri" w:cs="Times New Roman"/>
          <w:b/>
          <w:bCs/>
        </w:rPr>
        <w:t xml:space="preserve">Il report </w:t>
      </w:r>
      <w:r w:rsidR="00E1475B" w:rsidRPr="00AE71EA">
        <w:rPr>
          <w:rFonts w:ascii="Calibri" w:eastAsia="Calibri" w:hAnsi="Calibri" w:cs="Times New Roman"/>
          <w:b/>
          <w:bCs/>
        </w:rPr>
        <w:t>“</w:t>
      </w:r>
      <w:r w:rsidR="00E1475B" w:rsidRPr="00AE71EA">
        <w:rPr>
          <w:b/>
        </w:rPr>
        <w:t>La vaccinazione antinfluenzale in Italia”</w:t>
      </w:r>
      <w:r w:rsidR="00E1475B" w:rsidRPr="00AE71EA">
        <w:rPr>
          <w:rFonts w:ascii="Calibri" w:eastAsia="Calibri" w:hAnsi="Calibri" w:cs="Times New Roman"/>
          <w:b/>
          <w:bCs/>
        </w:rPr>
        <w:t xml:space="preserve"> </w:t>
      </w:r>
      <w:r w:rsidRPr="00AE71EA">
        <w:rPr>
          <w:rFonts w:ascii="Calibri" w:eastAsia="Calibri" w:hAnsi="Calibri" w:cs="Times New Roman"/>
          <w:b/>
          <w:bCs/>
        </w:rPr>
        <w:t xml:space="preserve">è disponibile a: </w:t>
      </w:r>
      <w:hyperlink r:id="rId11" w:history="1">
        <w:r w:rsidR="00AE71EA" w:rsidRPr="00AE71EA">
          <w:rPr>
            <w:rStyle w:val="Collegamentoipertestuale"/>
            <w:rFonts w:ascii="Calibri" w:eastAsia="Calibri" w:hAnsi="Calibri" w:cs="Times New Roman"/>
            <w:b/>
            <w:bCs/>
          </w:rPr>
          <w:t>www.gimbe.org/vaccinazione-antinfluenzale</w:t>
        </w:r>
      </w:hyperlink>
    </w:p>
    <w:p w:rsidR="00AE71EA" w:rsidRDefault="004119AD" w:rsidP="00A102A0">
      <w:pPr>
        <w:spacing w:after="80" w:line="276" w:lineRule="auto"/>
      </w:pPr>
      <w:r>
        <w:rPr>
          <w:rFonts w:ascii="Calibri" w:eastAsia="Calibri" w:hAnsi="Calibri" w:cs="Times New Roman"/>
          <w:b/>
          <w:bCs/>
        </w:rPr>
        <w:br/>
      </w:r>
      <w:r w:rsidR="0028382D" w:rsidRPr="00A24080">
        <w:rPr>
          <w:rFonts w:ascii="Calibri" w:eastAsia="Calibri" w:hAnsi="Calibri" w:cs="Times New Roman"/>
          <w:b/>
          <w:bCs/>
        </w:rPr>
        <w:t>CONTATTI</w:t>
      </w:r>
      <w:r w:rsidR="0028382D">
        <w:rPr>
          <w:i/>
          <w:lang w:eastAsia="it-IT"/>
        </w:rPr>
        <w:br/>
      </w:r>
      <w:r w:rsidR="0028382D" w:rsidRPr="00A24080">
        <w:rPr>
          <w:b/>
        </w:rPr>
        <w:t>Fondazione GIMBE</w:t>
      </w:r>
      <w:r w:rsidR="00335DA8">
        <w:t>.</w:t>
      </w:r>
    </w:p>
    <w:p w:rsidR="00AE71EA" w:rsidRDefault="0028382D" w:rsidP="00A102A0">
      <w:pPr>
        <w:spacing w:after="80" w:line="276" w:lineRule="auto"/>
        <w:rPr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</w:p>
    <w:p w:rsidR="00CE1721" w:rsidRDefault="0028382D" w:rsidP="00A102A0">
      <w:pPr>
        <w:spacing w:after="80" w:line="276" w:lineRule="auto"/>
        <w:sectPr w:rsidR="00CE1721" w:rsidSect="007747E4">
          <w:headerReference w:type="default" r:id="rId12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652364">
        <w:rPr>
          <w:rFonts w:ascii="Calibri" w:eastAsia="Calibri" w:hAnsi="Calibri" w:cs="Times New Roman"/>
          <w:sz w:val="20"/>
        </w:rPr>
        <w:t>Tel. 051 5883920 - Fax 051 4075774</w:t>
      </w:r>
      <w:r w:rsidR="00335DA8">
        <w:rPr>
          <w:rFonts w:ascii="Calibri" w:eastAsia="Calibri" w:hAnsi="Calibri" w:cs="Times New Roman"/>
          <w:sz w:val="20"/>
        </w:rPr>
        <w:t xml:space="preserve"> </w:t>
      </w:r>
      <w:hyperlink r:id="rId13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6A062B" w:rsidRPr="00AC114D" w:rsidRDefault="00EB2828" w:rsidP="00450383">
      <w:pPr>
        <w:spacing w:after="0"/>
        <w:jc w:val="both"/>
        <w:rPr>
          <w:color w:val="FF000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145DCB64" wp14:editId="6D5066DC">
            <wp:simplePos x="0" y="0"/>
            <wp:positionH relativeFrom="margin">
              <wp:posOffset>3175</wp:posOffset>
            </wp:positionH>
            <wp:positionV relativeFrom="margin">
              <wp:posOffset>185420</wp:posOffset>
            </wp:positionV>
            <wp:extent cx="9488805" cy="5915025"/>
            <wp:effectExtent l="0" t="0" r="0" b="952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80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62B" w:rsidRPr="00AC114D" w:rsidSect="00CE17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D0" w:rsidRDefault="00CE52D0" w:rsidP="00E94DE0">
      <w:pPr>
        <w:spacing w:after="0" w:line="240" w:lineRule="auto"/>
      </w:pPr>
      <w:r>
        <w:separator/>
      </w:r>
    </w:p>
  </w:endnote>
  <w:endnote w:type="continuationSeparator" w:id="0">
    <w:p w:rsidR="00CE52D0" w:rsidRDefault="00CE52D0" w:rsidP="00E9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D0" w:rsidRDefault="00CE52D0" w:rsidP="00E94DE0">
      <w:pPr>
        <w:spacing w:after="0" w:line="240" w:lineRule="auto"/>
      </w:pPr>
      <w:r>
        <w:separator/>
      </w:r>
    </w:p>
  </w:footnote>
  <w:footnote w:type="continuationSeparator" w:id="0">
    <w:p w:rsidR="00CE52D0" w:rsidRDefault="00CE52D0" w:rsidP="00E9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1F" w:rsidRPr="0020381F" w:rsidRDefault="0020381F" w:rsidP="0020381F">
    <w:pPr>
      <w:pStyle w:val="Intestazione"/>
      <w:jc w:val="center"/>
      <w:rPr>
        <w:b/>
        <w:color w:val="FF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A6A"/>
    <w:multiLevelType w:val="hybridMultilevel"/>
    <w:tmpl w:val="229E7D12"/>
    <w:lvl w:ilvl="0" w:tplc="F2900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29C7"/>
    <w:multiLevelType w:val="hybridMultilevel"/>
    <w:tmpl w:val="8BBC375E"/>
    <w:lvl w:ilvl="0" w:tplc="73EC8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E1ED7"/>
    <w:multiLevelType w:val="hybridMultilevel"/>
    <w:tmpl w:val="D436933C"/>
    <w:lvl w:ilvl="0" w:tplc="61F2E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1A66"/>
    <w:multiLevelType w:val="hybridMultilevel"/>
    <w:tmpl w:val="D602A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70DEA"/>
    <w:multiLevelType w:val="hybridMultilevel"/>
    <w:tmpl w:val="D2CEE7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74662"/>
    <w:multiLevelType w:val="hybridMultilevel"/>
    <w:tmpl w:val="D0120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05BA5"/>
    <w:multiLevelType w:val="hybridMultilevel"/>
    <w:tmpl w:val="0FD24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D020F"/>
    <w:multiLevelType w:val="hybridMultilevel"/>
    <w:tmpl w:val="5C5CBC54"/>
    <w:lvl w:ilvl="0" w:tplc="07C0C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7489"/>
    <w:multiLevelType w:val="hybridMultilevel"/>
    <w:tmpl w:val="2C74C216"/>
    <w:lvl w:ilvl="0" w:tplc="44607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03381"/>
    <w:multiLevelType w:val="hybridMultilevel"/>
    <w:tmpl w:val="9A285F9E"/>
    <w:lvl w:ilvl="0" w:tplc="B64C1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AD37F3"/>
    <w:multiLevelType w:val="hybridMultilevel"/>
    <w:tmpl w:val="9F3A21E2"/>
    <w:lvl w:ilvl="0" w:tplc="7054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2AD0"/>
    <w:multiLevelType w:val="hybridMultilevel"/>
    <w:tmpl w:val="9F58A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833276"/>
    <w:multiLevelType w:val="hybridMultilevel"/>
    <w:tmpl w:val="17603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BF"/>
    <w:rsid w:val="00004B92"/>
    <w:rsid w:val="0001019A"/>
    <w:rsid w:val="000168EF"/>
    <w:rsid w:val="00017669"/>
    <w:rsid w:val="00024CC3"/>
    <w:rsid w:val="00024CF3"/>
    <w:rsid w:val="0003077D"/>
    <w:rsid w:val="00033AD3"/>
    <w:rsid w:val="00043C14"/>
    <w:rsid w:val="00055177"/>
    <w:rsid w:val="00055E03"/>
    <w:rsid w:val="00060F9E"/>
    <w:rsid w:val="00066873"/>
    <w:rsid w:val="0007523C"/>
    <w:rsid w:val="00083AE4"/>
    <w:rsid w:val="00093605"/>
    <w:rsid w:val="000A4EC6"/>
    <w:rsid w:val="000B21A4"/>
    <w:rsid w:val="000B2727"/>
    <w:rsid w:val="000C464B"/>
    <w:rsid w:val="000D0B71"/>
    <w:rsid w:val="000E30F9"/>
    <w:rsid w:val="000E66FD"/>
    <w:rsid w:val="000E7A9C"/>
    <w:rsid w:val="000F04BA"/>
    <w:rsid w:val="000F4A02"/>
    <w:rsid w:val="00103C68"/>
    <w:rsid w:val="00115114"/>
    <w:rsid w:val="00121927"/>
    <w:rsid w:val="001227C5"/>
    <w:rsid w:val="00126B36"/>
    <w:rsid w:val="0013298B"/>
    <w:rsid w:val="0013798E"/>
    <w:rsid w:val="001561F4"/>
    <w:rsid w:val="00173A20"/>
    <w:rsid w:val="00175345"/>
    <w:rsid w:val="001775CD"/>
    <w:rsid w:val="00180784"/>
    <w:rsid w:val="001816C9"/>
    <w:rsid w:val="001A2F5E"/>
    <w:rsid w:val="001A6E14"/>
    <w:rsid w:val="001B2F28"/>
    <w:rsid w:val="001B46FA"/>
    <w:rsid w:val="001D1150"/>
    <w:rsid w:val="001D3E0C"/>
    <w:rsid w:val="001D7DE4"/>
    <w:rsid w:val="001F47FD"/>
    <w:rsid w:val="001F6098"/>
    <w:rsid w:val="00200CA5"/>
    <w:rsid w:val="0020381F"/>
    <w:rsid w:val="002067F3"/>
    <w:rsid w:val="002241C7"/>
    <w:rsid w:val="00224A58"/>
    <w:rsid w:val="002271BF"/>
    <w:rsid w:val="0023669E"/>
    <w:rsid w:val="0025723C"/>
    <w:rsid w:val="00264933"/>
    <w:rsid w:val="0028382D"/>
    <w:rsid w:val="002934CD"/>
    <w:rsid w:val="002957D1"/>
    <w:rsid w:val="002B40F2"/>
    <w:rsid w:val="002C05E9"/>
    <w:rsid w:val="002D4511"/>
    <w:rsid w:val="002D5E5B"/>
    <w:rsid w:val="002D7EFE"/>
    <w:rsid w:val="002E52CA"/>
    <w:rsid w:val="002F0389"/>
    <w:rsid w:val="002F0F73"/>
    <w:rsid w:val="002F1910"/>
    <w:rsid w:val="002F5717"/>
    <w:rsid w:val="002F6BB5"/>
    <w:rsid w:val="002F7A9A"/>
    <w:rsid w:val="0031073E"/>
    <w:rsid w:val="00311D4E"/>
    <w:rsid w:val="003239A6"/>
    <w:rsid w:val="00332A69"/>
    <w:rsid w:val="00335158"/>
    <w:rsid w:val="00335BBB"/>
    <w:rsid w:val="00335DA8"/>
    <w:rsid w:val="003403BB"/>
    <w:rsid w:val="0034461B"/>
    <w:rsid w:val="003473A9"/>
    <w:rsid w:val="003475F2"/>
    <w:rsid w:val="00356C93"/>
    <w:rsid w:val="00370FA4"/>
    <w:rsid w:val="00371014"/>
    <w:rsid w:val="00372C91"/>
    <w:rsid w:val="00384A64"/>
    <w:rsid w:val="0038570F"/>
    <w:rsid w:val="003967D7"/>
    <w:rsid w:val="00396A6B"/>
    <w:rsid w:val="003A531B"/>
    <w:rsid w:val="003B6B97"/>
    <w:rsid w:val="003C0298"/>
    <w:rsid w:val="003C3586"/>
    <w:rsid w:val="003C49D5"/>
    <w:rsid w:val="003C6330"/>
    <w:rsid w:val="003D4D68"/>
    <w:rsid w:val="003E10A5"/>
    <w:rsid w:val="003E74DF"/>
    <w:rsid w:val="003E779C"/>
    <w:rsid w:val="003F5841"/>
    <w:rsid w:val="00400129"/>
    <w:rsid w:val="004119AD"/>
    <w:rsid w:val="0041212B"/>
    <w:rsid w:val="00414B70"/>
    <w:rsid w:val="00416B53"/>
    <w:rsid w:val="0042110C"/>
    <w:rsid w:val="00430537"/>
    <w:rsid w:val="0044185E"/>
    <w:rsid w:val="0044432E"/>
    <w:rsid w:val="00446A1C"/>
    <w:rsid w:val="00450383"/>
    <w:rsid w:val="00452C2A"/>
    <w:rsid w:val="0045472E"/>
    <w:rsid w:val="00461176"/>
    <w:rsid w:val="0046233A"/>
    <w:rsid w:val="00480180"/>
    <w:rsid w:val="00481CFF"/>
    <w:rsid w:val="00485135"/>
    <w:rsid w:val="00491080"/>
    <w:rsid w:val="004B5CDF"/>
    <w:rsid w:val="004C4C72"/>
    <w:rsid w:val="004D332E"/>
    <w:rsid w:val="004F6985"/>
    <w:rsid w:val="0050340A"/>
    <w:rsid w:val="00506D39"/>
    <w:rsid w:val="00514B73"/>
    <w:rsid w:val="005239E8"/>
    <w:rsid w:val="0052791C"/>
    <w:rsid w:val="005567C0"/>
    <w:rsid w:val="00556C54"/>
    <w:rsid w:val="005708D8"/>
    <w:rsid w:val="00576D06"/>
    <w:rsid w:val="00581AFF"/>
    <w:rsid w:val="0058495A"/>
    <w:rsid w:val="005928CF"/>
    <w:rsid w:val="005B1A81"/>
    <w:rsid w:val="005C534D"/>
    <w:rsid w:val="005D130F"/>
    <w:rsid w:val="005D1B3F"/>
    <w:rsid w:val="005D33CD"/>
    <w:rsid w:val="005E7252"/>
    <w:rsid w:val="005F3A99"/>
    <w:rsid w:val="0061023E"/>
    <w:rsid w:val="00621512"/>
    <w:rsid w:val="00677BC1"/>
    <w:rsid w:val="006820A0"/>
    <w:rsid w:val="00683EF4"/>
    <w:rsid w:val="006875BD"/>
    <w:rsid w:val="00696343"/>
    <w:rsid w:val="006963DD"/>
    <w:rsid w:val="00697554"/>
    <w:rsid w:val="006A062B"/>
    <w:rsid w:val="006A2F78"/>
    <w:rsid w:val="006A675D"/>
    <w:rsid w:val="006B2B96"/>
    <w:rsid w:val="006B64DD"/>
    <w:rsid w:val="006C2EA3"/>
    <w:rsid w:val="006C58C6"/>
    <w:rsid w:val="006D2FE2"/>
    <w:rsid w:val="006D6B9B"/>
    <w:rsid w:val="006E250C"/>
    <w:rsid w:val="006F6AF4"/>
    <w:rsid w:val="00711B31"/>
    <w:rsid w:val="007150B6"/>
    <w:rsid w:val="00715FDC"/>
    <w:rsid w:val="007231D3"/>
    <w:rsid w:val="00724EC7"/>
    <w:rsid w:val="00731D44"/>
    <w:rsid w:val="0073662A"/>
    <w:rsid w:val="00744A54"/>
    <w:rsid w:val="00760438"/>
    <w:rsid w:val="00764719"/>
    <w:rsid w:val="00773253"/>
    <w:rsid w:val="007747E4"/>
    <w:rsid w:val="0078001A"/>
    <w:rsid w:val="007805C0"/>
    <w:rsid w:val="007810A9"/>
    <w:rsid w:val="0079448E"/>
    <w:rsid w:val="00795F37"/>
    <w:rsid w:val="007A5D81"/>
    <w:rsid w:val="007B6499"/>
    <w:rsid w:val="007B7F3C"/>
    <w:rsid w:val="007C0849"/>
    <w:rsid w:val="007C6632"/>
    <w:rsid w:val="007D6F1B"/>
    <w:rsid w:val="007E0B10"/>
    <w:rsid w:val="007E4124"/>
    <w:rsid w:val="007E425C"/>
    <w:rsid w:val="007E4E2B"/>
    <w:rsid w:val="007F33A5"/>
    <w:rsid w:val="007F42CD"/>
    <w:rsid w:val="00814042"/>
    <w:rsid w:val="00821CDE"/>
    <w:rsid w:val="00822062"/>
    <w:rsid w:val="00823EB3"/>
    <w:rsid w:val="008336D1"/>
    <w:rsid w:val="008342A4"/>
    <w:rsid w:val="00836DCA"/>
    <w:rsid w:val="008372A9"/>
    <w:rsid w:val="0083745F"/>
    <w:rsid w:val="008572FC"/>
    <w:rsid w:val="00861453"/>
    <w:rsid w:val="00870B55"/>
    <w:rsid w:val="00880A42"/>
    <w:rsid w:val="00886922"/>
    <w:rsid w:val="008938FF"/>
    <w:rsid w:val="00894D9A"/>
    <w:rsid w:val="0089647D"/>
    <w:rsid w:val="008A03BE"/>
    <w:rsid w:val="008B0A0F"/>
    <w:rsid w:val="008B7A82"/>
    <w:rsid w:val="008F06E6"/>
    <w:rsid w:val="009045F6"/>
    <w:rsid w:val="00906E85"/>
    <w:rsid w:val="00917069"/>
    <w:rsid w:val="0092318B"/>
    <w:rsid w:val="009266DE"/>
    <w:rsid w:val="009307D5"/>
    <w:rsid w:val="00942798"/>
    <w:rsid w:val="00944C3C"/>
    <w:rsid w:val="00945A86"/>
    <w:rsid w:val="00980C21"/>
    <w:rsid w:val="00982E4A"/>
    <w:rsid w:val="00990466"/>
    <w:rsid w:val="00990C69"/>
    <w:rsid w:val="00992608"/>
    <w:rsid w:val="0099496D"/>
    <w:rsid w:val="00997A95"/>
    <w:rsid w:val="009A405C"/>
    <w:rsid w:val="009C13E0"/>
    <w:rsid w:val="009C3A0F"/>
    <w:rsid w:val="009D5B3F"/>
    <w:rsid w:val="009F34A0"/>
    <w:rsid w:val="009F5E93"/>
    <w:rsid w:val="00A00958"/>
    <w:rsid w:val="00A102A0"/>
    <w:rsid w:val="00A11D7E"/>
    <w:rsid w:val="00A12B7B"/>
    <w:rsid w:val="00A1626F"/>
    <w:rsid w:val="00A175C4"/>
    <w:rsid w:val="00A345C4"/>
    <w:rsid w:val="00A4350D"/>
    <w:rsid w:val="00A65317"/>
    <w:rsid w:val="00A7123D"/>
    <w:rsid w:val="00A84F4E"/>
    <w:rsid w:val="00A908CD"/>
    <w:rsid w:val="00A90D1A"/>
    <w:rsid w:val="00A9745B"/>
    <w:rsid w:val="00AA29D7"/>
    <w:rsid w:val="00AB7A27"/>
    <w:rsid w:val="00AC114D"/>
    <w:rsid w:val="00AE27CA"/>
    <w:rsid w:val="00AE71EA"/>
    <w:rsid w:val="00AE7E49"/>
    <w:rsid w:val="00B0022F"/>
    <w:rsid w:val="00B028D7"/>
    <w:rsid w:val="00B05444"/>
    <w:rsid w:val="00B06D43"/>
    <w:rsid w:val="00B15342"/>
    <w:rsid w:val="00B17FFA"/>
    <w:rsid w:val="00B2207C"/>
    <w:rsid w:val="00B22926"/>
    <w:rsid w:val="00B23C8F"/>
    <w:rsid w:val="00B24F45"/>
    <w:rsid w:val="00B33E5E"/>
    <w:rsid w:val="00B514E2"/>
    <w:rsid w:val="00B6510E"/>
    <w:rsid w:val="00B7572B"/>
    <w:rsid w:val="00B96B5D"/>
    <w:rsid w:val="00B978D7"/>
    <w:rsid w:val="00BA155B"/>
    <w:rsid w:val="00BA4530"/>
    <w:rsid w:val="00BA4E0C"/>
    <w:rsid w:val="00BA6AD7"/>
    <w:rsid w:val="00BB165D"/>
    <w:rsid w:val="00BB6729"/>
    <w:rsid w:val="00BC1A4B"/>
    <w:rsid w:val="00BD47EE"/>
    <w:rsid w:val="00BE4BD3"/>
    <w:rsid w:val="00BE68AF"/>
    <w:rsid w:val="00C0243F"/>
    <w:rsid w:val="00C068C9"/>
    <w:rsid w:val="00C116CB"/>
    <w:rsid w:val="00C12F82"/>
    <w:rsid w:val="00C20E7D"/>
    <w:rsid w:val="00C228A6"/>
    <w:rsid w:val="00C22E61"/>
    <w:rsid w:val="00C2386B"/>
    <w:rsid w:val="00C30233"/>
    <w:rsid w:val="00C30305"/>
    <w:rsid w:val="00C310C2"/>
    <w:rsid w:val="00C353F9"/>
    <w:rsid w:val="00C539AD"/>
    <w:rsid w:val="00C55D73"/>
    <w:rsid w:val="00C639F3"/>
    <w:rsid w:val="00C6729F"/>
    <w:rsid w:val="00C6762E"/>
    <w:rsid w:val="00C7552E"/>
    <w:rsid w:val="00C76554"/>
    <w:rsid w:val="00C80CC6"/>
    <w:rsid w:val="00C867D6"/>
    <w:rsid w:val="00C959B2"/>
    <w:rsid w:val="00CA3AE3"/>
    <w:rsid w:val="00CB7A87"/>
    <w:rsid w:val="00CC4E33"/>
    <w:rsid w:val="00CC7C63"/>
    <w:rsid w:val="00CD07DA"/>
    <w:rsid w:val="00CD268C"/>
    <w:rsid w:val="00CE1426"/>
    <w:rsid w:val="00CE1721"/>
    <w:rsid w:val="00CE20E1"/>
    <w:rsid w:val="00CE50A5"/>
    <w:rsid w:val="00CE52D0"/>
    <w:rsid w:val="00CF6465"/>
    <w:rsid w:val="00D05FF2"/>
    <w:rsid w:val="00D06D57"/>
    <w:rsid w:val="00D07AAB"/>
    <w:rsid w:val="00D27C9F"/>
    <w:rsid w:val="00D47B92"/>
    <w:rsid w:val="00D57961"/>
    <w:rsid w:val="00D6748C"/>
    <w:rsid w:val="00D72792"/>
    <w:rsid w:val="00D83E91"/>
    <w:rsid w:val="00D91714"/>
    <w:rsid w:val="00D93747"/>
    <w:rsid w:val="00D94E39"/>
    <w:rsid w:val="00D96F33"/>
    <w:rsid w:val="00D96FD2"/>
    <w:rsid w:val="00D97677"/>
    <w:rsid w:val="00DA61C2"/>
    <w:rsid w:val="00DB3E8F"/>
    <w:rsid w:val="00DC750F"/>
    <w:rsid w:val="00DD5530"/>
    <w:rsid w:val="00DE6543"/>
    <w:rsid w:val="00DF1504"/>
    <w:rsid w:val="00DF644E"/>
    <w:rsid w:val="00E008F7"/>
    <w:rsid w:val="00E12FB4"/>
    <w:rsid w:val="00E13E23"/>
    <w:rsid w:val="00E141E9"/>
    <w:rsid w:val="00E1475B"/>
    <w:rsid w:val="00E257B8"/>
    <w:rsid w:val="00E344E6"/>
    <w:rsid w:val="00E357F8"/>
    <w:rsid w:val="00E57336"/>
    <w:rsid w:val="00E67492"/>
    <w:rsid w:val="00E74A9D"/>
    <w:rsid w:val="00E75453"/>
    <w:rsid w:val="00E859A1"/>
    <w:rsid w:val="00E87FB7"/>
    <w:rsid w:val="00E92ED2"/>
    <w:rsid w:val="00E94DE0"/>
    <w:rsid w:val="00E96E0F"/>
    <w:rsid w:val="00E97A05"/>
    <w:rsid w:val="00EA53B5"/>
    <w:rsid w:val="00EB2828"/>
    <w:rsid w:val="00EC5811"/>
    <w:rsid w:val="00ED2AB8"/>
    <w:rsid w:val="00ED597B"/>
    <w:rsid w:val="00EE5B9E"/>
    <w:rsid w:val="00EF3BB8"/>
    <w:rsid w:val="00F0041A"/>
    <w:rsid w:val="00F0163A"/>
    <w:rsid w:val="00F03F78"/>
    <w:rsid w:val="00F11D7C"/>
    <w:rsid w:val="00F2051F"/>
    <w:rsid w:val="00F230AA"/>
    <w:rsid w:val="00F32F92"/>
    <w:rsid w:val="00F331D2"/>
    <w:rsid w:val="00F42BBB"/>
    <w:rsid w:val="00F45C97"/>
    <w:rsid w:val="00F56318"/>
    <w:rsid w:val="00F56E59"/>
    <w:rsid w:val="00F728D0"/>
    <w:rsid w:val="00F72BD8"/>
    <w:rsid w:val="00F76C83"/>
    <w:rsid w:val="00F856FB"/>
    <w:rsid w:val="00F91739"/>
    <w:rsid w:val="00F9400A"/>
    <w:rsid w:val="00FA5355"/>
    <w:rsid w:val="00FB0879"/>
    <w:rsid w:val="00FC1A47"/>
    <w:rsid w:val="00FC42F2"/>
    <w:rsid w:val="00FD04D7"/>
    <w:rsid w:val="00FD4640"/>
    <w:rsid w:val="00FF1875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70DF"/>
  <w15:docId w15:val="{5EFB6CC2-3338-4BCD-8B31-351571D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1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7A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2B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2B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2B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2B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2BD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A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A3AE3"/>
    <w:rPr>
      <w:color w:val="0000FF"/>
      <w:u w:val="single"/>
    </w:rPr>
  </w:style>
  <w:style w:type="paragraph" w:customStyle="1" w:styleId="xmsonormal">
    <w:name w:val="x_msonormal"/>
    <w:basedOn w:val="Normale"/>
    <w:uiPriority w:val="99"/>
    <w:rsid w:val="00CA3A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uiPriority w:val="99"/>
    <w:rsid w:val="00CA3A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4D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4D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4DE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14B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14B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14B7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7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3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81F"/>
  </w:style>
  <w:style w:type="paragraph" w:styleId="Pidipagina">
    <w:name w:val="footer"/>
    <w:basedOn w:val="Normale"/>
    <w:link w:val="PidipaginaCarattere"/>
    <w:uiPriority w:val="99"/>
    <w:unhideWhenUsed/>
    <w:rsid w:val="00203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81F"/>
  </w:style>
  <w:style w:type="paragraph" w:styleId="Testonormale">
    <w:name w:val="Plain Text"/>
    <w:basedOn w:val="Normale"/>
    <w:link w:val="TestonormaleCarattere"/>
    <w:uiPriority w:val="99"/>
    <w:unhideWhenUsed/>
    <w:rsid w:val="007747E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747E4"/>
    <w:rPr>
      <w:rFonts w:ascii="Calibri" w:hAnsi="Calibri"/>
      <w:szCs w:val="21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54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5345"/>
    <w:rPr>
      <w:color w:val="954F72" w:themeColor="followedHyperlink"/>
      <w:u w:val="single"/>
    </w:rPr>
  </w:style>
  <w:style w:type="paragraph" w:customStyle="1" w:styleId="Default">
    <w:name w:val="Default"/>
    <w:rsid w:val="0017534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.iss.it/site/rmi/influnet/pagine/rapportoinflunet.aspx" TargetMode="External"/><Relationship Id="rId13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be.org/vaccinazione-antinfluenza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mbe.org/vaccinazione-antinfluenz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vanorme.salute.gov.it/norme/renderNormsanPdf?anno=2021&amp;codLeg=79647&amp;parte=1%20&amp;serie=nul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3B8D-9C56-4159-87BA-D73D4152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Gili</dc:creator>
  <cp:lastModifiedBy>Roberto Luceri</cp:lastModifiedBy>
  <cp:revision>6</cp:revision>
  <cp:lastPrinted>2020-09-25T13:10:00Z</cp:lastPrinted>
  <dcterms:created xsi:type="dcterms:W3CDTF">2021-11-29T15:53:00Z</dcterms:created>
  <dcterms:modified xsi:type="dcterms:W3CDTF">2021-11-30T08:11:00Z</dcterms:modified>
</cp:coreProperties>
</file>