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4" w:rsidRDefault="00124E32" w:rsidP="00491B01">
      <w:pPr>
        <w:jc w:val="center"/>
        <w:rPr>
          <w:b/>
          <w:bCs/>
          <w:sz w:val="32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3F4964" w:rsidRPr="00F544A5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AA7482" w:rsidRPr="00F544A5">
        <w:rPr>
          <w:b/>
          <w:bCs/>
          <w:sz w:val="32"/>
        </w:rPr>
        <w:t>C</w:t>
      </w:r>
      <w:r w:rsidR="00BF55EA" w:rsidRPr="00F544A5">
        <w:rPr>
          <w:b/>
          <w:bCs/>
          <w:sz w:val="32"/>
        </w:rPr>
        <w:t>ORONAVIRUS</w:t>
      </w:r>
      <w:r w:rsidR="000C2878">
        <w:rPr>
          <w:b/>
          <w:bCs/>
          <w:sz w:val="32"/>
        </w:rPr>
        <w:t xml:space="preserve">: </w:t>
      </w:r>
      <w:r w:rsidR="00DB46D4">
        <w:rPr>
          <w:b/>
          <w:bCs/>
          <w:sz w:val="32"/>
        </w:rPr>
        <w:t xml:space="preserve">LOMBARDIA, LIGURIA E PIEMONTE </w:t>
      </w:r>
      <w:r w:rsidR="00491B01">
        <w:rPr>
          <w:b/>
          <w:bCs/>
          <w:sz w:val="32"/>
        </w:rPr>
        <w:br/>
      </w:r>
      <w:r w:rsidR="00DB46D4" w:rsidRPr="00DB46D4">
        <w:rPr>
          <w:b/>
          <w:bCs/>
          <w:sz w:val="32"/>
        </w:rPr>
        <w:t>NON SONO PRONTE</w:t>
      </w:r>
      <w:r w:rsidR="00E84BEF">
        <w:rPr>
          <w:b/>
          <w:bCs/>
          <w:sz w:val="32"/>
        </w:rPr>
        <w:t xml:space="preserve"> ALLA RIAPERTURA</w:t>
      </w:r>
      <w:r w:rsidR="00491B01">
        <w:rPr>
          <w:b/>
          <w:bCs/>
          <w:sz w:val="32"/>
        </w:rPr>
        <w:t xml:space="preserve"> </w:t>
      </w:r>
      <w:r w:rsidR="00DB46D4">
        <w:rPr>
          <w:b/>
          <w:bCs/>
          <w:sz w:val="32"/>
        </w:rPr>
        <w:t xml:space="preserve"> </w:t>
      </w:r>
      <w:r w:rsidR="00491B01">
        <w:rPr>
          <w:b/>
          <w:bCs/>
          <w:sz w:val="32"/>
        </w:rPr>
        <w:br/>
      </w:r>
      <w:r w:rsidR="00BE037F">
        <w:rPr>
          <w:b/>
          <w:bCs/>
          <w:sz w:val="32"/>
        </w:rPr>
        <w:t>STOP AI</w:t>
      </w:r>
      <w:r w:rsidR="00DB46D4">
        <w:rPr>
          <w:b/>
          <w:bCs/>
          <w:sz w:val="32"/>
        </w:rPr>
        <w:t xml:space="preserve"> REGIONALISMI, </w:t>
      </w:r>
      <w:r w:rsidR="00DB46D4" w:rsidRPr="00DB46D4">
        <w:rPr>
          <w:b/>
          <w:bCs/>
          <w:sz w:val="32"/>
        </w:rPr>
        <w:t xml:space="preserve">SERVE UNITÀ NAZIONALE </w:t>
      </w:r>
    </w:p>
    <w:p w:rsidR="00C64990" w:rsidRDefault="00AD789C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LE ANALISI </w:t>
      </w:r>
      <w:r w:rsidR="00084C63">
        <w:rPr>
          <w:b/>
          <w:sz w:val="23"/>
          <w:szCs w:val="23"/>
          <w:lang w:eastAsia="it-IT"/>
        </w:rPr>
        <w:t xml:space="preserve">POST LOCKDOWN </w:t>
      </w:r>
      <w:r>
        <w:rPr>
          <w:b/>
          <w:sz w:val="23"/>
          <w:szCs w:val="23"/>
          <w:lang w:eastAsia="it-IT"/>
        </w:rPr>
        <w:t xml:space="preserve">DELLA FONDAZIONE GIMBE </w:t>
      </w:r>
      <w:r w:rsidRPr="00AD789C">
        <w:rPr>
          <w:b/>
          <w:sz w:val="23"/>
          <w:szCs w:val="23"/>
          <w:lang w:eastAsia="it-IT"/>
        </w:rPr>
        <w:t>DIMOSTRA</w:t>
      </w:r>
      <w:r>
        <w:rPr>
          <w:b/>
          <w:sz w:val="23"/>
          <w:szCs w:val="23"/>
          <w:lang w:eastAsia="it-IT"/>
        </w:rPr>
        <w:t>NO</w:t>
      </w:r>
      <w:r w:rsidRPr="00AD789C">
        <w:rPr>
          <w:b/>
          <w:sz w:val="23"/>
          <w:szCs w:val="23"/>
          <w:lang w:eastAsia="it-IT"/>
        </w:rPr>
        <w:t xml:space="preserve"> CHE IN </w:t>
      </w:r>
      <w:r w:rsidR="000C2878">
        <w:rPr>
          <w:b/>
          <w:sz w:val="23"/>
          <w:szCs w:val="23"/>
          <w:lang w:eastAsia="it-IT"/>
        </w:rPr>
        <w:t>QUESTE TRE REGIONI</w:t>
      </w:r>
      <w:r w:rsidR="00AB7DBE">
        <w:rPr>
          <w:b/>
          <w:sz w:val="23"/>
          <w:szCs w:val="23"/>
          <w:lang w:eastAsia="it-IT"/>
        </w:rPr>
        <w:t xml:space="preserve"> </w:t>
      </w:r>
      <w:r w:rsidR="00AB7DBE" w:rsidRPr="00AB7DBE">
        <w:rPr>
          <w:b/>
          <w:sz w:val="23"/>
          <w:szCs w:val="23"/>
          <w:lang w:eastAsia="it-IT"/>
        </w:rPr>
        <w:t>SI RILEVA</w:t>
      </w:r>
      <w:r w:rsidR="000C2878">
        <w:rPr>
          <w:b/>
          <w:sz w:val="23"/>
          <w:szCs w:val="23"/>
          <w:lang w:eastAsia="it-IT"/>
        </w:rPr>
        <w:t>NO</w:t>
      </w:r>
      <w:r w:rsidR="00AB7DBE" w:rsidRPr="00AB7DBE">
        <w:rPr>
          <w:b/>
          <w:sz w:val="23"/>
          <w:szCs w:val="23"/>
          <w:lang w:eastAsia="it-IT"/>
        </w:rPr>
        <w:t xml:space="preserve"> LA P</w:t>
      </w:r>
      <w:bookmarkStart w:id="0" w:name="_GoBack"/>
      <w:bookmarkEnd w:id="0"/>
      <w:r w:rsidR="00AB7DBE" w:rsidRPr="00AB7DBE">
        <w:rPr>
          <w:b/>
          <w:sz w:val="23"/>
          <w:szCs w:val="23"/>
          <w:lang w:eastAsia="it-IT"/>
        </w:rPr>
        <w:t>ERCENTUALE PIÙ ELEVATA DI TAMPONI DIAGNOSTICI POSITIVI</w:t>
      </w:r>
      <w:r w:rsidR="000C2878">
        <w:rPr>
          <w:b/>
          <w:sz w:val="23"/>
          <w:szCs w:val="23"/>
          <w:lang w:eastAsia="it-IT"/>
        </w:rPr>
        <w:t xml:space="preserve"> E</w:t>
      </w:r>
      <w:r w:rsidR="000C2878" w:rsidRPr="00AB7DBE">
        <w:rPr>
          <w:b/>
          <w:sz w:val="23"/>
          <w:szCs w:val="23"/>
          <w:lang w:eastAsia="it-IT"/>
        </w:rPr>
        <w:t xml:space="preserve"> </w:t>
      </w:r>
      <w:r w:rsidR="00AB7DBE" w:rsidRPr="00AB7DBE">
        <w:rPr>
          <w:b/>
          <w:sz w:val="23"/>
          <w:szCs w:val="23"/>
          <w:lang w:eastAsia="it-IT"/>
        </w:rPr>
        <w:t xml:space="preserve">IL MAGGIOR INCREMENTO DI NUOVI CASI, A FRONTE DI UNA LIMITATA ATTITUDINE ALL’ESECUZIONE DI TAMPONI DIAGNOSTICI. </w:t>
      </w:r>
      <w:r w:rsidR="00AB7DBE">
        <w:rPr>
          <w:b/>
          <w:sz w:val="23"/>
          <w:szCs w:val="23"/>
          <w:lang w:eastAsia="it-IT"/>
        </w:rPr>
        <w:t>CON I DATI</w:t>
      </w:r>
      <w:r w:rsidR="00AB7DBE" w:rsidRPr="00AB7DBE">
        <w:rPr>
          <w:b/>
          <w:sz w:val="23"/>
          <w:szCs w:val="23"/>
          <w:lang w:eastAsia="it-IT"/>
        </w:rPr>
        <w:t xml:space="preserve"> </w:t>
      </w:r>
      <w:r w:rsidR="00AB7DBE">
        <w:rPr>
          <w:b/>
          <w:sz w:val="23"/>
          <w:szCs w:val="23"/>
          <w:lang w:eastAsia="it-IT"/>
        </w:rPr>
        <w:t>CHE RIFLETTONO</w:t>
      </w:r>
      <w:r w:rsidR="00AB7DBE" w:rsidRPr="00AB7DBE">
        <w:rPr>
          <w:b/>
          <w:sz w:val="23"/>
          <w:szCs w:val="23"/>
          <w:lang w:eastAsia="it-IT"/>
        </w:rPr>
        <w:t xml:space="preserve"> LE RIAPERTURE DEL 4 MAGGIO, MA NON </w:t>
      </w:r>
      <w:r w:rsidR="000C2878">
        <w:rPr>
          <w:b/>
          <w:sz w:val="23"/>
          <w:szCs w:val="23"/>
          <w:lang w:eastAsia="it-IT"/>
        </w:rPr>
        <w:t xml:space="preserve">ANCORA </w:t>
      </w:r>
      <w:r w:rsidR="00AB7DBE" w:rsidRPr="00AB7DBE">
        <w:rPr>
          <w:b/>
          <w:sz w:val="23"/>
          <w:szCs w:val="23"/>
          <w:lang w:eastAsia="it-IT"/>
        </w:rPr>
        <w:t>QUELLE MOLTO PIÙ AMPIE DEL 18</w:t>
      </w:r>
      <w:r w:rsidR="00AB7DBE">
        <w:rPr>
          <w:b/>
          <w:sz w:val="23"/>
          <w:szCs w:val="23"/>
          <w:lang w:eastAsia="it-IT"/>
        </w:rPr>
        <w:t xml:space="preserve">, </w:t>
      </w:r>
      <w:r>
        <w:rPr>
          <w:b/>
          <w:sz w:val="23"/>
          <w:szCs w:val="23"/>
          <w:lang w:eastAsia="it-IT"/>
        </w:rPr>
        <w:t>L</w:t>
      </w:r>
      <w:r w:rsidR="00AB7DBE">
        <w:rPr>
          <w:b/>
          <w:sz w:val="23"/>
          <w:szCs w:val="23"/>
          <w:lang w:eastAsia="it-IT"/>
        </w:rPr>
        <w:t xml:space="preserve">A </w:t>
      </w:r>
      <w:r>
        <w:rPr>
          <w:b/>
          <w:sz w:val="23"/>
          <w:szCs w:val="23"/>
          <w:lang w:eastAsia="it-IT"/>
        </w:rPr>
        <w:t>SCADENZA DEL 3 GIUGNO METTE IL GOVERNO DA</w:t>
      </w:r>
      <w:r w:rsidR="00AB7DBE">
        <w:rPr>
          <w:b/>
          <w:sz w:val="23"/>
          <w:szCs w:val="23"/>
          <w:lang w:eastAsia="it-IT"/>
        </w:rPr>
        <w:t xml:space="preserve">VANTI A UNA DECISIONE </w:t>
      </w:r>
      <w:r>
        <w:rPr>
          <w:b/>
          <w:sz w:val="23"/>
          <w:szCs w:val="23"/>
          <w:lang w:eastAsia="it-IT"/>
        </w:rPr>
        <w:t>CHE</w:t>
      </w:r>
      <w:r w:rsidR="005F2CCF">
        <w:rPr>
          <w:b/>
          <w:sz w:val="23"/>
          <w:szCs w:val="23"/>
          <w:lang w:eastAsia="it-IT"/>
        </w:rPr>
        <w:t>, OLTRE AD</w:t>
      </w:r>
      <w:r>
        <w:rPr>
          <w:b/>
          <w:sz w:val="23"/>
          <w:szCs w:val="23"/>
          <w:lang w:eastAsia="it-IT"/>
        </w:rPr>
        <w:t xml:space="preserve"> </w:t>
      </w:r>
      <w:r w:rsidRPr="00AD789C">
        <w:rPr>
          <w:b/>
          <w:sz w:val="23"/>
          <w:szCs w:val="23"/>
          <w:lang w:eastAsia="it-IT"/>
        </w:rPr>
        <w:t>ESSERE</w:t>
      </w:r>
      <w:r w:rsidR="00491B01">
        <w:rPr>
          <w:b/>
          <w:sz w:val="23"/>
          <w:szCs w:val="23"/>
          <w:lang w:eastAsia="it-IT"/>
        </w:rPr>
        <w:t xml:space="preserve"> GUIDATA </w:t>
      </w:r>
      <w:r w:rsidRPr="00AD789C">
        <w:rPr>
          <w:b/>
          <w:sz w:val="23"/>
          <w:szCs w:val="23"/>
          <w:lang w:eastAsia="it-IT"/>
        </w:rPr>
        <w:t>DAI DATI</w:t>
      </w:r>
      <w:r w:rsidR="005F2CCF">
        <w:rPr>
          <w:b/>
          <w:sz w:val="23"/>
          <w:szCs w:val="23"/>
          <w:lang w:eastAsia="it-IT"/>
        </w:rPr>
        <w:t>, DEVE</w:t>
      </w:r>
      <w:r>
        <w:rPr>
          <w:b/>
          <w:sz w:val="23"/>
          <w:szCs w:val="23"/>
          <w:lang w:eastAsia="it-IT"/>
        </w:rPr>
        <w:t xml:space="preserve"> </w:t>
      </w:r>
      <w:r w:rsidRPr="00AD789C">
        <w:rPr>
          <w:b/>
          <w:sz w:val="23"/>
          <w:szCs w:val="23"/>
          <w:lang w:eastAsia="it-IT"/>
        </w:rPr>
        <w:t>AVVENIRE SOTTO IL SEGNO DELLA SOLIDARIETÀ TRA REGIONI E DELL’UNITÀ NAZIONALE</w:t>
      </w:r>
      <w:r>
        <w:rPr>
          <w:b/>
          <w:sz w:val="23"/>
          <w:szCs w:val="23"/>
          <w:lang w:eastAsia="it-IT"/>
        </w:rPr>
        <w:t xml:space="preserve">. </w:t>
      </w:r>
    </w:p>
    <w:p w:rsidR="00B443D8" w:rsidRDefault="00A2329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17590C">
        <w:rPr>
          <w:rFonts w:ascii="Calibri" w:eastAsia="Calibri" w:hAnsi="Calibri" w:cs="Times New Roman"/>
          <w:b/>
          <w:bCs/>
          <w:sz w:val="24"/>
          <w:szCs w:val="24"/>
        </w:rPr>
        <w:t xml:space="preserve">8 </w:t>
      </w:r>
      <w:r w:rsidR="006D0D40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4492B" w:rsidRDefault="0074492B" w:rsidP="0074492B">
      <w:pPr>
        <w:spacing w:after="120"/>
        <w:jc w:val="both"/>
      </w:pPr>
      <w:r>
        <w:t xml:space="preserve">Secondo quanto previsto dal </w:t>
      </w:r>
      <w:r w:rsidR="002B49E9" w:rsidRPr="002B49E9">
        <w:t xml:space="preserve">DL 33/2020, </w:t>
      </w:r>
      <w:r>
        <w:t xml:space="preserve">dal 3 giugno saranno nuovamente autorizzati i movimenti di persone tra le </w:t>
      </w:r>
      <w:r w:rsidR="00BE037F">
        <w:t>Regioni italiane</w:t>
      </w:r>
      <w:r>
        <w:t>. Non tutte, però, potrebbero avere il via libera o le stesse modalità</w:t>
      </w:r>
      <w:r w:rsidR="00526F9F">
        <w:t xml:space="preserve">: </w:t>
      </w:r>
      <w:r w:rsidR="00526F9F" w:rsidRPr="002B49E9">
        <w:t>d</w:t>
      </w:r>
      <w:r w:rsidRPr="002B49E9">
        <w:t xml:space="preserve">omani </w:t>
      </w:r>
      <w:r w:rsidR="00491917">
        <w:t>il Ministro della S</w:t>
      </w:r>
      <w:r>
        <w:t>alute Speranza valuterà il monitoraggio dei dati del contagio</w:t>
      </w:r>
      <w:r w:rsidR="002B49E9">
        <w:t xml:space="preserve"> da parte dell’Istituto Superiore di Sanità</w:t>
      </w:r>
      <w:r>
        <w:t xml:space="preserve">, </w:t>
      </w:r>
      <w:r w:rsidR="00526F9F">
        <w:t xml:space="preserve">i cui risultati saranno </w:t>
      </w:r>
      <w:r>
        <w:t>decisiv</w:t>
      </w:r>
      <w:r w:rsidR="00526F9F">
        <w:t>i</w:t>
      </w:r>
      <w:r>
        <w:t xml:space="preserve"> </w:t>
      </w:r>
      <w:r w:rsidR="00526F9F">
        <w:t>per formalizzare</w:t>
      </w:r>
      <w:r w:rsidR="00572B78">
        <w:t xml:space="preserve"> l</w:t>
      </w:r>
      <w:r>
        <w:t xml:space="preserve">a decisione sulla </w:t>
      </w:r>
      <w:r w:rsidR="00BE037F">
        <w:t xml:space="preserve">ripresa </w:t>
      </w:r>
      <w:r w:rsidR="00526F9F">
        <w:t>della mobilità interregionale</w:t>
      </w:r>
      <w:r w:rsidR="00491B01">
        <w:t>.</w:t>
      </w:r>
    </w:p>
    <w:p w:rsidR="00A448FD" w:rsidRPr="00A448FD" w:rsidRDefault="00CD35D5" w:rsidP="00A448FD">
      <w:pPr>
        <w:spacing w:after="120"/>
        <w:jc w:val="both"/>
        <w:rPr>
          <w:lang w:eastAsia="it-IT"/>
        </w:rPr>
      </w:pPr>
      <w:r>
        <w:t xml:space="preserve">Tra le </w:t>
      </w:r>
      <w:r w:rsidR="00851073">
        <w:t xml:space="preserve">istituzioni, </w:t>
      </w:r>
      <w:r>
        <w:t xml:space="preserve">le </w:t>
      </w:r>
      <w:r w:rsidR="007C48EB">
        <w:t xml:space="preserve">forze di </w:t>
      </w:r>
      <w:r w:rsidR="00851073">
        <w:t xml:space="preserve">maggioranza e sindaci e governatori </w:t>
      </w:r>
      <w:r w:rsidR="002B49E9">
        <w:t>(</w:t>
      </w:r>
      <w:r w:rsidR="00851073">
        <w:t xml:space="preserve">in particolare del </w:t>
      </w:r>
      <w:r w:rsidR="009A5293">
        <w:t>S</w:t>
      </w:r>
      <w:r w:rsidR="00851073">
        <w:t>ud</w:t>
      </w:r>
      <w:r w:rsidR="002B49E9">
        <w:t>)</w:t>
      </w:r>
      <w:r w:rsidR="00851073">
        <w:t xml:space="preserve"> </w:t>
      </w:r>
      <w:r w:rsidR="009A5293">
        <w:t xml:space="preserve">sembra </w:t>
      </w:r>
      <w:r w:rsidR="00BE037F">
        <w:t>prevalere un</w:t>
      </w:r>
      <w:r w:rsidR="00DB46D4">
        <w:t xml:space="preserve"> senso comune di </w:t>
      </w:r>
      <w:r w:rsidR="0074492B">
        <w:t>massima cautela</w:t>
      </w:r>
      <w:r w:rsidR="00851073">
        <w:t xml:space="preserve">, </w:t>
      </w:r>
      <w:r w:rsidR="009A5293">
        <w:t xml:space="preserve">nonostante </w:t>
      </w:r>
      <w:r w:rsidR="00C35629">
        <w:t>il trend positivo dei dati</w:t>
      </w:r>
      <w:r w:rsidR="009E01D0">
        <w:t>.</w:t>
      </w:r>
      <w:r w:rsidR="00DB46D4">
        <w:t xml:space="preserve"> </w:t>
      </w:r>
      <w:r w:rsidR="00BE037F" w:rsidRPr="00E51040">
        <w:t>«</w:t>
      </w:r>
      <w:r w:rsidR="009E01D0">
        <w:t xml:space="preserve">Anche </w:t>
      </w:r>
      <w:r w:rsidR="00851073">
        <w:t>nella settimana</w:t>
      </w:r>
      <w:r w:rsidR="009A5293">
        <w:t xml:space="preserve"> 21-27 maggio</w:t>
      </w:r>
      <w:r w:rsidR="00EC7DB3">
        <w:t>,</w:t>
      </w:r>
      <w:r w:rsidR="00BE037F">
        <w:t xml:space="preserve"> </w:t>
      </w:r>
      <w:r w:rsidR="00EC7DB3">
        <w:t xml:space="preserve">infatti </w:t>
      </w:r>
      <w:r w:rsidR="00BE037F" w:rsidRPr="00A24080">
        <w:rPr>
          <w:lang w:eastAsia="it-IT"/>
        </w:rPr>
        <w:t>–</w:t>
      </w:r>
      <w:r w:rsidR="00BE037F">
        <w:t xml:space="preserve"> </w:t>
      </w:r>
      <w:r w:rsidR="00851073">
        <w:rPr>
          <w:lang w:eastAsia="it-IT"/>
        </w:rPr>
        <w:t>afferma Nino Cartabellotta</w:t>
      </w:r>
      <w:r w:rsidR="00491917">
        <w:rPr>
          <w:lang w:eastAsia="it-IT"/>
        </w:rPr>
        <w:t>, Presidente della Fondazione GIMBE</w:t>
      </w:r>
      <w:r w:rsidR="00851073">
        <w:rPr>
          <w:lang w:eastAsia="it-IT"/>
        </w:rPr>
        <w:t xml:space="preserve"> </w:t>
      </w:r>
      <w:r w:rsidR="00851073" w:rsidRPr="00A24080">
        <w:rPr>
          <w:lang w:eastAsia="it-IT"/>
        </w:rPr>
        <w:t>–</w:t>
      </w:r>
      <w:r w:rsidR="00851073">
        <w:rPr>
          <w:lang w:eastAsia="it-IT"/>
        </w:rPr>
        <w:t xml:space="preserve"> il </w:t>
      </w:r>
      <w:r w:rsidR="00BE037F">
        <w:rPr>
          <w:lang w:eastAsia="it-IT"/>
        </w:rPr>
        <w:t xml:space="preserve">nostro </w:t>
      </w:r>
      <w:r w:rsidR="00851073">
        <w:rPr>
          <w:lang w:eastAsia="it-IT"/>
        </w:rPr>
        <w:t xml:space="preserve">monitoraggio indipendente conferma sia la costante riduzione del carico </w:t>
      </w:r>
      <w:r w:rsidR="009A5293">
        <w:rPr>
          <w:lang w:eastAsia="it-IT"/>
        </w:rPr>
        <w:t xml:space="preserve">su </w:t>
      </w:r>
      <w:r w:rsidR="00851073">
        <w:rPr>
          <w:lang w:eastAsia="it-IT"/>
        </w:rPr>
        <w:t>ospedali e terapie intensive, sia il rallentamento di contagi e decessi</w:t>
      </w:r>
      <w:r w:rsidR="00851073" w:rsidRPr="00A24080">
        <w:rPr>
          <w:rFonts w:cstheme="minorHAnsi"/>
        </w:rPr>
        <w:t>»</w:t>
      </w:r>
      <w:r w:rsidR="00851073">
        <w:rPr>
          <w:lang w:eastAsia="it-IT"/>
        </w:rPr>
        <w:t>. In sintesi:</w:t>
      </w:r>
    </w:p>
    <w:p w:rsidR="00A448FD" w:rsidRDefault="00A448FD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Casi totali: +3.375 (+1,7%)</w:t>
      </w:r>
    </w:p>
    <w:p w:rsidR="00A448FD" w:rsidRDefault="00A448FD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Decessi: +742 (+2,3%)</w:t>
      </w:r>
    </w:p>
    <w:p w:rsidR="00A448FD" w:rsidRDefault="00A448FD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-1.895 (-19,7%)</w:t>
      </w:r>
    </w:p>
    <w:p w:rsidR="00A448FD" w:rsidRPr="00E153B6" w:rsidRDefault="00A448FD" w:rsidP="00A448FD">
      <w:pPr>
        <w:pStyle w:val="Paragrafoelenco"/>
        <w:numPr>
          <w:ilvl w:val="0"/>
          <w:numId w:val="14"/>
        </w:numPr>
        <w:spacing w:after="120"/>
        <w:jc w:val="both"/>
      </w:pPr>
      <w:r>
        <w:t>Terapia intensiva: -171 (-25,3%)</w:t>
      </w:r>
    </w:p>
    <w:p w:rsidR="0074492B" w:rsidRDefault="009A5293" w:rsidP="00851073">
      <w:pPr>
        <w:spacing w:after="120"/>
        <w:jc w:val="both"/>
      </w:pPr>
      <w:r>
        <w:t xml:space="preserve">Tenendo conto delle </w:t>
      </w:r>
      <w:r w:rsidR="00752D57">
        <w:t xml:space="preserve">notevoli </w:t>
      </w:r>
      <w:r>
        <w:t xml:space="preserve">eterogeneità regionali </w:t>
      </w:r>
      <w:r w:rsidR="00BE037F">
        <w:t>nell’esecuzione dei</w:t>
      </w:r>
      <w:r w:rsidR="009B0107">
        <w:t xml:space="preserve"> tamponi, de</w:t>
      </w:r>
      <w:r w:rsidR="00E13674">
        <w:t xml:space="preserve">lla limitata affidabilità dell’indice </w:t>
      </w:r>
      <w:proofErr w:type="spellStart"/>
      <w:r w:rsidR="00E13674">
        <w:t>Rt</w:t>
      </w:r>
      <w:proofErr w:type="spellEnd"/>
      <w:r w:rsidR="00E13674">
        <w:t xml:space="preserve">, per </w:t>
      </w:r>
      <w:r w:rsidR="009B0107">
        <w:t>informare</w:t>
      </w:r>
      <w:r w:rsidR="00491B01">
        <w:t xml:space="preserve"> </w:t>
      </w:r>
      <w:r w:rsidR="00BE037F">
        <w:t xml:space="preserve">la </w:t>
      </w:r>
      <w:r w:rsidR="00572B78">
        <w:t xml:space="preserve">possibile </w:t>
      </w:r>
      <w:r w:rsidR="00BE037F">
        <w:t xml:space="preserve">riapertura </w:t>
      </w:r>
      <w:r w:rsidR="00851073">
        <w:t xml:space="preserve">dei confini </w:t>
      </w:r>
      <w:r w:rsidR="00BE037F">
        <w:t xml:space="preserve">regionali </w:t>
      </w:r>
      <w:r w:rsidR="00851073">
        <w:t xml:space="preserve">la Fondazione GIMBE ha condotto un’analisi indipendente </w:t>
      </w:r>
      <w:r>
        <w:t xml:space="preserve">relativa alla fase 2 </w:t>
      </w:r>
      <w:r w:rsidR="00BE037F">
        <w:t xml:space="preserve">nelle varie Regioni </w:t>
      </w:r>
      <w:r w:rsidR="005F2CCF">
        <w:t xml:space="preserve">utilizzando </w:t>
      </w:r>
      <w:r w:rsidR="00E13674">
        <w:t xml:space="preserve">due </w:t>
      </w:r>
      <w:r w:rsidR="009B0107">
        <w:t xml:space="preserve">indicatori parametrati </w:t>
      </w:r>
      <w:r w:rsidR="008C1E01">
        <w:t>alla popolazione</w:t>
      </w:r>
      <w:r w:rsidR="00EA1006">
        <w:t xml:space="preserve"> residente: </w:t>
      </w:r>
      <w:r w:rsidR="005F2CCF">
        <w:t>l’incidenza d</w:t>
      </w:r>
      <w:r w:rsidR="00E13674">
        <w:t xml:space="preserve">i </w:t>
      </w:r>
      <w:r w:rsidR="005F2CCF">
        <w:t xml:space="preserve">nuovi </w:t>
      </w:r>
      <w:r>
        <w:t xml:space="preserve">casi e </w:t>
      </w:r>
      <w:r w:rsidR="005F2CCF">
        <w:t xml:space="preserve">il </w:t>
      </w:r>
      <w:r w:rsidR="002B49E9">
        <w:t xml:space="preserve">numero di tamponi </w:t>
      </w:r>
      <w:r w:rsidR="00EA1006">
        <w:t>“</w:t>
      </w:r>
      <w:r w:rsidR="002B49E9">
        <w:t>diagnostici</w:t>
      </w:r>
      <w:r w:rsidR="00EA1006">
        <w:t>”</w:t>
      </w:r>
      <w:r>
        <w:t xml:space="preserve">, escludendo </w:t>
      </w:r>
      <w:r w:rsidR="002B49E9">
        <w:t xml:space="preserve">quelli </w:t>
      </w:r>
      <w:r w:rsidR="00DB46D4">
        <w:t xml:space="preserve">eseguiti per </w:t>
      </w:r>
      <w:r w:rsidR="002B49E9">
        <w:t xml:space="preserve">confermare </w:t>
      </w:r>
      <w:r w:rsidR="00EA1006">
        <w:t>la guarigione</w:t>
      </w:r>
      <w:r w:rsidR="002B49E9">
        <w:t xml:space="preserve"> </w:t>
      </w:r>
      <w:r w:rsidR="00491B01">
        <w:t>virologica</w:t>
      </w:r>
      <w:r w:rsidR="002B49E9">
        <w:t xml:space="preserve"> o per</w:t>
      </w:r>
      <w:r>
        <w:t xml:space="preserve"> necessità di ripetere il test.</w:t>
      </w:r>
      <w:r w:rsidR="00327A82">
        <w:t xml:space="preserve"> </w:t>
      </w:r>
    </w:p>
    <w:p w:rsidR="00E13674" w:rsidRDefault="008C1E01" w:rsidP="00E13674">
      <w:pPr>
        <w:spacing w:after="120"/>
        <w:jc w:val="both"/>
      </w:pPr>
      <w:r>
        <w:t xml:space="preserve">Questi in sintesi </w:t>
      </w:r>
      <w:r w:rsidR="00EA1006">
        <w:t xml:space="preserve">i </w:t>
      </w:r>
      <w:r>
        <w:t>risultati dell</w:t>
      </w:r>
      <w:r w:rsidR="00EA1006">
        <w:t>’</w:t>
      </w:r>
      <w:r w:rsidR="00E13674">
        <w:t xml:space="preserve">analisi </w:t>
      </w:r>
      <w:r>
        <w:t>sul</w:t>
      </w:r>
      <w:r w:rsidR="00E13674">
        <w:t xml:space="preserve"> periodo </w:t>
      </w:r>
      <w:r w:rsidR="00DB46D4">
        <w:t>p</w:t>
      </w:r>
      <w:r w:rsidR="00354764">
        <w:t xml:space="preserve">ost </w:t>
      </w:r>
      <w:proofErr w:type="spellStart"/>
      <w:r w:rsidR="00354764">
        <w:t>lockdown</w:t>
      </w:r>
      <w:proofErr w:type="spellEnd"/>
      <w:r w:rsidR="00AC1C3A">
        <w:t xml:space="preserve"> (</w:t>
      </w:r>
      <w:r w:rsidR="00491B01">
        <w:t>4</w:t>
      </w:r>
      <w:r w:rsidR="00AC1C3A">
        <w:t>-</w:t>
      </w:r>
      <w:r w:rsidR="00491B01">
        <w:t>27 maggio</w:t>
      </w:r>
      <w:r w:rsidR="009E01D0">
        <w:t xml:space="preserve"> 2020)</w:t>
      </w:r>
      <w:r w:rsidR="00A43C22">
        <w:t xml:space="preserve"> (</w:t>
      </w:r>
      <w:r w:rsidR="00A43C22" w:rsidRPr="00A43C22">
        <w:rPr>
          <w:highlight w:val="yellow"/>
        </w:rPr>
        <w:t>figure</w:t>
      </w:r>
      <w:r w:rsidR="0054774F">
        <w:rPr>
          <w:highlight w:val="yellow"/>
        </w:rPr>
        <w:t xml:space="preserve"> 1 e 2</w:t>
      </w:r>
      <w:r w:rsidR="00A43C22">
        <w:t>)</w:t>
      </w:r>
      <w:r w:rsidR="00E13674">
        <w:t>:</w:t>
      </w:r>
    </w:p>
    <w:p w:rsidR="00E13674" w:rsidRPr="005E3B63" w:rsidRDefault="00384B1A" w:rsidP="005E3B63">
      <w:pPr>
        <w:pStyle w:val="Paragrafoelenco"/>
        <w:numPr>
          <w:ilvl w:val="0"/>
          <w:numId w:val="31"/>
        </w:numPr>
        <w:spacing w:after="120" w:line="276" w:lineRule="auto"/>
        <w:jc w:val="both"/>
        <w:rPr>
          <w:rFonts w:cstheme="minorHAnsi"/>
        </w:rPr>
      </w:pPr>
      <w:r w:rsidRPr="00384B1A">
        <w:rPr>
          <w:b/>
        </w:rPr>
        <w:t>Percentuale di tamponi diagnostici positivi</w:t>
      </w:r>
      <w:r w:rsidR="008C1E01">
        <w:t xml:space="preserve">. Risulta </w:t>
      </w:r>
      <w:r w:rsidR="00E13674">
        <w:t>superiore alla media nazionale</w:t>
      </w:r>
      <w:r w:rsidR="00327A82">
        <w:t xml:space="preserve"> (</w:t>
      </w:r>
      <w:r w:rsidR="005E3B63">
        <w:t>2,4</w:t>
      </w:r>
      <w:r w:rsidR="00327A82">
        <w:t>%)</w:t>
      </w:r>
      <w:r>
        <w:t xml:space="preserve"> in 5 Regioni</w:t>
      </w:r>
      <w:r w:rsidR="00327A82">
        <w:t>:</w:t>
      </w:r>
      <w:r w:rsidR="00E13674">
        <w:t xml:space="preserve"> </w:t>
      </w:r>
      <w:r w:rsidR="00381F45">
        <w:t xml:space="preserve">in maniera </w:t>
      </w:r>
      <w:r w:rsidR="000528C2">
        <w:t xml:space="preserve">rilevante </w:t>
      </w:r>
      <w:r>
        <w:t xml:space="preserve">in </w:t>
      </w:r>
      <w:r w:rsidR="00E13674">
        <w:t>L</w:t>
      </w:r>
      <w:r w:rsidR="005E3B63">
        <w:t xml:space="preserve">ombardia </w:t>
      </w:r>
      <w:r w:rsidR="00E13674">
        <w:t>(</w:t>
      </w:r>
      <w:r w:rsidR="005E3B63">
        <w:t>6</w:t>
      </w:r>
      <w:r w:rsidR="00E13674">
        <w:t>%)</w:t>
      </w:r>
      <w:r w:rsidR="005E3B63">
        <w:t xml:space="preserve"> e Liguria (5,8%)</w:t>
      </w:r>
      <w:r>
        <w:t xml:space="preserve"> e</w:t>
      </w:r>
      <w:r w:rsidR="00E13674">
        <w:t xml:space="preserve"> </w:t>
      </w:r>
      <w:r w:rsidR="005E3B63">
        <w:t xml:space="preserve">in misura minore </w:t>
      </w:r>
      <w:r>
        <w:t xml:space="preserve">in </w:t>
      </w:r>
      <w:r w:rsidR="00E13674">
        <w:t>Piemonte (</w:t>
      </w:r>
      <w:r w:rsidR="005E3B63">
        <w:t>3,8</w:t>
      </w:r>
      <w:r w:rsidR="00E13674">
        <w:t>%)</w:t>
      </w:r>
      <w:r w:rsidR="00381F45">
        <w:t xml:space="preserve"> </w:t>
      </w:r>
      <w:r w:rsidR="00E13674">
        <w:t>Puglia (</w:t>
      </w:r>
      <w:r w:rsidR="005E3B63">
        <w:t>3,7</w:t>
      </w:r>
      <w:r w:rsidR="00E13674">
        <w:t>%)</w:t>
      </w:r>
      <w:r>
        <w:t xml:space="preserve"> </w:t>
      </w:r>
      <w:r w:rsidR="00381F45">
        <w:t xml:space="preserve">ed </w:t>
      </w:r>
      <w:r w:rsidR="008C1E01">
        <w:t>Emilia-Romagna</w:t>
      </w:r>
      <w:r w:rsidR="00E13674">
        <w:t xml:space="preserve"> (</w:t>
      </w:r>
      <w:r w:rsidR="005E3B63">
        <w:t>2,7</w:t>
      </w:r>
      <w:r w:rsidR="00E13674">
        <w:t>%)</w:t>
      </w:r>
      <w:r w:rsidR="00327A82">
        <w:t xml:space="preserve">. </w:t>
      </w:r>
    </w:p>
    <w:p w:rsidR="00384B1A" w:rsidRDefault="00384B1A" w:rsidP="00384B1A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384B1A">
        <w:rPr>
          <w:b/>
        </w:rPr>
        <w:t>Tamponi diagnostici per 100.000 abitanti</w:t>
      </w:r>
      <w:r w:rsidR="00055AA5">
        <w:t xml:space="preserve"> R</w:t>
      </w:r>
      <w:r>
        <w:t xml:space="preserve">ispetto </w:t>
      </w:r>
      <w:r w:rsidR="00055AA5">
        <w:t>alla</w:t>
      </w:r>
      <w:r>
        <w:t xml:space="preserve"> media nazionale </w:t>
      </w:r>
      <w:r w:rsidR="00055AA5">
        <w:t>(</w:t>
      </w:r>
      <w:r>
        <w:t>1.343</w:t>
      </w:r>
      <w:r w:rsidR="00055AA5">
        <w:t>)</w:t>
      </w:r>
      <w:r>
        <w:t xml:space="preserve">, </w:t>
      </w:r>
      <w:r w:rsidR="005F2CCF">
        <w:t xml:space="preserve">svettano </w:t>
      </w:r>
      <w:r>
        <w:t>solo Valle d’Aosta (4.076) e Provinc</w:t>
      </w:r>
      <w:r w:rsidR="008A0CE2">
        <w:t>ia Autonoma di Trento (4.038). N</w:t>
      </w:r>
      <w:r>
        <w:t xml:space="preserve">elle tre Regioni </w:t>
      </w:r>
      <w:r w:rsidR="0054774F">
        <w:t xml:space="preserve">ad </w:t>
      </w:r>
      <w:r>
        <w:t>elevata incidenza</w:t>
      </w:r>
      <w:r w:rsidR="008A0CE2">
        <w:t xml:space="preserve"> dei nuovi casi</w:t>
      </w:r>
      <w:r>
        <w:t xml:space="preserve">, </w:t>
      </w:r>
      <w:r w:rsidR="00DB46D4">
        <w:t xml:space="preserve">la propensione all’esecuzione di tamponi </w:t>
      </w:r>
      <w:r w:rsidR="00055AA5">
        <w:t>rimane poco al di sopra della media nazionale sia in</w:t>
      </w:r>
      <w:r w:rsidR="00DB46D4">
        <w:t xml:space="preserve"> </w:t>
      </w:r>
      <w:r>
        <w:t xml:space="preserve">Piemonte (1.675) </w:t>
      </w:r>
      <w:r w:rsidR="00055AA5">
        <w:t xml:space="preserve">che in </w:t>
      </w:r>
      <w:r>
        <w:t xml:space="preserve">Lombardia (1.608), mentre </w:t>
      </w:r>
      <w:r w:rsidR="005F2CCF">
        <w:t xml:space="preserve">in </w:t>
      </w:r>
      <w:r>
        <w:t>Liguria (1.319)</w:t>
      </w:r>
      <w:r w:rsidR="005F2CCF">
        <w:t xml:space="preserve"> si attesta poco al di sotto</w:t>
      </w:r>
      <w:r>
        <w:t>.</w:t>
      </w:r>
    </w:p>
    <w:p w:rsidR="00084C63" w:rsidRDefault="0032219D" w:rsidP="00084C63">
      <w:pPr>
        <w:pStyle w:val="Paragrafoelenco"/>
        <w:numPr>
          <w:ilvl w:val="0"/>
          <w:numId w:val="14"/>
        </w:numPr>
        <w:spacing w:line="276" w:lineRule="auto"/>
        <w:jc w:val="both"/>
      </w:pPr>
      <w:r w:rsidRPr="008A0CE2">
        <w:rPr>
          <w:b/>
        </w:rPr>
        <w:lastRenderedPageBreak/>
        <w:t>I</w:t>
      </w:r>
      <w:r w:rsidR="00327A82" w:rsidRPr="008A0CE2">
        <w:rPr>
          <w:b/>
        </w:rPr>
        <w:t xml:space="preserve">ncidenza </w:t>
      </w:r>
      <w:r w:rsidRPr="008A0CE2">
        <w:rPr>
          <w:b/>
        </w:rPr>
        <w:t>d</w:t>
      </w:r>
      <w:r w:rsidR="00381F45" w:rsidRPr="008A0CE2">
        <w:rPr>
          <w:b/>
        </w:rPr>
        <w:t>i nuovi casi</w:t>
      </w:r>
      <w:r w:rsidR="00DB46D4" w:rsidRPr="008A0CE2">
        <w:rPr>
          <w:b/>
        </w:rPr>
        <w:t xml:space="preserve"> per 100.000 abitanti</w:t>
      </w:r>
      <w:r>
        <w:t xml:space="preserve">: rispetto </w:t>
      </w:r>
      <w:r w:rsidR="00327A82">
        <w:t>alla media nazionale</w:t>
      </w:r>
      <w:r w:rsidR="005E3B63">
        <w:t xml:space="preserve"> (32</w:t>
      </w:r>
      <w:r w:rsidR="00381F45">
        <w:t>)</w:t>
      </w:r>
      <w:r w:rsidR="005F2CCF">
        <w:t>, l’incidenza</w:t>
      </w:r>
      <w:r>
        <w:t xml:space="preserve"> è nettamente superiore in </w:t>
      </w:r>
      <w:r w:rsidR="00381F45">
        <w:t xml:space="preserve">Lombardia </w:t>
      </w:r>
      <w:r w:rsidR="005E3B63">
        <w:t>(96</w:t>
      </w:r>
      <w:r w:rsidR="00327A82">
        <w:t>)</w:t>
      </w:r>
      <w:r w:rsidR="00381F45">
        <w:t xml:space="preserve">, Liguria </w:t>
      </w:r>
      <w:r w:rsidR="005E3B63">
        <w:t>(76</w:t>
      </w:r>
      <w:r w:rsidR="00381F45">
        <w:t>) e Piemonte</w:t>
      </w:r>
      <w:r w:rsidR="005E3B63">
        <w:t xml:space="preserve"> (63</w:t>
      </w:r>
      <w:r w:rsidR="00381F45">
        <w:t>)</w:t>
      </w:r>
      <w:r>
        <w:t xml:space="preserve">. Se il dato del Molise (44) non desta preoccupazioni perché </w:t>
      </w:r>
      <w:r w:rsidR="0085734C">
        <w:t>legato a</w:t>
      </w:r>
      <w:r>
        <w:t xml:space="preserve"> un recente focolaio</w:t>
      </w:r>
      <w:r w:rsidR="0085734C">
        <w:t xml:space="preserve"> già identificato e circoscritto</w:t>
      </w:r>
      <w:r>
        <w:t xml:space="preserve">, quello </w:t>
      </w:r>
      <w:r w:rsidR="0034279E">
        <w:t>dell’Emilia-Romagna</w:t>
      </w:r>
      <w:r>
        <w:t xml:space="preserve"> (33</w:t>
      </w:r>
      <w:r w:rsidR="008A0CE2">
        <w:t xml:space="preserve">) </w:t>
      </w:r>
      <w:r>
        <w:t xml:space="preserve">potrebbe essere sottostimato </w:t>
      </w:r>
      <w:r w:rsidR="008A0CE2" w:rsidRPr="008A0CE2">
        <w:t>da</w:t>
      </w:r>
      <w:r w:rsidR="008A0CE2">
        <w:t>l</w:t>
      </w:r>
      <w:r w:rsidR="008A0CE2" w:rsidRPr="008A0CE2">
        <w:t xml:space="preserve"> numero di tamponi diagnostici </w:t>
      </w:r>
      <w:r w:rsidR="008A0CE2">
        <w:t>(</w:t>
      </w:r>
      <w:r w:rsidR="008A0CE2" w:rsidRPr="008A0CE2">
        <w:t>1.202</w:t>
      </w:r>
      <w:r w:rsidR="008A0CE2">
        <w:t xml:space="preserve"> per 100.000 abitanti)</w:t>
      </w:r>
      <w:r w:rsidR="000528C2">
        <w:t xml:space="preserve"> ben al di sotto della media nazionale (1.343)</w:t>
      </w:r>
    </w:p>
    <w:p w:rsidR="00C35629" w:rsidRDefault="00C35629" w:rsidP="00C35629">
      <w:pPr>
        <w:pStyle w:val="Paragrafoelenco"/>
        <w:spacing w:line="276" w:lineRule="auto"/>
        <w:ind w:left="360"/>
        <w:jc w:val="both"/>
      </w:pPr>
    </w:p>
    <w:p w:rsidR="00EA1006" w:rsidRDefault="004C282E" w:rsidP="000528C2">
      <w:pPr>
        <w:jc w:val="both"/>
      </w:pPr>
      <w:r>
        <w:t>Si sottolinea che i dati analizzati riflettono quasi</w:t>
      </w:r>
      <w:r w:rsidR="00F000C4">
        <w:t xml:space="preserve"> interamente</w:t>
      </w:r>
      <w:r>
        <w:t xml:space="preserve"> le riaperture del 4 maggio, ma non quelle molto più ampie del 18 maggio che potranno essere valutate nel periodo 1-14 giugno, tenendo conto di una media di 5 giorni di incubazione del virus e di 9-10 giorni per ottenere i risultati del tampone.</w:t>
      </w:r>
      <w:r w:rsidR="0054774F">
        <w:t xml:space="preserve"> </w:t>
      </w:r>
      <w:r w:rsidR="00A43C22">
        <w:rPr>
          <w:lang w:eastAsia="it-IT"/>
        </w:rPr>
        <w:t xml:space="preserve">A 23 giorni dall’allentamento del </w:t>
      </w:r>
      <w:proofErr w:type="spellStart"/>
      <w:r w:rsidR="00A43C22">
        <w:rPr>
          <w:lang w:eastAsia="it-IT"/>
        </w:rPr>
        <w:t>lockdown</w:t>
      </w:r>
      <w:proofErr w:type="spellEnd"/>
      <w:r w:rsidR="0054774F">
        <w:rPr>
          <w:lang w:eastAsia="it-IT"/>
        </w:rPr>
        <w:t>, dunque, la</w:t>
      </w:r>
      <w:r w:rsidR="0054774F">
        <w:t xml:space="preserve"> Fondazione GIMBE </w:t>
      </w:r>
      <w:r w:rsidR="00A43C22">
        <w:t>dimostra che l</w:t>
      </w:r>
      <w:r w:rsidR="00A43C22">
        <w:rPr>
          <w:lang w:eastAsia="it-IT"/>
        </w:rPr>
        <w:t xml:space="preserve">a curva del contagio non è adeguatamente sotto controllo in Lombardia, Liguria e Piemonte: in queste Regioni si rileva la percentuale più elevata di tamponi diagnostici positivi, il maggior incremento di nuovi casi, a fronte di una </w:t>
      </w:r>
      <w:r w:rsidR="008A0CE2">
        <w:rPr>
          <w:lang w:eastAsia="it-IT"/>
        </w:rPr>
        <w:t>limitata</w:t>
      </w:r>
      <w:r w:rsidR="00A43C22">
        <w:rPr>
          <w:lang w:eastAsia="it-IT"/>
        </w:rPr>
        <w:t xml:space="preserve"> attitudine all’esecuzione di tamponi diagnostici. In Emilia-Romagna, una propensione ancora minore potrebbe distorcere al ribasso il numero dei nuovi casi</w:t>
      </w:r>
      <w:r w:rsidR="00A43C22" w:rsidRPr="00E51040">
        <w:t xml:space="preserve">. </w:t>
      </w:r>
    </w:p>
    <w:p w:rsidR="002E3119" w:rsidRDefault="002E3119" w:rsidP="00491917">
      <w:pPr>
        <w:spacing w:after="120"/>
        <w:jc w:val="both"/>
      </w:pPr>
      <w:r w:rsidRPr="00E51040">
        <w:t>«</w:t>
      </w:r>
      <w:r w:rsidR="0083350A">
        <w:rPr>
          <w:lang w:eastAsia="it-IT"/>
        </w:rPr>
        <w:t>Il Governo</w:t>
      </w:r>
      <w:r w:rsidR="0083350A">
        <w:t xml:space="preserve"> </w:t>
      </w:r>
      <w:r w:rsidRPr="00E51040">
        <w:rPr>
          <w:lang w:eastAsia="it-IT"/>
        </w:rPr>
        <w:t>–</w:t>
      </w:r>
      <w:r>
        <w:rPr>
          <w:lang w:eastAsia="it-IT"/>
        </w:rPr>
        <w:t xml:space="preserve"> commenta Cartabellotta </w:t>
      </w:r>
      <w:r w:rsidRPr="00E51040">
        <w:rPr>
          <w:lang w:eastAsia="it-IT"/>
        </w:rPr>
        <w:t>–</w:t>
      </w:r>
      <w:r w:rsidR="0083350A">
        <w:rPr>
          <w:lang w:eastAsia="it-IT"/>
        </w:rPr>
        <w:t xml:space="preserve"> a seguito delle valutazioni del Comitato Tecnico-Scientifico si troverà di fronte </w:t>
      </w:r>
      <w:r w:rsidR="00A43C22">
        <w:rPr>
          <w:lang w:eastAsia="it-IT"/>
        </w:rPr>
        <w:t xml:space="preserve">a </w:t>
      </w:r>
      <w:r w:rsidR="0083350A">
        <w:rPr>
          <w:lang w:eastAsia="it-IT"/>
        </w:rPr>
        <w:t xml:space="preserve">tre </w:t>
      </w:r>
      <w:r w:rsidR="00370859">
        <w:rPr>
          <w:lang w:eastAsia="it-IT"/>
        </w:rPr>
        <w:t xml:space="preserve">possibili </w:t>
      </w:r>
      <w:r w:rsidR="0083350A">
        <w:rPr>
          <w:lang w:eastAsia="it-IT"/>
        </w:rPr>
        <w:t>scenari</w:t>
      </w:r>
      <w:r w:rsidR="0095295F">
        <w:rPr>
          <w:lang w:eastAsia="it-IT"/>
        </w:rPr>
        <w:t xml:space="preserve">: il primo, più rischioso, </w:t>
      </w:r>
      <w:r w:rsidR="0083350A">
        <w:rPr>
          <w:lang w:eastAsia="it-IT"/>
        </w:rPr>
        <w:t>di riap</w:t>
      </w:r>
      <w:r w:rsidR="0095295F">
        <w:rPr>
          <w:lang w:eastAsia="it-IT"/>
        </w:rPr>
        <w:t>rire la mobilità su tutto il territorio nazionale</w:t>
      </w:r>
      <w:r w:rsidR="0083350A">
        <w:rPr>
          <w:lang w:eastAsia="it-IT"/>
        </w:rPr>
        <w:t>, accettando l</w:t>
      </w:r>
      <w:r w:rsidR="00370859">
        <w:rPr>
          <w:lang w:eastAsia="it-IT"/>
        </w:rPr>
        <w:t xml:space="preserve">’eventuale decisione </w:t>
      </w:r>
      <w:r w:rsidR="0095295F">
        <w:rPr>
          <w:lang w:eastAsia="it-IT"/>
        </w:rPr>
        <w:t>delle Regioni del s</w:t>
      </w:r>
      <w:r w:rsidR="0083350A">
        <w:rPr>
          <w:lang w:eastAsia="it-IT"/>
        </w:rPr>
        <w:t>ud di attivare la quarantena</w:t>
      </w:r>
      <w:r w:rsidR="00370859">
        <w:rPr>
          <w:lang w:eastAsia="it-IT"/>
        </w:rPr>
        <w:t xml:space="preserve"> per chi arriva da</w:t>
      </w:r>
      <w:r w:rsidR="0095295F">
        <w:rPr>
          <w:lang w:eastAsia="it-IT"/>
        </w:rPr>
        <w:t xml:space="preserve"> aree a maggior contagio</w:t>
      </w:r>
      <w:r w:rsidR="0083350A">
        <w:rPr>
          <w:lang w:eastAsia="it-IT"/>
        </w:rPr>
        <w:t xml:space="preserve">; il secondo, </w:t>
      </w:r>
      <w:r w:rsidR="00084C63">
        <w:rPr>
          <w:lang w:eastAsia="it-IT"/>
        </w:rPr>
        <w:t xml:space="preserve">un ragionevole compromesso, </w:t>
      </w:r>
      <w:r w:rsidR="00DB46D4">
        <w:rPr>
          <w:lang w:eastAsia="it-IT"/>
        </w:rPr>
        <w:t>di mantenere</w:t>
      </w:r>
      <w:r w:rsidR="0083350A">
        <w:rPr>
          <w:lang w:eastAsia="it-IT"/>
        </w:rPr>
        <w:t xml:space="preserve"> </w:t>
      </w:r>
      <w:r w:rsidR="00DB46D4">
        <w:rPr>
          <w:lang w:eastAsia="it-IT"/>
        </w:rPr>
        <w:t>le limitazioni</w:t>
      </w:r>
      <w:r w:rsidR="0083350A">
        <w:rPr>
          <w:lang w:eastAsia="it-IT"/>
        </w:rPr>
        <w:t xml:space="preserve"> </w:t>
      </w:r>
      <w:r w:rsidR="00DB46D4">
        <w:rPr>
          <w:lang w:eastAsia="it-IT"/>
        </w:rPr>
        <w:t xml:space="preserve">solo </w:t>
      </w:r>
      <w:r w:rsidR="005F2CCF">
        <w:rPr>
          <w:lang w:eastAsia="it-IT"/>
        </w:rPr>
        <w:t xml:space="preserve">nelle </w:t>
      </w:r>
      <w:r w:rsidR="0095295F">
        <w:rPr>
          <w:lang w:eastAsia="it-IT"/>
        </w:rPr>
        <w:t xml:space="preserve">3 </w:t>
      </w:r>
      <w:r w:rsidR="0083350A">
        <w:rPr>
          <w:lang w:eastAsia="it-IT"/>
        </w:rPr>
        <w:t xml:space="preserve">Regioni più a </w:t>
      </w:r>
      <w:r w:rsidR="0083350A" w:rsidRPr="00025A0F">
        <w:rPr>
          <w:lang w:eastAsia="it-IT"/>
        </w:rPr>
        <w:t>rischio</w:t>
      </w:r>
      <w:r w:rsidR="002D1FF6" w:rsidRPr="00025A0F">
        <w:rPr>
          <w:lang w:eastAsia="it-IT"/>
        </w:rPr>
        <w:t xml:space="preserve">, </w:t>
      </w:r>
      <w:r w:rsidR="0095295F">
        <w:rPr>
          <w:lang w:eastAsia="it-IT"/>
        </w:rPr>
        <w:t>con l’opzione di consentire</w:t>
      </w:r>
      <w:r w:rsidR="002D1FF6" w:rsidRPr="00025A0F">
        <w:rPr>
          <w:lang w:eastAsia="it-IT"/>
        </w:rPr>
        <w:t xml:space="preserve"> la mobilità tra </w:t>
      </w:r>
      <w:r w:rsidR="00370859" w:rsidRPr="00025A0F">
        <w:rPr>
          <w:lang w:eastAsia="it-IT"/>
        </w:rPr>
        <w:t>di esse</w:t>
      </w:r>
      <w:r w:rsidR="0083350A">
        <w:rPr>
          <w:lang w:eastAsia="it-IT"/>
        </w:rPr>
        <w:t xml:space="preserve">; il terzo, </w:t>
      </w:r>
      <w:r w:rsidR="0095295F">
        <w:rPr>
          <w:lang w:eastAsia="it-IT"/>
        </w:rPr>
        <w:t xml:space="preserve">più prudente, </w:t>
      </w:r>
      <w:r w:rsidR="0083350A">
        <w:rPr>
          <w:lang w:eastAsia="it-IT"/>
        </w:rPr>
        <w:t xml:space="preserve">di prolungare il blocco </w:t>
      </w:r>
      <w:r w:rsidR="00370859">
        <w:rPr>
          <w:lang w:eastAsia="it-IT"/>
        </w:rPr>
        <w:t xml:space="preserve">totale </w:t>
      </w:r>
      <w:r w:rsidR="0083350A">
        <w:rPr>
          <w:lang w:eastAsia="it-IT"/>
        </w:rPr>
        <w:t>della mobilità interregionale</w:t>
      </w:r>
      <w:r w:rsidR="00370859">
        <w:rPr>
          <w:lang w:eastAsia="it-IT"/>
        </w:rPr>
        <w:t xml:space="preserve">, fatte salve le debite eccezioni attualmente </w:t>
      </w:r>
      <w:r w:rsidR="005F2CCF">
        <w:rPr>
          <w:lang w:eastAsia="it-IT"/>
        </w:rPr>
        <w:t>in vigore</w:t>
      </w:r>
      <w:r w:rsidRPr="00E51040">
        <w:t xml:space="preserve">». </w:t>
      </w:r>
    </w:p>
    <w:p w:rsidR="00A42648" w:rsidRDefault="0037366F" w:rsidP="00945F54">
      <w:pPr>
        <w:spacing w:after="120"/>
        <w:jc w:val="both"/>
      </w:pPr>
      <w:r w:rsidRPr="00E51040">
        <w:t>«</w:t>
      </w:r>
      <w:r w:rsidR="00DB46D4">
        <w:t xml:space="preserve">In questa difficile decisione </w:t>
      </w:r>
      <w:r w:rsidRPr="00E51040">
        <w:rPr>
          <w:lang w:eastAsia="it-IT"/>
        </w:rPr>
        <w:t xml:space="preserve">– </w:t>
      </w:r>
      <w:r w:rsidR="002E3119">
        <w:rPr>
          <w:lang w:eastAsia="it-IT"/>
        </w:rPr>
        <w:t>conclude</w:t>
      </w:r>
      <w:r>
        <w:rPr>
          <w:lang w:eastAsia="it-IT"/>
        </w:rPr>
        <w:t xml:space="preserve"> Cartabellotta</w:t>
      </w:r>
      <w:r w:rsidRPr="00E51040">
        <w:rPr>
          <w:lang w:eastAsia="it-IT"/>
        </w:rPr>
        <w:t xml:space="preserve"> –</w:t>
      </w:r>
      <w:r>
        <w:t xml:space="preserve"> </w:t>
      </w:r>
      <w:r w:rsidR="00370859">
        <w:t xml:space="preserve">occorre accantonare </w:t>
      </w:r>
      <w:r w:rsidR="00DB46D4">
        <w:t xml:space="preserve">ogni forma di egoismo regionalistico perché la riapertura della mobilità </w:t>
      </w:r>
      <w:r w:rsidR="00945F54">
        <w:rPr>
          <w:lang w:eastAsia="it-IT"/>
        </w:rPr>
        <w:t xml:space="preserve">deve avvenire </w:t>
      </w:r>
      <w:r w:rsidR="00DB46D4">
        <w:rPr>
          <w:lang w:eastAsia="it-IT"/>
        </w:rPr>
        <w:t xml:space="preserve">con </w:t>
      </w:r>
      <w:r w:rsidR="00945F54">
        <w:rPr>
          <w:lang w:eastAsia="it-IT"/>
        </w:rPr>
        <w:t xml:space="preserve">un livello di rischio accettabile e </w:t>
      </w:r>
      <w:r w:rsidR="00A43C22">
        <w:rPr>
          <w:lang w:eastAsia="it-IT"/>
        </w:rPr>
        <w:t xml:space="preserve">in </w:t>
      </w:r>
      <w:r w:rsidR="00370859">
        <w:rPr>
          <w:lang w:eastAsia="it-IT"/>
        </w:rPr>
        <w:t>piena</w:t>
      </w:r>
      <w:r w:rsidR="00DB46D4">
        <w:rPr>
          <w:lang w:eastAsia="it-IT"/>
        </w:rPr>
        <w:t xml:space="preserve"> sintonia</w:t>
      </w:r>
      <w:r w:rsidR="00370859">
        <w:rPr>
          <w:lang w:eastAsia="it-IT"/>
        </w:rPr>
        <w:t xml:space="preserve"> </w:t>
      </w:r>
      <w:r w:rsidR="00DB46D4">
        <w:rPr>
          <w:lang w:eastAsia="it-IT"/>
        </w:rPr>
        <w:t xml:space="preserve">tra le Regioni. </w:t>
      </w:r>
      <w:r w:rsidR="00945F54">
        <w:rPr>
          <w:lang w:eastAsia="it-IT"/>
        </w:rPr>
        <w:t xml:space="preserve">Una decisione sotto il segno dell’unità nazionale darebbe al Paese un segnale molto più rassicurante di </w:t>
      </w:r>
      <w:r w:rsidR="00370859">
        <w:rPr>
          <w:lang w:eastAsia="it-IT"/>
        </w:rPr>
        <w:t xml:space="preserve">una </w:t>
      </w:r>
      <w:r w:rsidR="002D1FF6">
        <w:t>riapertura differenziata</w:t>
      </w:r>
      <w:r w:rsidR="00945F54">
        <w:t>,</w:t>
      </w:r>
      <w:r w:rsidR="002D1FF6">
        <w:t xml:space="preserve"> </w:t>
      </w:r>
      <w:r w:rsidR="0054774F">
        <w:t xml:space="preserve">guidata </w:t>
      </w:r>
      <w:r w:rsidR="0095295F">
        <w:t>più</w:t>
      </w:r>
      <w:r w:rsidR="00370859">
        <w:t xml:space="preserve"> </w:t>
      </w:r>
      <w:r w:rsidR="0095295F">
        <w:t>d</w:t>
      </w:r>
      <w:r w:rsidR="00370859">
        <w:t xml:space="preserve">a </w:t>
      </w:r>
      <w:r w:rsidR="00A43C22">
        <w:t xml:space="preserve">inevitabili </w:t>
      </w:r>
      <w:r w:rsidR="002D1FF6">
        <w:t>compromessi politici</w:t>
      </w:r>
      <w:r w:rsidR="0095295F">
        <w:t xml:space="preserve"> che</w:t>
      </w:r>
      <w:r w:rsidR="002D1FF6">
        <w:t xml:space="preserve"> </w:t>
      </w:r>
      <w:r w:rsidR="00A43C22">
        <w:t>dalla</w:t>
      </w:r>
      <w:r w:rsidR="00945F54">
        <w:t xml:space="preserve"> </w:t>
      </w:r>
      <w:r w:rsidR="00370859">
        <w:t xml:space="preserve">solidarietà </w:t>
      </w:r>
      <w:r w:rsidR="002D1FF6" w:rsidRPr="00223FDE">
        <w:t xml:space="preserve">tra </w:t>
      </w:r>
      <w:r w:rsidR="002D1FF6">
        <w:t>le Regioni</w:t>
      </w:r>
      <w:r w:rsidR="00A43C22">
        <w:t>, oggi più che mai necessaria per superare l’inaccettabile frammentazione del diritto costituzionale alla tutela della salute</w:t>
      </w:r>
      <w:r w:rsidR="005A4C86" w:rsidRPr="00E51040">
        <w:t>»</w:t>
      </w:r>
      <w:r w:rsidR="00025A0F">
        <w:t>.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8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A94901" w:rsidRDefault="00A94901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166D9E" w:rsidRDefault="00166D9E" w:rsidP="00E74431">
      <w:pPr>
        <w:spacing w:after="120"/>
        <w:rPr>
          <w:noProof/>
          <w:lang w:eastAsia="it-IT"/>
        </w:rPr>
      </w:pPr>
    </w:p>
    <w:p w:rsidR="00B021EA" w:rsidRDefault="00B021EA" w:rsidP="00E74431">
      <w:pPr>
        <w:spacing w:after="120"/>
        <w:rPr>
          <w:noProof/>
          <w:lang w:eastAsia="it-IT"/>
        </w:rPr>
      </w:pPr>
    </w:p>
    <w:p w:rsidR="0074492B" w:rsidRDefault="0074492B" w:rsidP="00E74431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897116" w:rsidRDefault="00897116" w:rsidP="00897116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bookmarkStart w:id="1" w:name="_Hlk41542964"/>
      <w:r w:rsidRPr="0017590C">
        <w:rPr>
          <w:rStyle w:val="Collegamentoipertestuale"/>
          <w:b/>
          <w:noProof/>
          <w:color w:val="auto"/>
          <w:u w:val="none"/>
          <w:lang w:eastAsia="it-IT"/>
        </w:rPr>
        <w:lastRenderedPageBreak/>
        <w:t xml:space="preserve">Figura </w:t>
      </w:r>
      <w:r>
        <w:rPr>
          <w:rStyle w:val="Collegamentoipertestuale"/>
          <w:b/>
          <w:noProof/>
          <w:color w:val="auto"/>
          <w:u w:val="none"/>
          <w:lang w:eastAsia="it-IT"/>
        </w:rPr>
        <w:t>1</w:t>
      </w:r>
      <w:r w:rsidR="00327A82">
        <w:rPr>
          <w:rStyle w:val="Collegamentoipertestuale"/>
          <w:b/>
          <w:noProof/>
          <w:color w:val="auto"/>
          <w:u w:val="none"/>
          <w:lang w:eastAsia="it-IT"/>
        </w:rPr>
        <w:t xml:space="preserve">. </w:t>
      </w:r>
      <w:r w:rsidR="00381F45">
        <w:rPr>
          <w:rStyle w:val="Collegamentoipertestuale"/>
          <w:b/>
          <w:noProof/>
          <w:color w:val="auto"/>
          <w:u w:val="none"/>
          <w:lang w:eastAsia="it-IT"/>
        </w:rPr>
        <w:t xml:space="preserve">Periodo 4-27 maggio: 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 xml:space="preserve">percentuale di </w:t>
      </w:r>
      <w:r w:rsidR="00381F45">
        <w:rPr>
          <w:rStyle w:val="Collegamentoipertestuale"/>
          <w:b/>
          <w:noProof/>
          <w:color w:val="auto"/>
          <w:u w:val="none"/>
          <w:lang w:eastAsia="it-IT"/>
        </w:rPr>
        <w:t xml:space="preserve">tamponi diagnostici 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>positivi</w:t>
      </w:r>
    </w:p>
    <w:bookmarkEnd w:id="1"/>
    <w:p w:rsidR="00897116" w:rsidRDefault="00381F45" w:rsidP="00354764">
      <w:pPr>
        <w:spacing w:after="120"/>
        <w:jc w:val="center"/>
        <w:rPr>
          <w:b/>
          <w:noProof/>
          <w:lang w:eastAsia="it-IT"/>
        </w:rPr>
      </w:pPr>
      <w:r>
        <w:rPr>
          <w:noProof/>
          <w:color w:val="1F497D"/>
          <w:lang w:eastAsia="it-IT"/>
        </w:rPr>
        <w:drawing>
          <wp:inline distT="0" distB="0" distL="0" distR="0" wp14:anchorId="62E6AB7E" wp14:editId="464DF8BC">
            <wp:extent cx="4320000" cy="3810310"/>
            <wp:effectExtent l="0" t="0" r="4445" b="0"/>
            <wp:docPr id="7" name="Immagine 7" descr="cid:image001.jpg@01D63457.0B74E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63457.0B74EE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64" w:rsidRDefault="00354764" w:rsidP="0017590C">
      <w:pPr>
        <w:spacing w:after="120"/>
        <w:jc w:val="center"/>
        <w:rPr>
          <w:b/>
        </w:rPr>
      </w:pPr>
    </w:p>
    <w:p w:rsidR="0017590C" w:rsidRPr="0017590C" w:rsidRDefault="00381F45" w:rsidP="0017590C">
      <w:pPr>
        <w:spacing w:after="120"/>
        <w:jc w:val="center"/>
        <w:rPr>
          <w:b/>
        </w:rPr>
      </w:pPr>
      <w:bookmarkStart w:id="2" w:name="_Hlk41543015"/>
      <w:r>
        <w:rPr>
          <w:b/>
        </w:rPr>
        <w:t>Figura 2</w:t>
      </w:r>
      <w:r w:rsidR="0017590C" w:rsidRPr="0017590C">
        <w:rPr>
          <w:b/>
        </w:rPr>
        <w:t xml:space="preserve">. </w:t>
      </w:r>
      <w:r>
        <w:rPr>
          <w:b/>
        </w:rPr>
        <w:t xml:space="preserve">Periodo 4-27 maggio: </w:t>
      </w:r>
      <w:r>
        <w:rPr>
          <w:rStyle w:val="Collegamentoipertestuale"/>
          <w:b/>
          <w:noProof/>
          <w:color w:val="auto"/>
          <w:u w:val="none"/>
          <w:lang w:eastAsia="it-IT"/>
        </w:rPr>
        <w:t>relazione tra incidenza e tamponi diagnostici (dati per 100.000 abitanti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>)</w:t>
      </w:r>
    </w:p>
    <w:bookmarkEnd w:id="2"/>
    <w:p w:rsidR="00D24EEE" w:rsidRDefault="000528C2" w:rsidP="00EA1006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r>
        <w:rPr>
          <w:noProof/>
          <w:color w:val="00457D"/>
          <w:lang w:eastAsia="it-IT"/>
        </w:rPr>
        <w:drawing>
          <wp:inline distT="0" distB="0" distL="0" distR="0">
            <wp:extent cx="4320000" cy="3863511"/>
            <wp:effectExtent l="0" t="0" r="4445" b="3810"/>
            <wp:docPr id="1" name="Immagine 1" descr="cid:image001.png@01D634C6.E3803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634C6.E3803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EEE" w:rsidSect="00940309">
      <w:headerReference w:type="default" r:id="rId14"/>
      <w:footerReference w:type="default" r:id="rId15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EA" w:rsidRDefault="008B5BEA">
      <w:pPr>
        <w:spacing w:after="0" w:line="240" w:lineRule="auto"/>
      </w:pPr>
      <w:r>
        <w:separator/>
      </w:r>
    </w:p>
  </w:endnote>
  <w:endnote w:type="continuationSeparator" w:id="0">
    <w:p w:rsidR="008B5BEA" w:rsidRDefault="008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Default="009E35CB">
    <w:pPr>
      <w:pStyle w:val="Pidipagina"/>
    </w:pPr>
  </w:p>
  <w:p w:rsidR="009E35CB" w:rsidRDefault="009E35CB">
    <w:pPr>
      <w:pStyle w:val="Pidipagina"/>
    </w:pPr>
  </w:p>
  <w:p w:rsidR="009E35CB" w:rsidRDefault="009E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EA" w:rsidRDefault="008B5BEA">
      <w:pPr>
        <w:spacing w:after="0" w:line="240" w:lineRule="auto"/>
      </w:pPr>
      <w:r>
        <w:separator/>
      </w:r>
    </w:p>
  </w:footnote>
  <w:footnote w:type="continuationSeparator" w:id="0">
    <w:p w:rsidR="008B5BEA" w:rsidRDefault="008B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Pr="007F63C2" w:rsidRDefault="009E35CB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01E"/>
    <w:multiLevelType w:val="hybridMultilevel"/>
    <w:tmpl w:val="65E6B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D653C"/>
    <w:multiLevelType w:val="hybridMultilevel"/>
    <w:tmpl w:val="E132CC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1"/>
  </w:num>
  <w:num w:numId="5">
    <w:abstractNumId w:val="27"/>
  </w:num>
  <w:num w:numId="6">
    <w:abstractNumId w:val="5"/>
  </w:num>
  <w:num w:numId="7">
    <w:abstractNumId w:val="9"/>
  </w:num>
  <w:num w:numId="8">
    <w:abstractNumId w:val="22"/>
  </w:num>
  <w:num w:numId="9">
    <w:abstractNumId w:val="7"/>
  </w:num>
  <w:num w:numId="10">
    <w:abstractNumId w:val="18"/>
  </w:num>
  <w:num w:numId="11">
    <w:abstractNumId w:val="13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21"/>
  </w:num>
  <w:num w:numId="18">
    <w:abstractNumId w:val="8"/>
  </w:num>
  <w:num w:numId="19">
    <w:abstractNumId w:val="26"/>
  </w:num>
  <w:num w:numId="20">
    <w:abstractNumId w:val="6"/>
  </w:num>
  <w:num w:numId="21">
    <w:abstractNumId w:val="25"/>
  </w:num>
  <w:num w:numId="22">
    <w:abstractNumId w:val="28"/>
  </w:num>
  <w:num w:numId="23">
    <w:abstractNumId w:val="30"/>
  </w:num>
  <w:num w:numId="24">
    <w:abstractNumId w:val="12"/>
  </w:num>
  <w:num w:numId="25">
    <w:abstractNumId w:val="14"/>
  </w:num>
  <w:num w:numId="26">
    <w:abstractNumId w:val="19"/>
  </w:num>
  <w:num w:numId="27">
    <w:abstractNumId w:val="29"/>
  </w:num>
  <w:num w:numId="28">
    <w:abstractNumId w:val="10"/>
  </w:num>
  <w:num w:numId="29">
    <w:abstractNumId w:val="23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7E2D"/>
    <w:rsid w:val="00010AEF"/>
    <w:rsid w:val="000171CE"/>
    <w:rsid w:val="000177CD"/>
    <w:rsid w:val="000179EC"/>
    <w:rsid w:val="000200E1"/>
    <w:rsid w:val="00023F18"/>
    <w:rsid w:val="00025A0F"/>
    <w:rsid w:val="00026DC0"/>
    <w:rsid w:val="000328C9"/>
    <w:rsid w:val="000528C2"/>
    <w:rsid w:val="000548AC"/>
    <w:rsid w:val="00055AA5"/>
    <w:rsid w:val="0005649A"/>
    <w:rsid w:val="00057675"/>
    <w:rsid w:val="00060A3C"/>
    <w:rsid w:val="000648AF"/>
    <w:rsid w:val="000713E0"/>
    <w:rsid w:val="00071F3F"/>
    <w:rsid w:val="00075811"/>
    <w:rsid w:val="00075B48"/>
    <w:rsid w:val="0007670E"/>
    <w:rsid w:val="00084C63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23AC"/>
    <w:rsid w:val="000B2A0D"/>
    <w:rsid w:val="000B6E50"/>
    <w:rsid w:val="000C0B0E"/>
    <w:rsid w:val="000C1EDD"/>
    <w:rsid w:val="000C22C6"/>
    <w:rsid w:val="000C2878"/>
    <w:rsid w:val="000D1769"/>
    <w:rsid w:val="000D6AC6"/>
    <w:rsid w:val="000E08D5"/>
    <w:rsid w:val="000E2B65"/>
    <w:rsid w:val="000E4C32"/>
    <w:rsid w:val="000F136B"/>
    <w:rsid w:val="000F23C9"/>
    <w:rsid w:val="000F2E5C"/>
    <w:rsid w:val="000F41B1"/>
    <w:rsid w:val="000F4E69"/>
    <w:rsid w:val="000F655E"/>
    <w:rsid w:val="000F6B97"/>
    <w:rsid w:val="000F7D28"/>
    <w:rsid w:val="000F7EE8"/>
    <w:rsid w:val="0010550E"/>
    <w:rsid w:val="001059AD"/>
    <w:rsid w:val="00113053"/>
    <w:rsid w:val="00123005"/>
    <w:rsid w:val="0012440D"/>
    <w:rsid w:val="00124E32"/>
    <w:rsid w:val="00126676"/>
    <w:rsid w:val="001305E0"/>
    <w:rsid w:val="001320B9"/>
    <w:rsid w:val="00133E24"/>
    <w:rsid w:val="001341D8"/>
    <w:rsid w:val="001408D2"/>
    <w:rsid w:val="00143377"/>
    <w:rsid w:val="00143BB8"/>
    <w:rsid w:val="00145AFE"/>
    <w:rsid w:val="00146588"/>
    <w:rsid w:val="00153115"/>
    <w:rsid w:val="00156186"/>
    <w:rsid w:val="00165363"/>
    <w:rsid w:val="00166D9E"/>
    <w:rsid w:val="00167922"/>
    <w:rsid w:val="0017590C"/>
    <w:rsid w:val="00183279"/>
    <w:rsid w:val="00183566"/>
    <w:rsid w:val="00186CF1"/>
    <w:rsid w:val="00187A0A"/>
    <w:rsid w:val="001A0964"/>
    <w:rsid w:val="001A25A5"/>
    <w:rsid w:val="001A3EC6"/>
    <w:rsid w:val="001A642A"/>
    <w:rsid w:val="001C07D8"/>
    <w:rsid w:val="001C3871"/>
    <w:rsid w:val="001D0755"/>
    <w:rsid w:val="001D1D83"/>
    <w:rsid w:val="001D59FE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48D2"/>
    <w:rsid w:val="001F69E0"/>
    <w:rsid w:val="00210F6C"/>
    <w:rsid w:val="00213097"/>
    <w:rsid w:val="002149D9"/>
    <w:rsid w:val="00217534"/>
    <w:rsid w:val="002205C9"/>
    <w:rsid w:val="00223CBF"/>
    <w:rsid w:val="00223FDE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76946"/>
    <w:rsid w:val="002813A7"/>
    <w:rsid w:val="002815AC"/>
    <w:rsid w:val="0028323F"/>
    <w:rsid w:val="002837E8"/>
    <w:rsid w:val="00284702"/>
    <w:rsid w:val="00287EB2"/>
    <w:rsid w:val="00293AFF"/>
    <w:rsid w:val="00296100"/>
    <w:rsid w:val="002A4E8D"/>
    <w:rsid w:val="002A59D9"/>
    <w:rsid w:val="002A5FA2"/>
    <w:rsid w:val="002B170F"/>
    <w:rsid w:val="002B2BF2"/>
    <w:rsid w:val="002B49E9"/>
    <w:rsid w:val="002C25F3"/>
    <w:rsid w:val="002D1FF6"/>
    <w:rsid w:val="002D559D"/>
    <w:rsid w:val="002D63E0"/>
    <w:rsid w:val="002D76E0"/>
    <w:rsid w:val="002E0DAB"/>
    <w:rsid w:val="002E182B"/>
    <w:rsid w:val="002E3119"/>
    <w:rsid w:val="002E61C9"/>
    <w:rsid w:val="002F0696"/>
    <w:rsid w:val="002F1137"/>
    <w:rsid w:val="00304BC8"/>
    <w:rsid w:val="00306D88"/>
    <w:rsid w:val="00317538"/>
    <w:rsid w:val="00317545"/>
    <w:rsid w:val="00320449"/>
    <w:rsid w:val="0032219D"/>
    <w:rsid w:val="00326A22"/>
    <w:rsid w:val="00327A82"/>
    <w:rsid w:val="00327AF6"/>
    <w:rsid w:val="00327D55"/>
    <w:rsid w:val="00327D6B"/>
    <w:rsid w:val="00330B57"/>
    <w:rsid w:val="0033740A"/>
    <w:rsid w:val="0034279E"/>
    <w:rsid w:val="00343D23"/>
    <w:rsid w:val="00345D05"/>
    <w:rsid w:val="0034652C"/>
    <w:rsid w:val="00350F01"/>
    <w:rsid w:val="003515F5"/>
    <w:rsid w:val="003522D4"/>
    <w:rsid w:val="00352733"/>
    <w:rsid w:val="00354764"/>
    <w:rsid w:val="00355D9B"/>
    <w:rsid w:val="003624F9"/>
    <w:rsid w:val="00363CCA"/>
    <w:rsid w:val="00370859"/>
    <w:rsid w:val="0037366F"/>
    <w:rsid w:val="00375555"/>
    <w:rsid w:val="0037631A"/>
    <w:rsid w:val="00376B13"/>
    <w:rsid w:val="00381F45"/>
    <w:rsid w:val="00384B1A"/>
    <w:rsid w:val="00384F8E"/>
    <w:rsid w:val="00387426"/>
    <w:rsid w:val="003944F4"/>
    <w:rsid w:val="0039540D"/>
    <w:rsid w:val="003A0175"/>
    <w:rsid w:val="003B4B8E"/>
    <w:rsid w:val="003B7ED5"/>
    <w:rsid w:val="003C3A9A"/>
    <w:rsid w:val="003C6EB4"/>
    <w:rsid w:val="003D1749"/>
    <w:rsid w:val="003D2181"/>
    <w:rsid w:val="003D5C6D"/>
    <w:rsid w:val="003E228A"/>
    <w:rsid w:val="003E318E"/>
    <w:rsid w:val="003E62A0"/>
    <w:rsid w:val="003F4964"/>
    <w:rsid w:val="003F5E91"/>
    <w:rsid w:val="003F66ED"/>
    <w:rsid w:val="003F7AAD"/>
    <w:rsid w:val="00400B49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B93"/>
    <w:rsid w:val="00455F70"/>
    <w:rsid w:val="00456FB9"/>
    <w:rsid w:val="00457A00"/>
    <w:rsid w:val="00460478"/>
    <w:rsid w:val="0046399E"/>
    <w:rsid w:val="004640C3"/>
    <w:rsid w:val="00467C46"/>
    <w:rsid w:val="004703BD"/>
    <w:rsid w:val="0047278C"/>
    <w:rsid w:val="00476F10"/>
    <w:rsid w:val="004805BB"/>
    <w:rsid w:val="00487DFA"/>
    <w:rsid w:val="00490381"/>
    <w:rsid w:val="00491917"/>
    <w:rsid w:val="00491B01"/>
    <w:rsid w:val="00494885"/>
    <w:rsid w:val="004A0133"/>
    <w:rsid w:val="004A574D"/>
    <w:rsid w:val="004B3D68"/>
    <w:rsid w:val="004C12A9"/>
    <w:rsid w:val="004C282E"/>
    <w:rsid w:val="004C3A9A"/>
    <w:rsid w:val="004C41A8"/>
    <w:rsid w:val="004C50A7"/>
    <w:rsid w:val="004D26DF"/>
    <w:rsid w:val="004D3455"/>
    <w:rsid w:val="004D6BE7"/>
    <w:rsid w:val="004E1A67"/>
    <w:rsid w:val="004E1AC9"/>
    <w:rsid w:val="004E7D1A"/>
    <w:rsid w:val="004F173B"/>
    <w:rsid w:val="004F2759"/>
    <w:rsid w:val="004F29CC"/>
    <w:rsid w:val="004F61AA"/>
    <w:rsid w:val="0050196C"/>
    <w:rsid w:val="00503976"/>
    <w:rsid w:val="005052B2"/>
    <w:rsid w:val="0051472F"/>
    <w:rsid w:val="005165ED"/>
    <w:rsid w:val="00521CAE"/>
    <w:rsid w:val="00523087"/>
    <w:rsid w:val="0052545F"/>
    <w:rsid w:val="00526F9F"/>
    <w:rsid w:val="00535B99"/>
    <w:rsid w:val="00546091"/>
    <w:rsid w:val="00547577"/>
    <w:rsid w:val="0054774F"/>
    <w:rsid w:val="005531F6"/>
    <w:rsid w:val="00557FAC"/>
    <w:rsid w:val="00565896"/>
    <w:rsid w:val="005721B6"/>
    <w:rsid w:val="00572631"/>
    <w:rsid w:val="00572B78"/>
    <w:rsid w:val="00582B47"/>
    <w:rsid w:val="005850C4"/>
    <w:rsid w:val="005879F9"/>
    <w:rsid w:val="00595C29"/>
    <w:rsid w:val="00596FA8"/>
    <w:rsid w:val="005A4C86"/>
    <w:rsid w:val="005A69DC"/>
    <w:rsid w:val="005B1EBE"/>
    <w:rsid w:val="005B67AE"/>
    <w:rsid w:val="005C08B9"/>
    <w:rsid w:val="005C092C"/>
    <w:rsid w:val="005C2A11"/>
    <w:rsid w:val="005C5D3F"/>
    <w:rsid w:val="005D08B3"/>
    <w:rsid w:val="005D2F9E"/>
    <w:rsid w:val="005D38E6"/>
    <w:rsid w:val="005E053F"/>
    <w:rsid w:val="005E3B63"/>
    <w:rsid w:val="005E3CCE"/>
    <w:rsid w:val="005E6366"/>
    <w:rsid w:val="005E6C0B"/>
    <w:rsid w:val="005F2CCF"/>
    <w:rsid w:val="005F5D57"/>
    <w:rsid w:val="005F6212"/>
    <w:rsid w:val="005F7A93"/>
    <w:rsid w:val="00604DAE"/>
    <w:rsid w:val="00612F59"/>
    <w:rsid w:val="00615B1C"/>
    <w:rsid w:val="0062113D"/>
    <w:rsid w:val="00622F59"/>
    <w:rsid w:val="00632682"/>
    <w:rsid w:val="006344FF"/>
    <w:rsid w:val="006347C6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72099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4E98"/>
    <w:rsid w:val="006D696D"/>
    <w:rsid w:val="006E02A4"/>
    <w:rsid w:val="006E2575"/>
    <w:rsid w:val="006E5D20"/>
    <w:rsid w:val="006F20F9"/>
    <w:rsid w:val="006F6445"/>
    <w:rsid w:val="00706AE0"/>
    <w:rsid w:val="00711A1B"/>
    <w:rsid w:val="00716D6F"/>
    <w:rsid w:val="00716E9B"/>
    <w:rsid w:val="00722642"/>
    <w:rsid w:val="00723A22"/>
    <w:rsid w:val="0072783E"/>
    <w:rsid w:val="00732E2F"/>
    <w:rsid w:val="0073695C"/>
    <w:rsid w:val="00742B69"/>
    <w:rsid w:val="00743648"/>
    <w:rsid w:val="0074492B"/>
    <w:rsid w:val="007456CB"/>
    <w:rsid w:val="007476C5"/>
    <w:rsid w:val="00752D57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242E"/>
    <w:rsid w:val="007A5918"/>
    <w:rsid w:val="007A5CE7"/>
    <w:rsid w:val="007A70DF"/>
    <w:rsid w:val="007B16AC"/>
    <w:rsid w:val="007B2B63"/>
    <w:rsid w:val="007C2BCE"/>
    <w:rsid w:val="007C3065"/>
    <w:rsid w:val="007C48EB"/>
    <w:rsid w:val="007C62A1"/>
    <w:rsid w:val="007D0C94"/>
    <w:rsid w:val="007D1284"/>
    <w:rsid w:val="007D7805"/>
    <w:rsid w:val="007E072D"/>
    <w:rsid w:val="007E2BA6"/>
    <w:rsid w:val="007E2C64"/>
    <w:rsid w:val="007E6483"/>
    <w:rsid w:val="00801134"/>
    <w:rsid w:val="00805F05"/>
    <w:rsid w:val="00807B71"/>
    <w:rsid w:val="00810724"/>
    <w:rsid w:val="00812008"/>
    <w:rsid w:val="00813DA2"/>
    <w:rsid w:val="00813FAA"/>
    <w:rsid w:val="00815132"/>
    <w:rsid w:val="00822659"/>
    <w:rsid w:val="0082682D"/>
    <w:rsid w:val="0083016D"/>
    <w:rsid w:val="00831ACF"/>
    <w:rsid w:val="0083350A"/>
    <w:rsid w:val="00834413"/>
    <w:rsid w:val="00835264"/>
    <w:rsid w:val="008376AC"/>
    <w:rsid w:val="0084002B"/>
    <w:rsid w:val="00840E9B"/>
    <w:rsid w:val="0084133F"/>
    <w:rsid w:val="00847D5B"/>
    <w:rsid w:val="008505F6"/>
    <w:rsid w:val="00851073"/>
    <w:rsid w:val="00852832"/>
    <w:rsid w:val="00854B36"/>
    <w:rsid w:val="00855916"/>
    <w:rsid w:val="0085734C"/>
    <w:rsid w:val="008613A9"/>
    <w:rsid w:val="00862990"/>
    <w:rsid w:val="00873715"/>
    <w:rsid w:val="00873E22"/>
    <w:rsid w:val="00877452"/>
    <w:rsid w:val="008822E7"/>
    <w:rsid w:val="00882A5C"/>
    <w:rsid w:val="00885C9E"/>
    <w:rsid w:val="00886B2E"/>
    <w:rsid w:val="00891E62"/>
    <w:rsid w:val="00893D88"/>
    <w:rsid w:val="00893E02"/>
    <w:rsid w:val="008957D2"/>
    <w:rsid w:val="00897116"/>
    <w:rsid w:val="008A0CE2"/>
    <w:rsid w:val="008A55F7"/>
    <w:rsid w:val="008A5BA9"/>
    <w:rsid w:val="008A6587"/>
    <w:rsid w:val="008A7176"/>
    <w:rsid w:val="008A7D9C"/>
    <w:rsid w:val="008B0AF2"/>
    <w:rsid w:val="008B1878"/>
    <w:rsid w:val="008B5BEA"/>
    <w:rsid w:val="008C1E01"/>
    <w:rsid w:val="008D2AAD"/>
    <w:rsid w:val="008E5187"/>
    <w:rsid w:val="008E6971"/>
    <w:rsid w:val="008F1612"/>
    <w:rsid w:val="008F4115"/>
    <w:rsid w:val="00900D84"/>
    <w:rsid w:val="00901A6B"/>
    <w:rsid w:val="00902148"/>
    <w:rsid w:val="0090383F"/>
    <w:rsid w:val="009049BC"/>
    <w:rsid w:val="00906C3E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6453"/>
    <w:rsid w:val="00940309"/>
    <w:rsid w:val="00941121"/>
    <w:rsid w:val="009435DE"/>
    <w:rsid w:val="00943DE0"/>
    <w:rsid w:val="00944EF6"/>
    <w:rsid w:val="00945A20"/>
    <w:rsid w:val="00945E9B"/>
    <w:rsid w:val="00945F54"/>
    <w:rsid w:val="00946221"/>
    <w:rsid w:val="009475F0"/>
    <w:rsid w:val="0095295F"/>
    <w:rsid w:val="00954287"/>
    <w:rsid w:val="00955E2A"/>
    <w:rsid w:val="00956331"/>
    <w:rsid w:val="0096461A"/>
    <w:rsid w:val="00967957"/>
    <w:rsid w:val="00974EC8"/>
    <w:rsid w:val="00975612"/>
    <w:rsid w:val="00984DF6"/>
    <w:rsid w:val="00990E18"/>
    <w:rsid w:val="009956AF"/>
    <w:rsid w:val="009A33DB"/>
    <w:rsid w:val="009A5293"/>
    <w:rsid w:val="009A64A5"/>
    <w:rsid w:val="009B0107"/>
    <w:rsid w:val="009B0507"/>
    <w:rsid w:val="009B314F"/>
    <w:rsid w:val="009B7B66"/>
    <w:rsid w:val="009B7EA6"/>
    <w:rsid w:val="009C113E"/>
    <w:rsid w:val="009C6BF7"/>
    <w:rsid w:val="009D022C"/>
    <w:rsid w:val="009D34A4"/>
    <w:rsid w:val="009D5834"/>
    <w:rsid w:val="009E01D0"/>
    <w:rsid w:val="009E0E19"/>
    <w:rsid w:val="009E1E52"/>
    <w:rsid w:val="009E35CB"/>
    <w:rsid w:val="009E6748"/>
    <w:rsid w:val="009F2B01"/>
    <w:rsid w:val="009F7BF1"/>
    <w:rsid w:val="00A012E9"/>
    <w:rsid w:val="00A05149"/>
    <w:rsid w:val="00A05DA4"/>
    <w:rsid w:val="00A10324"/>
    <w:rsid w:val="00A125C6"/>
    <w:rsid w:val="00A148E1"/>
    <w:rsid w:val="00A208E0"/>
    <w:rsid w:val="00A20C16"/>
    <w:rsid w:val="00A2329E"/>
    <w:rsid w:val="00A24080"/>
    <w:rsid w:val="00A245F6"/>
    <w:rsid w:val="00A26E17"/>
    <w:rsid w:val="00A32A97"/>
    <w:rsid w:val="00A33EF5"/>
    <w:rsid w:val="00A4164F"/>
    <w:rsid w:val="00A42648"/>
    <w:rsid w:val="00A42FDA"/>
    <w:rsid w:val="00A43C22"/>
    <w:rsid w:val="00A43D16"/>
    <w:rsid w:val="00A448FD"/>
    <w:rsid w:val="00A4525F"/>
    <w:rsid w:val="00A4555F"/>
    <w:rsid w:val="00A45A8E"/>
    <w:rsid w:val="00A46BA1"/>
    <w:rsid w:val="00A55C3B"/>
    <w:rsid w:val="00A60230"/>
    <w:rsid w:val="00A63180"/>
    <w:rsid w:val="00A651A2"/>
    <w:rsid w:val="00A6607A"/>
    <w:rsid w:val="00A67218"/>
    <w:rsid w:val="00A67B4E"/>
    <w:rsid w:val="00A8160A"/>
    <w:rsid w:val="00A833AA"/>
    <w:rsid w:val="00A86612"/>
    <w:rsid w:val="00A8692E"/>
    <w:rsid w:val="00A94901"/>
    <w:rsid w:val="00A953E6"/>
    <w:rsid w:val="00AA1769"/>
    <w:rsid w:val="00AA3B9C"/>
    <w:rsid w:val="00AA7482"/>
    <w:rsid w:val="00AB0CE2"/>
    <w:rsid w:val="00AB3B81"/>
    <w:rsid w:val="00AB7A6D"/>
    <w:rsid w:val="00AB7DBE"/>
    <w:rsid w:val="00AC1C3A"/>
    <w:rsid w:val="00AC2A51"/>
    <w:rsid w:val="00AC4710"/>
    <w:rsid w:val="00AD3147"/>
    <w:rsid w:val="00AD4714"/>
    <w:rsid w:val="00AD510C"/>
    <w:rsid w:val="00AD7137"/>
    <w:rsid w:val="00AD789C"/>
    <w:rsid w:val="00AE3EA3"/>
    <w:rsid w:val="00AF55DD"/>
    <w:rsid w:val="00AF71E2"/>
    <w:rsid w:val="00AF73D4"/>
    <w:rsid w:val="00B01615"/>
    <w:rsid w:val="00B021EA"/>
    <w:rsid w:val="00B04792"/>
    <w:rsid w:val="00B050EF"/>
    <w:rsid w:val="00B11737"/>
    <w:rsid w:val="00B15129"/>
    <w:rsid w:val="00B17140"/>
    <w:rsid w:val="00B2146C"/>
    <w:rsid w:val="00B23F66"/>
    <w:rsid w:val="00B24821"/>
    <w:rsid w:val="00B27A9C"/>
    <w:rsid w:val="00B36508"/>
    <w:rsid w:val="00B3670B"/>
    <w:rsid w:val="00B407AC"/>
    <w:rsid w:val="00B443D8"/>
    <w:rsid w:val="00B45494"/>
    <w:rsid w:val="00B47F95"/>
    <w:rsid w:val="00B552B6"/>
    <w:rsid w:val="00B639F9"/>
    <w:rsid w:val="00B65D9C"/>
    <w:rsid w:val="00B661A5"/>
    <w:rsid w:val="00B73CBB"/>
    <w:rsid w:val="00B76857"/>
    <w:rsid w:val="00B812D1"/>
    <w:rsid w:val="00B82B20"/>
    <w:rsid w:val="00B82FEA"/>
    <w:rsid w:val="00B8711E"/>
    <w:rsid w:val="00B92D75"/>
    <w:rsid w:val="00B95C5D"/>
    <w:rsid w:val="00BA08BE"/>
    <w:rsid w:val="00BA095D"/>
    <w:rsid w:val="00BA3016"/>
    <w:rsid w:val="00BA3DDE"/>
    <w:rsid w:val="00BA7AE5"/>
    <w:rsid w:val="00BB0200"/>
    <w:rsid w:val="00BB1A7D"/>
    <w:rsid w:val="00BB2E70"/>
    <w:rsid w:val="00BC1400"/>
    <w:rsid w:val="00BC29E2"/>
    <w:rsid w:val="00BC38FD"/>
    <w:rsid w:val="00BD12F3"/>
    <w:rsid w:val="00BD2441"/>
    <w:rsid w:val="00BD5E75"/>
    <w:rsid w:val="00BD618E"/>
    <w:rsid w:val="00BD689A"/>
    <w:rsid w:val="00BE037F"/>
    <w:rsid w:val="00BE2807"/>
    <w:rsid w:val="00BE42D2"/>
    <w:rsid w:val="00BF0218"/>
    <w:rsid w:val="00BF22E3"/>
    <w:rsid w:val="00BF55EA"/>
    <w:rsid w:val="00BF656A"/>
    <w:rsid w:val="00C01B35"/>
    <w:rsid w:val="00C024D8"/>
    <w:rsid w:val="00C1065A"/>
    <w:rsid w:val="00C12018"/>
    <w:rsid w:val="00C15FCE"/>
    <w:rsid w:val="00C249E7"/>
    <w:rsid w:val="00C276DD"/>
    <w:rsid w:val="00C35629"/>
    <w:rsid w:val="00C3563E"/>
    <w:rsid w:val="00C44FA0"/>
    <w:rsid w:val="00C4623F"/>
    <w:rsid w:val="00C46C3C"/>
    <w:rsid w:val="00C50340"/>
    <w:rsid w:val="00C6226B"/>
    <w:rsid w:val="00C64990"/>
    <w:rsid w:val="00C71643"/>
    <w:rsid w:val="00C7252C"/>
    <w:rsid w:val="00C83CAC"/>
    <w:rsid w:val="00C91496"/>
    <w:rsid w:val="00C9165C"/>
    <w:rsid w:val="00C93E25"/>
    <w:rsid w:val="00C97145"/>
    <w:rsid w:val="00CA461A"/>
    <w:rsid w:val="00CA64F5"/>
    <w:rsid w:val="00CA71BA"/>
    <w:rsid w:val="00CB5127"/>
    <w:rsid w:val="00CC4F6E"/>
    <w:rsid w:val="00CC6930"/>
    <w:rsid w:val="00CC76C8"/>
    <w:rsid w:val="00CD173C"/>
    <w:rsid w:val="00CD2388"/>
    <w:rsid w:val="00CD35D5"/>
    <w:rsid w:val="00CE02BB"/>
    <w:rsid w:val="00CE10AB"/>
    <w:rsid w:val="00CE6335"/>
    <w:rsid w:val="00CE71FC"/>
    <w:rsid w:val="00CF475E"/>
    <w:rsid w:val="00CF4849"/>
    <w:rsid w:val="00CF67D0"/>
    <w:rsid w:val="00CF77FD"/>
    <w:rsid w:val="00D06D81"/>
    <w:rsid w:val="00D10DBB"/>
    <w:rsid w:val="00D14A88"/>
    <w:rsid w:val="00D14FA1"/>
    <w:rsid w:val="00D152EE"/>
    <w:rsid w:val="00D17AA3"/>
    <w:rsid w:val="00D218D6"/>
    <w:rsid w:val="00D22DB3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3A14"/>
    <w:rsid w:val="00D648FE"/>
    <w:rsid w:val="00D67259"/>
    <w:rsid w:val="00D70181"/>
    <w:rsid w:val="00D7556D"/>
    <w:rsid w:val="00D75B91"/>
    <w:rsid w:val="00D77456"/>
    <w:rsid w:val="00D80343"/>
    <w:rsid w:val="00D81C78"/>
    <w:rsid w:val="00D8774A"/>
    <w:rsid w:val="00D90AB3"/>
    <w:rsid w:val="00D914F7"/>
    <w:rsid w:val="00D932BA"/>
    <w:rsid w:val="00D96620"/>
    <w:rsid w:val="00DA1BAE"/>
    <w:rsid w:val="00DB46D4"/>
    <w:rsid w:val="00DC3221"/>
    <w:rsid w:val="00DC4DE7"/>
    <w:rsid w:val="00DD0598"/>
    <w:rsid w:val="00DD24D5"/>
    <w:rsid w:val="00DD5296"/>
    <w:rsid w:val="00DE42BF"/>
    <w:rsid w:val="00DE6438"/>
    <w:rsid w:val="00DF1142"/>
    <w:rsid w:val="00DF1BD5"/>
    <w:rsid w:val="00DF33AF"/>
    <w:rsid w:val="00DF7EF2"/>
    <w:rsid w:val="00E0214D"/>
    <w:rsid w:val="00E025AE"/>
    <w:rsid w:val="00E02ACD"/>
    <w:rsid w:val="00E04696"/>
    <w:rsid w:val="00E1162E"/>
    <w:rsid w:val="00E13674"/>
    <w:rsid w:val="00E15139"/>
    <w:rsid w:val="00E153B6"/>
    <w:rsid w:val="00E16D9B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211E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5700A"/>
    <w:rsid w:val="00E6154F"/>
    <w:rsid w:val="00E74431"/>
    <w:rsid w:val="00E766DD"/>
    <w:rsid w:val="00E81093"/>
    <w:rsid w:val="00E81B54"/>
    <w:rsid w:val="00E84BEF"/>
    <w:rsid w:val="00E861DE"/>
    <w:rsid w:val="00E92498"/>
    <w:rsid w:val="00E92D33"/>
    <w:rsid w:val="00E95189"/>
    <w:rsid w:val="00EA1006"/>
    <w:rsid w:val="00EA2F90"/>
    <w:rsid w:val="00EA4E3A"/>
    <w:rsid w:val="00EA6343"/>
    <w:rsid w:val="00EB3915"/>
    <w:rsid w:val="00EC3C73"/>
    <w:rsid w:val="00EC7463"/>
    <w:rsid w:val="00EC7DB3"/>
    <w:rsid w:val="00ED0012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00C4"/>
    <w:rsid w:val="00F02F06"/>
    <w:rsid w:val="00F072AF"/>
    <w:rsid w:val="00F10001"/>
    <w:rsid w:val="00F16223"/>
    <w:rsid w:val="00F25F97"/>
    <w:rsid w:val="00F348D4"/>
    <w:rsid w:val="00F37E81"/>
    <w:rsid w:val="00F4306A"/>
    <w:rsid w:val="00F432D2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76F6"/>
    <w:rsid w:val="00F90BF9"/>
    <w:rsid w:val="00F94702"/>
    <w:rsid w:val="00F95A9B"/>
    <w:rsid w:val="00F96039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E25D1"/>
    <w:rsid w:val="00FE3A84"/>
    <w:rsid w:val="00FE4936"/>
    <w:rsid w:val="00FE6830"/>
    <w:rsid w:val="00FF02D1"/>
    <w:rsid w:val="00FF131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DF4C"/>
  <w15:docId w15:val="{810A826F-BAD7-4BCC-9E4C-BE8FD44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cid:image001.png@01D634C6.E3803ED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3457.0B74EE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4752-A03D-4852-AB55-C36289C4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3</cp:revision>
  <dcterms:created xsi:type="dcterms:W3CDTF">2020-05-28T06:44:00Z</dcterms:created>
  <dcterms:modified xsi:type="dcterms:W3CDTF">2020-05-28T07:35:00Z</dcterms:modified>
</cp:coreProperties>
</file>