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C577" w14:textId="77777777"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51AD2698" w14:textId="0A57EAD4" w:rsidR="001A41FE" w:rsidRDefault="00E85335" w:rsidP="001A41FE">
      <w:pPr>
        <w:spacing w:after="120"/>
        <w:jc w:val="center"/>
        <w:rPr>
          <w:b/>
          <w:sz w:val="36"/>
          <w:szCs w:val="36"/>
          <w:lang w:eastAsia="it-IT"/>
        </w:rPr>
      </w:pPr>
      <w:r>
        <w:rPr>
          <w:b/>
          <w:sz w:val="36"/>
          <w:szCs w:val="36"/>
          <w:lang w:eastAsia="it-IT"/>
        </w:rPr>
        <w:t xml:space="preserve">CORONAVIRUS, </w:t>
      </w:r>
      <w:r w:rsidR="00D669DC" w:rsidRPr="00D669DC">
        <w:rPr>
          <w:b/>
          <w:sz w:val="36"/>
          <w:szCs w:val="36"/>
          <w:lang w:eastAsia="it-IT"/>
        </w:rPr>
        <w:t>TAMPONI</w:t>
      </w:r>
      <w:r w:rsidR="00BD669C">
        <w:rPr>
          <w:b/>
          <w:sz w:val="36"/>
          <w:szCs w:val="36"/>
          <w:lang w:eastAsia="it-IT"/>
        </w:rPr>
        <w:t>:</w:t>
      </w:r>
      <w:r w:rsidR="00D669DC">
        <w:rPr>
          <w:b/>
          <w:sz w:val="36"/>
          <w:szCs w:val="36"/>
          <w:lang w:eastAsia="it-IT"/>
        </w:rPr>
        <w:t xml:space="preserve"> </w:t>
      </w:r>
      <w:r w:rsidR="003F68C4">
        <w:rPr>
          <w:b/>
          <w:sz w:val="36"/>
          <w:szCs w:val="36"/>
          <w:lang w:eastAsia="it-IT"/>
        </w:rPr>
        <w:t xml:space="preserve">TALLONE D’ACHILLE </w:t>
      </w:r>
      <w:r w:rsidR="00914EF8">
        <w:rPr>
          <w:b/>
          <w:sz w:val="36"/>
          <w:szCs w:val="36"/>
          <w:lang w:eastAsia="it-IT"/>
        </w:rPr>
        <w:t xml:space="preserve">DELLE STRATEGIE </w:t>
      </w:r>
      <w:r w:rsidR="00F50BE7">
        <w:rPr>
          <w:b/>
          <w:sz w:val="36"/>
          <w:szCs w:val="36"/>
          <w:lang w:eastAsia="it-IT"/>
        </w:rPr>
        <w:t>PER PREVENIRE LA</w:t>
      </w:r>
      <w:r w:rsidR="003F68C4">
        <w:rPr>
          <w:b/>
          <w:sz w:val="36"/>
          <w:szCs w:val="36"/>
          <w:lang w:eastAsia="it-IT"/>
        </w:rPr>
        <w:t xml:space="preserve"> </w:t>
      </w:r>
      <w:r w:rsidR="00F50BE7">
        <w:rPr>
          <w:b/>
          <w:sz w:val="36"/>
          <w:szCs w:val="36"/>
          <w:lang w:eastAsia="it-IT"/>
        </w:rPr>
        <w:t>SECONDA ONDATA</w:t>
      </w:r>
    </w:p>
    <w:p w14:paraId="7AAE702E" w14:textId="32ABF0C1" w:rsidR="001F31DC" w:rsidRPr="009D4B7A" w:rsidRDefault="00E607FC" w:rsidP="001A41FE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>DAVANTI ALL’IMPENNATA DE</w:t>
      </w:r>
      <w:r w:rsidR="003F68C4">
        <w:rPr>
          <w:b/>
          <w:sz w:val="23"/>
          <w:szCs w:val="23"/>
          <w:lang w:eastAsia="it-IT"/>
        </w:rPr>
        <w:t xml:space="preserve">I CASI </w:t>
      </w:r>
      <w:r w:rsidR="00A77EF6">
        <w:rPr>
          <w:b/>
          <w:sz w:val="23"/>
          <w:szCs w:val="23"/>
          <w:lang w:eastAsia="it-IT"/>
        </w:rPr>
        <w:t>NUOVE RESTRIZIONI DAL GOVERNO CHE CHIEDE</w:t>
      </w:r>
      <w:r>
        <w:rPr>
          <w:b/>
          <w:sz w:val="23"/>
          <w:szCs w:val="23"/>
          <w:lang w:eastAsia="it-IT"/>
        </w:rPr>
        <w:t xml:space="preserve"> ANCORA UNA VOLTA SACRIFICI AI CITTADINI. </w:t>
      </w:r>
      <w:r w:rsidR="00F50BE7">
        <w:rPr>
          <w:b/>
          <w:sz w:val="23"/>
          <w:szCs w:val="23"/>
          <w:lang w:eastAsia="it-IT"/>
        </w:rPr>
        <w:t xml:space="preserve">TUTTAVIA </w:t>
      </w:r>
      <w:r w:rsidR="003F68C4">
        <w:rPr>
          <w:b/>
          <w:sz w:val="23"/>
          <w:szCs w:val="23"/>
          <w:lang w:eastAsia="it-IT"/>
        </w:rPr>
        <w:t xml:space="preserve">LA FONDAZIONE GIMBE DOCUMENTA CHE NELLA FASE DI LENTA RISALITA DEI CONTAGI </w:t>
      </w:r>
      <w:r w:rsidR="00A77EF6">
        <w:rPr>
          <w:b/>
          <w:sz w:val="23"/>
          <w:szCs w:val="23"/>
          <w:lang w:eastAsia="it-IT"/>
        </w:rPr>
        <w:t xml:space="preserve">I SERVIZI </w:t>
      </w:r>
      <w:r w:rsidR="00A75002">
        <w:rPr>
          <w:b/>
          <w:sz w:val="23"/>
          <w:szCs w:val="23"/>
          <w:lang w:eastAsia="it-IT"/>
        </w:rPr>
        <w:t>SAN</w:t>
      </w:r>
      <w:r w:rsidR="00914EF8">
        <w:rPr>
          <w:b/>
          <w:sz w:val="23"/>
          <w:szCs w:val="23"/>
          <w:lang w:eastAsia="it-IT"/>
        </w:rPr>
        <w:t>I</w:t>
      </w:r>
      <w:r w:rsidR="00A75002">
        <w:rPr>
          <w:b/>
          <w:sz w:val="23"/>
          <w:szCs w:val="23"/>
          <w:lang w:eastAsia="it-IT"/>
        </w:rPr>
        <w:t xml:space="preserve">TARI </w:t>
      </w:r>
      <w:r w:rsidR="00A77EF6">
        <w:rPr>
          <w:b/>
          <w:sz w:val="23"/>
          <w:szCs w:val="23"/>
          <w:lang w:eastAsia="it-IT"/>
        </w:rPr>
        <w:t xml:space="preserve">TERRITORIALI, NONOSTANTE LE RISORSE </w:t>
      </w:r>
      <w:r w:rsidR="005B11CA">
        <w:rPr>
          <w:b/>
          <w:sz w:val="23"/>
          <w:szCs w:val="23"/>
          <w:lang w:eastAsia="it-IT"/>
        </w:rPr>
        <w:t xml:space="preserve">ASSEGNATE DAL </w:t>
      </w:r>
      <w:r w:rsidR="00A77EF6">
        <w:rPr>
          <w:b/>
          <w:sz w:val="23"/>
          <w:szCs w:val="23"/>
          <w:lang w:eastAsia="it-IT"/>
        </w:rPr>
        <w:t xml:space="preserve">DECRETO RILANCIO, NON SONO </w:t>
      </w:r>
      <w:r w:rsidR="00F17813">
        <w:rPr>
          <w:b/>
          <w:sz w:val="23"/>
          <w:szCs w:val="23"/>
          <w:lang w:eastAsia="it-IT"/>
        </w:rPr>
        <w:t>STATI POTENZIATI</w:t>
      </w:r>
      <w:r w:rsidR="003F68C4">
        <w:rPr>
          <w:b/>
          <w:sz w:val="23"/>
          <w:szCs w:val="23"/>
          <w:lang w:eastAsia="it-IT"/>
        </w:rPr>
        <w:t xml:space="preserve"> NELLE CAPACITÀ DI TESTING &amp; TRACING</w:t>
      </w:r>
      <w:r w:rsidR="00F17813">
        <w:rPr>
          <w:b/>
          <w:sz w:val="23"/>
          <w:szCs w:val="23"/>
          <w:lang w:eastAsia="it-IT"/>
        </w:rPr>
        <w:t xml:space="preserve">. </w:t>
      </w:r>
      <w:r w:rsidR="003F68C4">
        <w:rPr>
          <w:b/>
          <w:sz w:val="23"/>
          <w:szCs w:val="23"/>
          <w:lang w:eastAsia="it-IT"/>
        </w:rPr>
        <w:t xml:space="preserve">E </w:t>
      </w:r>
      <w:r w:rsidR="00A75002">
        <w:rPr>
          <w:b/>
          <w:sz w:val="23"/>
          <w:szCs w:val="23"/>
          <w:lang w:eastAsia="it-IT"/>
        </w:rPr>
        <w:t xml:space="preserve">ORA, </w:t>
      </w:r>
      <w:r w:rsidR="003F68C4">
        <w:rPr>
          <w:b/>
          <w:sz w:val="23"/>
          <w:szCs w:val="23"/>
          <w:lang w:eastAsia="it-IT"/>
        </w:rPr>
        <w:t>CON L’AUMENTO DEI CASI</w:t>
      </w:r>
      <w:r w:rsidR="00A75002">
        <w:rPr>
          <w:b/>
          <w:sz w:val="23"/>
          <w:szCs w:val="23"/>
          <w:lang w:eastAsia="it-IT"/>
        </w:rPr>
        <w:t>,</w:t>
      </w:r>
      <w:r w:rsidR="003F68C4">
        <w:rPr>
          <w:b/>
          <w:sz w:val="23"/>
          <w:szCs w:val="23"/>
          <w:lang w:eastAsia="it-IT"/>
        </w:rPr>
        <w:t xml:space="preserve"> IN ALCUNE REGIONI </w:t>
      </w:r>
      <w:r w:rsidR="00914EF8">
        <w:rPr>
          <w:b/>
          <w:sz w:val="23"/>
          <w:szCs w:val="23"/>
          <w:lang w:eastAsia="it-IT"/>
        </w:rPr>
        <w:t xml:space="preserve">IL </w:t>
      </w:r>
      <w:r w:rsidR="00A77EF6">
        <w:rPr>
          <w:b/>
          <w:sz w:val="23"/>
          <w:szCs w:val="23"/>
          <w:lang w:eastAsia="it-IT"/>
        </w:rPr>
        <w:t>SOVRACCARICO</w:t>
      </w:r>
      <w:r w:rsidR="003F68C4">
        <w:rPr>
          <w:b/>
          <w:sz w:val="23"/>
          <w:szCs w:val="23"/>
          <w:lang w:eastAsia="it-IT"/>
        </w:rPr>
        <w:t xml:space="preserve"> SI RIFLETTE SULL’INCREM</w:t>
      </w:r>
      <w:r w:rsidR="005E6F27">
        <w:rPr>
          <w:b/>
          <w:sz w:val="23"/>
          <w:szCs w:val="23"/>
          <w:lang w:eastAsia="it-IT"/>
        </w:rPr>
        <w:t xml:space="preserve">ENTO DEI </w:t>
      </w:r>
      <w:r w:rsidR="00F50BE7">
        <w:rPr>
          <w:b/>
          <w:sz w:val="23"/>
          <w:szCs w:val="23"/>
          <w:lang w:eastAsia="it-IT"/>
        </w:rPr>
        <w:t>RICOVERI</w:t>
      </w:r>
      <w:r w:rsidR="005E6F27">
        <w:rPr>
          <w:b/>
          <w:sz w:val="23"/>
          <w:szCs w:val="23"/>
          <w:lang w:eastAsia="it-IT"/>
        </w:rPr>
        <w:t>. NONOSTANTE L’APPARENTE POTENZIAMENTO DOVUTO ALLE NUOVE MISURE, IL NUMERO DI TAMPONI RIMANE ANCORA LARGAMENTE INSUFFICIENTE.</w:t>
      </w:r>
    </w:p>
    <w:p w14:paraId="1112822F" w14:textId="77777777" w:rsidR="00B443D8" w:rsidRPr="00734A61" w:rsidRDefault="00F50BE7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13</w:t>
      </w:r>
      <w:r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95DA9" w:rsidRPr="00734A61">
        <w:rPr>
          <w:rFonts w:ascii="Calibri" w:eastAsia="Calibri" w:hAnsi="Calibri" w:cs="Times New Roman"/>
          <w:b/>
          <w:bCs/>
          <w:sz w:val="24"/>
          <w:szCs w:val="24"/>
        </w:rPr>
        <w:t>ottobre</w:t>
      </w:r>
      <w:r w:rsidR="00404ACE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734A61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14:paraId="0E190717" w14:textId="77777777" w:rsidR="003F68C4" w:rsidRDefault="00E9222F" w:rsidP="00EC6CAA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L’impennata dei nuovi casi </w:t>
      </w:r>
      <w:r w:rsidR="007F7255">
        <w:rPr>
          <w:lang w:eastAsia="it-IT"/>
        </w:rPr>
        <w:t>dell’ultima settimana</w:t>
      </w:r>
      <w:r>
        <w:rPr>
          <w:lang w:eastAsia="it-IT"/>
        </w:rPr>
        <w:t xml:space="preserve">, </w:t>
      </w:r>
      <w:r w:rsidR="001A41FE">
        <w:rPr>
          <w:lang w:eastAsia="it-IT"/>
        </w:rPr>
        <w:t xml:space="preserve">quasi </w:t>
      </w:r>
      <w:r>
        <w:rPr>
          <w:lang w:eastAsia="it-IT"/>
        </w:rPr>
        <w:t xml:space="preserve">raddoppiati </w:t>
      </w:r>
      <w:r w:rsidRPr="001A41FE">
        <w:rPr>
          <w:lang w:eastAsia="it-IT"/>
        </w:rPr>
        <w:t>ri</w:t>
      </w:r>
      <w:r>
        <w:rPr>
          <w:lang w:eastAsia="it-IT"/>
        </w:rPr>
        <w:t>spetto a</w:t>
      </w:r>
      <w:r w:rsidR="001A41FE">
        <w:rPr>
          <w:lang w:eastAsia="it-IT"/>
        </w:rPr>
        <w:t>lla</w:t>
      </w:r>
      <w:r>
        <w:rPr>
          <w:lang w:eastAsia="it-IT"/>
        </w:rPr>
        <w:t xml:space="preserve"> precedente</w:t>
      </w:r>
      <w:r w:rsidR="00CC0AE6">
        <w:rPr>
          <w:lang w:eastAsia="it-IT"/>
        </w:rPr>
        <w:t xml:space="preserve"> </w:t>
      </w:r>
      <w:r w:rsidR="00CC0AE6" w:rsidRPr="001A41FE">
        <w:rPr>
          <w:lang w:eastAsia="it-IT"/>
        </w:rPr>
        <w:t>(29.621 vs 15.459)</w:t>
      </w:r>
      <w:r w:rsidR="007F7255">
        <w:rPr>
          <w:lang w:eastAsia="it-IT"/>
        </w:rPr>
        <w:t>,</w:t>
      </w:r>
      <w:r>
        <w:rPr>
          <w:lang w:eastAsia="it-IT"/>
        </w:rPr>
        <w:t xml:space="preserve"> ha</w:t>
      </w:r>
      <w:r w:rsidR="00D669DC">
        <w:rPr>
          <w:lang w:eastAsia="it-IT"/>
        </w:rPr>
        <w:t xml:space="preserve"> </w:t>
      </w:r>
      <w:r w:rsidR="00CC0AE6">
        <w:rPr>
          <w:lang w:eastAsia="it-IT"/>
        </w:rPr>
        <w:t xml:space="preserve">spinto </w:t>
      </w:r>
      <w:r w:rsidR="001A41FE">
        <w:rPr>
          <w:lang w:eastAsia="it-IT"/>
        </w:rPr>
        <w:t xml:space="preserve">il Governo </w:t>
      </w:r>
      <w:r w:rsidR="00A75002">
        <w:rPr>
          <w:lang w:eastAsia="it-IT"/>
        </w:rPr>
        <w:t>a prendere provvedimenti</w:t>
      </w:r>
      <w:r w:rsidR="001A41FE">
        <w:rPr>
          <w:lang w:eastAsia="it-IT"/>
        </w:rPr>
        <w:t xml:space="preserve"> </w:t>
      </w:r>
      <w:r w:rsidR="00D669DC">
        <w:rPr>
          <w:lang w:eastAsia="it-IT"/>
        </w:rPr>
        <w:t>per tentare di arginare la nuova ondata di contagi</w:t>
      </w:r>
      <w:r w:rsidR="00BE4794">
        <w:rPr>
          <w:lang w:eastAsia="it-IT"/>
        </w:rPr>
        <w:t>. D</w:t>
      </w:r>
      <w:r w:rsidR="00CC0AE6">
        <w:rPr>
          <w:lang w:eastAsia="it-IT"/>
        </w:rPr>
        <w:t>a un lato</w:t>
      </w:r>
      <w:r w:rsidR="003F68C4">
        <w:rPr>
          <w:lang w:eastAsia="it-IT"/>
        </w:rPr>
        <w:t xml:space="preserve"> le misure restrittive previste dal nuovo DPCM, </w:t>
      </w:r>
      <w:r w:rsidR="00CC0AE6">
        <w:rPr>
          <w:lang w:eastAsia="it-IT"/>
        </w:rPr>
        <w:t>dall’altro</w:t>
      </w:r>
      <w:r w:rsidR="00F17813">
        <w:rPr>
          <w:lang w:eastAsia="it-IT"/>
        </w:rPr>
        <w:t xml:space="preserve"> </w:t>
      </w:r>
      <w:r w:rsidR="003F68C4">
        <w:rPr>
          <w:lang w:eastAsia="it-IT"/>
        </w:rPr>
        <w:t xml:space="preserve">quelle </w:t>
      </w:r>
      <w:r w:rsidR="00F17813">
        <w:rPr>
          <w:lang w:eastAsia="it-IT"/>
        </w:rPr>
        <w:t xml:space="preserve">sanitarie </w:t>
      </w:r>
      <w:r w:rsidR="003F68C4">
        <w:rPr>
          <w:lang w:eastAsia="it-IT"/>
        </w:rPr>
        <w:t xml:space="preserve">incluse </w:t>
      </w:r>
      <w:r w:rsidR="003F68C4" w:rsidRPr="00BE4794">
        <w:rPr>
          <w:lang w:eastAsia="it-IT"/>
        </w:rPr>
        <w:t>ne</w:t>
      </w:r>
      <w:r w:rsidR="00F17813" w:rsidRPr="00BE4794">
        <w:rPr>
          <w:lang w:eastAsia="it-IT"/>
        </w:rPr>
        <w:t>ll</w:t>
      </w:r>
      <w:r w:rsidR="00CC0AE6" w:rsidRPr="00BE4794">
        <w:rPr>
          <w:lang w:eastAsia="it-IT"/>
        </w:rPr>
        <w:t>’</w:t>
      </w:r>
      <w:hyperlink r:id="rId8" w:history="1">
        <w:r w:rsidR="00CC0AE6" w:rsidRPr="00BE4794">
          <w:rPr>
            <w:rStyle w:val="Collegamentoipertestuale"/>
            <w:color w:val="auto"/>
            <w:u w:val="none"/>
            <w:lang w:eastAsia="it-IT"/>
          </w:rPr>
          <w:t xml:space="preserve">ultima </w:t>
        </w:r>
        <w:r w:rsidR="00F17813" w:rsidRPr="00BE4794">
          <w:rPr>
            <w:rStyle w:val="Collegamentoipertestuale"/>
            <w:color w:val="auto"/>
            <w:u w:val="none"/>
            <w:lang w:eastAsia="it-IT"/>
          </w:rPr>
          <w:t>circolare del Ministero della Salute</w:t>
        </w:r>
      </w:hyperlink>
      <w:r w:rsidR="00F17813">
        <w:rPr>
          <w:lang w:eastAsia="it-IT"/>
        </w:rPr>
        <w:t xml:space="preserve"> “</w:t>
      </w:r>
      <w:hyperlink r:id="rId9" w:history="1">
        <w:r w:rsidR="00F17813" w:rsidRPr="00F17813">
          <w:rPr>
            <w:rStyle w:val="Collegamentoipertestuale"/>
            <w:lang w:eastAsia="it-IT"/>
          </w:rPr>
          <w:t>Prevenzione e risposta a COVID-19: evoluzione della strategia e pianificazione nella fase di transizione per il periodo autunno-invernale</w:t>
        </w:r>
      </w:hyperlink>
      <w:r w:rsidR="003F68C4">
        <w:rPr>
          <w:lang w:eastAsia="it-IT"/>
        </w:rPr>
        <w:t>”</w:t>
      </w:r>
      <w:r w:rsidR="00F17813">
        <w:rPr>
          <w:lang w:eastAsia="it-IT"/>
        </w:rPr>
        <w:t>.</w:t>
      </w:r>
      <w:r w:rsidR="003F68C4">
        <w:rPr>
          <w:lang w:eastAsia="it-IT"/>
        </w:rPr>
        <w:t xml:space="preserve"> Si tratta di un piano molto articolato che delinea quattro scenari</w:t>
      </w:r>
      <w:r w:rsidR="003F68C4" w:rsidRPr="003F68C4">
        <w:rPr>
          <w:lang w:eastAsia="it-IT"/>
        </w:rPr>
        <w:t xml:space="preserve"> di evoluzione dell’epidemia</w:t>
      </w:r>
      <w:r w:rsidR="003F68C4">
        <w:rPr>
          <w:lang w:eastAsia="it-IT"/>
        </w:rPr>
        <w:t xml:space="preserve"> in relazione a diversi </w:t>
      </w:r>
      <w:r w:rsidR="003F68C4" w:rsidRPr="003F68C4">
        <w:rPr>
          <w:lang w:eastAsia="it-IT"/>
        </w:rPr>
        <w:t xml:space="preserve">livelli di rischio e </w:t>
      </w:r>
      <w:r w:rsidR="00A75002">
        <w:rPr>
          <w:lang w:eastAsia="it-IT"/>
        </w:rPr>
        <w:t xml:space="preserve">le </w:t>
      </w:r>
      <w:r w:rsidR="003F68C4" w:rsidRPr="003F68C4">
        <w:rPr>
          <w:lang w:eastAsia="it-IT"/>
        </w:rPr>
        <w:t>conseguenti misure</w:t>
      </w:r>
      <w:r w:rsidR="003F68C4">
        <w:rPr>
          <w:lang w:eastAsia="it-IT"/>
        </w:rPr>
        <w:t>,</w:t>
      </w:r>
      <w:r w:rsidR="003F68C4" w:rsidRPr="003F68C4">
        <w:rPr>
          <w:lang w:eastAsia="it-IT"/>
        </w:rPr>
        <w:t xml:space="preserve"> che </w:t>
      </w:r>
      <w:r w:rsidR="003F68C4">
        <w:rPr>
          <w:lang w:eastAsia="it-IT"/>
        </w:rPr>
        <w:t xml:space="preserve">nello scenario peggiore prevedono </w:t>
      </w:r>
      <w:r w:rsidR="003F68C4" w:rsidRPr="003F68C4">
        <w:rPr>
          <w:lang w:eastAsia="it-IT"/>
        </w:rPr>
        <w:t xml:space="preserve">un nuovo </w:t>
      </w:r>
      <w:proofErr w:type="spellStart"/>
      <w:r w:rsidR="003F68C4" w:rsidRPr="003F68C4">
        <w:rPr>
          <w:lang w:eastAsia="it-IT"/>
        </w:rPr>
        <w:t>lockdown</w:t>
      </w:r>
      <w:proofErr w:type="spellEnd"/>
      <w:r w:rsidR="003F68C4" w:rsidRPr="003F68C4">
        <w:rPr>
          <w:lang w:eastAsia="it-IT"/>
        </w:rPr>
        <w:t xml:space="preserve"> nazionale.</w:t>
      </w:r>
    </w:p>
    <w:p w14:paraId="7131B1CD" w14:textId="77777777" w:rsidR="000D3072" w:rsidRDefault="004E2BEB" w:rsidP="004E2BEB">
      <w:pPr>
        <w:spacing w:after="120"/>
        <w:jc w:val="both"/>
      </w:pPr>
      <w:r w:rsidRPr="00734A61">
        <w:t>«</w:t>
      </w:r>
      <w:r>
        <w:t xml:space="preserve">In un momento cruciale </w:t>
      </w:r>
      <w:r w:rsidR="000D3072">
        <w:t xml:space="preserve">per </w:t>
      </w:r>
      <w:r w:rsidR="007F7255">
        <w:t xml:space="preserve">l’evoluzione del quadro epidemico e, di fatto, per il futuro del Paese, </w:t>
      </w:r>
      <w:r w:rsidR="000D3072">
        <w:t xml:space="preserve">la Fondazione GIMBE </w:t>
      </w:r>
      <w:r w:rsidRPr="00734A61">
        <w:t xml:space="preserve">– afferma </w:t>
      </w:r>
      <w:r>
        <w:t xml:space="preserve">il Presidente </w:t>
      </w:r>
      <w:r w:rsidRPr="00734A61">
        <w:t>Nino Cartabellotta</w:t>
      </w:r>
      <w:r>
        <w:t xml:space="preserve"> </w:t>
      </w:r>
      <w:r w:rsidRPr="00734A61">
        <w:t>–</w:t>
      </w:r>
      <w:r w:rsidR="003B6601">
        <w:t xml:space="preserve"> </w:t>
      </w:r>
      <w:r w:rsidR="007F7255">
        <w:t>impegnata nel monitoraggio</w:t>
      </w:r>
      <w:r w:rsidR="000D3072">
        <w:t xml:space="preserve"> indipendente </w:t>
      </w:r>
      <w:r w:rsidR="007F7255">
        <w:t>della</w:t>
      </w:r>
      <w:r w:rsidR="000D3072">
        <w:t xml:space="preserve"> pandemia sin </w:t>
      </w:r>
      <w:r w:rsidR="007F7255">
        <w:t>dal suo esordio</w:t>
      </w:r>
      <w:r w:rsidR="000D3072">
        <w:t xml:space="preserve">, </w:t>
      </w:r>
      <w:r w:rsidR="00D669DC">
        <w:t xml:space="preserve">sente </w:t>
      </w:r>
      <w:r w:rsidR="007F7255">
        <w:t xml:space="preserve">il dovere civico </w:t>
      </w:r>
      <w:r w:rsidR="007D16D6">
        <w:t xml:space="preserve">di </w:t>
      </w:r>
      <w:r w:rsidR="005B616D">
        <w:t xml:space="preserve">analizzare numeri e dinamiche </w:t>
      </w:r>
      <w:r w:rsidR="00200F8C">
        <w:t xml:space="preserve">che </w:t>
      </w:r>
      <w:r w:rsidR="00B373D7">
        <w:t>indicano nel</w:t>
      </w:r>
      <w:r w:rsidR="005B616D">
        <w:t>l’insufficiente capacità di tracciamento</w:t>
      </w:r>
      <w:r w:rsidR="00934E3A">
        <w:t xml:space="preserve"> dei nuovi casi </w:t>
      </w:r>
      <w:r w:rsidR="00B373D7">
        <w:t xml:space="preserve">una delle </w:t>
      </w:r>
      <w:r w:rsidR="00BE4794">
        <w:t xml:space="preserve">determinanti </w:t>
      </w:r>
      <w:r w:rsidR="00B373D7">
        <w:t>del</w:t>
      </w:r>
      <w:r w:rsidR="00BE4794">
        <w:t xml:space="preserve"> </w:t>
      </w:r>
      <w:r w:rsidR="00934E3A" w:rsidRPr="00E06EDF">
        <w:t xml:space="preserve">progressivo incremento dei casi iniziato a fine luglio, </w:t>
      </w:r>
      <w:r w:rsidR="00934E3A">
        <w:t xml:space="preserve">che </w:t>
      </w:r>
      <w:r w:rsidR="00934E3A" w:rsidRPr="00E06EDF">
        <w:t xml:space="preserve">dopo un mese ha innescato </w:t>
      </w:r>
      <w:r w:rsidR="00934E3A">
        <w:t xml:space="preserve">l’aumento </w:t>
      </w:r>
      <w:r w:rsidR="00934E3A" w:rsidRPr="00E06EDF">
        <w:t>d</w:t>
      </w:r>
      <w:r w:rsidR="00934E3A">
        <w:t>e</w:t>
      </w:r>
      <w:r w:rsidR="00934E3A" w:rsidRPr="00E06EDF">
        <w:t xml:space="preserve">i </w:t>
      </w:r>
      <w:r w:rsidR="00934E3A">
        <w:t>ricoveri</w:t>
      </w:r>
      <w:r w:rsidR="00934E3A" w:rsidRPr="00E06EDF">
        <w:t xml:space="preserve">, e dopo circa 2 mesi </w:t>
      </w:r>
      <w:r w:rsidR="00934E3A">
        <w:t>quello dei decessi</w:t>
      </w:r>
      <w:r w:rsidR="005B616D" w:rsidRPr="00E06EDF">
        <w:rPr>
          <w:rFonts w:cstheme="minorHAnsi"/>
        </w:rPr>
        <w:t>»</w:t>
      </w:r>
      <w:r w:rsidR="005B616D">
        <w:t xml:space="preserve">. </w:t>
      </w:r>
    </w:p>
    <w:p w14:paraId="1A7F0B5F" w14:textId="77777777" w:rsidR="008B2E17" w:rsidRPr="008B2E17" w:rsidRDefault="005B616D" w:rsidP="004E2BEB">
      <w:pPr>
        <w:spacing w:after="120"/>
        <w:jc w:val="both"/>
        <w:rPr>
          <w:b/>
        </w:rPr>
      </w:pPr>
      <w:r>
        <w:rPr>
          <w:b/>
        </w:rPr>
        <w:t xml:space="preserve">I numeri sui </w:t>
      </w:r>
      <w:r w:rsidR="000A0DB4">
        <w:rPr>
          <w:b/>
        </w:rPr>
        <w:t>tamponi</w:t>
      </w:r>
    </w:p>
    <w:p w14:paraId="16E405C5" w14:textId="77777777" w:rsidR="008B2E17" w:rsidRPr="00A9528B" w:rsidRDefault="008B2E17" w:rsidP="008B2E17">
      <w:pPr>
        <w:pStyle w:val="Paragrafoelenco"/>
        <w:numPr>
          <w:ilvl w:val="0"/>
          <w:numId w:val="3"/>
        </w:numPr>
        <w:spacing w:after="120" w:line="276" w:lineRule="auto"/>
        <w:jc w:val="both"/>
      </w:pPr>
      <w:r>
        <w:t xml:space="preserve">In Italia, dall’inizio della pandemia all’11 ottobre sono stati effettuati </w:t>
      </w:r>
      <w:r w:rsidRPr="00F268AD">
        <w:t>12.564.713 tampon</w:t>
      </w:r>
      <w:r>
        <w:t>i</w:t>
      </w:r>
      <w:r w:rsidR="004B6BB8">
        <w:t>.</w:t>
      </w:r>
      <w:r w:rsidR="004C7E84">
        <w:t xml:space="preserve"> </w:t>
      </w:r>
      <w:r w:rsidR="004B6BB8">
        <w:t>T</w:t>
      </w:r>
      <w:r>
        <w:t xml:space="preserve">uttavia solo dal 19 aprile è possibile scorporare dal totale il numero dei casi testati, ovvero i soggetti sottoposti al test per confermare/escludere </w:t>
      </w:r>
      <w:r w:rsidR="004B6BB8">
        <w:t>l’infezione da SARS-CoV-2</w:t>
      </w:r>
      <w:r>
        <w:t xml:space="preserve">, </w:t>
      </w:r>
      <w:r w:rsidR="004B6BB8">
        <w:t xml:space="preserve">escludendo </w:t>
      </w:r>
      <w:r>
        <w:t xml:space="preserve">i tamponi ripetuti </w:t>
      </w:r>
      <w:r w:rsidR="00D776C3">
        <w:t xml:space="preserve">sulla </w:t>
      </w:r>
      <w:r w:rsidR="00A9653B">
        <w:t xml:space="preserve">stessa persona </w:t>
      </w:r>
      <w:r>
        <w:t>per confermare la guarigione virologica (almeno 2</w:t>
      </w:r>
      <w:r w:rsidR="00D7285E">
        <w:t xml:space="preserve"> finora</w:t>
      </w:r>
      <w:r>
        <w:t>)</w:t>
      </w:r>
      <w:r w:rsidR="00A9653B">
        <w:t xml:space="preserve"> o per altre motivazioni</w:t>
      </w:r>
      <w:r>
        <w:t>.</w:t>
      </w:r>
    </w:p>
    <w:p w14:paraId="44BE0A44" w14:textId="77777777" w:rsidR="008B2E17" w:rsidRDefault="008B2E17" w:rsidP="008B2E17">
      <w:pPr>
        <w:pStyle w:val="Paragrafoelenco"/>
        <w:numPr>
          <w:ilvl w:val="0"/>
          <w:numId w:val="3"/>
        </w:numPr>
        <w:spacing w:after="120" w:line="276" w:lineRule="auto"/>
        <w:jc w:val="both"/>
      </w:pPr>
      <w:r w:rsidRPr="00A9528B">
        <w:t xml:space="preserve">Sino </w:t>
      </w:r>
      <w:r>
        <w:t xml:space="preserve">alle riaperture del 3 giugno il numero </w:t>
      </w:r>
      <w:r w:rsidR="00907829">
        <w:t xml:space="preserve">medio </w:t>
      </w:r>
      <w:r>
        <w:t xml:space="preserve">dei casi testati si è mantenuto stabile intorno ai 35.000/die, per poi scendere successivamente intorno ai 25.000/die. Solo </w:t>
      </w:r>
      <w:r w:rsidR="00A617DE">
        <w:t xml:space="preserve">a partire </w:t>
      </w:r>
      <w:r w:rsidR="00907829">
        <w:t xml:space="preserve">dalla metà di </w:t>
      </w:r>
      <w:r>
        <w:t xml:space="preserve">agosto, a seguito della risalita dei casi, è stato </w:t>
      </w:r>
      <w:r w:rsidR="00A617DE">
        <w:t xml:space="preserve">incrementato </w:t>
      </w:r>
      <w:r>
        <w:t>sino a raggiungere i 67.000/die nella settimana 5-11 ottobre (</w:t>
      </w:r>
      <w:r w:rsidRPr="00310166">
        <w:rPr>
          <w:highlight w:val="yellow"/>
        </w:rPr>
        <w:t>figura 1</w:t>
      </w:r>
      <w:r>
        <w:t>).</w:t>
      </w:r>
    </w:p>
    <w:p w14:paraId="499CB948" w14:textId="77777777" w:rsidR="008B2E17" w:rsidRPr="00310166" w:rsidRDefault="008B2E17" w:rsidP="008B2E17">
      <w:pPr>
        <w:pStyle w:val="Paragrafoelenco"/>
        <w:numPr>
          <w:ilvl w:val="0"/>
          <w:numId w:val="3"/>
        </w:numPr>
        <w:spacing w:after="120" w:line="276" w:lineRule="auto"/>
        <w:jc w:val="both"/>
      </w:pPr>
      <w:r>
        <w:t>Tale incremento presenta differenze regionali molto evidenti, se parametrato a</w:t>
      </w:r>
      <w:r w:rsidR="00907829">
        <w:t>lla popolazione residente</w:t>
      </w:r>
      <w:r w:rsidR="00D7285E">
        <w:t>: n</w:t>
      </w:r>
      <w:r w:rsidR="00907829">
        <w:t xml:space="preserve">el periodo 12 agosto–11 ottobre, </w:t>
      </w:r>
      <w:r>
        <w:t xml:space="preserve">rispetto ad una media nazionale di 5.360 casi testati per 100.000 abitanti, il </w:t>
      </w:r>
      <w:proofErr w:type="spellStart"/>
      <w:r>
        <w:t>range</w:t>
      </w:r>
      <w:proofErr w:type="spellEnd"/>
      <w:r>
        <w:t xml:space="preserve"> varia dai 3.232 della Sicilia ai agli 8.002 del Lazio</w:t>
      </w:r>
      <w:r w:rsidR="00ED69EB">
        <w:t xml:space="preserve"> (</w:t>
      </w:r>
      <w:r w:rsidR="00ED69EB" w:rsidRPr="00310166">
        <w:rPr>
          <w:highlight w:val="yellow"/>
        </w:rPr>
        <w:t xml:space="preserve">figura </w:t>
      </w:r>
      <w:r w:rsidR="00ED69EB" w:rsidRPr="00D1325A">
        <w:rPr>
          <w:highlight w:val="yellow"/>
        </w:rPr>
        <w:t>2</w:t>
      </w:r>
      <w:r w:rsidR="00ED69EB">
        <w:t>).</w:t>
      </w:r>
    </w:p>
    <w:p w14:paraId="1C7CCC2F" w14:textId="77777777" w:rsidR="008B2E17" w:rsidRDefault="004B6BB8" w:rsidP="00A14BFA">
      <w:pPr>
        <w:pStyle w:val="Paragrafoelenco"/>
        <w:numPr>
          <w:ilvl w:val="0"/>
          <w:numId w:val="3"/>
        </w:numPr>
        <w:spacing w:after="120" w:line="276" w:lineRule="auto"/>
        <w:jc w:val="both"/>
      </w:pPr>
      <w:r>
        <w:t>L</w:t>
      </w:r>
      <w:r w:rsidR="00B71BF4">
        <w:t xml:space="preserve">e attività </w:t>
      </w:r>
      <w:r w:rsidR="008B2E17">
        <w:t xml:space="preserve">di </w:t>
      </w:r>
      <w:proofErr w:type="spellStart"/>
      <w:r w:rsidR="008B2E17">
        <w:t>testing</w:t>
      </w:r>
      <w:proofErr w:type="spellEnd"/>
      <w:r>
        <w:t xml:space="preserve"> non sono state potenziate </w:t>
      </w:r>
      <w:r w:rsidR="008B2E17">
        <w:t>in misura proporzionale all’aumentata circolazione del virus</w:t>
      </w:r>
      <w:r w:rsidR="00A617DE">
        <w:t>,</w:t>
      </w:r>
      <w:r w:rsidR="00907829">
        <w:t xml:space="preserve"> determinando un </w:t>
      </w:r>
      <w:r>
        <w:t xml:space="preserve">netto </w:t>
      </w:r>
      <w:r w:rsidR="00907829">
        <w:t xml:space="preserve">incremento del </w:t>
      </w:r>
      <w:r w:rsidR="008B2E17">
        <w:t xml:space="preserve">rapporto positivi/casi testati </w:t>
      </w:r>
      <w:r w:rsidR="00907829">
        <w:t xml:space="preserve">a livello nazionale che </w:t>
      </w:r>
      <w:r w:rsidR="008B2E17">
        <w:t xml:space="preserve">da metà luglio a metà agosto è </w:t>
      </w:r>
      <w:r w:rsidR="009B373A">
        <w:t xml:space="preserve">salito </w:t>
      </w:r>
      <w:r w:rsidR="008B2E17">
        <w:t>dallo 0,8% all’1,9%</w:t>
      </w:r>
      <w:r w:rsidR="009B373A">
        <w:t xml:space="preserve">, </w:t>
      </w:r>
      <w:r w:rsidR="00A617DE">
        <w:t xml:space="preserve">per raggiugere </w:t>
      </w:r>
      <w:r w:rsidR="0038724D">
        <w:t xml:space="preserve">nella settimana 5-11 ottobre </w:t>
      </w:r>
      <w:r w:rsidR="008B2E17">
        <w:t>il 6,2%</w:t>
      </w:r>
      <w:r w:rsidR="0038724D">
        <w:t xml:space="preserve"> </w:t>
      </w:r>
      <w:r w:rsidR="008B2E17">
        <w:t>con notevoli variazioni regionali</w:t>
      </w:r>
      <w:r>
        <w:t>: dall’1,7% della Calabria al 14% della Valle d’Aosta</w:t>
      </w:r>
      <w:r w:rsidR="008B2E17">
        <w:t xml:space="preserve"> (</w:t>
      </w:r>
      <w:r w:rsidR="008B2E17" w:rsidRPr="00310166">
        <w:rPr>
          <w:highlight w:val="yellow"/>
        </w:rPr>
        <w:t xml:space="preserve">figura </w:t>
      </w:r>
      <w:r w:rsidR="008B2E17" w:rsidRPr="00D1325A">
        <w:rPr>
          <w:highlight w:val="yellow"/>
        </w:rPr>
        <w:t>3</w:t>
      </w:r>
      <w:r w:rsidR="008B2E17">
        <w:t>).</w:t>
      </w:r>
    </w:p>
    <w:p w14:paraId="7AB1F66C" w14:textId="77777777" w:rsidR="002204EC" w:rsidRDefault="00A77EF6" w:rsidP="00A77EF6">
      <w:pPr>
        <w:pStyle w:val="Paragrafoelenco"/>
        <w:numPr>
          <w:ilvl w:val="0"/>
          <w:numId w:val="3"/>
        </w:numPr>
        <w:spacing w:after="120" w:line="276" w:lineRule="auto"/>
        <w:jc w:val="both"/>
      </w:pPr>
      <w:r>
        <w:lastRenderedPageBreak/>
        <w:t xml:space="preserve">Le Regioni, </w:t>
      </w:r>
      <w:r w:rsidR="004B6BB8">
        <w:t xml:space="preserve">rispetto ai laboratori accreditati elencati nella </w:t>
      </w:r>
      <w:r w:rsidR="002204EC">
        <w:t xml:space="preserve">circolare del Ministero della Salute del 3 aprile 2020, </w:t>
      </w:r>
      <w:r w:rsidR="00A3180B">
        <w:t xml:space="preserve">ne </w:t>
      </w:r>
      <w:r>
        <w:t xml:space="preserve">hanno </w:t>
      </w:r>
      <w:r w:rsidR="00A617DE">
        <w:t xml:space="preserve">quasi raddoppiato </w:t>
      </w:r>
      <w:r>
        <w:t xml:space="preserve">il numero </w:t>
      </w:r>
      <w:r w:rsidR="00A617DE">
        <w:t>(</w:t>
      </w:r>
      <w:r>
        <w:t>da 152 a 270</w:t>
      </w:r>
      <w:r w:rsidR="00A617DE">
        <w:t>)</w:t>
      </w:r>
      <w:r>
        <w:t xml:space="preserve">, anche </w:t>
      </w:r>
      <w:r w:rsidR="00BE4794">
        <w:t>con</w:t>
      </w:r>
      <w:r>
        <w:t xml:space="preserve"> l’accreditamento di laboratori privati (</w:t>
      </w:r>
      <w:r w:rsidRPr="00A77EF6">
        <w:rPr>
          <w:highlight w:val="yellow"/>
        </w:rPr>
        <w:t>tabella</w:t>
      </w:r>
      <w:r w:rsidR="003F68C4">
        <w:t xml:space="preserve">). Tuttavia, </w:t>
      </w:r>
      <w:r>
        <w:t xml:space="preserve">non </w:t>
      </w:r>
      <w:r w:rsidR="003F68C4">
        <w:t xml:space="preserve">sono note né </w:t>
      </w:r>
      <w:r w:rsidR="00A3180B">
        <w:t>la quantità di tamponi</w:t>
      </w:r>
      <w:r>
        <w:t xml:space="preserve"> </w:t>
      </w:r>
      <w:r w:rsidR="00A3180B">
        <w:t>che i</w:t>
      </w:r>
      <w:r w:rsidR="004B6BB8">
        <w:t xml:space="preserve"> singol</w:t>
      </w:r>
      <w:r w:rsidR="003F68C4">
        <w:t>i laboratori</w:t>
      </w:r>
      <w:r w:rsidR="00A3180B">
        <w:t xml:space="preserve"> possono processare quotidianamente</w:t>
      </w:r>
      <w:r w:rsidR="003F68C4">
        <w:t xml:space="preserve">, né </w:t>
      </w:r>
      <w:r w:rsidR="00A3180B">
        <w:t>informazioni quantitative sul</w:t>
      </w:r>
      <w:r w:rsidR="00A10D38">
        <w:t xml:space="preserve"> personale impegnato </w:t>
      </w:r>
      <w:r w:rsidR="003F68C4">
        <w:t>sul territorio</w:t>
      </w:r>
      <w:r w:rsidR="00A10D38">
        <w:t xml:space="preserve"> </w:t>
      </w:r>
      <w:r w:rsidR="00A3180B">
        <w:t xml:space="preserve">nel </w:t>
      </w:r>
      <w:r w:rsidR="00A10D38">
        <w:t>prelievo dei campioni.</w:t>
      </w:r>
      <w:r w:rsidR="005E6F27">
        <w:t xml:space="preserve"> </w:t>
      </w:r>
      <w:r w:rsidR="00A3180B">
        <w:t>Peraltro</w:t>
      </w:r>
      <w:r w:rsidR="00BE4794">
        <w:t>, le</w:t>
      </w:r>
      <w:r w:rsidR="005E6F27">
        <w:t xml:space="preserve"> criticità organizzative </w:t>
      </w:r>
      <w:r w:rsidR="00F91ECD">
        <w:t xml:space="preserve">osservate in questi giorni </w:t>
      </w:r>
      <w:r w:rsidR="005E6F27">
        <w:t>(es. inaccettabili code e assembramenti per eseguire il ta</w:t>
      </w:r>
      <w:r w:rsidR="00BE4794">
        <w:t xml:space="preserve">mpone o numeri telefonici </w:t>
      </w:r>
      <w:r w:rsidR="005E6F27">
        <w:t>dedicati a cui non risponde nessuno) oltre ai disagi possono generare ritardi diagnostici nei pazienti positivi con peggioramento degli esiti clinici</w:t>
      </w:r>
      <w:r w:rsidR="00571A52">
        <w:t>.</w:t>
      </w:r>
    </w:p>
    <w:p w14:paraId="184774CA" w14:textId="77777777" w:rsidR="002B38B6" w:rsidRDefault="00A14BFA" w:rsidP="00823C9B">
      <w:pPr>
        <w:spacing w:after="120"/>
        <w:jc w:val="both"/>
      </w:pPr>
      <w:r w:rsidRPr="00FA02FF">
        <w:t>«</w:t>
      </w:r>
      <w:r>
        <w:t>Osservando il progressivo incremento dei nuovi casi</w:t>
      </w:r>
      <w:r w:rsidR="0083086A">
        <w:t xml:space="preserve"> </w:t>
      </w:r>
      <w:r w:rsidRPr="00FA02FF">
        <w:t xml:space="preserve">– </w:t>
      </w:r>
      <w:r>
        <w:t xml:space="preserve">spiega </w:t>
      </w:r>
      <w:r w:rsidRPr="00FA02FF">
        <w:t xml:space="preserve">Cartabellotta – </w:t>
      </w:r>
      <w:r>
        <w:t>già da</w:t>
      </w:r>
      <w:r w:rsidR="00D3148B">
        <w:t xml:space="preserve"> fine agosto</w:t>
      </w:r>
      <w:r>
        <w:t xml:space="preserve"> la Fondazione GIMBE </w:t>
      </w:r>
      <w:r w:rsidR="00571A52">
        <w:t>sollecitava</w:t>
      </w:r>
      <w:r>
        <w:t xml:space="preserve"> le Regioni a potenziare </w:t>
      </w:r>
      <w:r w:rsidR="00F91ECD">
        <w:t xml:space="preserve">le attività di </w:t>
      </w:r>
      <w:proofErr w:type="spellStart"/>
      <w:r>
        <w:t>testing</w:t>
      </w:r>
      <w:proofErr w:type="spellEnd"/>
      <w:r>
        <w:t xml:space="preserve"> &amp; </w:t>
      </w:r>
      <w:proofErr w:type="spellStart"/>
      <w:r>
        <w:t>tracing</w:t>
      </w:r>
      <w:proofErr w:type="spellEnd"/>
      <w:r w:rsidR="002B38B6">
        <w:t xml:space="preserve">, </w:t>
      </w:r>
      <w:r w:rsidR="00934E3A">
        <w:t xml:space="preserve">perché </w:t>
      </w:r>
      <w:r w:rsidR="0083086A">
        <w:t xml:space="preserve">nella fase di </w:t>
      </w:r>
      <w:r w:rsidR="00A10D38">
        <w:t xml:space="preserve">lenta </w:t>
      </w:r>
      <w:r w:rsidR="0083086A">
        <w:t xml:space="preserve">risalita della curva epidemica </w:t>
      </w:r>
      <w:r w:rsidR="00A10D38">
        <w:t>la battaglia con il virus si vince sul territorio</w:t>
      </w:r>
      <w:r w:rsidR="00A10D38" w:rsidRPr="00734A61">
        <w:rPr>
          <w:rFonts w:cstheme="minorHAnsi"/>
        </w:rPr>
        <w:t>»</w:t>
      </w:r>
      <w:r w:rsidR="00A10D38" w:rsidRPr="00734A61">
        <w:rPr>
          <w:lang w:eastAsia="it-IT"/>
        </w:rPr>
        <w:t>.</w:t>
      </w:r>
      <w:r w:rsidR="00A10D38">
        <w:t xml:space="preserve"> Purtroppo, </w:t>
      </w:r>
      <w:r>
        <w:t>i</w:t>
      </w:r>
      <w:r w:rsidR="00571A52">
        <w:t xml:space="preserve"> tamponi, per quanto modestamente potenziati, con l’impennata dei casi si sono rivelati un </w:t>
      </w:r>
      <w:r>
        <w:t>“collo di bottiglia”</w:t>
      </w:r>
      <w:r w:rsidR="00BE4794">
        <w:t xml:space="preserve"> troppo stretto che ha favorito la crescita </w:t>
      </w:r>
      <w:r w:rsidR="00571A52">
        <w:t xml:space="preserve">dei nuovi contagi che </w:t>
      </w:r>
      <w:r>
        <w:t>negli ultimi 10 giorni</w:t>
      </w:r>
      <w:r w:rsidR="00571A52">
        <w:t xml:space="preserve"> </w:t>
      </w:r>
      <w:r>
        <w:t xml:space="preserve">da lineare </w:t>
      </w:r>
      <w:r w:rsidR="0083086A">
        <w:t xml:space="preserve">è diventata </w:t>
      </w:r>
      <w:r>
        <w:t>esponenziale</w:t>
      </w:r>
      <w:r w:rsidR="00934E3A">
        <w:t>.</w:t>
      </w:r>
      <w:r>
        <w:t xml:space="preserve"> </w:t>
      </w:r>
    </w:p>
    <w:p w14:paraId="08581E10" w14:textId="77777777" w:rsidR="003B6601" w:rsidRPr="003B6601" w:rsidRDefault="000A0DB4" w:rsidP="003B6601">
      <w:pPr>
        <w:spacing w:after="120"/>
        <w:jc w:val="both"/>
      </w:pPr>
      <w:r>
        <w:rPr>
          <w:b/>
        </w:rPr>
        <w:t xml:space="preserve">Le soluzioni </w:t>
      </w:r>
      <w:r w:rsidR="00934E3A">
        <w:rPr>
          <w:b/>
        </w:rPr>
        <w:t xml:space="preserve">del Governo </w:t>
      </w:r>
      <w:r w:rsidR="00A10D38">
        <w:rPr>
          <w:b/>
        </w:rPr>
        <w:t xml:space="preserve">per potenziare la capacità di </w:t>
      </w:r>
      <w:proofErr w:type="spellStart"/>
      <w:r w:rsidR="00A10D38">
        <w:rPr>
          <w:b/>
        </w:rPr>
        <w:t>testing</w:t>
      </w:r>
      <w:proofErr w:type="spellEnd"/>
    </w:p>
    <w:p w14:paraId="3785F386" w14:textId="77777777" w:rsidR="001D068F" w:rsidRDefault="00441E7B" w:rsidP="008B2E17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S</w:t>
      </w:r>
      <w:r w:rsidR="004B6BB8">
        <w:t xml:space="preserve">ingolo tampone </w:t>
      </w:r>
      <w:r w:rsidR="001D068F" w:rsidRPr="001D068F">
        <w:t>per conferma</w:t>
      </w:r>
      <w:r w:rsidR="004B6BB8">
        <w:t>re</w:t>
      </w:r>
      <w:r w:rsidR="001D068F" w:rsidRPr="001D068F">
        <w:t xml:space="preserve"> la guarigione virologica: permetterà di “recuperare” un certo numero di tamponi, </w:t>
      </w:r>
      <w:r w:rsidR="00A10D38">
        <w:t xml:space="preserve">non </w:t>
      </w:r>
      <w:r w:rsidR="001D068F" w:rsidRPr="001D068F">
        <w:t xml:space="preserve">quantificabili con precisione ma </w:t>
      </w:r>
      <w:r w:rsidR="00A10D38">
        <w:t xml:space="preserve">stimabili </w:t>
      </w:r>
      <w:r w:rsidR="001D068F" w:rsidRPr="001D068F">
        <w:t xml:space="preserve">intorno ai 20.000/die, </w:t>
      </w:r>
      <w:r w:rsidR="00A10D38">
        <w:t>visto</w:t>
      </w:r>
      <w:r w:rsidR="001D068F" w:rsidRPr="001D068F">
        <w:t xml:space="preserve"> che </w:t>
      </w:r>
      <w:r>
        <w:t>quelli</w:t>
      </w:r>
      <w:r w:rsidR="001D068F" w:rsidRPr="001D068F">
        <w:t xml:space="preserve"> di controllo rappresentano circa il 40% del totale</w:t>
      </w:r>
      <w:r w:rsidR="002616B6">
        <w:t>.</w:t>
      </w:r>
    </w:p>
    <w:p w14:paraId="28DC3FDC" w14:textId="77777777" w:rsidR="008B2E17" w:rsidRDefault="008B2E17" w:rsidP="008B2E17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 xml:space="preserve">Tamponi rapidi: </w:t>
      </w:r>
      <w:r w:rsidR="00A10D38">
        <w:t>oltre</w:t>
      </w:r>
      <w:r w:rsidRPr="008B2E17">
        <w:t xml:space="preserve"> agli approvvigionamenti di alcune Regioni che si erano già mosse in autonomia, la richiesta pubblica di offerta del Commissario Arcuri, scaduta lo scorso 8 ottobre, </w:t>
      </w:r>
      <w:r w:rsidR="002B38B6">
        <w:t>prevede</w:t>
      </w:r>
      <w:r w:rsidRPr="008B2E17">
        <w:t xml:space="preserve"> l’acquisto di </w:t>
      </w:r>
      <w:r>
        <w:t>5 milioni di tamponi rapidi. Tuttavia ad oggi:</w:t>
      </w:r>
    </w:p>
    <w:p w14:paraId="248AAF25" w14:textId="77777777" w:rsidR="008B2E17" w:rsidRDefault="002616B6" w:rsidP="008B2E17">
      <w:pPr>
        <w:pStyle w:val="Paragrafoelenco"/>
        <w:numPr>
          <w:ilvl w:val="1"/>
          <w:numId w:val="6"/>
        </w:numPr>
        <w:spacing w:after="120" w:line="276" w:lineRule="auto"/>
        <w:jc w:val="both"/>
      </w:pPr>
      <w:r>
        <w:t xml:space="preserve">non </w:t>
      </w:r>
      <w:r w:rsidR="008B2E17">
        <w:t>si conoscono né i tempi di approvvigionamento, né</w:t>
      </w:r>
      <w:r w:rsidR="00BB294F">
        <w:t xml:space="preserve"> le</w:t>
      </w:r>
      <w:r w:rsidR="008B2E17">
        <w:t xml:space="preserve"> tempistiche e </w:t>
      </w:r>
      <w:r w:rsidR="00BB294F">
        <w:t xml:space="preserve">i </w:t>
      </w:r>
      <w:r w:rsidR="008B2E17">
        <w:t xml:space="preserve">criteri di </w:t>
      </w:r>
      <w:r w:rsidR="002B38B6">
        <w:t>re</w:t>
      </w:r>
      <w:r w:rsidR="008B2E17">
        <w:t>distribuzione alle Regioni</w:t>
      </w:r>
      <w:r>
        <w:t>;</w:t>
      </w:r>
    </w:p>
    <w:p w14:paraId="776DD835" w14:textId="77777777" w:rsidR="005E6F27" w:rsidRDefault="00A10D38" w:rsidP="005E6F27">
      <w:pPr>
        <w:pStyle w:val="Paragrafoelenco"/>
        <w:numPr>
          <w:ilvl w:val="1"/>
          <w:numId w:val="6"/>
        </w:numPr>
        <w:spacing w:after="120" w:line="276" w:lineRule="auto"/>
        <w:jc w:val="both"/>
      </w:pPr>
      <w:r>
        <w:t xml:space="preserve">alcune difficoltà ostacolano l’utilizzo </w:t>
      </w:r>
      <w:r w:rsidR="008B2E17">
        <w:t xml:space="preserve">immediato </w:t>
      </w:r>
      <w:r>
        <w:t>dei tamponi rapidi, sia negli ambulatori d</w:t>
      </w:r>
      <w:r w:rsidR="008B2E17">
        <w:t>i medici e pediatri di famiglia spesso</w:t>
      </w:r>
      <w:r w:rsidR="005632F9">
        <w:t xml:space="preserve"> strutturalmente</w:t>
      </w:r>
      <w:r w:rsidR="008B2E17">
        <w:t xml:space="preserve"> inadeguati a garantire percorsi </w:t>
      </w:r>
      <w:r>
        <w:t>dedicati</w:t>
      </w:r>
      <w:r w:rsidR="008B2E17">
        <w:t xml:space="preserve"> per sospetti casi COVID, sia nelle scuole dove la figura del “medico/infermiere di plesso” non risulta ancora </w:t>
      </w:r>
      <w:r w:rsidR="00E7739C">
        <w:t xml:space="preserve">sistematicamente </w:t>
      </w:r>
      <w:r w:rsidR="008B2E17">
        <w:t xml:space="preserve">implementata, sia </w:t>
      </w:r>
      <w:r w:rsidR="002B38B6">
        <w:t>più in</w:t>
      </w:r>
      <w:r w:rsidR="008B2E17">
        <w:t xml:space="preserve"> generale </w:t>
      </w:r>
      <w:r w:rsidR="002B38B6">
        <w:t xml:space="preserve">per la </w:t>
      </w:r>
      <w:r w:rsidR="008B2E17">
        <w:t>necessità di un adeguato training dei professionisti destinati ad utilizzarli</w:t>
      </w:r>
      <w:r w:rsidR="005E6F27">
        <w:t xml:space="preserve"> (medici di famiglia, pediatri, infermieri scolastici, etc.) perché </w:t>
      </w:r>
      <w:r w:rsidR="005E6F27" w:rsidRPr="005E6F27">
        <w:t>la probabilità di risultati falsamente negativi al tampone rapido aumenta in mani non esperte.</w:t>
      </w:r>
    </w:p>
    <w:p w14:paraId="4C0C6B2E" w14:textId="606848BD" w:rsidR="005E6F27" w:rsidRDefault="008B2E17" w:rsidP="005E6F27">
      <w:pPr>
        <w:jc w:val="both"/>
      </w:pPr>
      <w:r w:rsidRPr="00734A61">
        <w:t>«</w:t>
      </w:r>
      <w:r>
        <w:t xml:space="preserve">Se </w:t>
      </w:r>
      <w:r w:rsidR="002B38B6">
        <w:t xml:space="preserve">le azioni messe in campo </w:t>
      </w:r>
      <w:r w:rsidRPr="00F96C08">
        <w:t>–</w:t>
      </w:r>
      <w:r>
        <w:t xml:space="preserve"> puntualizza </w:t>
      </w:r>
      <w:r w:rsidRPr="00F96C08">
        <w:t>il Presidente –</w:t>
      </w:r>
      <w:r w:rsidR="00BB294F">
        <w:t xml:space="preserve"> </w:t>
      </w:r>
      <w:r>
        <w:t xml:space="preserve">aumentano in termini assoluti la capacità di </w:t>
      </w:r>
      <w:proofErr w:type="spellStart"/>
      <w:r>
        <w:t>testing</w:t>
      </w:r>
      <w:proofErr w:type="spellEnd"/>
      <w:r w:rsidR="005E6F27">
        <w:t xml:space="preserve"> &amp; </w:t>
      </w:r>
      <w:proofErr w:type="spellStart"/>
      <w:r w:rsidR="005E6F27">
        <w:t>tracing</w:t>
      </w:r>
      <w:proofErr w:type="spellEnd"/>
      <w:r>
        <w:t xml:space="preserve">, l’aumentata disponibilità di tamponi molecolari e rapidi </w:t>
      </w:r>
      <w:r w:rsidR="00A10D38">
        <w:t>è ancora inadeguata</w:t>
      </w:r>
      <w:r w:rsidR="005E6F27">
        <w:t xml:space="preserve"> sia </w:t>
      </w:r>
      <w:r w:rsidR="00A10D38">
        <w:t xml:space="preserve">per la crescita esponenziale dei nuovi casi, sia perché </w:t>
      </w:r>
      <w:r>
        <w:t>sarà in parte</w:t>
      </w:r>
      <w:r w:rsidR="003D62E4">
        <w:t xml:space="preserve"> </w:t>
      </w:r>
      <w:r>
        <w:t>assorbita</w:t>
      </w:r>
      <w:r w:rsidR="0038724D">
        <w:t xml:space="preserve"> </w:t>
      </w:r>
      <w:r w:rsidR="003F4DFD">
        <w:t>dalla</w:t>
      </w:r>
      <w:r w:rsidR="00A10D38">
        <w:t xml:space="preserve"> diagnosi differenziale </w:t>
      </w:r>
      <w:r>
        <w:t xml:space="preserve">tra infezione da SARS-COV2 e </w:t>
      </w:r>
      <w:r w:rsidRPr="00526F3D">
        <w:t>influenza</w:t>
      </w:r>
      <w:r>
        <w:t xml:space="preserve"> stagionale</w:t>
      </w:r>
      <w:r w:rsidRPr="00F96C08">
        <w:t>».</w:t>
      </w:r>
      <w:r w:rsidR="00A10D38">
        <w:t xml:space="preserve"> </w:t>
      </w:r>
      <w:r w:rsidR="008B5D34" w:rsidRPr="008B5D34">
        <w:t xml:space="preserve">In ogni caso siamo molto lontani dai numeri del cosiddetto “Piano </w:t>
      </w:r>
      <w:proofErr w:type="spellStart"/>
      <w:r w:rsidR="008B5D34" w:rsidRPr="008B5D34">
        <w:t>Crisanti</w:t>
      </w:r>
      <w:proofErr w:type="spellEnd"/>
      <w:r w:rsidR="008B5D34" w:rsidRPr="008B5D34">
        <w:t>” elaborato la scorsa estate, che prevedeva 300.000 tamponi al giorno, sulla scia di quanto già proposto dalla Fondazione GIMBE il 7 maggio: 200-250 casi testati per 100.000 abitanti</w:t>
      </w:r>
      <w:r w:rsidR="008B5D34">
        <w:t>.</w:t>
      </w:r>
    </w:p>
    <w:p w14:paraId="4230E745" w14:textId="410AE6BD" w:rsidR="0093473D" w:rsidRDefault="00E06EDF" w:rsidP="00934E3A">
      <w:pPr>
        <w:jc w:val="both"/>
      </w:pPr>
      <w:r w:rsidRPr="00734A61">
        <w:t>«</w:t>
      </w:r>
      <w:r>
        <w:rPr>
          <w:lang w:eastAsia="it-IT"/>
        </w:rPr>
        <w:t xml:space="preserve">Considerato che </w:t>
      </w:r>
      <w:r>
        <w:t>i</w:t>
      </w:r>
      <w:r w:rsidRPr="00E06EDF">
        <w:t xml:space="preserve"> numeri riflettono comportamenti sociali e azioni di contenimento relativi a 2-3 settimane precedenti</w:t>
      </w:r>
      <w:r>
        <w:t xml:space="preserve"> </w:t>
      </w:r>
      <w:r w:rsidR="006B6A86" w:rsidRPr="00734A61">
        <w:rPr>
          <w:lang w:eastAsia="it-IT"/>
        </w:rPr>
        <w:t xml:space="preserve">– </w:t>
      </w:r>
      <w:r w:rsidR="006B6A86">
        <w:rPr>
          <w:lang w:eastAsia="it-IT"/>
        </w:rPr>
        <w:t xml:space="preserve">conclude </w:t>
      </w:r>
      <w:r w:rsidR="006B6A86" w:rsidRPr="00734A61">
        <w:rPr>
          <w:lang w:eastAsia="it-IT"/>
        </w:rPr>
        <w:t>Cartabellotta</w:t>
      </w:r>
      <w:r w:rsidR="006B6A86">
        <w:rPr>
          <w:lang w:eastAsia="it-IT"/>
        </w:rPr>
        <w:t xml:space="preserve"> </w:t>
      </w:r>
      <w:r w:rsidR="006B6A86" w:rsidRPr="00734A61">
        <w:rPr>
          <w:lang w:eastAsia="it-IT"/>
        </w:rPr>
        <w:t>–</w:t>
      </w:r>
      <w:r w:rsidR="006B6A86">
        <w:t xml:space="preserve"> </w:t>
      </w:r>
      <w:r w:rsidRPr="00E06EDF">
        <w:t>gli effetti delle misure restrittive del nuovo DPCM non potranno essere immediate</w:t>
      </w:r>
      <w:r w:rsidR="008B2E17">
        <w:t xml:space="preserve">. </w:t>
      </w:r>
      <w:r w:rsidR="00934E3A">
        <w:t>In ogni caso, l</w:t>
      </w:r>
      <w:r w:rsidR="00BE4794">
        <w:t>’entità delle</w:t>
      </w:r>
      <w:r w:rsidR="00934E3A">
        <w:t xml:space="preserve"> restrizioni </w:t>
      </w:r>
      <w:r w:rsidR="00BE4794">
        <w:t>stride</w:t>
      </w:r>
      <w:r w:rsidR="00934E3A">
        <w:t xml:space="preserve"> con il mancato potenziamento dei servizi territoriali</w:t>
      </w:r>
      <w:r w:rsidR="00934E3A" w:rsidRPr="00E607FC">
        <w:t xml:space="preserve"> </w:t>
      </w:r>
      <w:r w:rsidR="00934E3A">
        <w:t xml:space="preserve">deputati al tracciamento, nonostante le risorse già assegnate dal Decreto Rilancio. </w:t>
      </w:r>
      <w:r w:rsidR="00BE4794">
        <w:t xml:space="preserve">Ancora una volta, </w:t>
      </w:r>
      <w:r w:rsidR="003F4DFD">
        <w:t xml:space="preserve">i </w:t>
      </w:r>
      <w:r w:rsidR="00934E3A">
        <w:t xml:space="preserve">ritardi </w:t>
      </w:r>
      <w:r w:rsidR="00007F7F">
        <w:t xml:space="preserve">burocratici e </w:t>
      </w:r>
      <w:r w:rsidR="00934E3A">
        <w:t xml:space="preserve">i conflitti tra Governo e Regioni </w:t>
      </w:r>
      <w:r w:rsidR="00007F7F">
        <w:t>scarica</w:t>
      </w:r>
      <w:r w:rsidR="00BE4794">
        <w:t xml:space="preserve">no </w:t>
      </w:r>
      <w:r w:rsidR="00007F7F">
        <w:t xml:space="preserve">sui cittadini </w:t>
      </w:r>
      <w:r w:rsidR="00BE4794">
        <w:t xml:space="preserve">la responsabilità </w:t>
      </w:r>
      <w:r w:rsidR="00007F7F">
        <w:t xml:space="preserve">del controllo epidemico attraverso </w:t>
      </w:r>
      <w:r w:rsidR="00934E3A">
        <w:t>restrizioni delle libertà personali</w:t>
      </w:r>
      <w:r w:rsidR="008B2E17" w:rsidRPr="00F96C08">
        <w:t>».</w:t>
      </w:r>
    </w:p>
    <w:p w14:paraId="1512FDF7" w14:textId="77777777" w:rsidR="005019AF" w:rsidRPr="00497C09" w:rsidRDefault="005127EB" w:rsidP="00EC6CAA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10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14:paraId="3510741C" w14:textId="667F25D9" w:rsidR="00907829" w:rsidRDefault="005127EB" w:rsidP="0093473D">
      <w:pPr>
        <w:spacing w:after="120"/>
        <w:rPr>
          <w:b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 w:rsidR="0093473D">
        <w:rPr>
          <w:rFonts w:ascii="Calibri" w:eastAsia="Calibri" w:hAnsi="Calibri" w:cs="Times New Roman"/>
          <w:b/>
          <w:bCs/>
        </w:rPr>
        <w:t xml:space="preserve">: </w:t>
      </w:r>
      <w:r w:rsidRPr="00A24080">
        <w:rPr>
          <w:b/>
        </w:rPr>
        <w:t>Fondazione GIMBE</w:t>
      </w:r>
      <w:r w:rsidR="0093473D">
        <w:rPr>
          <w:b/>
        </w:rPr>
        <w:t xml:space="preserve"> - </w:t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93473D">
        <w:rPr>
          <w:rFonts w:ascii="Calibri" w:eastAsia="Calibri" w:hAnsi="Calibri" w:cs="Times New Roman"/>
          <w:sz w:val="20"/>
        </w:rPr>
        <w:t xml:space="preserve"> - </w:t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1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  <w:r w:rsidR="00055D5E">
        <w:rPr>
          <w:b/>
          <w:sz w:val="24"/>
        </w:rPr>
        <w:br w:type="page"/>
      </w:r>
      <w:r w:rsidR="00907829">
        <w:rPr>
          <w:b/>
        </w:rPr>
        <w:lastRenderedPageBreak/>
        <w:t>Figura 1. Trend settimanali numero tamponi totali e casi testati (media giornaliera)</w:t>
      </w:r>
    </w:p>
    <w:p w14:paraId="534333E8" w14:textId="77777777" w:rsidR="00B71DD4" w:rsidRDefault="00B71DD4" w:rsidP="00066671">
      <w:pPr>
        <w:spacing w:after="0" w:line="240" w:lineRule="auto"/>
      </w:pPr>
    </w:p>
    <w:p w14:paraId="542B2E09" w14:textId="77777777" w:rsidR="00907829" w:rsidRDefault="00907829" w:rsidP="00066671">
      <w:pPr>
        <w:spacing w:after="0" w:line="240" w:lineRule="auto"/>
      </w:pPr>
      <w:r>
        <w:rPr>
          <w:b/>
          <w:noProof/>
          <w:lang w:eastAsia="it-IT"/>
        </w:rPr>
        <w:drawing>
          <wp:inline distT="0" distB="0" distL="0" distR="0" wp14:anchorId="2DE82F2B" wp14:editId="3F66498E">
            <wp:extent cx="5760000" cy="3169676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69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1F88C" w14:textId="77777777" w:rsidR="00907829" w:rsidRDefault="00907829" w:rsidP="00907829">
      <w:pPr>
        <w:rPr>
          <w:b/>
        </w:rPr>
      </w:pPr>
    </w:p>
    <w:p w14:paraId="55F8CE34" w14:textId="77777777" w:rsidR="00907829" w:rsidRDefault="00907829" w:rsidP="00907829">
      <w:pPr>
        <w:rPr>
          <w:b/>
        </w:rPr>
      </w:pPr>
    </w:p>
    <w:p w14:paraId="450B7556" w14:textId="77777777" w:rsidR="00907829" w:rsidRDefault="00907829" w:rsidP="00907829">
      <w:pPr>
        <w:rPr>
          <w:b/>
        </w:rPr>
      </w:pPr>
    </w:p>
    <w:p w14:paraId="63A132EA" w14:textId="77777777" w:rsidR="00907829" w:rsidRDefault="00907829" w:rsidP="00907829">
      <w:pPr>
        <w:rPr>
          <w:b/>
        </w:rPr>
      </w:pPr>
    </w:p>
    <w:p w14:paraId="3A2B3092" w14:textId="77777777" w:rsidR="00907829" w:rsidRDefault="00907829">
      <w:pPr>
        <w:rPr>
          <w:b/>
        </w:rPr>
      </w:pPr>
      <w:r>
        <w:rPr>
          <w:b/>
        </w:rPr>
        <w:br w:type="page"/>
      </w:r>
    </w:p>
    <w:p w14:paraId="25F32AA8" w14:textId="77777777" w:rsidR="00907829" w:rsidRDefault="00907829" w:rsidP="002204EC">
      <w:pPr>
        <w:jc w:val="center"/>
        <w:rPr>
          <w:b/>
        </w:rPr>
      </w:pPr>
      <w:r>
        <w:rPr>
          <w:b/>
        </w:rPr>
        <w:lastRenderedPageBreak/>
        <w:t>Figura 2. Casi testati per 100.000 abitanti (12 agosto-11 ottobre)</w:t>
      </w:r>
    </w:p>
    <w:p w14:paraId="7CB82BCB" w14:textId="77777777" w:rsidR="00703609" w:rsidRDefault="00907829" w:rsidP="00703609">
      <w:r>
        <w:rPr>
          <w:noProof/>
          <w:lang w:eastAsia="it-IT"/>
        </w:rPr>
        <w:drawing>
          <wp:inline distT="0" distB="0" distL="0" distR="0" wp14:anchorId="5220AA9F" wp14:editId="4A3E6E07">
            <wp:extent cx="5760000" cy="4927476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927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516DD" w14:textId="77777777" w:rsidR="00907829" w:rsidRDefault="00907829">
      <w:pPr>
        <w:rPr>
          <w:b/>
        </w:rPr>
      </w:pPr>
      <w:r>
        <w:rPr>
          <w:b/>
        </w:rPr>
        <w:br w:type="page"/>
      </w:r>
    </w:p>
    <w:p w14:paraId="66FAE989" w14:textId="77777777" w:rsidR="00907829" w:rsidRPr="00D1325A" w:rsidRDefault="00907829" w:rsidP="002204EC">
      <w:pPr>
        <w:jc w:val="center"/>
        <w:rPr>
          <w:b/>
        </w:rPr>
      </w:pPr>
      <w:r w:rsidRPr="00D1325A">
        <w:rPr>
          <w:b/>
        </w:rPr>
        <w:lastRenderedPageBreak/>
        <w:t xml:space="preserve">Figura </w:t>
      </w:r>
      <w:r>
        <w:rPr>
          <w:b/>
        </w:rPr>
        <w:t>3</w:t>
      </w:r>
      <w:r w:rsidRPr="00D1325A">
        <w:rPr>
          <w:b/>
        </w:rPr>
        <w:t>. Rapporto positivi/casi testati (5-11 ottobre)</w:t>
      </w:r>
    </w:p>
    <w:p w14:paraId="42DE1106" w14:textId="77777777" w:rsidR="00907829" w:rsidRDefault="00907829" w:rsidP="00907829">
      <w:r>
        <w:rPr>
          <w:noProof/>
          <w:lang w:eastAsia="it-IT"/>
        </w:rPr>
        <w:drawing>
          <wp:inline distT="0" distB="0" distL="0" distR="0" wp14:anchorId="580FDB55" wp14:editId="735E2F15">
            <wp:extent cx="5760000" cy="472911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729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FEE5E" w14:textId="77777777" w:rsidR="00703609" w:rsidRDefault="00703609" w:rsidP="00703609"/>
    <w:p w14:paraId="1BA8682A" w14:textId="77777777" w:rsidR="002204EC" w:rsidRDefault="002204EC" w:rsidP="00703609"/>
    <w:p w14:paraId="26B0C8D5" w14:textId="36DBE913" w:rsidR="002204EC" w:rsidRDefault="002204EC" w:rsidP="00703609"/>
    <w:p w14:paraId="2D893F51" w14:textId="77777777" w:rsidR="0093473D" w:rsidRDefault="0093473D" w:rsidP="00703609">
      <w:bookmarkStart w:id="0" w:name="_GoBack"/>
      <w:bookmarkEnd w:id="0"/>
    </w:p>
    <w:p w14:paraId="67156858" w14:textId="77777777" w:rsidR="002204EC" w:rsidRDefault="002204EC" w:rsidP="00703609"/>
    <w:p w14:paraId="3B50F76C" w14:textId="77777777" w:rsidR="002204EC" w:rsidRDefault="002204EC" w:rsidP="00703609"/>
    <w:p w14:paraId="2C30C2F3" w14:textId="77777777" w:rsidR="002204EC" w:rsidRDefault="002204EC" w:rsidP="00703609"/>
    <w:p w14:paraId="65B3C083" w14:textId="77777777" w:rsidR="002204EC" w:rsidRDefault="002204EC" w:rsidP="00703609"/>
    <w:p w14:paraId="3BED526F" w14:textId="77777777" w:rsidR="002204EC" w:rsidRDefault="002204EC" w:rsidP="00703609"/>
    <w:p w14:paraId="1A8034EF" w14:textId="77777777" w:rsidR="002204EC" w:rsidRDefault="002204EC" w:rsidP="00703609"/>
    <w:p w14:paraId="437B68AD" w14:textId="77777777" w:rsidR="002204EC" w:rsidRDefault="002204EC" w:rsidP="00703609"/>
    <w:p w14:paraId="706B82FF" w14:textId="77777777" w:rsidR="002204EC" w:rsidRDefault="002204EC" w:rsidP="00703609"/>
    <w:p w14:paraId="678D5BC8" w14:textId="77777777" w:rsidR="002204EC" w:rsidRPr="002204EC" w:rsidRDefault="002204EC" w:rsidP="002204EC">
      <w:pPr>
        <w:jc w:val="center"/>
        <w:rPr>
          <w:b/>
        </w:rPr>
      </w:pPr>
      <w:r w:rsidRPr="002204EC">
        <w:rPr>
          <w:b/>
        </w:rPr>
        <w:lastRenderedPageBreak/>
        <w:t xml:space="preserve">Tabella. </w:t>
      </w:r>
      <w:r>
        <w:rPr>
          <w:b/>
        </w:rPr>
        <w:t>Numero di laboratori accreditati per l’esecuzione dei tamponi molecolari</w:t>
      </w:r>
    </w:p>
    <w:tbl>
      <w:tblPr>
        <w:tblW w:w="0" w:type="auto"/>
        <w:jc w:val="center"/>
        <w:tblBorders>
          <w:top w:val="single" w:sz="8" w:space="0" w:color="00457D"/>
          <w:left w:val="single" w:sz="8" w:space="0" w:color="00457D"/>
          <w:bottom w:val="single" w:sz="8" w:space="0" w:color="00457D"/>
          <w:right w:val="single" w:sz="8" w:space="0" w:color="00457D"/>
          <w:insideH w:val="single" w:sz="8" w:space="0" w:color="00457D"/>
          <w:insideV w:val="single" w:sz="8" w:space="0" w:color="00457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2479"/>
        <w:gridCol w:w="2247"/>
        <w:gridCol w:w="1458"/>
        <w:gridCol w:w="8"/>
      </w:tblGrid>
      <w:tr w:rsidR="002204EC" w14:paraId="784F8E13" w14:textId="77777777" w:rsidTr="00E51C49">
        <w:trPr>
          <w:gridAfter w:val="1"/>
          <w:wAfter w:w="7" w:type="dxa"/>
          <w:trHeight w:val="680"/>
          <w:jc w:val="center"/>
        </w:trPr>
        <w:tc>
          <w:tcPr>
            <w:tcW w:w="2197" w:type="dxa"/>
            <w:tcBorders>
              <w:right w:val="single" w:sz="8" w:space="0" w:color="FFFFFF" w:themeColor="background1"/>
            </w:tcBorders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6FE45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Regioni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56525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Circolare 3 aprile 2020 </w:t>
            </w:r>
            <w:r>
              <w:rPr>
                <w:rFonts w:ascii="Calibri" w:hAnsi="Calibri" w:cs="Calibri"/>
                <w:b/>
                <w:bCs/>
                <w:color w:val="FFFFFF"/>
              </w:rPr>
              <w:br/>
              <w:t xml:space="preserve">del Ministero della </w:t>
            </w:r>
            <w:r w:rsidR="00E51C49">
              <w:rPr>
                <w:rFonts w:ascii="Calibri" w:hAnsi="Calibri" w:cs="Calibri"/>
                <w:b/>
                <w:bCs/>
                <w:color w:val="FFFFFF"/>
              </w:rPr>
              <w:t>Salute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6329B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Aggiornamento </w:t>
            </w:r>
            <w:r>
              <w:rPr>
                <w:rFonts w:ascii="Calibri" w:hAnsi="Calibri" w:cs="Calibri"/>
                <w:b/>
                <w:bCs/>
                <w:color w:val="FFFFFF"/>
              </w:rPr>
              <w:br/>
              <w:t>18 settembre 2020</w:t>
            </w:r>
          </w:p>
        </w:tc>
        <w:tc>
          <w:tcPr>
            <w:tcW w:w="0" w:type="auto"/>
            <w:tcBorders>
              <w:left w:val="single" w:sz="8" w:space="0" w:color="FFFFFF" w:themeColor="background1"/>
            </w:tcBorders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028F2" w14:textId="77777777" w:rsidR="002204EC" w:rsidRDefault="00E51C49" w:rsidP="00E51C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Variazione</w:t>
            </w:r>
          </w:p>
        </w:tc>
      </w:tr>
      <w:tr w:rsidR="002204EC" w14:paraId="04B38D38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A57A8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Piemonte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1847F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4EC62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D22F9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04EC" w14:paraId="4D0F0967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D50E4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Lombardia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539D6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875BA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90FC7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2204EC" w14:paraId="1682B45C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89287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Liguria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A2446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E8C77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F6E99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204EC" w14:paraId="2A930250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DD98E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Puglia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FF5E6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A9662E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19C38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</w:tr>
      <w:tr w:rsidR="002204EC" w14:paraId="5D8C45C2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C752D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Lazio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82F72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0D1B3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99D17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204EC" w14:paraId="5E89B591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D0B7A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Valle d'Aosta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E25A8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76BCF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FAC82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204EC" w14:paraId="386F1314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75A4F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Sicilia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0725A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F9E84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11429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2204EC" w14:paraId="0B1894A2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BCA39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Friuli Venezia Giulia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9AC05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9284F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C5F80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204EC" w14:paraId="071340F3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ACA3E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Campania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D79A0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FC571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6637C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204EC" w14:paraId="1F7F2349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F66E6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Molise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B3702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A1D11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A111B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04EC" w14:paraId="617A8FCE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95F44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892F0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9D5EF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0F602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04EC" w14:paraId="733D3693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BAD06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P.A. Trento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99B31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382BC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B61A1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04EC" w14:paraId="1CC340B5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3A47C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P.A. Bolzano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9DEEC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9CE36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8DC97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04EC" w14:paraId="1A223E3C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62DE8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Umbria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BE210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C7647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23BEF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04EC" w14:paraId="2B246004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A3853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Calabria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F884B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C6B4E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D62CE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204EC" w14:paraId="70641082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43180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Abruzzo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BD03E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0C513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5289D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204EC" w14:paraId="0FBB9E18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A46A2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 Romagna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494FC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4631C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B01AA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204EC" w14:paraId="4A2240C2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CAF33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Veneto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9FF03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8D481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D3E77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04EC" w14:paraId="608D1412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B310A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Sardegna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508F3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53496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F1DF5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204EC" w14:paraId="0105622E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7EF1A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Toscana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C75E3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35D34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B88A2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204EC" w14:paraId="43EE703B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44272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Basilicata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5F10C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D324E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F7EC0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204EC" w14:paraId="60060283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4512A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Lab. Sanità Militare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A87E9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CAC58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C765F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204EC" w14:paraId="04FCA9A5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tcBorders>
              <w:bottom w:val="single" w:sz="8" w:space="0" w:color="0045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B39EC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Laboratori I</w:t>
            </w:r>
            <w:r w:rsidR="00380109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Z</w:t>
            </w:r>
            <w:r w:rsidR="00380109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="00380109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0" w:type="auto"/>
            <w:tcBorders>
              <w:bottom w:val="single" w:sz="8" w:space="0" w:color="0045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A06E0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bottom w:val="single" w:sz="8" w:space="0" w:color="0045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687AE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bottom w:val="single" w:sz="8" w:space="0" w:color="00457D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002E9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204EC" w14:paraId="258C5310" w14:textId="77777777" w:rsidTr="00E51C49">
        <w:trPr>
          <w:gridAfter w:val="1"/>
          <w:wAfter w:w="7" w:type="dxa"/>
          <w:trHeight w:val="454"/>
          <w:jc w:val="center"/>
        </w:trPr>
        <w:tc>
          <w:tcPr>
            <w:tcW w:w="2197" w:type="dxa"/>
            <w:tcBorders>
              <w:right w:val="single" w:sz="8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4E24D" w14:textId="77777777" w:rsidR="002204EC" w:rsidRDefault="002204EC" w:rsidP="00E51C4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Totale Italia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A8921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152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B72DC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270</w:t>
            </w:r>
          </w:p>
        </w:tc>
        <w:tc>
          <w:tcPr>
            <w:tcW w:w="0" w:type="auto"/>
            <w:tcBorders>
              <w:left w:val="single" w:sz="8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21A6A" w14:textId="77777777" w:rsidR="002204EC" w:rsidRDefault="002204EC" w:rsidP="00E51C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118</w:t>
            </w:r>
          </w:p>
        </w:tc>
      </w:tr>
      <w:tr w:rsidR="00E51C49" w14:paraId="334A542E" w14:textId="77777777" w:rsidTr="00E51C49">
        <w:trPr>
          <w:trHeight w:val="964"/>
          <w:jc w:val="center"/>
        </w:trPr>
        <w:tc>
          <w:tcPr>
            <w:tcW w:w="8908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B5EA3" w14:textId="77777777" w:rsidR="00E51C49" w:rsidRPr="00E51C49" w:rsidRDefault="00380109" w:rsidP="00E51C49">
            <w:pPr>
              <w:spacing w:after="0" w:line="240" w:lineRule="auto"/>
              <w:rPr>
                <w:rFonts w:ascii="Calibri" w:hAnsi="Calibri" w:cs="Calibri"/>
                <w:bCs/>
                <w:color w:val="FFFFFF"/>
              </w:rPr>
            </w:pPr>
            <w:r>
              <w:rPr>
                <w:rFonts w:ascii="Calibri" w:hAnsi="Calibri" w:cs="Calibri"/>
                <w:bCs/>
              </w:rPr>
              <w:t>Gli IIZZSS che n</w:t>
            </w:r>
            <w:r w:rsidR="00E51C49">
              <w:rPr>
                <w:rFonts w:ascii="Calibri" w:hAnsi="Calibri" w:cs="Calibri"/>
                <w:bCs/>
              </w:rPr>
              <w:t>ella C</w:t>
            </w:r>
            <w:r w:rsidR="00E51C49" w:rsidRPr="00E51C49">
              <w:rPr>
                <w:rFonts w:ascii="Calibri" w:hAnsi="Calibri" w:cs="Calibri"/>
                <w:bCs/>
              </w:rPr>
              <w:t xml:space="preserve">ircolare 3 aprile 2020 del Ministero della Salute </w:t>
            </w:r>
            <w:r w:rsidR="00E51C49">
              <w:rPr>
                <w:rFonts w:ascii="Calibri" w:hAnsi="Calibri" w:cs="Calibri"/>
                <w:bCs/>
              </w:rPr>
              <w:t xml:space="preserve">sono riportati all’interno delle singole Regioni dove hanno sede, nella presente tabella sono </w:t>
            </w:r>
            <w:r>
              <w:rPr>
                <w:rFonts w:ascii="Calibri" w:hAnsi="Calibri" w:cs="Calibri"/>
                <w:bCs/>
              </w:rPr>
              <w:t>elencati</w:t>
            </w:r>
            <w:r w:rsidR="00E51C49">
              <w:rPr>
                <w:rFonts w:ascii="Calibri" w:hAnsi="Calibri" w:cs="Calibri"/>
                <w:bCs/>
              </w:rPr>
              <w:t xml:space="preserve"> separatamente come nell’aggiornamento 18 settembre 2020 al fine di rendere confrontabili i totali per Regione</w:t>
            </w:r>
            <w:r w:rsidR="00E51C49" w:rsidRPr="00E51C49">
              <w:rPr>
                <w:rFonts w:ascii="Calibri" w:hAnsi="Calibri" w:cs="Calibri"/>
                <w:bCs/>
              </w:rPr>
              <w:t>.</w:t>
            </w:r>
          </w:p>
        </w:tc>
      </w:tr>
    </w:tbl>
    <w:p w14:paraId="458C2EB2" w14:textId="77777777" w:rsidR="00703609" w:rsidRPr="00E51C49" w:rsidRDefault="00703609" w:rsidP="00E51C49">
      <w:pPr>
        <w:spacing w:after="0" w:line="240" w:lineRule="auto"/>
        <w:rPr>
          <w:sz w:val="2"/>
          <w:szCs w:val="2"/>
        </w:rPr>
      </w:pPr>
    </w:p>
    <w:sectPr w:rsidR="00703609" w:rsidRPr="00E51C49" w:rsidSect="00BE4794">
      <w:headerReference w:type="default" r:id="rId15"/>
      <w:footerReference w:type="default" r:id="rId16"/>
      <w:footnotePr>
        <w:numFmt w:val="chicago"/>
      </w:footnotePr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F41C" w16cex:dateUtc="2020-10-12T13:26:00Z"/>
  <w16cex:commentExtensible w16cex:durableId="232EF9C0" w16cex:dateUtc="2020-10-12T13:50:00Z"/>
  <w16cex:commentExtensible w16cex:durableId="232EFA5D" w16cex:dateUtc="2020-10-12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0E88" w14:textId="77777777" w:rsidR="00DC76CF" w:rsidRDefault="00DC76CF">
      <w:pPr>
        <w:spacing w:after="0" w:line="240" w:lineRule="auto"/>
      </w:pPr>
      <w:r>
        <w:separator/>
      </w:r>
    </w:p>
  </w:endnote>
  <w:endnote w:type="continuationSeparator" w:id="0">
    <w:p w14:paraId="06A59596" w14:textId="77777777" w:rsidR="00DC76CF" w:rsidRDefault="00DC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0FE97" w14:textId="77777777" w:rsidR="00B05B11" w:rsidRDefault="00B05B11">
    <w:pPr>
      <w:pStyle w:val="Pidipagina"/>
    </w:pPr>
  </w:p>
  <w:p w14:paraId="3203953D" w14:textId="77777777" w:rsidR="00B05B11" w:rsidRDefault="00B05B11">
    <w:pPr>
      <w:pStyle w:val="Pidipagina"/>
    </w:pPr>
  </w:p>
  <w:p w14:paraId="4E810958" w14:textId="77777777" w:rsidR="00B05B11" w:rsidRDefault="00B05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1CD10" w14:textId="77777777" w:rsidR="00DC76CF" w:rsidRDefault="00DC76CF">
      <w:pPr>
        <w:spacing w:after="0" w:line="240" w:lineRule="auto"/>
      </w:pPr>
      <w:r>
        <w:separator/>
      </w:r>
    </w:p>
  </w:footnote>
  <w:footnote w:type="continuationSeparator" w:id="0">
    <w:p w14:paraId="2E105935" w14:textId="77777777" w:rsidR="00DC76CF" w:rsidRDefault="00DC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9A34" w14:textId="77777777" w:rsidR="00B05B11" w:rsidRPr="00BF1EEA" w:rsidRDefault="00B05B11" w:rsidP="00BF1EEA">
    <w:pPr>
      <w:pStyle w:val="Intestazione"/>
      <w:jc w:val="center"/>
      <w:rPr>
        <w:b/>
        <w:color w:val="FF000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1E6E"/>
    <w:multiLevelType w:val="hybridMultilevel"/>
    <w:tmpl w:val="20DE2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673EB"/>
    <w:multiLevelType w:val="hybridMultilevel"/>
    <w:tmpl w:val="7BB087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65926"/>
    <w:multiLevelType w:val="hybridMultilevel"/>
    <w:tmpl w:val="C2B636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62C95"/>
    <w:multiLevelType w:val="hybridMultilevel"/>
    <w:tmpl w:val="0BAAF4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626F5"/>
    <w:multiLevelType w:val="hybridMultilevel"/>
    <w:tmpl w:val="72EAD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855E63"/>
    <w:multiLevelType w:val="hybridMultilevel"/>
    <w:tmpl w:val="7DD25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610C"/>
    <w:rsid w:val="00007CC5"/>
    <w:rsid w:val="00007E2D"/>
    <w:rsid w:val="00007F7F"/>
    <w:rsid w:val="00010AEF"/>
    <w:rsid w:val="00010E80"/>
    <w:rsid w:val="00012955"/>
    <w:rsid w:val="00015809"/>
    <w:rsid w:val="000171B3"/>
    <w:rsid w:val="000171CE"/>
    <w:rsid w:val="000177CD"/>
    <w:rsid w:val="000179EC"/>
    <w:rsid w:val="000200E1"/>
    <w:rsid w:val="00020B41"/>
    <w:rsid w:val="0002190C"/>
    <w:rsid w:val="000223CF"/>
    <w:rsid w:val="00022977"/>
    <w:rsid w:val="00022EBF"/>
    <w:rsid w:val="00023F18"/>
    <w:rsid w:val="00026DC0"/>
    <w:rsid w:val="00030B5F"/>
    <w:rsid w:val="00031E5F"/>
    <w:rsid w:val="000328C9"/>
    <w:rsid w:val="00035405"/>
    <w:rsid w:val="000370F6"/>
    <w:rsid w:val="0004029D"/>
    <w:rsid w:val="00043148"/>
    <w:rsid w:val="00043A85"/>
    <w:rsid w:val="0004544E"/>
    <w:rsid w:val="0004717B"/>
    <w:rsid w:val="00047EE0"/>
    <w:rsid w:val="000529FD"/>
    <w:rsid w:val="000534AE"/>
    <w:rsid w:val="000548AC"/>
    <w:rsid w:val="00055874"/>
    <w:rsid w:val="000559EC"/>
    <w:rsid w:val="00055D5E"/>
    <w:rsid w:val="00055E53"/>
    <w:rsid w:val="00055FB6"/>
    <w:rsid w:val="0005649A"/>
    <w:rsid w:val="000568EE"/>
    <w:rsid w:val="00057675"/>
    <w:rsid w:val="00057A37"/>
    <w:rsid w:val="00057CF0"/>
    <w:rsid w:val="00060A3C"/>
    <w:rsid w:val="00062310"/>
    <w:rsid w:val="00062E06"/>
    <w:rsid w:val="000637B1"/>
    <w:rsid w:val="00063896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3DC9"/>
    <w:rsid w:val="0007561A"/>
    <w:rsid w:val="00075811"/>
    <w:rsid w:val="00075B48"/>
    <w:rsid w:val="0007670E"/>
    <w:rsid w:val="00080943"/>
    <w:rsid w:val="00081DF7"/>
    <w:rsid w:val="00081F03"/>
    <w:rsid w:val="00082DDC"/>
    <w:rsid w:val="00083222"/>
    <w:rsid w:val="00083DA7"/>
    <w:rsid w:val="00083F44"/>
    <w:rsid w:val="0008470A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A0DB4"/>
    <w:rsid w:val="000A1C07"/>
    <w:rsid w:val="000A24C2"/>
    <w:rsid w:val="000A5441"/>
    <w:rsid w:val="000A5D42"/>
    <w:rsid w:val="000A5DC3"/>
    <w:rsid w:val="000A7474"/>
    <w:rsid w:val="000A7D7F"/>
    <w:rsid w:val="000B0330"/>
    <w:rsid w:val="000B1503"/>
    <w:rsid w:val="000B23AC"/>
    <w:rsid w:val="000B2A0D"/>
    <w:rsid w:val="000B2A60"/>
    <w:rsid w:val="000B3A77"/>
    <w:rsid w:val="000B5341"/>
    <w:rsid w:val="000B6B1F"/>
    <w:rsid w:val="000B6E50"/>
    <w:rsid w:val="000B77BB"/>
    <w:rsid w:val="000B77EA"/>
    <w:rsid w:val="000C153C"/>
    <w:rsid w:val="000C1558"/>
    <w:rsid w:val="000C1EDD"/>
    <w:rsid w:val="000C22C6"/>
    <w:rsid w:val="000C271B"/>
    <w:rsid w:val="000C44FE"/>
    <w:rsid w:val="000C7557"/>
    <w:rsid w:val="000D0EA3"/>
    <w:rsid w:val="000D1769"/>
    <w:rsid w:val="000D1D78"/>
    <w:rsid w:val="000D3072"/>
    <w:rsid w:val="000D4762"/>
    <w:rsid w:val="000D56B8"/>
    <w:rsid w:val="000D64BB"/>
    <w:rsid w:val="000D6AC6"/>
    <w:rsid w:val="000E2B65"/>
    <w:rsid w:val="000E2D59"/>
    <w:rsid w:val="000E4C32"/>
    <w:rsid w:val="000E72BC"/>
    <w:rsid w:val="000E7466"/>
    <w:rsid w:val="000F0B4D"/>
    <w:rsid w:val="000F136B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F54"/>
    <w:rsid w:val="00103E7D"/>
    <w:rsid w:val="00104007"/>
    <w:rsid w:val="00104759"/>
    <w:rsid w:val="001047A9"/>
    <w:rsid w:val="00104A0E"/>
    <w:rsid w:val="0010550E"/>
    <w:rsid w:val="001059AD"/>
    <w:rsid w:val="001079DA"/>
    <w:rsid w:val="00113053"/>
    <w:rsid w:val="00113554"/>
    <w:rsid w:val="00113C94"/>
    <w:rsid w:val="001218DD"/>
    <w:rsid w:val="00123005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37608"/>
    <w:rsid w:val="00137854"/>
    <w:rsid w:val="0014018F"/>
    <w:rsid w:val="001408D2"/>
    <w:rsid w:val="001411CA"/>
    <w:rsid w:val="00143377"/>
    <w:rsid w:val="001435C6"/>
    <w:rsid w:val="00143BB8"/>
    <w:rsid w:val="00144CF6"/>
    <w:rsid w:val="00145AFE"/>
    <w:rsid w:val="00145D5E"/>
    <w:rsid w:val="00146588"/>
    <w:rsid w:val="00147917"/>
    <w:rsid w:val="001509C3"/>
    <w:rsid w:val="00151D45"/>
    <w:rsid w:val="00152168"/>
    <w:rsid w:val="001521A0"/>
    <w:rsid w:val="00153115"/>
    <w:rsid w:val="00153964"/>
    <w:rsid w:val="00156012"/>
    <w:rsid w:val="00156186"/>
    <w:rsid w:val="001630EB"/>
    <w:rsid w:val="00164139"/>
    <w:rsid w:val="0016624A"/>
    <w:rsid w:val="00166D9E"/>
    <w:rsid w:val="001670B6"/>
    <w:rsid w:val="0016713F"/>
    <w:rsid w:val="00170961"/>
    <w:rsid w:val="0017590C"/>
    <w:rsid w:val="00175A46"/>
    <w:rsid w:val="001767BB"/>
    <w:rsid w:val="00180482"/>
    <w:rsid w:val="001812FC"/>
    <w:rsid w:val="001815BB"/>
    <w:rsid w:val="0018261A"/>
    <w:rsid w:val="00183566"/>
    <w:rsid w:val="00183F81"/>
    <w:rsid w:val="00185E17"/>
    <w:rsid w:val="00186CF1"/>
    <w:rsid w:val="00187B8A"/>
    <w:rsid w:val="00190025"/>
    <w:rsid w:val="00191018"/>
    <w:rsid w:val="00191361"/>
    <w:rsid w:val="00191564"/>
    <w:rsid w:val="00191AFB"/>
    <w:rsid w:val="0019215F"/>
    <w:rsid w:val="00196162"/>
    <w:rsid w:val="00197B87"/>
    <w:rsid w:val="001A0964"/>
    <w:rsid w:val="001A25A5"/>
    <w:rsid w:val="001A2AC2"/>
    <w:rsid w:val="001A3813"/>
    <w:rsid w:val="001A3959"/>
    <w:rsid w:val="001A3BD0"/>
    <w:rsid w:val="001A3EC6"/>
    <w:rsid w:val="001A41FE"/>
    <w:rsid w:val="001A62B9"/>
    <w:rsid w:val="001A642A"/>
    <w:rsid w:val="001B0820"/>
    <w:rsid w:val="001B183D"/>
    <w:rsid w:val="001B29FE"/>
    <w:rsid w:val="001B3683"/>
    <w:rsid w:val="001B3E88"/>
    <w:rsid w:val="001B5282"/>
    <w:rsid w:val="001B7500"/>
    <w:rsid w:val="001C07D8"/>
    <w:rsid w:val="001C16B5"/>
    <w:rsid w:val="001C3419"/>
    <w:rsid w:val="001C3871"/>
    <w:rsid w:val="001C563B"/>
    <w:rsid w:val="001D068F"/>
    <w:rsid w:val="001D0755"/>
    <w:rsid w:val="001D1B73"/>
    <w:rsid w:val="001D1D83"/>
    <w:rsid w:val="001D3373"/>
    <w:rsid w:val="001D3BEA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E2C"/>
    <w:rsid w:val="001E2E7F"/>
    <w:rsid w:val="001E456C"/>
    <w:rsid w:val="001E5436"/>
    <w:rsid w:val="001E6000"/>
    <w:rsid w:val="001E66B3"/>
    <w:rsid w:val="001F06CD"/>
    <w:rsid w:val="001F2345"/>
    <w:rsid w:val="001F31DC"/>
    <w:rsid w:val="001F374C"/>
    <w:rsid w:val="001F3D5D"/>
    <w:rsid w:val="001F4A0A"/>
    <w:rsid w:val="001F4CD4"/>
    <w:rsid w:val="001F69E0"/>
    <w:rsid w:val="00200F8C"/>
    <w:rsid w:val="00204E2D"/>
    <w:rsid w:val="00205992"/>
    <w:rsid w:val="0020632D"/>
    <w:rsid w:val="00206575"/>
    <w:rsid w:val="00207983"/>
    <w:rsid w:val="00210C83"/>
    <w:rsid w:val="00210F6C"/>
    <w:rsid w:val="002115AE"/>
    <w:rsid w:val="002118B6"/>
    <w:rsid w:val="00212CD8"/>
    <w:rsid w:val="00213097"/>
    <w:rsid w:val="002149D9"/>
    <w:rsid w:val="00217534"/>
    <w:rsid w:val="00217612"/>
    <w:rsid w:val="00217C7C"/>
    <w:rsid w:val="002204EC"/>
    <w:rsid w:val="002205C9"/>
    <w:rsid w:val="00222222"/>
    <w:rsid w:val="00223CBF"/>
    <w:rsid w:val="00223FDE"/>
    <w:rsid w:val="002242D0"/>
    <w:rsid w:val="0022503B"/>
    <w:rsid w:val="00225AF9"/>
    <w:rsid w:val="002269AD"/>
    <w:rsid w:val="00226CB8"/>
    <w:rsid w:val="002273E1"/>
    <w:rsid w:val="002306E8"/>
    <w:rsid w:val="00232450"/>
    <w:rsid w:val="002329BC"/>
    <w:rsid w:val="0023363F"/>
    <w:rsid w:val="00233A92"/>
    <w:rsid w:val="0023472D"/>
    <w:rsid w:val="002349C2"/>
    <w:rsid w:val="0023571B"/>
    <w:rsid w:val="00236A29"/>
    <w:rsid w:val="002372A1"/>
    <w:rsid w:val="002409AC"/>
    <w:rsid w:val="00240B0E"/>
    <w:rsid w:val="00241578"/>
    <w:rsid w:val="002419BE"/>
    <w:rsid w:val="00241BC8"/>
    <w:rsid w:val="00243835"/>
    <w:rsid w:val="002442BE"/>
    <w:rsid w:val="00244487"/>
    <w:rsid w:val="00246085"/>
    <w:rsid w:val="002509F9"/>
    <w:rsid w:val="0025131F"/>
    <w:rsid w:val="00252C2D"/>
    <w:rsid w:val="00252E88"/>
    <w:rsid w:val="0025387F"/>
    <w:rsid w:val="00253F3D"/>
    <w:rsid w:val="002559B4"/>
    <w:rsid w:val="00255F11"/>
    <w:rsid w:val="00256D8D"/>
    <w:rsid w:val="0025799B"/>
    <w:rsid w:val="00260775"/>
    <w:rsid w:val="00260A99"/>
    <w:rsid w:val="002616B6"/>
    <w:rsid w:val="00262053"/>
    <w:rsid w:val="00264C7C"/>
    <w:rsid w:val="002666F4"/>
    <w:rsid w:val="002705E8"/>
    <w:rsid w:val="00272A45"/>
    <w:rsid w:val="00272F32"/>
    <w:rsid w:val="00275D83"/>
    <w:rsid w:val="00276946"/>
    <w:rsid w:val="00277E90"/>
    <w:rsid w:val="00280213"/>
    <w:rsid w:val="00280571"/>
    <w:rsid w:val="0028130B"/>
    <w:rsid w:val="002813A7"/>
    <w:rsid w:val="002815AC"/>
    <w:rsid w:val="0028323F"/>
    <w:rsid w:val="002837E8"/>
    <w:rsid w:val="002838A8"/>
    <w:rsid w:val="00284702"/>
    <w:rsid w:val="00285170"/>
    <w:rsid w:val="002852F5"/>
    <w:rsid w:val="00287EB2"/>
    <w:rsid w:val="0029074E"/>
    <w:rsid w:val="00290EB0"/>
    <w:rsid w:val="00290FDF"/>
    <w:rsid w:val="00292F53"/>
    <w:rsid w:val="002933A0"/>
    <w:rsid w:val="0029457A"/>
    <w:rsid w:val="00296100"/>
    <w:rsid w:val="00297824"/>
    <w:rsid w:val="002A2099"/>
    <w:rsid w:val="002A3D04"/>
    <w:rsid w:val="002A4C5F"/>
    <w:rsid w:val="002A4DEE"/>
    <w:rsid w:val="002A4E8D"/>
    <w:rsid w:val="002A55EA"/>
    <w:rsid w:val="002A59D9"/>
    <w:rsid w:val="002A5FA2"/>
    <w:rsid w:val="002A6486"/>
    <w:rsid w:val="002A6ED6"/>
    <w:rsid w:val="002A6F3F"/>
    <w:rsid w:val="002A7332"/>
    <w:rsid w:val="002B170F"/>
    <w:rsid w:val="002B1BF9"/>
    <w:rsid w:val="002B2BF2"/>
    <w:rsid w:val="002B38B6"/>
    <w:rsid w:val="002B4392"/>
    <w:rsid w:val="002B49E9"/>
    <w:rsid w:val="002B7A9C"/>
    <w:rsid w:val="002C25F3"/>
    <w:rsid w:val="002D4A30"/>
    <w:rsid w:val="002D4C97"/>
    <w:rsid w:val="002D559D"/>
    <w:rsid w:val="002D5A0D"/>
    <w:rsid w:val="002D63E0"/>
    <w:rsid w:val="002D6D5F"/>
    <w:rsid w:val="002D70B8"/>
    <w:rsid w:val="002D7694"/>
    <w:rsid w:val="002D76E0"/>
    <w:rsid w:val="002E0DAB"/>
    <w:rsid w:val="002E182B"/>
    <w:rsid w:val="002E1A37"/>
    <w:rsid w:val="002E234E"/>
    <w:rsid w:val="002E2579"/>
    <w:rsid w:val="002E3B3A"/>
    <w:rsid w:val="002E450B"/>
    <w:rsid w:val="002F0DFB"/>
    <w:rsid w:val="002F1137"/>
    <w:rsid w:val="002F117B"/>
    <w:rsid w:val="002F1666"/>
    <w:rsid w:val="002F47DF"/>
    <w:rsid w:val="002F4D19"/>
    <w:rsid w:val="002F4DEF"/>
    <w:rsid w:val="002F5E78"/>
    <w:rsid w:val="002F70DB"/>
    <w:rsid w:val="002F743B"/>
    <w:rsid w:val="002F76F9"/>
    <w:rsid w:val="00300572"/>
    <w:rsid w:val="00300FDE"/>
    <w:rsid w:val="003020A3"/>
    <w:rsid w:val="00303AB8"/>
    <w:rsid w:val="00303C74"/>
    <w:rsid w:val="00304BC8"/>
    <w:rsid w:val="00304F90"/>
    <w:rsid w:val="003053CC"/>
    <w:rsid w:val="003055A2"/>
    <w:rsid w:val="00306624"/>
    <w:rsid w:val="00306D88"/>
    <w:rsid w:val="0030740E"/>
    <w:rsid w:val="00310166"/>
    <w:rsid w:val="003168CE"/>
    <w:rsid w:val="00317410"/>
    <w:rsid w:val="00317538"/>
    <w:rsid w:val="00320449"/>
    <w:rsid w:val="0032306E"/>
    <w:rsid w:val="00323CCC"/>
    <w:rsid w:val="00324354"/>
    <w:rsid w:val="00324BD4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6225"/>
    <w:rsid w:val="003366CD"/>
    <w:rsid w:val="0033698E"/>
    <w:rsid w:val="0033740A"/>
    <w:rsid w:val="00341741"/>
    <w:rsid w:val="00343BBE"/>
    <w:rsid w:val="00343D23"/>
    <w:rsid w:val="003442B9"/>
    <w:rsid w:val="00344C02"/>
    <w:rsid w:val="00345326"/>
    <w:rsid w:val="00345D05"/>
    <w:rsid w:val="003464D5"/>
    <w:rsid w:val="0034652C"/>
    <w:rsid w:val="00346A49"/>
    <w:rsid w:val="003515F5"/>
    <w:rsid w:val="003522D4"/>
    <w:rsid w:val="00352733"/>
    <w:rsid w:val="00352A02"/>
    <w:rsid w:val="00352E63"/>
    <w:rsid w:val="00353D22"/>
    <w:rsid w:val="0035569C"/>
    <w:rsid w:val="00355D9B"/>
    <w:rsid w:val="003565B1"/>
    <w:rsid w:val="003565EE"/>
    <w:rsid w:val="00356D01"/>
    <w:rsid w:val="0035727A"/>
    <w:rsid w:val="00357398"/>
    <w:rsid w:val="003573F0"/>
    <w:rsid w:val="00360AA4"/>
    <w:rsid w:val="003624F9"/>
    <w:rsid w:val="0036340C"/>
    <w:rsid w:val="00363CCA"/>
    <w:rsid w:val="00365312"/>
    <w:rsid w:val="003658CE"/>
    <w:rsid w:val="00366193"/>
    <w:rsid w:val="0037191E"/>
    <w:rsid w:val="0037366F"/>
    <w:rsid w:val="0037421B"/>
    <w:rsid w:val="00375555"/>
    <w:rsid w:val="00375FF6"/>
    <w:rsid w:val="00376334"/>
    <w:rsid w:val="00376AB7"/>
    <w:rsid w:val="00376B13"/>
    <w:rsid w:val="00377229"/>
    <w:rsid w:val="00380109"/>
    <w:rsid w:val="003827FB"/>
    <w:rsid w:val="00383720"/>
    <w:rsid w:val="00384F8E"/>
    <w:rsid w:val="003864BA"/>
    <w:rsid w:val="0038724D"/>
    <w:rsid w:val="00387426"/>
    <w:rsid w:val="00390E96"/>
    <w:rsid w:val="00391930"/>
    <w:rsid w:val="003925EF"/>
    <w:rsid w:val="003944F4"/>
    <w:rsid w:val="003948A2"/>
    <w:rsid w:val="0039540D"/>
    <w:rsid w:val="00395971"/>
    <w:rsid w:val="00397A51"/>
    <w:rsid w:val="003A0175"/>
    <w:rsid w:val="003A0F9B"/>
    <w:rsid w:val="003A2071"/>
    <w:rsid w:val="003B386F"/>
    <w:rsid w:val="003B3BA8"/>
    <w:rsid w:val="003B46B9"/>
    <w:rsid w:val="003B4B8E"/>
    <w:rsid w:val="003B4DD7"/>
    <w:rsid w:val="003B512D"/>
    <w:rsid w:val="003B5BD7"/>
    <w:rsid w:val="003B6601"/>
    <w:rsid w:val="003B761A"/>
    <w:rsid w:val="003B767D"/>
    <w:rsid w:val="003B7ED5"/>
    <w:rsid w:val="003C01AE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2E4"/>
    <w:rsid w:val="003D6B0C"/>
    <w:rsid w:val="003D6D85"/>
    <w:rsid w:val="003D7012"/>
    <w:rsid w:val="003E172D"/>
    <w:rsid w:val="003E228A"/>
    <w:rsid w:val="003E318E"/>
    <w:rsid w:val="003E62A0"/>
    <w:rsid w:val="003E7BE4"/>
    <w:rsid w:val="003F0150"/>
    <w:rsid w:val="003F24A4"/>
    <w:rsid w:val="003F3A78"/>
    <w:rsid w:val="003F4964"/>
    <w:rsid w:val="003F4DFD"/>
    <w:rsid w:val="003F4EAB"/>
    <w:rsid w:val="003F5E91"/>
    <w:rsid w:val="003F5EB8"/>
    <w:rsid w:val="003F66ED"/>
    <w:rsid w:val="003F68C4"/>
    <w:rsid w:val="003F7AAD"/>
    <w:rsid w:val="00400B49"/>
    <w:rsid w:val="004027B6"/>
    <w:rsid w:val="00402D73"/>
    <w:rsid w:val="00404ACE"/>
    <w:rsid w:val="00404CF8"/>
    <w:rsid w:val="00404EDE"/>
    <w:rsid w:val="004053FC"/>
    <w:rsid w:val="00406927"/>
    <w:rsid w:val="00406DC9"/>
    <w:rsid w:val="00410301"/>
    <w:rsid w:val="00410F0D"/>
    <w:rsid w:val="0041135C"/>
    <w:rsid w:val="00411BE2"/>
    <w:rsid w:val="00412031"/>
    <w:rsid w:val="0041302D"/>
    <w:rsid w:val="00413E8E"/>
    <w:rsid w:val="004167BC"/>
    <w:rsid w:val="004173E1"/>
    <w:rsid w:val="00417C1C"/>
    <w:rsid w:val="004203C6"/>
    <w:rsid w:val="004207EF"/>
    <w:rsid w:val="00420C20"/>
    <w:rsid w:val="00420CC8"/>
    <w:rsid w:val="004214E3"/>
    <w:rsid w:val="00422172"/>
    <w:rsid w:val="00423ED3"/>
    <w:rsid w:val="00425C3A"/>
    <w:rsid w:val="00426A8E"/>
    <w:rsid w:val="00426C7C"/>
    <w:rsid w:val="00427B58"/>
    <w:rsid w:val="00432089"/>
    <w:rsid w:val="0043421F"/>
    <w:rsid w:val="00435198"/>
    <w:rsid w:val="00435282"/>
    <w:rsid w:val="004374D6"/>
    <w:rsid w:val="00437BB8"/>
    <w:rsid w:val="00441414"/>
    <w:rsid w:val="00441E7B"/>
    <w:rsid w:val="004421F3"/>
    <w:rsid w:val="00442661"/>
    <w:rsid w:val="004430FB"/>
    <w:rsid w:val="004445B2"/>
    <w:rsid w:val="0044462E"/>
    <w:rsid w:val="00451DF0"/>
    <w:rsid w:val="00452084"/>
    <w:rsid w:val="004534C0"/>
    <w:rsid w:val="004549CB"/>
    <w:rsid w:val="0045525F"/>
    <w:rsid w:val="00455B93"/>
    <w:rsid w:val="00455F70"/>
    <w:rsid w:val="00456FB9"/>
    <w:rsid w:val="00457239"/>
    <w:rsid w:val="00457AEC"/>
    <w:rsid w:val="00460478"/>
    <w:rsid w:val="00460DB4"/>
    <w:rsid w:val="0046129C"/>
    <w:rsid w:val="004612FF"/>
    <w:rsid w:val="004627B8"/>
    <w:rsid w:val="0046399E"/>
    <w:rsid w:val="004640C3"/>
    <w:rsid w:val="004642D0"/>
    <w:rsid w:val="004653C6"/>
    <w:rsid w:val="0046598E"/>
    <w:rsid w:val="00465DF4"/>
    <w:rsid w:val="00467C46"/>
    <w:rsid w:val="00470110"/>
    <w:rsid w:val="004703BD"/>
    <w:rsid w:val="00470817"/>
    <w:rsid w:val="00470EA2"/>
    <w:rsid w:val="00470ED4"/>
    <w:rsid w:val="0047278C"/>
    <w:rsid w:val="004751C0"/>
    <w:rsid w:val="00475FAA"/>
    <w:rsid w:val="0047644D"/>
    <w:rsid w:val="00476735"/>
    <w:rsid w:val="00476F10"/>
    <w:rsid w:val="004776AE"/>
    <w:rsid w:val="00477D40"/>
    <w:rsid w:val="004805BB"/>
    <w:rsid w:val="00480CC3"/>
    <w:rsid w:val="00481C9F"/>
    <w:rsid w:val="00482E09"/>
    <w:rsid w:val="004855A5"/>
    <w:rsid w:val="00486F84"/>
    <w:rsid w:val="00487CA2"/>
    <w:rsid w:val="00487DFA"/>
    <w:rsid w:val="00487E15"/>
    <w:rsid w:val="00490381"/>
    <w:rsid w:val="00493007"/>
    <w:rsid w:val="00494318"/>
    <w:rsid w:val="00494885"/>
    <w:rsid w:val="00496ADF"/>
    <w:rsid w:val="00497078"/>
    <w:rsid w:val="0049718B"/>
    <w:rsid w:val="00497C09"/>
    <w:rsid w:val="004A0133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4C0"/>
    <w:rsid w:val="004B3D68"/>
    <w:rsid w:val="004B4E74"/>
    <w:rsid w:val="004B64C5"/>
    <w:rsid w:val="004B6BB8"/>
    <w:rsid w:val="004C12A9"/>
    <w:rsid w:val="004C3A9A"/>
    <w:rsid w:val="004C3CCC"/>
    <w:rsid w:val="004C4178"/>
    <w:rsid w:val="004C41A8"/>
    <w:rsid w:val="004C50A7"/>
    <w:rsid w:val="004C60DC"/>
    <w:rsid w:val="004C6651"/>
    <w:rsid w:val="004C7E84"/>
    <w:rsid w:val="004D26DF"/>
    <w:rsid w:val="004D3037"/>
    <w:rsid w:val="004D3220"/>
    <w:rsid w:val="004D3455"/>
    <w:rsid w:val="004D381A"/>
    <w:rsid w:val="004D3DAE"/>
    <w:rsid w:val="004D5A05"/>
    <w:rsid w:val="004D602F"/>
    <w:rsid w:val="004D6BE7"/>
    <w:rsid w:val="004D71C4"/>
    <w:rsid w:val="004D7373"/>
    <w:rsid w:val="004D7D3F"/>
    <w:rsid w:val="004D7F8F"/>
    <w:rsid w:val="004E1A67"/>
    <w:rsid w:val="004E1AC9"/>
    <w:rsid w:val="004E2BEB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61AA"/>
    <w:rsid w:val="004F62AF"/>
    <w:rsid w:val="00500FEB"/>
    <w:rsid w:val="0050143A"/>
    <w:rsid w:val="005015C7"/>
    <w:rsid w:val="0050196C"/>
    <w:rsid w:val="005019AF"/>
    <w:rsid w:val="00502A03"/>
    <w:rsid w:val="00503664"/>
    <w:rsid w:val="00503976"/>
    <w:rsid w:val="005049A0"/>
    <w:rsid w:val="00504B2C"/>
    <w:rsid w:val="005052B2"/>
    <w:rsid w:val="00505F2C"/>
    <w:rsid w:val="005070CE"/>
    <w:rsid w:val="005077AD"/>
    <w:rsid w:val="00511884"/>
    <w:rsid w:val="005118BC"/>
    <w:rsid w:val="0051236D"/>
    <w:rsid w:val="005126FA"/>
    <w:rsid w:val="005127EB"/>
    <w:rsid w:val="00512FC7"/>
    <w:rsid w:val="0051437E"/>
    <w:rsid w:val="00516047"/>
    <w:rsid w:val="005165ED"/>
    <w:rsid w:val="00521A13"/>
    <w:rsid w:val="00521CAE"/>
    <w:rsid w:val="00522819"/>
    <w:rsid w:val="00523087"/>
    <w:rsid w:val="0052545F"/>
    <w:rsid w:val="0052679C"/>
    <w:rsid w:val="00526F3D"/>
    <w:rsid w:val="00526F9F"/>
    <w:rsid w:val="00530D8C"/>
    <w:rsid w:val="005356F3"/>
    <w:rsid w:val="00535B99"/>
    <w:rsid w:val="00535FB8"/>
    <w:rsid w:val="005378EA"/>
    <w:rsid w:val="00537F80"/>
    <w:rsid w:val="00541FCE"/>
    <w:rsid w:val="0054575E"/>
    <w:rsid w:val="00546091"/>
    <w:rsid w:val="0054649D"/>
    <w:rsid w:val="00547577"/>
    <w:rsid w:val="00550EED"/>
    <w:rsid w:val="005512A0"/>
    <w:rsid w:val="00551627"/>
    <w:rsid w:val="00551B78"/>
    <w:rsid w:val="005531F6"/>
    <w:rsid w:val="005555AC"/>
    <w:rsid w:val="00557FAC"/>
    <w:rsid w:val="00561E94"/>
    <w:rsid w:val="0056226F"/>
    <w:rsid w:val="0056309C"/>
    <w:rsid w:val="00563171"/>
    <w:rsid w:val="005632F9"/>
    <w:rsid w:val="00565896"/>
    <w:rsid w:val="005659F4"/>
    <w:rsid w:val="00565B01"/>
    <w:rsid w:val="005661A6"/>
    <w:rsid w:val="005670E5"/>
    <w:rsid w:val="0056782F"/>
    <w:rsid w:val="00570E0C"/>
    <w:rsid w:val="00571125"/>
    <w:rsid w:val="00571A52"/>
    <w:rsid w:val="005721B6"/>
    <w:rsid w:val="00572631"/>
    <w:rsid w:val="0057286A"/>
    <w:rsid w:val="00573443"/>
    <w:rsid w:val="00573CE1"/>
    <w:rsid w:val="00575FE4"/>
    <w:rsid w:val="005803F6"/>
    <w:rsid w:val="00580652"/>
    <w:rsid w:val="00582B47"/>
    <w:rsid w:val="00584F34"/>
    <w:rsid w:val="005850C4"/>
    <w:rsid w:val="005862D2"/>
    <w:rsid w:val="00586EDB"/>
    <w:rsid w:val="00587855"/>
    <w:rsid w:val="005879F9"/>
    <w:rsid w:val="00591FDA"/>
    <w:rsid w:val="005927E5"/>
    <w:rsid w:val="0059509E"/>
    <w:rsid w:val="00595785"/>
    <w:rsid w:val="00595C29"/>
    <w:rsid w:val="00596FA8"/>
    <w:rsid w:val="00597447"/>
    <w:rsid w:val="005A0C5E"/>
    <w:rsid w:val="005A2114"/>
    <w:rsid w:val="005A3752"/>
    <w:rsid w:val="005A3E3B"/>
    <w:rsid w:val="005A491E"/>
    <w:rsid w:val="005A4C86"/>
    <w:rsid w:val="005A6603"/>
    <w:rsid w:val="005A69DC"/>
    <w:rsid w:val="005A7071"/>
    <w:rsid w:val="005B05C3"/>
    <w:rsid w:val="005B11CA"/>
    <w:rsid w:val="005B1421"/>
    <w:rsid w:val="005B1EBE"/>
    <w:rsid w:val="005B4EDF"/>
    <w:rsid w:val="005B529E"/>
    <w:rsid w:val="005B616D"/>
    <w:rsid w:val="005B6533"/>
    <w:rsid w:val="005B67AE"/>
    <w:rsid w:val="005C08B9"/>
    <w:rsid w:val="005C092C"/>
    <w:rsid w:val="005C3F52"/>
    <w:rsid w:val="005C5269"/>
    <w:rsid w:val="005C5D3F"/>
    <w:rsid w:val="005C623E"/>
    <w:rsid w:val="005C6739"/>
    <w:rsid w:val="005D08B3"/>
    <w:rsid w:val="005D12FA"/>
    <w:rsid w:val="005D2CAB"/>
    <w:rsid w:val="005D2F9E"/>
    <w:rsid w:val="005D38E6"/>
    <w:rsid w:val="005D493F"/>
    <w:rsid w:val="005D59BB"/>
    <w:rsid w:val="005D6265"/>
    <w:rsid w:val="005D7170"/>
    <w:rsid w:val="005D78FF"/>
    <w:rsid w:val="005E053F"/>
    <w:rsid w:val="005E19AF"/>
    <w:rsid w:val="005E1B70"/>
    <w:rsid w:val="005E3CCE"/>
    <w:rsid w:val="005E4864"/>
    <w:rsid w:val="005E6366"/>
    <w:rsid w:val="005E6613"/>
    <w:rsid w:val="005E6A32"/>
    <w:rsid w:val="005E6C0B"/>
    <w:rsid w:val="005E6F27"/>
    <w:rsid w:val="005E7348"/>
    <w:rsid w:val="005F0188"/>
    <w:rsid w:val="005F2C1D"/>
    <w:rsid w:val="005F4AC1"/>
    <w:rsid w:val="005F5D57"/>
    <w:rsid w:val="005F6212"/>
    <w:rsid w:val="005F7A93"/>
    <w:rsid w:val="00600B66"/>
    <w:rsid w:val="00600CCD"/>
    <w:rsid w:val="00601753"/>
    <w:rsid w:val="00602DF1"/>
    <w:rsid w:val="0060442D"/>
    <w:rsid w:val="006046C7"/>
    <w:rsid w:val="00604986"/>
    <w:rsid w:val="00604A4F"/>
    <w:rsid w:val="00604DAE"/>
    <w:rsid w:val="006054FB"/>
    <w:rsid w:val="006056BE"/>
    <w:rsid w:val="00606D1D"/>
    <w:rsid w:val="006074AF"/>
    <w:rsid w:val="006115E6"/>
    <w:rsid w:val="00611E90"/>
    <w:rsid w:val="0061266D"/>
    <w:rsid w:val="00612C8A"/>
    <w:rsid w:val="00612F59"/>
    <w:rsid w:val="0061393A"/>
    <w:rsid w:val="00615855"/>
    <w:rsid w:val="00615B1C"/>
    <w:rsid w:val="006165DD"/>
    <w:rsid w:val="00616680"/>
    <w:rsid w:val="00617AF9"/>
    <w:rsid w:val="00620B71"/>
    <w:rsid w:val="00620EF4"/>
    <w:rsid w:val="0062113D"/>
    <w:rsid w:val="00621372"/>
    <w:rsid w:val="00622A81"/>
    <w:rsid w:val="00622B85"/>
    <w:rsid w:val="00622F59"/>
    <w:rsid w:val="00627001"/>
    <w:rsid w:val="00627D19"/>
    <w:rsid w:val="00631563"/>
    <w:rsid w:val="00631EE7"/>
    <w:rsid w:val="00632682"/>
    <w:rsid w:val="00633FE4"/>
    <w:rsid w:val="006344FF"/>
    <w:rsid w:val="00634684"/>
    <w:rsid w:val="006347C6"/>
    <w:rsid w:val="006349C9"/>
    <w:rsid w:val="006350CE"/>
    <w:rsid w:val="006350E1"/>
    <w:rsid w:val="006355A5"/>
    <w:rsid w:val="00637E95"/>
    <w:rsid w:val="00637EFB"/>
    <w:rsid w:val="0064216D"/>
    <w:rsid w:val="0064233C"/>
    <w:rsid w:val="00642A96"/>
    <w:rsid w:val="00643FD1"/>
    <w:rsid w:val="00644B51"/>
    <w:rsid w:val="006453AA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0401"/>
    <w:rsid w:val="00661625"/>
    <w:rsid w:val="0066164A"/>
    <w:rsid w:val="006648B6"/>
    <w:rsid w:val="00664F08"/>
    <w:rsid w:val="00672099"/>
    <w:rsid w:val="0067483E"/>
    <w:rsid w:val="00674F78"/>
    <w:rsid w:val="006757A0"/>
    <w:rsid w:val="00676036"/>
    <w:rsid w:val="006768D8"/>
    <w:rsid w:val="00683B82"/>
    <w:rsid w:val="006842FB"/>
    <w:rsid w:val="00687318"/>
    <w:rsid w:val="006876EB"/>
    <w:rsid w:val="00690ACD"/>
    <w:rsid w:val="006917E1"/>
    <w:rsid w:val="00691E9D"/>
    <w:rsid w:val="0069637C"/>
    <w:rsid w:val="0069725F"/>
    <w:rsid w:val="006A1820"/>
    <w:rsid w:val="006A294B"/>
    <w:rsid w:val="006A381D"/>
    <w:rsid w:val="006A3A60"/>
    <w:rsid w:val="006A3B33"/>
    <w:rsid w:val="006A40EB"/>
    <w:rsid w:val="006A5AB0"/>
    <w:rsid w:val="006B0B33"/>
    <w:rsid w:val="006B0D3D"/>
    <w:rsid w:val="006B12A9"/>
    <w:rsid w:val="006B2769"/>
    <w:rsid w:val="006B448E"/>
    <w:rsid w:val="006B6A86"/>
    <w:rsid w:val="006B6C0F"/>
    <w:rsid w:val="006B6EF7"/>
    <w:rsid w:val="006C0A61"/>
    <w:rsid w:val="006C22E4"/>
    <w:rsid w:val="006C2DF8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4E98"/>
    <w:rsid w:val="006D5C17"/>
    <w:rsid w:val="006D60D1"/>
    <w:rsid w:val="006D696D"/>
    <w:rsid w:val="006E02A4"/>
    <w:rsid w:val="006E2575"/>
    <w:rsid w:val="006E3E6F"/>
    <w:rsid w:val="006E4166"/>
    <w:rsid w:val="006E459F"/>
    <w:rsid w:val="006E488E"/>
    <w:rsid w:val="006E4C89"/>
    <w:rsid w:val="006E5D20"/>
    <w:rsid w:val="006E6E87"/>
    <w:rsid w:val="006F0C1E"/>
    <w:rsid w:val="006F20F9"/>
    <w:rsid w:val="006F24CB"/>
    <w:rsid w:val="006F28E0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609"/>
    <w:rsid w:val="00703E54"/>
    <w:rsid w:val="00704845"/>
    <w:rsid w:val="00706AE0"/>
    <w:rsid w:val="007102B6"/>
    <w:rsid w:val="007106A3"/>
    <w:rsid w:val="00710B57"/>
    <w:rsid w:val="007115C9"/>
    <w:rsid w:val="007116F0"/>
    <w:rsid w:val="00711A0F"/>
    <w:rsid w:val="00711A1B"/>
    <w:rsid w:val="00712DE3"/>
    <w:rsid w:val="00714DD1"/>
    <w:rsid w:val="00716462"/>
    <w:rsid w:val="00716D6F"/>
    <w:rsid w:val="00716E9B"/>
    <w:rsid w:val="00717187"/>
    <w:rsid w:val="00717245"/>
    <w:rsid w:val="007202C9"/>
    <w:rsid w:val="00720787"/>
    <w:rsid w:val="00722404"/>
    <w:rsid w:val="00723655"/>
    <w:rsid w:val="00723A22"/>
    <w:rsid w:val="007274EA"/>
    <w:rsid w:val="0072783E"/>
    <w:rsid w:val="007305F0"/>
    <w:rsid w:val="0073137D"/>
    <w:rsid w:val="00732E2F"/>
    <w:rsid w:val="00733410"/>
    <w:rsid w:val="00734A61"/>
    <w:rsid w:val="00734FA2"/>
    <w:rsid w:val="0073695C"/>
    <w:rsid w:val="007376ED"/>
    <w:rsid w:val="00737FDA"/>
    <w:rsid w:val="007429A2"/>
    <w:rsid w:val="00742B69"/>
    <w:rsid w:val="00742EE2"/>
    <w:rsid w:val="00743648"/>
    <w:rsid w:val="00743DAB"/>
    <w:rsid w:val="0074492B"/>
    <w:rsid w:val="007456CB"/>
    <w:rsid w:val="00746937"/>
    <w:rsid w:val="007476C5"/>
    <w:rsid w:val="0075145C"/>
    <w:rsid w:val="007517C6"/>
    <w:rsid w:val="0075277A"/>
    <w:rsid w:val="00753383"/>
    <w:rsid w:val="00753608"/>
    <w:rsid w:val="00753D53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F5"/>
    <w:rsid w:val="00766A21"/>
    <w:rsid w:val="007707AD"/>
    <w:rsid w:val="00771BCB"/>
    <w:rsid w:val="00771EA9"/>
    <w:rsid w:val="00772ECB"/>
    <w:rsid w:val="00772F06"/>
    <w:rsid w:val="00773CD5"/>
    <w:rsid w:val="007762D0"/>
    <w:rsid w:val="00777568"/>
    <w:rsid w:val="00777E08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4E9"/>
    <w:rsid w:val="0079365E"/>
    <w:rsid w:val="00794AEC"/>
    <w:rsid w:val="0079515D"/>
    <w:rsid w:val="00796A3E"/>
    <w:rsid w:val="00796E28"/>
    <w:rsid w:val="00797683"/>
    <w:rsid w:val="007A0E55"/>
    <w:rsid w:val="007A17B0"/>
    <w:rsid w:val="007A1E0F"/>
    <w:rsid w:val="007A2B7E"/>
    <w:rsid w:val="007A3025"/>
    <w:rsid w:val="007A5918"/>
    <w:rsid w:val="007A5CE7"/>
    <w:rsid w:val="007A66BF"/>
    <w:rsid w:val="007A70DF"/>
    <w:rsid w:val="007B0C03"/>
    <w:rsid w:val="007B1502"/>
    <w:rsid w:val="007B16AC"/>
    <w:rsid w:val="007B2B63"/>
    <w:rsid w:val="007B2D95"/>
    <w:rsid w:val="007B3BB0"/>
    <w:rsid w:val="007B4206"/>
    <w:rsid w:val="007B460A"/>
    <w:rsid w:val="007B6B1B"/>
    <w:rsid w:val="007B76C3"/>
    <w:rsid w:val="007C07EE"/>
    <w:rsid w:val="007C1924"/>
    <w:rsid w:val="007C2BCE"/>
    <w:rsid w:val="007C3065"/>
    <w:rsid w:val="007C48EB"/>
    <w:rsid w:val="007C62A1"/>
    <w:rsid w:val="007C6A4D"/>
    <w:rsid w:val="007D0C94"/>
    <w:rsid w:val="007D1284"/>
    <w:rsid w:val="007D16D6"/>
    <w:rsid w:val="007D21EE"/>
    <w:rsid w:val="007D2880"/>
    <w:rsid w:val="007D3730"/>
    <w:rsid w:val="007D4B2A"/>
    <w:rsid w:val="007D4C7F"/>
    <w:rsid w:val="007D7805"/>
    <w:rsid w:val="007E05D8"/>
    <w:rsid w:val="007E0965"/>
    <w:rsid w:val="007E177C"/>
    <w:rsid w:val="007E1F0A"/>
    <w:rsid w:val="007E2BA6"/>
    <w:rsid w:val="007E2C64"/>
    <w:rsid w:val="007E2EE5"/>
    <w:rsid w:val="007E3B6F"/>
    <w:rsid w:val="007E5D7A"/>
    <w:rsid w:val="007E5F6D"/>
    <w:rsid w:val="007E6477"/>
    <w:rsid w:val="007E6483"/>
    <w:rsid w:val="007E7156"/>
    <w:rsid w:val="007E7B7B"/>
    <w:rsid w:val="007F276F"/>
    <w:rsid w:val="007F32E5"/>
    <w:rsid w:val="007F35B2"/>
    <w:rsid w:val="007F38FE"/>
    <w:rsid w:val="007F3F63"/>
    <w:rsid w:val="007F5C08"/>
    <w:rsid w:val="007F60CE"/>
    <w:rsid w:val="007F6282"/>
    <w:rsid w:val="007F64A2"/>
    <w:rsid w:val="007F7255"/>
    <w:rsid w:val="007F7956"/>
    <w:rsid w:val="008006DB"/>
    <w:rsid w:val="00801134"/>
    <w:rsid w:val="00802724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C30"/>
    <w:rsid w:val="00811F1C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14C5"/>
    <w:rsid w:val="00822659"/>
    <w:rsid w:val="00823C9B"/>
    <w:rsid w:val="00824061"/>
    <w:rsid w:val="00824131"/>
    <w:rsid w:val="00824D1D"/>
    <w:rsid w:val="00825F7D"/>
    <w:rsid w:val="0082682D"/>
    <w:rsid w:val="0083016D"/>
    <w:rsid w:val="0083086A"/>
    <w:rsid w:val="0083233C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378B7"/>
    <w:rsid w:val="0084002B"/>
    <w:rsid w:val="00840E9B"/>
    <w:rsid w:val="0084133F"/>
    <w:rsid w:val="00842C0E"/>
    <w:rsid w:val="00843D5B"/>
    <w:rsid w:val="008456A2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47A"/>
    <w:rsid w:val="00854A33"/>
    <w:rsid w:val="00854B36"/>
    <w:rsid w:val="00855916"/>
    <w:rsid w:val="00856676"/>
    <w:rsid w:val="008613A9"/>
    <w:rsid w:val="00862990"/>
    <w:rsid w:val="00862D8E"/>
    <w:rsid w:val="00863411"/>
    <w:rsid w:val="00871B35"/>
    <w:rsid w:val="00872114"/>
    <w:rsid w:val="00873715"/>
    <w:rsid w:val="00873E22"/>
    <w:rsid w:val="00873FC1"/>
    <w:rsid w:val="00873FF0"/>
    <w:rsid w:val="00877452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B2E"/>
    <w:rsid w:val="00890657"/>
    <w:rsid w:val="00891E62"/>
    <w:rsid w:val="00893D88"/>
    <w:rsid w:val="00893E02"/>
    <w:rsid w:val="008957D2"/>
    <w:rsid w:val="008958EF"/>
    <w:rsid w:val="00897558"/>
    <w:rsid w:val="008A0E45"/>
    <w:rsid w:val="008A3B0B"/>
    <w:rsid w:val="008A49DD"/>
    <w:rsid w:val="008A55F7"/>
    <w:rsid w:val="008A5BA9"/>
    <w:rsid w:val="008A6587"/>
    <w:rsid w:val="008A7176"/>
    <w:rsid w:val="008A7D9C"/>
    <w:rsid w:val="008B0811"/>
    <w:rsid w:val="008B13C3"/>
    <w:rsid w:val="008B1878"/>
    <w:rsid w:val="008B2E17"/>
    <w:rsid w:val="008B3962"/>
    <w:rsid w:val="008B4508"/>
    <w:rsid w:val="008B5356"/>
    <w:rsid w:val="008B5D34"/>
    <w:rsid w:val="008B5E90"/>
    <w:rsid w:val="008B7303"/>
    <w:rsid w:val="008B791C"/>
    <w:rsid w:val="008C0576"/>
    <w:rsid w:val="008C204C"/>
    <w:rsid w:val="008C54E1"/>
    <w:rsid w:val="008C7B6D"/>
    <w:rsid w:val="008D07E8"/>
    <w:rsid w:val="008D0904"/>
    <w:rsid w:val="008D2367"/>
    <w:rsid w:val="008D2AAD"/>
    <w:rsid w:val="008D4DF1"/>
    <w:rsid w:val="008D6E67"/>
    <w:rsid w:val="008E086F"/>
    <w:rsid w:val="008E24BB"/>
    <w:rsid w:val="008E252F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573"/>
    <w:rsid w:val="008F675F"/>
    <w:rsid w:val="00900D84"/>
    <w:rsid w:val="00901A6B"/>
    <w:rsid w:val="00901D22"/>
    <w:rsid w:val="00902148"/>
    <w:rsid w:val="00903164"/>
    <w:rsid w:val="0090383F"/>
    <w:rsid w:val="009049BC"/>
    <w:rsid w:val="0090558C"/>
    <w:rsid w:val="009068D0"/>
    <w:rsid w:val="00906C3E"/>
    <w:rsid w:val="00907829"/>
    <w:rsid w:val="00911CAF"/>
    <w:rsid w:val="00911D2E"/>
    <w:rsid w:val="0091396B"/>
    <w:rsid w:val="00913C78"/>
    <w:rsid w:val="00914402"/>
    <w:rsid w:val="00914A26"/>
    <w:rsid w:val="00914EF8"/>
    <w:rsid w:val="00921D60"/>
    <w:rsid w:val="0092274E"/>
    <w:rsid w:val="0092337D"/>
    <w:rsid w:val="00923A0D"/>
    <w:rsid w:val="00924455"/>
    <w:rsid w:val="009249AB"/>
    <w:rsid w:val="00924C50"/>
    <w:rsid w:val="0092554E"/>
    <w:rsid w:val="00925C73"/>
    <w:rsid w:val="00925D82"/>
    <w:rsid w:val="009321B9"/>
    <w:rsid w:val="00932325"/>
    <w:rsid w:val="00932B6D"/>
    <w:rsid w:val="0093426F"/>
    <w:rsid w:val="0093473D"/>
    <w:rsid w:val="00934E3A"/>
    <w:rsid w:val="00936453"/>
    <w:rsid w:val="009369B6"/>
    <w:rsid w:val="00940114"/>
    <w:rsid w:val="00940309"/>
    <w:rsid w:val="00940CFC"/>
    <w:rsid w:val="00941121"/>
    <w:rsid w:val="00941291"/>
    <w:rsid w:val="00943479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2793"/>
    <w:rsid w:val="009642AA"/>
    <w:rsid w:val="00967957"/>
    <w:rsid w:val="00970B5D"/>
    <w:rsid w:val="00972E1E"/>
    <w:rsid w:val="00974C0B"/>
    <w:rsid w:val="00974EC8"/>
    <w:rsid w:val="00975612"/>
    <w:rsid w:val="00975F96"/>
    <w:rsid w:val="009769A6"/>
    <w:rsid w:val="0098076B"/>
    <w:rsid w:val="00984DF6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6AF"/>
    <w:rsid w:val="00995DBB"/>
    <w:rsid w:val="009970D3"/>
    <w:rsid w:val="009A1612"/>
    <w:rsid w:val="009A33DB"/>
    <w:rsid w:val="009A61D1"/>
    <w:rsid w:val="009A64A5"/>
    <w:rsid w:val="009A6824"/>
    <w:rsid w:val="009A6AFC"/>
    <w:rsid w:val="009A6CC4"/>
    <w:rsid w:val="009A7852"/>
    <w:rsid w:val="009B0507"/>
    <w:rsid w:val="009B13BD"/>
    <w:rsid w:val="009B1C61"/>
    <w:rsid w:val="009B1C75"/>
    <w:rsid w:val="009B22A4"/>
    <w:rsid w:val="009B314F"/>
    <w:rsid w:val="009B373A"/>
    <w:rsid w:val="009B6082"/>
    <w:rsid w:val="009B7B66"/>
    <w:rsid w:val="009C113E"/>
    <w:rsid w:val="009C12B3"/>
    <w:rsid w:val="009C47F0"/>
    <w:rsid w:val="009C6BF7"/>
    <w:rsid w:val="009D167D"/>
    <w:rsid w:val="009D1BD2"/>
    <w:rsid w:val="009D34A4"/>
    <w:rsid w:val="009D3C6E"/>
    <w:rsid w:val="009D4A19"/>
    <w:rsid w:val="009D4B7A"/>
    <w:rsid w:val="009D4C6D"/>
    <w:rsid w:val="009D5834"/>
    <w:rsid w:val="009D6AEE"/>
    <w:rsid w:val="009E0E19"/>
    <w:rsid w:val="009E1E52"/>
    <w:rsid w:val="009E35CB"/>
    <w:rsid w:val="009E4A12"/>
    <w:rsid w:val="009E516F"/>
    <w:rsid w:val="009E51E1"/>
    <w:rsid w:val="009E5780"/>
    <w:rsid w:val="009E6748"/>
    <w:rsid w:val="009E7573"/>
    <w:rsid w:val="009E7D1B"/>
    <w:rsid w:val="009F0587"/>
    <w:rsid w:val="009F0E8E"/>
    <w:rsid w:val="009F2B01"/>
    <w:rsid w:val="009F4108"/>
    <w:rsid w:val="009F5BC5"/>
    <w:rsid w:val="009F5F16"/>
    <w:rsid w:val="009F6F0E"/>
    <w:rsid w:val="009F7BF1"/>
    <w:rsid w:val="009F7C36"/>
    <w:rsid w:val="00A00674"/>
    <w:rsid w:val="00A00C54"/>
    <w:rsid w:val="00A02B9F"/>
    <w:rsid w:val="00A05149"/>
    <w:rsid w:val="00A05DA4"/>
    <w:rsid w:val="00A05F39"/>
    <w:rsid w:val="00A061E7"/>
    <w:rsid w:val="00A07778"/>
    <w:rsid w:val="00A10324"/>
    <w:rsid w:val="00A10D38"/>
    <w:rsid w:val="00A125C6"/>
    <w:rsid w:val="00A133D0"/>
    <w:rsid w:val="00A14132"/>
    <w:rsid w:val="00A1436A"/>
    <w:rsid w:val="00A148E1"/>
    <w:rsid w:val="00A149F4"/>
    <w:rsid w:val="00A14BFA"/>
    <w:rsid w:val="00A15090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6E17"/>
    <w:rsid w:val="00A27B40"/>
    <w:rsid w:val="00A30D45"/>
    <w:rsid w:val="00A31274"/>
    <w:rsid w:val="00A3180B"/>
    <w:rsid w:val="00A3202F"/>
    <w:rsid w:val="00A32A97"/>
    <w:rsid w:val="00A32CC0"/>
    <w:rsid w:val="00A33EF5"/>
    <w:rsid w:val="00A37423"/>
    <w:rsid w:val="00A374F1"/>
    <w:rsid w:val="00A37A23"/>
    <w:rsid w:val="00A406C1"/>
    <w:rsid w:val="00A4164F"/>
    <w:rsid w:val="00A420D7"/>
    <w:rsid w:val="00A42648"/>
    <w:rsid w:val="00A42764"/>
    <w:rsid w:val="00A42FDA"/>
    <w:rsid w:val="00A43286"/>
    <w:rsid w:val="00A43D16"/>
    <w:rsid w:val="00A44F25"/>
    <w:rsid w:val="00A4525F"/>
    <w:rsid w:val="00A45510"/>
    <w:rsid w:val="00A4555F"/>
    <w:rsid w:val="00A45A8E"/>
    <w:rsid w:val="00A463BE"/>
    <w:rsid w:val="00A46BA1"/>
    <w:rsid w:val="00A50577"/>
    <w:rsid w:val="00A5468C"/>
    <w:rsid w:val="00A54F2C"/>
    <w:rsid w:val="00A54F4F"/>
    <w:rsid w:val="00A56AAB"/>
    <w:rsid w:val="00A574E0"/>
    <w:rsid w:val="00A578D4"/>
    <w:rsid w:val="00A57EE9"/>
    <w:rsid w:val="00A60230"/>
    <w:rsid w:val="00A60C84"/>
    <w:rsid w:val="00A617DE"/>
    <w:rsid w:val="00A62731"/>
    <w:rsid w:val="00A63180"/>
    <w:rsid w:val="00A63F5C"/>
    <w:rsid w:val="00A64E2D"/>
    <w:rsid w:val="00A65179"/>
    <w:rsid w:val="00A651A2"/>
    <w:rsid w:val="00A6607A"/>
    <w:rsid w:val="00A66518"/>
    <w:rsid w:val="00A67218"/>
    <w:rsid w:val="00A6798E"/>
    <w:rsid w:val="00A67B4E"/>
    <w:rsid w:val="00A71B18"/>
    <w:rsid w:val="00A71DBD"/>
    <w:rsid w:val="00A73800"/>
    <w:rsid w:val="00A73BBD"/>
    <w:rsid w:val="00A73F90"/>
    <w:rsid w:val="00A75002"/>
    <w:rsid w:val="00A76673"/>
    <w:rsid w:val="00A7678D"/>
    <w:rsid w:val="00A773F1"/>
    <w:rsid w:val="00A776BE"/>
    <w:rsid w:val="00A77EF6"/>
    <w:rsid w:val="00A77F3C"/>
    <w:rsid w:val="00A8160A"/>
    <w:rsid w:val="00A8226A"/>
    <w:rsid w:val="00A82379"/>
    <w:rsid w:val="00A82603"/>
    <w:rsid w:val="00A82638"/>
    <w:rsid w:val="00A833AA"/>
    <w:rsid w:val="00A835FA"/>
    <w:rsid w:val="00A86612"/>
    <w:rsid w:val="00A8692E"/>
    <w:rsid w:val="00A9207B"/>
    <w:rsid w:val="00A94367"/>
    <w:rsid w:val="00A94901"/>
    <w:rsid w:val="00A9528B"/>
    <w:rsid w:val="00A9533C"/>
    <w:rsid w:val="00A953E6"/>
    <w:rsid w:val="00A9653B"/>
    <w:rsid w:val="00A97066"/>
    <w:rsid w:val="00AA0C59"/>
    <w:rsid w:val="00AA1769"/>
    <w:rsid w:val="00AA1782"/>
    <w:rsid w:val="00AA2732"/>
    <w:rsid w:val="00AA2946"/>
    <w:rsid w:val="00AA2BFF"/>
    <w:rsid w:val="00AA2F2F"/>
    <w:rsid w:val="00AA3B9C"/>
    <w:rsid w:val="00AA40AE"/>
    <w:rsid w:val="00AA5DF1"/>
    <w:rsid w:val="00AA7482"/>
    <w:rsid w:val="00AB0CE2"/>
    <w:rsid w:val="00AB3446"/>
    <w:rsid w:val="00AB35BB"/>
    <w:rsid w:val="00AB3831"/>
    <w:rsid w:val="00AB3B81"/>
    <w:rsid w:val="00AB415E"/>
    <w:rsid w:val="00AB4371"/>
    <w:rsid w:val="00AB6636"/>
    <w:rsid w:val="00AB6F51"/>
    <w:rsid w:val="00AB7A6D"/>
    <w:rsid w:val="00AB7C9B"/>
    <w:rsid w:val="00AC04EB"/>
    <w:rsid w:val="00AC1D69"/>
    <w:rsid w:val="00AC273C"/>
    <w:rsid w:val="00AC2A51"/>
    <w:rsid w:val="00AC4710"/>
    <w:rsid w:val="00AC546F"/>
    <w:rsid w:val="00AC55D6"/>
    <w:rsid w:val="00AC69F1"/>
    <w:rsid w:val="00AC7B0D"/>
    <w:rsid w:val="00AD1DC7"/>
    <w:rsid w:val="00AD21A5"/>
    <w:rsid w:val="00AD3147"/>
    <w:rsid w:val="00AD4714"/>
    <w:rsid w:val="00AD4E60"/>
    <w:rsid w:val="00AD510C"/>
    <w:rsid w:val="00AD57F0"/>
    <w:rsid w:val="00AD7137"/>
    <w:rsid w:val="00AE0068"/>
    <w:rsid w:val="00AE2B36"/>
    <w:rsid w:val="00AE35A2"/>
    <w:rsid w:val="00AE3EA3"/>
    <w:rsid w:val="00AE6C19"/>
    <w:rsid w:val="00AE7D6B"/>
    <w:rsid w:val="00AF1029"/>
    <w:rsid w:val="00AF4293"/>
    <w:rsid w:val="00AF55DD"/>
    <w:rsid w:val="00AF56B2"/>
    <w:rsid w:val="00AF5735"/>
    <w:rsid w:val="00AF58A6"/>
    <w:rsid w:val="00AF71E2"/>
    <w:rsid w:val="00AF7CDD"/>
    <w:rsid w:val="00B00612"/>
    <w:rsid w:val="00B01615"/>
    <w:rsid w:val="00B01F54"/>
    <w:rsid w:val="00B021EA"/>
    <w:rsid w:val="00B02EE3"/>
    <w:rsid w:val="00B03553"/>
    <w:rsid w:val="00B04792"/>
    <w:rsid w:val="00B04E45"/>
    <w:rsid w:val="00B050EF"/>
    <w:rsid w:val="00B05439"/>
    <w:rsid w:val="00B05B11"/>
    <w:rsid w:val="00B06F10"/>
    <w:rsid w:val="00B07715"/>
    <w:rsid w:val="00B10B61"/>
    <w:rsid w:val="00B11015"/>
    <w:rsid w:val="00B11737"/>
    <w:rsid w:val="00B1185B"/>
    <w:rsid w:val="00B14080"/>
    <w:rsid w:val="00B15C15"/>
    <w:rsid w:val="00B17140"/>
    <w:rsid w:val="00B210CE"/>
    <w:rsid w:val="00B23F66"/>
    <w:rsid w:val="00B241CC"/>
    <w:rsid w:val="00B24821"/>
    <w:rsid w:val="00B25324"/>
    <w:rsid w:val="00B25576"/>
    <w:rsid w:val="00B266AC"/>
    <w:rsid w:val="00B26BFD"/>
    <w:rsid w:val="00B27A9C"/>
    <w:rsid w:val="00B30F11"/>
    <w:rsid w:val="00B32BE4"/>
    <w:rsid w:val="00B33FBD"/>
    <w:rsid w:val="00B34EB5"/>
    <w:rsid w:val="00B35EBC"/>
    <w:rsid w:val="00B36206"/>
    <w:rsid w:val="00B3670B"/>
    <w:rsid w:val="00B373D7"/>
    <w:rsid w:val="00B3789D"/>
    <w:rsid w:val="00B401DA"/>
    <w:rsid w:val="00B41CDA"/>
    <w:rsid w:val="00B41F3E"/>
    <w:rsid w:val="00B441BB"/>
    <w:rsid w:val="00B443D8"/>
    <w:rsid w:val="00B45494"/>
    <w:rsid w:val="00B4696D"/>
    <w:rsid w:val="00B47F95"/>
    <w:rsid w:val="00B50481"/>
    <w:rsid w:val="00B5100D"/>
    <w:rsid w:val="00B5483A"/>
    <w:rsid w:val="00B552B6"/>
    <w:rsid w:val="00B55C32"/>
    <w:rsid w:val="00B56D01"/>
    <w:rsid w:val="00B57331"/>
    <w:rsid w:val="00B6206C"/>
    <w:rsid w:val="00B6250F"/>
    <w:rsid w:val="00B635C6"/>
    <w:rsid w:val="00B639F9"/>
    <w:rsid w:val="00B65D9C"/>
    <w:rsid w:val="00B661A5"/>
    <w:rsid w:val="00B66222"/>
    <w:rsid w:val="00B701A5"/>
    <w:rsid w:val="00B71BF4"/>
    <w:rsid w:val="00B71DD4"/>
    <w:rsid w:val="00B73CBB"/>
    <w:rsid w:val="00B74102"/>
    <w:rsid w:val="00B74FD7"/>
    <w:rsid w:val="00B76857"/>
    <w:rsid w:val="00B77F95"/>
    <w:rsid w:val="00B812D1"/>
    <w:rsid w:val="00B822D5"/>
    <w:rsid w:val="00B82B20"/>
    <w:rsid w:val="00B82FEA"/>
    <w:rsid w:val="00B83160"/>
    <w:rsid w:val="00B8711E"/>
    <w:rsid w:val="00B9032D"/>
    <w:rsid w:val="00B904EF"/>
    <w:rsid w:val="00B9098A"/>
    <w:rsid w:val="00B9180D"/>
    <w:rsid w:val="00B9217E"/>
    <w:rsid w:val="00B92745"/>
    <w:rsid w:val="00B92D75"/>
    <w:rsid w:val="00B93DEF"/>
    <w:rsid w:val="00B95C53"/>
    <w:rsid w:val="00B95C5D"/>
    <w:rsid w:val="00B97121"/>
    <w:rsid w:val="00B97A82"/>
    <w:rsid w:val="00BA08BE"/>
    <w:rsid w:val="00BA095D"/>
    <w:rsid w:val="00BA17A3"/>
    <w:rsid w:val="00BA2ED2"/>
    <w:rsid w:val="00BA3DDE"/>
    <w:rsid w:val="00BA44E0"/>
    <w:rsid w:val="00BA5083"/>
    <w:rsid w:val="00BA798E"/>
    <w:rsid w:val="00BA7A01"/>
    <w:rsid w:val="00BA7AE5"/>
    <w:rsid w:val="00BB0200"/>
    <w:rsid w:val="00BB0440"/>
    <w:rsid w:val="00BB1A7D"/>
    <w:rsid w:val="00BB294F"/>
    <w:rsid w:val="00BB2E70"/>
    <w:rsid w:val="00BB6B84"/>
    <w:rsid w:val="00BC045A"/>
    <w:rsid w:val="00BC1400"/>
    <w:rsid w:val="00BC29E2"/>
    <w:rsid w:val="00BC46EA"/>
    <w:rsid w:val="00BC670C"/>
    <w:rsid w:val="00BC7AAD"/>
    <w:rsid w:val="00BD1234"/>
    <w:rsid w:val="00BD12F3"/>
    <w:rsid w:val="00BD2441"/>
    <w:rsid w:val="00BD3A22"/>
    <w:rsid w:val="00BD49A5"/>
    <w:rsid w:val="00BD618E"/>
    <w:rsid w:val="00BD669C"/>
    <w:rsid w:val="00BD689A"/>
    <w:rsid w:val="00BE0147"/>
    <w:rsid w:val="00BE1AA2"/>
    <w:rsid w:val="00BE2807"/>
    <w:rsid w:val="00BE2B21"/>
    <w:rsid w:val="00BE3545"/>
    <w:rsid w:val="00BE4794"/>
    <w:rsid w:val="00BE4CBF"/>
    <w:rsid w:val="00BE59CF"/>
    <w:rsid w:val="00BF0218"/>
    <w:rsid w:val="00BF1EEA"/>
    <w:rsid w:val="00BF22E3"/>
    <w:rsid w:val="00BF2DE2"/>
    <w:rsid w:val="00BF4446"/>
    <w:rsid w:val="00BF4BDB"/>
    <w:rsid w:val="00BF55EA"/>
    <w:rsid w:val="00BF656A"/>
    <w:rsid w:val="00BF7AD5"/>
    <w:rsid w:val="00C004A0"/>
    <w:rsid w:val="00C01B35"/>
    <w:rsid w:val="00C024D8"/>
    <w:rsid w:val="00C036C3"/>
    <w:rsid w:val="00C036E5"/>
    <w:rsid w:val="00C03D3D"/>
    <w:rsid w:val="00C04A0B"/>
    <w:rsid w:val="00C05AB7"/>
    <w:rsid w:val="00C06ED3"/>
    <w:rsid w:val="00C075E0"/>
    <w:rsid w:val="00C1065A"/>
    <w:rsid w:val="00C10E3A"/>
    <w:rsid w:val="00C12018"/>
    <w:rsid w:val="00C1318E"/>
    <w:rsid w:val="00C15FCE"/>
    <w:rsid w:val="00C20D5E"/>
    <w:rsid w:val="00C21766"/>
    <w:rsid w:val="00C22254"/>
    <w:rsid w:val="00C23924"/>
    <w:rsid w:val="00C2408D"/>
    <w:rsid w:val="00C24286"/>
    <w:rsid w:val="00C249E7"/>
    <w:rsid w:val="00C276DD"/>
    <w:rsid w:val="00C30DB5"/>
    <w:rsid w:val="00C31765"/>
    <w:rsid w:val="00C33F46"/>
    <w:rsid w:val="00C34525"/>
    <w:rsid w:val="00C3488A"/>
    <w:rsid w:val="00C34AB8"/>
    <w:rsid w:val="00C34E68"/>
    <w:rsid w:val="00C34EA8"/>
    <w:rsid w:val="00C3563E"/>
    <w:rsid w:val="00C40014"/>
    <w:rsid w:val="00C4077E"/>
    <w:rsid w:val="00C41167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5E0F"/>
    <w:rsid w:val="00C56E82"/>
    <w:rsid w:val="00C570CD"/>
    <w:rsid w:val="00C57B75"/>
    <w:rsid w:val="00C61623"/>
    <w:rsid w:val="00C61B08"/>
    <w:rsid w:val="00C6226B"/>
    <w:rsid w:val="00C63D79"/>
    <w:rsid w:val="00C64990"/>
    <w:rsid w:val="00C6764B"/>
    <w:rsid w:val="00C67E52"/>
    <w:rsid w:val="00C71643"/>
    <w:rsid w:val="00C718A8"/>
    <w:rsid w:val="00C72198"/>
    <w:rsid w:val="00C7252C"/>
    <w:rsid w:val="00C733CB"/>
    <w:rsid w:val="00C75C27"/>
    <w:rsid w:val="00C81268"/>
    <w:rsid w:val="00C81942"/>
    <w:rsid w:val="00C83843"/>
    <w:rsid w:val="00C83CAC"/>
    <w:rsid w:val="00C84861"/>
    <w:rsid w:val="00C853A4"/>
    <w:rsid w:val="00C8751F"/>
    <w:rsid w:val="00C90BDE"/>
    <w:rsid w:val="00C90C8D"/>
    <w:rsid w:val="00C91496"/>
    <w:rsid w:val="00C9165C"/>
    <w:rsid w:val="00C91BCF"/>
    <w:rsid w:val="00C91D28"/>
    <w:rsid w:val="00C932D1"/>
    <w:rsid w:val="00C93E25"/>
    <w:rsid w:val="00C94612"/>
    <w:rsid w:val="00C94CD0"/>
    <w:rsid w:val="00C95A2F"/>
    <w:rsid w:val="00C9645B"/>
    <w:rsid w:val="00C97145"/>
    <w:rsid w:val="00C97510"/>
    <w:rsid w:val="00C977DF"/>
    <w:rsid w:val="00CA248C"/>
    <w:rsid w:val="00CA379F"/>
    <w:rsid w:val="00CA3BC7"/>
    <w:rsid w:val="00CA461A"/>
    <w:rsid w:val="00CA4B43"/>
    <w:rsid w:val="00CA71BA"/>
    <w:rsid w:val="00CB237B"/>
    <w:rsid w:val="00CB3113"/>
    <w:rsid w:val="00CB4288"/>
    <w:rsid w:val="00CB5127"/>
    <w:rsid w:val="00CB5911"/>
    <w:rsid w:val="00CB71D2"/>
    <w:rsid w:val="00CB7EB6"/>
    <w:rsid w:val="00CC0AE6"/>
    <w:rsid w:val="00CC1520"/>
    <w:rsid w:val="00CC153B"/>
    <w:rsid w:val="00CC25F5"/>
    <w:rsid w:val="00CC2D50"/>
    <w:rsid w:val="00CC3BE0"/>
    <w:rsid w:val="00CC4F6E"/>
    <w:rsid w:val="00CC6930"/>
    <w:rsid w:val="00CC75DA"/>
    <w:rsid w:val="00CC76C8"/>
    <w:rsid w:val="00CC7BD9"/>
    <w:rsid w:val="00CC7E10"/>
    <w:rsid w:val="00CD019A"/>
    <w:rsid w:val="00CD1202"/>
    <w:rsid w:val="00CD173C"/>
    <w:rsid w:val="00CD2388"/>
    <w:rsid w:val="00CD4D51"/>
    <w:rsid w:val="00CD4F92"/>
    <w:rsid w:val="00CD5104"/>
    <w:rsid w:val="00CE0186"/>
    <w:rsid w:val="00CE02BB"/>
    <w:rsid w:val="00CE10AB"/>
    <w:rsid w:val="00CE1598"/>
    <w:rsid w:val="00CE1C69"/>
    <w:rsid w:val="00CE2DBC"/>
    <w:rsid w:val="00CE54B4"/>
    <w:rsid w:val="00CE5B44"/>
    <w:rsid w:val="00CE6335"/>
    <w:rsid w:val="00CE71FC"/>
    <w:rsid w:val="00CF1F59"/>
    <w:rsid w:val="00CF3FB0"/>
    <w:rsid w:val="00CF475E"/>
    <w:rsid w:val="00CF4849"/>
    <w:rsid w:val="00CF57BD"/>
    <w:rsid w:val="00CF77FD"/>
    <w:rsid w:val="00D0122D"/>
    <w:rsid w:val="00D021F1"/>
    <w:rsid w:val="00D02BD5"/>
    <w:rsid w:val="00D02DA0"/>
    <w:rsid w:val="00D038AD"/>
    <w:rsid w:val="00D06D81"/>
    <w:rsid w:val="00D07536"/>
    <w:rsid w:val="00D07A13"/>
    <w:rsid w:val="00D10635"/>
    <w:rsid w:val="00D109CA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3D9B"/>
    <w:rsid w:val="00D24EEE"/>
    <w:rsid w:val="00D25E02"/>
    <w:rsid w:val="00D3040F"/>
    <w:rsid w:val="00D3148B"/>
    <w:rsid w:val="00D31C5A"/>
    <w:rsid w:val="00D33012"/>
    <w:rsid w:val="00D332DE"/>
    <w:rsid w:val="00D349B7"/>
    <w:rsid w:val="00D34A2E"/>
    <w:rsid w:val="00D35089"/>
    <w:rsid w:val="00D35772"/>
    <w:rsid w:val="00D40BC4"/>
    <w:rsid w:val="00D40DE5"/>
    <w:rsid w:val="00D41B85"/>
    <w:rsid w:val="00D44392"/>
    <w:rsid w:val="00D47D62"/>
    <w:rsid w:val="00D50997"/>
    <w:rsid w:val="00D50BC0"/>
    <w:rsid w:val="00D5109E"/>
    <w:rsid w:val="00D51B40"/>
    <w:rsid w:val="00D529F7"/>
    <w:rsid w:val="00D53A14"/>
    <w:rsid w:val="00D54F3F"/>
    <w:rsid w:val="00D55922"/>
    <w:rsid w:val="00D6016A"/>
    <w:rsid w:val="00D60482"/>
    <w:rsid w:val="00D648FE"/>
    <w:rsid w:val="00D669DC"/>
    <w:rsid w:val="00D67259"/>
    <w:rsid w:val="00D67E77"/>
    <w:rsid w:val="00D70181"/>
    <w:rsid w:val="00D713DC"/>
    <w:rsid w:val="00D71616"/>
    <w:rsid w:val="00D724A6"/>
    <w:rsid w:val="00D7285E"/>
    <w:rsid w:val="00D72D37"/>
    <w:rsid w:val="00D736FB"/>
    <w:rsid w:val="00D73AD1"/>
    <w:rsid w:val="00D7556D"/>
    <w:rsid w:val="00D75B91"/>
    <w:rsid w:val="00D76397"/>
    <w:rsid w:val="00D76D04"/>
    <w:rsid w:val="00D77456"/>
    <w:rsid w:val="00D776C3"/>
    <w:rsid w:val="00D80343"/>
    <w:rsid w:val="00D8059F"/>
    <w:rsid w:val="00D81C78"/>
    <w:rsid w:val="00D83497"/>
    <w:rsid w:val="00D84EA9"/>
    <w:rsid w:val="00D85ED1"/>
    <w:rsid w:val="00D8626A"/>
    <w:rsid w:val="00D86C9A"/>
    <w:rsid w:val="00D87549"/>
    <w:rsid w:val="00D8774A"/>
    <w:rsid w:val="00D90AB3"/>
    <w:rsid w:val="00D914F7"/>
    <w:rsid w:val="00D932BA"/>
    <w:rsid w:val="00D93C9B"/>
    <w:rsid w:val="00D94B97"/>
    <w:rsid w:val="00D94DFE"/>
    <w:rsid w:val="00D96620"/>
    <w:rsid w:val="00DA08AA"/>
    <w:rsid w:val="00DA1BAE"/>
    <w:rsid w:val="00DA5193"/>
    <w:rsid w:val="00DB0000"/>
    <w:rsid w:val="00DB248A"/>
    <w:rsid w:val="00DB29EE"/>
    <w:rsid w:val="00DB2EDA"/>
    <w:rsid w:val="00DB33CE"/>
    <w:rsid w:val="00DB441C"/>
    <w:rsid w:val="00DB77F3"/>
    <w:rsid w:val="00DC0CA0"/>
    <w:rsid w:val="00DC1320"/>
    <w:rsid w:val="00DC3221"/>
    <w:rsid w:val="00DC40F5"/>
    <w:rsid w:val="00DC424F"/>
    <w:rsid w:val="00DC4DE7"/>
    <w:rsid w:val="00DC76CF"/>
    <w:rsid w:val="00DD03C7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6C38"/>
    <w:rsid w:val="00DE16F3"/>
    <w:rsid w:val="00DE42BF"/>
    <w:rsid w:val="00DE4DEC"/>
    <w:rsid w:val="00DE6438"/>
    <w:rsid w:val="00DE68C2"/>
    <w:rsid w:val="00DE7F13"/>
    <w:rsid w:val="00DF0857"/>
    <w:rsid w:val="00DF1142"/>
    <w:rsid w:val="00DF26C3"/>
    <w:rsid w:val="00DF3202"/>
    <w:rsid w:val="00DF33AF"/>
    <w:rsid w:val="00DF3D34"/>
    <w:rsid w:val="00DF4924"/>
    <w:rsid w:val="00DF619E"/>
    <w:rsid w:val="00DF792A"/>
    <w:rsid w:val="00DF7EF2"/>
    <w:rsid w:val="00E0214D"/>
    <w:rsid w:val="00E025AE"/>
    <w:rsid w:val="00E025C7"/>
    <w:rsid w:val="00E02ACD"/>
    <w:rsid w:val="00E04098"/>
    <w:rsid w:val="00E04696"/>
    <w:rsid w:val="00E05052"/>
    <w:rsid w:val="00E0665C"/>
    <w:rsid w:val="00E06EDF"/>
    <w:rsid w:val="00E101A8"/>
    <w:rsid w:val="00E1162E"/>
    <w:rsid w:val="00E11C42"/>
    <w:rsid w:val="00E12171"/>
    <w:rsid w:val="00E15139"/>
    <w:rsid w:val="00E15254"/>
    <w:rsid w:val="00E153B6"/>
    <w:rsid w:val="00E170DD"/>
    <w:rsid w:val="00E17238"/>
    <w:rsid w:val="00E20281"/>
    <w:rsid w:val="00E2044B"/>
    <w:rsid w:val="00E23B0B"/>
    <w:rsid w:val="00E23DCC"/>
    <w:rsid w:val="00E243CC"/>
    <w:rsid w:val="00E244E2"/>
    <w:rsid w:val="00E256CA"/>
    <w:rsid w:val="00E25F3D"/>
    <w:rsid w:val="00E2614C"/>
    <w:rsid w:val="00E30A6E"/>
    <w:rsid w:val="00E33E7F"/>
    <w:rsid w:val="00E34B7A"/>
    <w:rsid w:val="00E355C8"/>
    <w:rsid w:val="00E35646"/>
    <w:rsid w:val="00E36C9C"/>
    <w:rsid w:val="00E36F43"/>
    <w:rsid w:val="00E37F8D"/>
    <w:rsid w:val="00E405FE"/>
    <w:rsid w:val="00E414C1"/>
    <w:rsid w:val="00E4191E"/>
    <w:rsid w:val="00E41EBD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C49"/>
    <w:rsid w:val="00E51FB7"/>
    <w:rsid w:val="00E51FEC"/>
    <w:rsid w:val="00E53E33"/>
    <w:rsid w:val="00E544FB"/>
    <w:rsid w:val="00E6017D"/>
    <w:rsid w:val="00E607FC"/>
    <w:rsid w:val="00E60B1F"/>
    <w:rsid w:val="00E6154F"/>
    <w:rsid w:val="00E61960"/>
    <w:rsid w:val="00E61AF4"/>
    <w:rsid w:val="00E61D83"/>
    <w:rsid w:val="00E61F2B"/>
    <w:rsid w:val="00E62497"/>
    <w:rsid w:val="00E62C02"/>
    <w:rsid w:val="00E63ED0"/>
    <w:rsid w:val="00E646EE"/>
    <w:rsid w:val="00E66E01"/>
    <w:rsid w:val="00E66F49"/>
    <w:rsid w:val="00E6747E"/>
    <w:rsid w:val="00E7095D"/>
    <w:rsid w:val="00E709EA"/>
    <w:rsid w:val="00E70F18"/>
    <w:rsid w:val="00E7165C"/>
    <w:rsid w:val="00E72E77"/>
    <w:rsid w:val="00E73CFE"/>
    <w:rsid w:val="00E74431"/>
    <w:rsid w:val="00E74C75"/>
    <w:rsid w:val="00E751C2"/>
    <w:rsid w:val="00E7540C"/>
    <w:rsid w:val="00E757DD"/>
    <w:rsid w:val="00E76422"/>
    <w:rsid w:val="00E766DD"/>
    <w:rsid w:val="00E7739C"/>
    <w:rsid w:val="00E81093"/>
    <w:rsid w:val="00E81B54"/>
    <w:rsid w:val="00E82566"/>
    <w:rsid w:val="00E83D64"/>
    <w:rsid w:val="00E84D5D"/>
    <w:rsid w:val="00E85335"/>
    <w:rsid w:val="00E85CB8"/>
    <w:rsid w:val="00E861DE"/>
    <w:rsid w:val="00E866A2"/>
    <w:rsid w:val="00E86D17"/>
    <w:rsid w:val="00E87BB1"/>
    <w:rsid w:val="00E90376"/>
    <w:rsid w:val="00E916CD"/>
    <w:rsid w:val="00E9222F"/>
    <w:rsid w:val="00E92498"/>
    <w:rsid w:val="00E92D33"/>
    <w:rsid w:val="00E9357F"/>
    <w:rsid w:val="00E93B96"/>
    <w:rsid w:val="00E9517D"/>
    <w:rsid w:val="00E964C7"/>
    <w:rsid w:val="00E97258"/>
    <w:rsid w:val="00EA118B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0148"/>
    <w:rsid w:val="00EB3915"/>
    <w:rsid w:val="00EB75D3"/>
    <w:rsid w:val="00EB7C0F"/>
    <w:rsid w:val="00EC0138"/>
    <w:rsid w:val="00EC0983"/>
    <w:rsid w:val="00EC0A19"/>
    <w:rsid w:val="00EC1FA7"/>
    <w:rsid w:val="00EC2B05"/>
    <w:rsid w:val="00EC3C73"/>
    <w:rsid w:val="00EC6CAA"/>
    <w:rsid w:val="00EC7463"/>
    <w:rsid w:val="00EC7EE7"/>
    <w:rsid w:val="00ED0E1A"/>
    <w:rsid w:val="00ED16CF"/>
    <w:rsid w:val="00ED248D"/>
    <w:rsid w:val="00ED3AC6"/>
    <w:rsid w:val="00ED3D3F"/>
    <w:rsid w:val="00ED47E6"/>
    <w:rsid w:val="00ED695D"/>
    <w:rsid w:val="00ED6961"/>
    <w:rsid w:val="00ED69EB"/>
    <w:rsid w:val="00ED6D28"/>
    <w:rsid w:val="00ED7975"/>
    <w:rsid w:val="00ED7ACE"/>
    <w:rsid w:val="00EE2B8E"/>
    <w:rsid w:val="00EE2C05"/>
    <w:rsid w:val="00EE2DD3"/>
    <w:rsid w:val="00EE3BD8"/>
    <w:rsid w:val="00EE3F08"/>
    <w:rsid w:val="00EE4D1B"/>
    <w:rsid w:val="00EE4E87"/>
    <w:rsid w:val="00EE577D"/>
    <w:rsid w:val="00EF1802"/>
    <w:rsid w:val="00EF24A6"/>
    <w:rsid w:val="00EF29A0"/>
    <w:rsid w:val="00EF50D7"/>
    <w:rsid w:val="00EF6DF5"/>
    <w:rsid w:val="00F019EB"/>
    <w:rsid w:val="00F026DD"/>
    <w:rsid w:val="00F02F06"/>
    <w:rsid w:val="00F04C84"/>
    <w:rsid w:val="00F072AF"/>
    <w:rsid w:val="00F0750A"/>
    <w:rsid w:val="00F07D8A"/>
    <w:rsid w:val="00F10001"/>
    <w:rsid w:val="00F1238A"/>
    <w:rsid w:val="00F126E8"/>
    <w:rsid w:val="00F12842"/>
    <w:rsid w:val="00F1321F"/>
    <w:rsid w:val="00F14528"/>
    <w:rsid w:val="00F15ECF"/>
    <w:rsid w:val="00F16223"/>
    <w:rsid w:val="00F17813"/>
    <w:rsid w:val="00F17C2A"/>
    <w:rsid w:val="00F2045B"/>
    <w:rsid w:val="00F20599"/>
    <w:rsid w:val="00F22B10"/>
    <w:rsid w:val="00F25F97"/>
    <w:rsid w:val="00F26E18"/>
    <w:rsid w:val="00F273A2"/>
    <w:rsid w:val="00F3021C"/>
    <w:rsid w:val="00F302CB"/>
    <w:rsid w:val="00F30DDA"/>
    <w:rsid w:val="00F33C62"/>
    <w:rsid w:val="00F348D4"/>
    <w:rsid w:val="00F373A1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69C4"/>
    <w:rsid w:val="00F47E50"/>
    <w:rsid w:val="00F50BE7"/>
    <w:rsid w:val="00F52062"/>
    <w:rsid w:val="00F544A5"/>
    <w:rsid w:val="00F566D6"/>
    <w:rsid w:val="00F60151"/>
    <w:rsid w:val="00F61E51"/>
    <w:rsid w:val="00F6381A"/>
    <w:rsid w:val="00F66FD8"/>
    <w:rsid w:val="00F671B9"/>
    <w:rsid w:val="00F6772E"/>
    <w:rsid w:val="00F6787E"/>
    <w:rsid w:val="00F70C6F"/>
    <w:rsid w:val="00F70D2E"/>
    <w:rsid w:val="00F71726"/>
    <w:rsid w:val="00F71DDE"/>
    <w:rsid w:val="00F72378"/>
    <w:rsid w:val="00F7270C"/>
    <w:rsid w:val="00F754D3"/>
    <w:rsid w:val="00F768CD"/>
    <w:rsid w:val="00F769EE"/>
    <w:rsid w:val="00F8379A"/>
    <w:rsid w:val="00F839F8"/>
    <w:rsid w:val="00F8431D"/>
    <w:rsid w:val="00F84B69"/>
    <w:rsid w:val="00F8519A"/>
    <w:rsid w:val="00F854B1"/>
    <w:rsid w:val="00F8554D"/>
    <w:rsid w:val="00F8568B"/>
    <w:rsid w:val="00F86095"/>
    <w:rsid w:val="00F8697E"/>
    <w:rsid w:val="00F876F6"/>
    <w:rsid w:val="00F907F5"/>
    <w:rsid w:val="00F90BF9"/>
    <w:rsid w:val="00F91ECD"/>
    <w:rsid w:val="00F92BE6"/>
    <w:rsid w:val="00F94702"/>
    <w:rsid w:val="00F95A9B"/>
    <w:rsid w:val="00F962F4"/>
    <w:rsid w:val="00F96C08"/>
    <w:rsid w:val="00F96F71"/>
    <w:rsid w:val="00FA02FF"/>
    <w:rsid w:val="00FA3D96"/>
    <w:rsid w:val="00FA45AE"/>
    <w:rsid w:val="00FA5125"/>
    <w:rsid w:val="00FA7342"/>
    <w:rsid w:val="00FB13C1"/>
    <w:rsid w:val="00FB1F92"/>
    <w:rsid w:val="00FB3E94"/>
    <w:rsid w:val="00FB52B9"/>
    <w:rsid w:val="00FB5DBA"/>
    <w:rsid w:val="00FC14DC"/>
    <w:rsid w:val="00FC236B"/>
    <w:rsid w:val="00FC37FB"/>
    <w:rsid w:val="00FC4217"/>
    <w:rsid w:val="00FC4D96"/>
    <w:rsid w:val="00FC5223"/>
    <w:rsid w:val="00FC5603"/>
    <w:rsid w:val="00FC7002"/>
    <w:rsid w:val="00FC713E"/>
    <w:rsid w:val="00FC7925"/>
    <w:rsid w:val="00FD18A7"/>
    <w:rsid w:val="00FD2C21"/>
    <w:rsid w:val="00FD4603"/>
    <w:rsid w:val="00FD5498"/>
    <w:rsid w:val="00FD5F25"/>
    <w:rsid w:val="00FD6645"/>
    <w:rsid w:val="00FE10CC"/>
    <w:rsid w:val="00FE21F9"/>
    <w:rsid w:val="00FE25D1"/>
    <w:rsid w:val="00FE2BE5"/>
    <w:rsid w:val="00FE3503"/>
    <w:rsid w:val="00FE3A84"/>
    <w:rsid w:val="00FE3B63"/>
    <w:rsid w:val="00FE4674"/>
    <w:rsid w:val="00FE4936"/>
    <w:rsid w:val="00FE4DCA"/>
    <w:rsid w:val="00FE508C"/>
    <w:rsid w:val="00FE5DA6"/>
    <w:rsid w:val="00FE6830"/>
    <w:rsid w:val="00FE6C4D"/>
    <w:rsid w:val="00FE6E72"/>
    <w:rsid w:val="00FE78EE"/>
    <w:rsid w:val="00FF02D1"/>
    <w:rsid w:val="00FF0B43"/>
    <w:rsid w:val="00FF1316"/>
    <w:rsid w:val="00FF1617"/>
    <w:rsid w:val="00FF1FCC"/>
    <w:rsid w:val="00FF2AB1"/>
    <w:rsid w:val="00FF3016"/>
    <w:rsid w:val="00FF344F"/>
    <w:rsid w:val="00FF4316"/>
    <w:rsid w:val="00FF53EC"/>
    <w:rsid w:val="00FF681D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AF39"/>
  <w15:docId w15:val="{E6D8381B-9E5C-4EAA-BDD2-81E9BE8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C0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ivasanitaria.it/jsp/dettaglio.jsp?id=76597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ronavirus.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ivasanitaria.it/jsp/dettaglio.jsp?id=76597" TargetMode="External"/><Relationship Id="rId14" Type="http://schemas.openxmlformats.org/officeDocument/2006/relationships/image" Target="media/image3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58E-97C8-4DEB-AAE7-32C77FB4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8</cp:revision>
  <cp:lastPrinted>2020-10-13T06:43:00Z</cp:lastPrinted>
  <dcterms:created xsi:type="dcterms:W3CDTF">2020-10-13T06:40:00Z</dcterms:created>
  <dcterms:modified xsi:type="dcterms:W3CDTF">2020-10-13T07:50:00Z</dcterms:modified>
</cp:coreProperties>
</file>