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9E" w:rsidRDefault="0017089E" w:rsidP="001708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:rsidR="00AB0720" w:rsidRDefault="00916FCB" w:rsidP="009D5F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PARADOSSO TICKET:</w:t>
      </w:r>
      <w:r w:rsidRPr="006838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2,9 MILIARDI NEL 2017, </w:t>
      </w:r>
      <w:r>
        <w:rPr>
          <w:b/>
          <w:bCs/>
          <w:sz w:val="32"/>
          <w:szCs w:val="32"/>
        </w:rPr>
        <w:br/>
        <w:t>MA OLTRE UN TERZO È PAGATO PER SCELTA DAI CITTADINI</w:t>
      </w:r>
    </w:p>
    <w:p w:rsidR="0017089E" w:rsidRDefault="00E129B1" w:rsidP="001708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SOTTO LA LENTE DELL’OSSERVATORIO </w:t>
      </w:r>
      <w:r w:rsidR="0064462F">
        <w:rPr>
          <w:b/>
          <w:bCs/>
          <w:sz w:val="24"/>
          <w:szCs w:val="24"/>
        </w:rPr>
        <w:t xml:space="preserve">GIMBE I DATI </w:t>
      </w:r>
      <w:r w:rsidR="00DC41F6">
        <w:rPr>
          <w:b/>
          <w:bCs/>
          <w:sz w:val="24"/>
          <w:szCs w:val="24"/>
        </w:rPr>
        <w:t>2017</w:t>
      </w:r>
      <w:r w:rsidR="00DC41F6" w:rsidRPr="004420B7">
        <w:rPr>
          <w:b/>
          <w:bCs/>
          <w:sz w:val="24"/>
          <w:szCs w:val="24"/>
        </w:rPr>
        <w:t xml:space="preserve"> </w:t>
      </w:r>
      <w:r w:rsidR="00DC41F6">
        <w:rPr>
          <w:b/>
          <w:bCs/>
          <w:sz w:val="24"/>
          <w:szCs w:val="24"/>
        </w:rPr>
        <w:t>SU TICKET</w:t>
      </w:r>
      <w:r w:rsidR="0064462F">
        <w:rPr>
          <w:b/>
          <w:bCs/>
          <w:sz w:val="24"/>
          <w:szCs w:val="24"/>
        </w:rPr>
        <w:t xml:space="preserve"> </w:t>
      </w:r>
      <w:r w:rsidR="004420B7">
        <w:rPr>
          <w:b/>
          <w:bCs/>
          <w:sz w:val="24"/>
          <w:szCs w:val="24"/>
        </w:rPr>
        <w:t>PER FARMACI E PRESTAZIONI SPECIALISTICHE</w:t>
      </w:r>
      <w:r w:rsidR="0064462F">
        <w:rPr>
          <w:b/>
          <w:bCs/>
          <w:sz w:val="24"/>
          <w:szCs w:val="24"/>
        </w:rPr>
        <w:t>.</w:t>
      </w:r>
      <w:r w:rsidR="00080E0C">
        <w:rPr>
          <w:b/>
          <w:bCs/>
          <w:sz w:val="24"/>
          <w:szCs w:val="24"/>
        </w:rPr>
        <w:t xml:space="preserve"> QUASI </w:t>
      </w:r>
      <w:r w:rsidR="00C62EE7">
        <w:rPr>
          <w:b/>
          <w:bCs/>
          <w:sz w:val="24"/>
          <w:szCs w:val="24"/>
        </w:rPr>
        <w:t xml:space="preserve">50 EURO PRO-CAPITE </w:t>
      </w:r>
      <w:r w:rsidR="00080E0C">
        <w:rPr>
          <w:b/>
          <w:bCs/>
          <w:sz w:val="24"/>
          <w:szCs w:val="24"/>
        </w:rPr>
        <w:t xml:space="preserve">CON </w:t>
      </w:r>
      <w:r w:rsidR="00DC41F6">
        <w:rPr>
          <w:b/>
          <w:bCs/>
          <w:sz w:val="24"/>
          <w:szCs w:val="24"/>
        </w:rPr>
        <w:t xml:space="preserve">RILEVANTI </w:t>
      </w:r>
      <w:r w:rsidR="00080E0C">
        <w:rPr>
          <w:b/>
          <w:bCs/>
          <w:sz w:val="24"/>
          <w:szCs w:val="24"/>
        </w:rPr>
        <w:t xml:space="preserve">DIFFERENZE REGIONALI </w:t>
      </w:r>
      <w:r w:rsidR="004420B7">
        <w:rPr>
          <w:b/>
          <w:bCs/>
          <w:sz w:val="24"/>
          <w:szCs w:val="24"/>
        </w:rPr>
        <w:t xml:space="preserve">CHE RICHIEDONO </w:t>
      </w:r>
      <w:r w:rsidR="003C75E1">
        <w:rPr>
          <w:b/>
          <w:bCs/>
          <w:sz w:val="24"/>
          <w:szCs w:val="24"/>
        </w:rPr>
        <w:t>L</w:t>
      </w:r>
      <w:bookmarkStart w:id="0" w:name="_GoBack"/>
      <w:bookmarkEnd w:id="0"/>
      <w:r w:rsidR="003C75E1">
        <w:rPr>
          <w:b/>
          <w:bCs/>
          <w:sz w:val="24"/>
          <w:szCs w:val="24"/>
        </w:rPr>
        <w:t>A</w:t>
      </w:r>
      <w:r w:rsidR="004420B7">
        <w:rPr>
          <w:b/>
          <w:bCs/>
          <w:sz w:val="24"/>
          <w:szCs w:val="24"/>
        </w:rPr>
        <w:t xml:space="preserve"> REVISIONE DEI CRITERI DI COMPARTECIPAZIONE ALLA SPESA,</w:t>
      </w:r>
      <w:r>
        <w:rPr>
          <w:b/>
          <w:bCs/>
          <w:sz w:val="24"/>
          <w:szCs w:val="24"/>
        </w:rPr>
        <w:t xml:space="preserve"> </w:t>
      </w:r>
      <w:r w:rsidR="003C75E1">
        <w:rPr>
          <w:b/>
          <w:bCs/>
          <w:sz w:val="24"/>
          <w:szCs w:val="24"/>
        </w:rPr>
        <w:t xml:space="preserve">IL SUPERAMENTO DEL </w:t>
      </w:r>
      <w:r>
        <w:rPr>
          <w:b/>
          <w:bCs/>
          <w:sz w:val="24"/>
          <w:szCs w:val="24"/>
        </w:rPr>
        <w:t>SUPERTICKET</w:t>
      </w:r>
      <w:r w:rsidR="004420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 </w:t>
      </w:r>
      <w:r w:rsidR="00414C6F">
        <w:rPr>
          <w:b/>
          <w:bCs/>
          <w:sz w:val="24"/>
          <w:szCs w:val="24"/>
        </w:rPr>
        <w:t xml:space="preserve">CONCRETE POLITICHE </w:t>
      </w:r>
      <w:r w:rsidR="00DC41F6">
        <w:rPr>
          <w:b/>
          <w:bCs/>
          <w:sz w:val="24"/>
          <w:szCs w:val="24"/>
        </w:rPr>
        <w:t xml:space="preserve">PER INCENTIVARE L’USO DEI </w:t>
      </w:r>
      <w:r w:rsidR="004420B7">
        <w:rPr>
          <w:b/>
          <w:bCs/>
          <w:sz w:val="24"/>
          <w:szCs w:val="24"/>
        </w:rPr>
        <w:t xml:space="preserve">FARMACI EQUIVALENTI, </w:t>
      </w:r>
      <w:r w:rsidR="003C75E1">
        <w:rPr>
          <w:b/>
          <w:bCs/>
          <w:sz w:val="24"/>
          <w:szCs w:val="24"/>
        </w:rPr>
        <w:t xml:space="preserve">IL CUI </w:t>
      </w:r>
      <w:r w:rsidR="00DC41F6" w:rsidRPr="00F962FB">
        <w:rPr>
          <w:b/>
          <w:bCs/>
          <w:sz w:val="24"/>
          <w:szCs w:val="24"/>
        </w:rPr>
        <w:t xml:space="preserve">MANCATO UTILIZZO </w:t>
      </w:r>
      <w:r w:rsidR="003C75E1">
        <w:rPr>
          <w:b/>
          <w:bCs/>
          <w:sz w:val="24"/>
          <w:szCs w:val="24"/>
        </w:rPr>
        <w:t>“PESA”</w:t>
      </w:r>
      <w:r w:rsidR="00414C6F" w:rsidRPr="00F962FB">
        <w:rPr>
          <w:b/>
          <w:bCs/>
          <w:sz w:val="24"/>
          <w:szCs w:val="24"/>
        </w:rPr>
        <w:t xml:space="preserve"> </w:t>
      </w:r>
      <w:r w:rsidR="003C75E1">
        <w:rPr>
          <w:b/>
          <w:bCs/>
          <w:sz w:val="24"/>
          <w:szCs w:val="24"/>
        </w:rPr>
        <w:t xml:space="preserve">SUI TICKET </w:t>
      </w:r>
      <w:r w:rsidR="004420B7">
        <w:rPr>
          <w:b/>
          <w:bCs/>
          <w:sz w:val="24"/>
          <w:szCs w:val="24"/>
        </w:rPr>
        <w:t xml:space="preserve">PER </w:t>
      </w:r>
      <w:r w:rsidR="00C62EE7">
        <w:rPr>
          <w:b/>
          <w:bCs/>
          <w:sz w:val="24"/>
          <w:szCs w:val="24"/>
        </w:rPr>
        <w:t>OLTRE 1 MILIARDO.</w:t>
      </w:r>
      <w:r w:rsidR="004420B7">
        <w:rPr>
          <w:b/>
          <w:bCs/>
          <w:sz w:val="24"/>
          <w:szCs w:val="24"/>
        </w:rPr>
        <w:t xml:space="preserve"> </w:t>
      </w:r>
    </w:p>
    <w:p w:rsidR="005B4F61" w:rsidRDefault="00080E0C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3E6B2B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15332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04F88">
        <w:rPr>
          <w:rFonts w:ascii="Calibri" w:eastAsia="Calibri" w:hAnsi="Calibri" w:cs="Times New Roman"/>
          <w:b/>
          <w:bCs/>
          <w:sz w:val="24"/>
          <w:szCs w:val="24"/>
        </w:rPr>
        <w:t>luglio</w:t>
      </w:r>
      <w:r w:rsidR="00ED264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FC3282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96003B" w:rsidRDefault="0096003B" w:rsidP="00933206">
      <w:pPr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Pr="00343639">
        <w:rPr>
          <w:rFonts w:eastAsia="Times New Roman" w:cstheme="minorHAnsi"/>
        </w:rPr>
        <w:t>utte le Regioni</w:t>
      </w:r>
      <w:r>
        <w:rPr>
          <w:rFonts w:eastAsia="Times New Roman" w:cstheme="minorHAnsi"/>
        </w:rPr>
        <w:t xml:space="preserve"> </w:t>
      </w:r>
      <w:r w:rsidR="00F34775">
        <w:rPr>
          <w:rFonts w:eastAsia="Times New Roman" w:cstheme="minorHAnsi"/>
        </w:rPr>
        <w:t>hanno introdotto</w:t>
      </w:r>
      <w:r w:rsidR="00F34775" w:rsidRPr="00343639">
        <w:rPr>
          <w:rFonts w:eastAsia="Times New Roman" w:cstheme="minorHAnsi"/>
        </w:rPr>
        <w:t xml:space="preserve"> </w:t>
      </w:r>
      <w:r w:rsidRPr="00343639">
        <w:rPr>
          <w:rFonts w:eastAsia="Times New Roman" w:cstheme="minorHAnsi"/>
        </w:rPr>
        <w:t>sistemi di compartecipazione alla spesa sanitaria, con un</w:t>
      </w:r>
      <w:r w:rsidR="00F34775">
        <w:rPr>
          <w:rFonts w:eastAsia="Times New Roman" w:cstheme="minorHAnsi"/>
        </w:rPr>
        <w:t xml:space="preserve"> livello di </w:t>
      </w:r>
      <w:r w:rsidRPr="00343639">
        <w:rPr>
          <w:rFonts w:eastAsia="Times New Roman" w:cstheme="minorHAnsi"/>
        </w:rPr>
        <w:t xml:space="preserve">autonomia </w:t>
      </w:r>
      <w:r w:rsidR="00F34775">
        <w:rPr>
          <w:rFonts w:eastAsia="Times New Roman" w:cstheme="minorHAnsi"/>
        </w:rPr>
        <w:t xml:space="preserve">tale da generare </w:t>
      </w:r>
      <w:r w:rsidRPr="00343639">
        <w:rPr>
          <w:rFonts w:eastAsia="Times New Roman" w:cstheme="minorHAnsi"/>
        </w:rPr>
        <w:t xml:space="preserve">negli </w:t>
      </w:r>
      <w:r>
        <w:rPr>
          <w:rFonts w:eastAsia="Times New Roman" w:cstheme="minorHAnsi"/>
        </w:rPr>
        <w:t xml:space="preserve">anni </w:t>
      </w:r>
      <w:r w:rsidRPr="00343639">
        <w:rPr>
          <w:rFonts w:eastAsia="Times New Roman" w:cstheme="minorHAnsi"/>
        </w:rPr>
        <w:t>una</w:t>
      </w:r>
      <w:r>
        <w:rPr>
          <w:rFonts w:eastAsia="Times New Roman" w:cstheme="minorHAnsi"/>
        </w:rPr>
        <w:t xml:space="preserve"> vera e propria</w:t>
      </w:r>
      <w:r w:rsidRPr="00343639">
        <w:rPr>
          <w:rFonts w:eastAsia="Times New Roman" w:cstheme="minorHAnsi"/>
        </w:rPr>
        <w:t xml:space="preserve"> “giungla dei t</w:t>
      </w:r>
      <w:r>
        <w:rPr>
          <w:rFonts w:eastAsia="Times New Roman" w:cstheme="minorHAnsi"/>
        </w:rPr>
        <w:t xml:space="preserve">icket”, visto che </w:t>
      </w:r>
      <w:r w:rsidRPr="00343639">
        <w:rPr>
          <w:rFonts w:eastAsia="Times New Roman" w:cstheme="minorHAnsi"/>
        </w:rPr>
        <w:t xml:space="preserve">le differenze regionali riguardano sia le prestazioni su cui vengono applicati (farmaci, prestazioni specialistiche, pronto soccorso, etc.), sia gli importi che i cittadini </w:t>
      </w:r>
      <w:r w:rsidR="00272FAB">
        <w:rPr>
          <w:rFonts w:eastAsia="Times New Roman" w:cstheme="minorHAnsi"/>
        </w:rPr>
        <w:t xml:space="preserve">devono </w:t>
      </w:r>
      <w:r w:rsidRPr="00343639">
        <w:rPr>
          <w:rFonts w:eastAsia="Times New Roman" w:cstheme="minorHAnsi"/>
        </w:rPr>
        <w:t>corrispondere, sia le regole per le esenzioni.</w:t>
      </w:r>
      <w:r>
        <w:rPr>
          <w:rFonts w:eastAsia="Times New Roman" w:cstheme="minorHAnsi"/>
        </w:rPr>
        <w:t xml:space="preserve">  </w:t>
      </w:r>
    </w:p>
    <w:p w:rsidR="00FD7969" w:rsidRPr="0096003B" w:rsidRDefault="00BF4D87" w:rsidP="00933206">
      <w:pPr>
        <w:rPr>
          <w:rFonts w:eastAsia="Times New Roman" w:cstheme="minorHAnsi"/>
        </w:rPr>
      </w:pPr>
      <w:r>
        <w:t xml:space="preserve">Il </w:t>
      </w:r>
      <w:r w:rsidR="00C62EE7">
        <w:t>12</w:t>
      </w:r>
      <w:r w:rsidR="0064462F">
        <w:t xml:space="preserve"> luglio </w:t>
      </w:r>
      <w:r w:rsidR="00C62EE7">
        <w:t>2018</w:t>
      </w:r>
      <w:r w:rsidR="00666CF5">
        <w:t>,</w:t>
      </w:r>
      <w:r w:rsidR="00B12B60">
        <w:t xml:space="preserve"> mentre</w:t>
      </w:r>
      <w:r w:rsidR="00C62EE7">
        <w:t xml:space="preserve"> </w:t>
      </w:r>
      <w:r w:rsidR="0064462F">
        <w:t xml:space="preserve">la Corte dei Conti </w:t>
      </w:r>
      <w:r w:rsidR="00B12B60">
        <w:t>pubblicava</w:t>
      </w:r>
      <w:r w:rsidR="0064462F">
        <w:t xml:space="preserve"> il </w:t>
      </w:r>
      <w:r w:rsidR="0064462F" w:rsidRPr="0064462F">
        <w:t xml:space="preserve">Rapporto </w:t>
      </w:r>
      <w:r w:rsidR="0064462F">
        <w:t xml:space="preserve">2018 </w:t>
      </w:r>
      <w:r w:rsidR="0064462F" w:rsidRPr="0064462F">
        <w:t>sul coordinamento della finanza pubblica</w:t>
      </w:r>
      <w:r w:rsidR="003C75E1">
        <w:t xml:space="preserve">, </w:t>
      </w:r>
      <w:r w:rsidR="0064462F">
        <w:t xml:space="preserve">l’Agenzia Italiana del Farmaco </w:t>
      </w:r>
      <w:r w:rsidR="00B12B60">
        <w:t xml:space="preserve">rendeva </w:t>
      </w:r>
      <w:r w:rsidR="0041646F">
        <w:t>noto</w:t>
      </w:r>
      <w:r w:rsidR="00B12B60">
        <w:t xml:space="preserve"> </w:t>
      </w:r>
      <w:r w:rsidR="0064462F">
        <w:t>il Rapporto 2017 sull’utilizzo dei farmaci in Italia. Grazie alla disponibilità dei dati definitivi sulla compartecipazione alla spesa dei cittadini nel 2017</w:t>
      </w:r>
      <w:r w:rsidR="0041646F">
        <w:t>,</w:t>
      </w:r>
      <w:r w:rsidR="0064462F">
        <w:t xml:space="preserve"> l</w:t>
      </w:r>
      <w:r w:rsidR="00001ED8">
        <w:t xml:space="preserve">’Osservatorio GIMBE </w:t>
      </w:r>
      <w:r w:rsidR="0064462F">
        <w:t xml:space="preserve">ha realizzato </w:t>
      </w:r>
      <w:r w:rsidR="00666CF5">
        <w:t>un report</w:t>
      </w:r>
      <w:r w:rsidR="0064462F">
        <w:t xml:space="preserve"> che analizza in dettaglio </w:t>
      </w:r>
      <w:r w:rsidR="004420B7">
        <w:t xml:space="preserve">composizione e </w:t>
      </w:r>
      <w:r w:rsidR="0064462F">
        <w:t xml:space="preserve">differenze regionali della </w:t>
      </w:r>
      <w:r w:rsidR="00343639">
        <w:t xml:space="preserve">compartecipazione alla </w:t>
      </w:r>
      <w:r w:rsidR="0064462F">
        <w:t xml:space="preserve">spesa che nel 2017 </w:t>
      </w:r>
      <w:r w:rsidR="0041646F">
        <w:t xml:space="preserve">sfiora </w:t>
      </w:r>
      <w:r w:rsidR="0041646F" w:rsidRPr="00F962FB">
        <w:t>i</w:t>
      </w:r>
      <w:r w:rsidR="00DA0BFE" w:rsidRPr="00F962FB">
        <w:t xml:space="preserve"> </w:t>
      </w:r>
      <w:r w:rsidR="0064462F" w:rsidRPr="00F962FB">
        <w:t xml:space="preserve">2.900 milioni </w:t>
      </w:r>
      <w:r w:rsidR="0064462F">
        <w:t>di euro.</w:t>
      </w:r>
      <w:r w:rsidR="009F2F35">
        <w:t xml:space="preserve"> </w:t>
      </w:r>
    </w:p>
    <w:p w:rsidR="00343639" w:rsidRDefault="00550C9C" w:rsidP="00455F5E">
      <w:pPr>
        <w:rPr>
          <w:rFonts w:eastAsia="Times New Roman" w:cstheme="minorHAnsi"/>
        </w:rPr>
      </w:pPr>
      <w:r>
        <w:t>«</w:t>
      </w:r>
      <w:r w:rsidR="00C62EE7">
        <w:t xml:space="preserve">La compartecipazione alla spesa dei cittadini </w:t>
      </w:r>
      <w:r w:rsidR="00723351">
        <w:t>– afferma Nino Cartabellotta, Presidente della Fondazione GIMBE –</w:t>
      </w:r>
      <w:r w:rsidR="003C75E1">
        <w:t xml:space="preserve"> introdotta </w:t>
      </w:r>
      <w:r w:rsidR="00C62EE7">
        <w:t>come</w:t>
      </w:r>
      <w:r w:rsidR="00F962FB">
        <w:t xml:space="preserve"> </w:t>
      </w:r>
      <w:r w:rsidR="00C62EE7">
        <w:t xml:space="preserve">moderatore dei consumi </w:t>
      </w:r>
      <w:r w:rsidR="0041646F">
        <w:t xml:space="preserve">si </w:t>
      </w:r>
      <w:r w:rsidR="00C62EE7">
        <w:t xml:space="preserve">è progressivamente </w:t>
      </w:r>
      <w:r w:rsidR="0041646F">
        <w:t xml:space="preserve">trasformata in </w:t>
      </w:r>
      <w:r w:rsidR="00C62EE7">
        <w:t>un consistente capitolo di entrate per le Regioni, in un periodo caratterizzato dal definanziamento</w:t>
      </w:r>
      <w:r w:rsidR="00666CF5">
        <w:t xml:space="preserve"> pubblico</w:t>
      </w:r>
      <w:r w:rsidR="00C62EE7">
        <w:t xml:space="preserve"> del SSN</w:t>
      </w:r>
      <w:r w:rsidR="002056E1" w:rsidRPr="00B20DA5">
        <w:rPr>
          <w:color w:val="000000" w:themeColor="text1"/>
        </w:rPr>
        <w:t>»</w:t>
      </w:r>
      <w:r w:rsidR="00933206">
        <w:t>.</w:t>
      </w:r>
      <w:r w:rsidR="00455F5E">
        <w:t xml:space="preserve"> </w:t>
      </w:r>
      <w:r w:rsidR="003C75E1">
        <w:t>Nel</w:t>
      </w:r>
      <w:r w:rsidR="004420B7">
        <w:rPr>
          <w:rFonts w:eastAsia="Times New Roman" w:cstheme="minorHAnsi"/>
        </w:rPr>
        <w:t xml:space="preserve"> 2017</w:t>
      </w:r>
      <w:r w:rsidR="00BE1D03">
        <w:rPr>
          <w:rFonts w:eastAsia="Times New Roman" w:cstheme="minorHAnsi"/>
        </w:rPr>
        <w:t xml:space="preserve"> </w:t>
      </w:r>
      <w:r w:rsidR="004420B7">
        <w:rPr>
          <w:rFonts w:eastAsia="Times New Roman" w:cstheme="minorHAnsi"/>
        </w:rPr>
        <w:t>l</w:t>
      </w:r>
      <w:r w:rsidR="00823FD5">
        <w:rPr>
          <w:rFonts w:eastAsia="Times New Roman" w:cstheme="minorHAnsi"/>
        </w:rPr>
        <w:t xml:space="preserve">e Regioni hanno incassato </w:t>
      </w:r>
      <w:r w:rsidR="00C62EE7">
        <w:rPr>
          <w:rFonts w:eastAsia="Times New Roman" w:cstheme="minorHAnsi"/>
        </w:rPr>
        <w:t xml:space="preserve">per i ticket </w:t>
      </w:r>
      <w:r w:rsidR="00DA0BFE">
        <w:rPr>
          <w:rFonts w:eastAsia="Times New Roman" w:cstheme="minorHAnsi"/>
        </w:rPr>
        <w:t xml:space="preserve">quasi </w:t>
      </w:r>
      <w:r w:rsidR="00C62EE7">
        <w:rPr>
          <w:rFonts w:eastAsia="Times New Roman" w:cstheme="minorHAnsi"/>
        </w:rPr>
        <w:t xml:space="preserve">€ 2.900 milioni che corrispondono ad una quota pro-capite di € </w:t>
      </w:r>
      <w:r w:rsidR="00851BCE">
        <w:rPr>
          <w:rFonts w:eastAsia="Times New Roman" w:cstheme="minorHAnsi"/>
        </w:rPr>
        <w:t>47,6</w:t>
      </w:r>
      <w:r w:rsidR="00C62EE7">
        <w:rPr>
          <w:rFonts w:eastAsia="Times New Roman" w:cstheme="minorHAnsi"/>
        </w:rPr>
        <w:t xml:space="preserve">: </w:t>
      </w:r>
      <w:r w:rsidR="004F0578">
        <w:rPr>
          <w:rFonts w:eastAsia="Times New Roman" w:cstheme="minorHAnsi"/>
        </w:rPr>
        <w:t xml:space="preserve"> in particolare, € </w:t>
      </w:r>
      <w:r w:rsidR="005B4E45">
        <w:rPr>
          <w:rFonts w:eastAsia="Times New Roman" w:cstheme="minorHAnsi"/>
        </w:rPr>
        <w:t>1</w:t>
      </w:r>
      <w:r w:rsidR="00123196">
        <w:rPr>
          <w:rFonts w:eastAsia="Times New Roman" w:cstheme="minorHAnsi"/>
        </w:rPr>
        <w:t>.549</w:t>
      </w:r>
      <w:r w:rsidR="004F0578" w:rsidRPr="004F0578">
        <w:rPr>
          <w:rFonts w:eastAsia="Times New Roman" w:cstheme="minorHAnsi"/>
        </w:rPr>
        <w:t xml:space="preserve"> </w:t>
      </w:r>
      <w:r w:rsidR="00666CF5">
        <w:rPr>
          <w:rFonts w:eastAsia="Times New Roman" w:cstheme="minorHAnsi"/>
        </w:rPr>
        <w:t>milioni</w:t>
      </w:r>
      <w:r w:rsidR="004F0578">
        <w:rPr>
          <w:rFonts w:eastAsia="Times New Roman" w:cstheme="minorHAnsi"/>
        </w:rPr>
        <w:t xml:space="preserve"> (€ </w:t>
      </w:r>
      <w:r w:rsidR="005B4E45">
        <w:rPr>
          <w:rFonts w:eastAsia="Times New Roman" w:cstheme="minorHAnsi"/>
        </w:rPr>
        <w:t>25,5</w:t>
      </w:r>
      <w:r w:rsidR="00DA0BFE">
        <w:rPr>
          <w:rFonts w:eastAsia="Times New Roman" w:cstheme="minorHAnsi"/>
        </w:rPr>
        <w:t xml:space="preserve"> </w:t>
      </w:r>
      <w:r w:rsidR="004F0578">
        <w:rPr>
          <w:rFonts w:eastAsia="Times New Roman" w:cstheme="minorHAnsi"/>
        </w:rPr>
        <w:t xml:space="preserve">pro-capite) sono relativi ai farmaci e € </w:t>
      </w:r>
      <w:r w:rsidR="005B4E45">
        <w:rPr>
          <w:rFonts w:eastAsia="Times New Roman" w:cstheme="minorHAnsi"/>
        </w:rPr>
        <w:t>1.336,6</w:t>
      </w:r>
      <w:r w:rsidR="004F0578" w:rsidRPr="004F0578">
        <w:rPr>
          <w:rFonts w:eastAsia="Times New Roman" w:cstheme="minorHAnsi"/>
        </w:rPr>
        <w:t xml:space="preserve"> </w:t>
      </w:r>
      <w:r w:rsidR="004F0578">
        <w:rPr>
          <w:rFonts w:eastAsia="Times New Roman" w:cstheme="minorHAnsi"/>
        </w:rPr>
        <w:t xml:space="preserve">milioni (€ </w:t>
      </w:r>
      <w:r w:rsidR="005B4E45">
        <w:rPr>
          <w:rFonts w:eastAsia="Times New Roman" w:cstheme="minorHAnsi"/>
        </w:rPr>
        <w:t>22,1</w:t>
      </w:r>
      <w:r w:rsidR="00DA0BFE">
        <w:rPr>
          <w:rFonts w:eastAsia="Times New Roman" w:cstheme="minorHAnsi"/>
        </w:rPr>
        <w:t xml:space="preserve"> </w:t>
      </w:r>
      <w:r w:rsidR="004F0578">
        <w:rPr>
          <w:rFonts w:eastAsia="Times New Roman" w:cstheme="minorHAnsi"/>
        </w:rPr>
        <w:t xml:space="preserve">pro-capite) alle prestazioni di specialistica ambulatoriale, incluse quelle di pronto soccorso.  </w:t>
      </w:r>
      <w:r w:rsidR="0096003B">
        <w:rPr>
          <w:rFonts w:eastAsia="Times New Roman" w:cstheme="minorHAnsi"/>
        </w:rPr>
        <w:t>L</w:t>
      </w:r>
      <w:r w:rsidR="0096003B" w:rsidRPr="0096003B">
        <w:rPr>
          <w:rFonts w:eastAsia="Times New Roman" w:cstheme="minorHAnsi"/>
        </w:rPr>
        <w:t>’entità della compartecipazione alla spesa nel periodo 2014-2017 si è mantenuto costante</w:t>
      </w:r>
      <w:r w:rsidR="0096003B">
        <w:rPr>
          <w:rFonts w:eastAsia="Times New Roman" w:cstheme="minorHAnsi"/>
        </w:rPr>
        <w:t xml:space="preserve"> ma</w:t>
      </w:r>
      <w:r w:rsidR="00666CF5">
        <w:rPr>
          <w:rFonts w:eastAsia="Times New Roman" w:cstheme="minorHAnsi"/>
        </w:rPr>
        <w:t>,</w:t>
      </w:r>
      <w:r w:rsidR="0096003B" w:rsidRPr="0096003B">
        <w:rPr>
          <w:rFonts w:eastAsia="Times New Roman" w:cstheme="minorHAnsi"/>
        </w:rPr>
        <w:t xml:space="preserve"> se nel 2014 la spesa per farmaci e </w:t>
      </w:r>
      <w:r w:rsidR="0096003B">
        <w:rPr>
          <w:rFonts w:eastAsia="Times New Roman" w:cstheme="minorHAnsi"/>
        </w:rPr>
        <w:t>prestazioni specialistiche</w:t>
      </w:r>
      <w:r w:rsidR="0096003B" w:rsidRPr="0096003B">
        <w:rPr>
          <w:rFonts w:eastAsia="Times New Roman" w:cstheme="minorHAnsi"/>
        </w:rPr>
        <w:t xml:space="preserve"> erano sovrapponibili, negli anni successivi si </w:t>
      </w:r>
      <w:r w:rsidR="0096003B">
        <w:rPr>
          <w:rFonts w:eastAsia="Times New Roman" w:cstheme="minorHAnsi"/>
        </w:rPr>
        <w:t>è ridotta</w:t>
      </w:r>
      <w:r w:rsidR="0096003B" w:rsidRPr="0096003B">
        <w:rPr>
          <w:rFonts w:eastAsia="Times New Roman" w:cstheme="minorHAnsi"/>
        </w:rPr>
        <w:t xml:space="preserve"> la spesa per i ticket sulle prestazioni (-7,7%) ed </w:t>
      </w:r>
      <w:r w:rsidR="0096003B">
        <w:rPr>
          <w:rFonts w:eastAsia="Times New Roman" w:cstheme="minorHAnsi"/>
        </w:rPr>
        <w:t>è aumentata</w:t>
      </w:r>
      <w:r w:rsidR="0096003B" w:rsidRPr="0096003B">
        <w:rPr>
          <w:rFonts w:eastAsia="Times New Roman" w:cstheme="minorHAnsi"/>
        </w:rPr>
        <w:t xml:space="preserve"> quella per i ticket sui farmaci (+7,9%)</w:t>
      </w:r>
      <w:r w:rsidR="00666CF5">
        <w:rPr>
          <w:rFonts w:eastAsia="Times New Roman" w:cstheme="minorHAnsi"/>
        </w:rPr>
        <w:t>.</w:t>
      </w:r>
    </w:p>
    <w:p w:rsidR="002E0F88" w:rsidRDefault="00657085" w:rsidP="002E0F88">
      <w:r>
        <w:t>«</w:t>
      </w:r>
      <w:r w:rsidR="00423B3B">
        <w:t>Dalle nostre analisi</w:t>
      </w:r>
      <w:r w:rsidR="000202BF">
        <w:t xml:space="preserve"> </w:t>
      </w:r>
      <w:r w:rsidR="004F0578">
        <w:t>emergono notevoli differenze regionali</w:t>
      </w:r>
      <w:r w:rsidR="00423B3B" w:rsidRPr="00423B3B">
        <w:t xml:space="preserve"> </w:t>
      </w:r>
      <w:r w:rsidR="00423B3B">
        <w:t xml:space="preserve">– puntualizza il Presidente – </w:t>
      </w:r>
      <w:r w:rsidR="004F0578">
        <w:t xml:space="preserve"> </w:t>
      </w:r>
      <w:r w:rsidR="00423B3B">
        <w:t xml:space="preserve">rispetto </w:t>
      </w:r>
      <w:r w:rsidR="004F0578">
        <w:t xml:space="preserve">sia all’importo totale della compartecipazione alla spesa, sia </w:t>
      </w:r>
      <w:r w:rsidR="00423B3B">
        <w:t xml:space="preserve">alla </w:t>
      </w:r>
      <w:r w:rsidR="004F0578">
        <w:t>ripartizione tra farmaci e prestazioni specialistiche</w:t>
      </w:r>
      <w:r w:rsidRPr="00B20DA5">
        <w:rPr>
          <w:color w:val="000000" w:themeColor="text1"/>
        </w:rPr>
        <w:t>»</w:t>
      </w:r>
      <w:r>
        <w:t>.</w:t>
      </w:r>
      <w:r w:rsidR="00455F5E">
        <w:t xml:space="preserve"> </w:t>
      </w:r>
      <w:r w:rsidR="004F0578">
        <w:t>In</w:t>
      </w:r>
      <w:r w:rsidR="004420B7">
        <w:t xml:space="preserve"> particolare</w:t>
      </w:r>
      <w:r w:rsidR="004F0578">
        <w:t xml:space="preserve">, se </w:t>
      </w:r>
      <w:r w:rsidR="00423B3B">
        <w:t>il range del</w:t>
      </w:r>
      <w:r w:rsidR="004F0578">
        <w:t xml:space="preserve">la quota pro-capite totale per i ticket oscilla da € </w:t>
      </w:r>
      <w:r w:rsidR="00C43A0C">
        <w:t>97,7</w:t>
      </w:r>
      <w:r w:rsidR="004F0578">
        <w:t xml:space="preserve"> </w:t>
      </w:r>
      <w:r w:rsidR="004420B7">
        <w:t xml:space="preserve">in </w:t>
      </w:r>
      <w:r w:rsidR="004F0578">
        <w:t xml:space="preserve">Valle d’Aosta a € 30,4 </w:t>
      </w:r>
      <w:r w:rsidR="004420B7">
        <w:t xml:space="preserve">in </w:t>
      </w:r>
      <w:r w:rsidR="004F0578">
        <w:t xml:space="preserve">Sardegna, per i farmaci varia da € </w:t>
      </w:r>
      <w:r w:rsidR="00C43A0C">
        <w:t>34,3</w:t>
      </w:r>
      <w:r w:rsidR="004F0578">
        <w:t xml:space="preserve"> in Campania a € </w:t>
      </w:r>
      <w:r w:rsidR="00C43A0C">
        <w:t>15,6</w:t>
      </w:r>
      <w:r w:rsidR="004F0578">
        <w:t xml:space="preserve"> in Friuli Venezia Giulia, mentre per le prestazioni specialistiche si va da </w:t>
      </w:r>
      <w:r w:rsidR="00481D22">
        <w:t xml:space="preserve">€ </w:t>
      </w:r>
      <w:r w:rsidR="004F0578">
        <w:t>66,2 della Valle d’Aosta a € 8,6 della Sicilia.</w:t>
      </w:r>
    </w:p>
    <w:p w:rsidR="008C4A1C" w:rsidRPr="00C767A4" w:rsidRDefault="008C4A1C" w:rsidP="00C41825">
      <w:pPr>
        <w:rPr>
          <w:rFonts w:eastAsia="Times New Roman" w:cstheme="minorHAnsi"/>
        </w:rPr>
      </w:pPr>
      <w:r>
        <w:t>«</w:t>
      </w:r>
      <w:r w:rsidR="00481D22">
        <w:t xml:space="preserve">Un dato estremamente interessante </w:t>
      </w:r>
      <w:r>
        <w:t xml:space="preserve">– </w:t>
      </w:r>
      <w:r w:rsidR="00481D22">
        <w:t xml:space="preserve">precisa Cartabellotta </w:t>
      </w:r>
      <w:r>
        <w:t>–</w:t>
      </w:r>
      <w:r w:rsidR="00481D22">
        <w:t xml:space="preserve"> </w:t>
      </w:r>
      <w:r w:rsidR="001D79A8">
        <w:t xml:space="preserve">emerge dallo </w:t>
      </w:r>
      <w:r w:rsidR="00481D22">
        <w:t xml:space="preserve">“spacchettamento” </w:t>
      </w:r>
      <w:r w:rsidR="00423B3B">
        <w:t>dei ticket</w:t>
      </w:r>
      <w:r w:rsidR="001D79A8">
        <w:t xml:space="preserve"> </w:t>
      </w:r>
      <w:r w:rsidR="00481D22">
        <w:t xml:space="preserve">sui farmaci, che include la quota fissa per ricetta e la quota differenziale sul prezzo di riferimento </w:t>
      </w:r>
      <w:r w:rsidR="00824CD0">
        <w:t xml:space="preserve">pagata </w:t>
      </w:r>
      <w:r w:rsidR="00BC48CD">
        <w:t xml:space="preserve">dai </w:t>
      </w:r>
      <w:r w:rsidR="00481D22">
        <w:t>cittadini che preferiscono</w:t>
      </w:r>
      <w:r w:rsidR="00423B3B">
        <w:t xml:space="preserve"> </w:t>
      </w:r>
      <w:r w:rsidR="00481D22">
        <w:t xml:space="preserve">il farmaco di marca rispetto </w:t>
      </w:r>
      <w:r w:rsidR="00423B3B">
        <w:t>all’</w:t>
      </w:r>
      <w:r w:rsidR="00481D22">
        <w:t>equivalente</w:t>
      </w:r>
      <w:r w:rsidR="004350BB" w:rsidRPr="00B20DA5">
        <w:rPr>
          <w:color w:val="000000" w:themeColor="text1"/>
        </w:rPr>
        <w:t>»</w:t>
      </w:r>
      <w:r w:rsidR="004350BB">
        <w:t>.</w:t>
      </w:r>
      <w:r w:rsidR="001D79A8">
        <w:t xml:space="preserve"> </w:t>
      </w:r>
      <w:r w:rsidR="004350BB">
        <w:t xml:space="preserve">Infatti, </w:t>
      </w:r>
      <w:r w:rsidR="00BC48CD">
        <w:t xml:space="preserve">nel periodo 2013-2017, </w:t>
      </w:r>
      <w:r w:rsidR="004350BB">
        <w:t>a</w:t>
      </w:r>
      <w:r w:rsidR="00423B3B">
        <w:t xml:space="preserve"> fronte di</w:t>
      </w:r>
      <w:r w:rsidR="004420B7">
        <w:t xml:space="preserve"> una riduzione della </w:t>
      </w:r>
      <w:r w:rsidR="001D79A8">
        <w:t xml:space="preserve">quota fissa </w:t>
      </w:r>
      <w:r w:rsidR="00BC48CD">
        <w:t>da</w:t>
      </w:r>
      <w:r w:rsidR="001D79A8">
        <w:t xml:space="preserve"> </w:t>
      </w:r>
      <w:r w:rsidR="008426A9">
        <w:t xml:space="preserve">€ 558 milioni </w:t>
      </w:r>
      <w:r w:rsidR="00BC48CD">
        <w:t>a</w:t>
      </w:r>
      <w:r w:rsidR="008426A9">
        <w:t xml:space="preserve"> € 49</w:t>
      </w:r>
      <w:r w:rsidR="00123196">
        <w:t>8</w:t>
      </w:r>
      <w:r w:rsidR="00824CD0">
        <w:t xml:space="preserve"> milioni</w:t>
      </w:r>
      <w:r w:rsidR="00824CD0" w:rsidRPr="00824CD0">
        <w:t xml:space="preserve"> </w:t>
      </w:r>
      <w:r w:rsidR="00824CD0" w:rsidRPr="004350BB">
        <w:t>(-11%)</w:t>
      </w:r>
      <w:r w:rsidR="00824CD0">
        <w:t>,</w:t>
      </w:r>
      <w:r w:rsidR="008426A9">
        <w:t xml:space="preserve"> la quota differenziale per acquistare il farmaco di marca è </w:t>
      </w:r>
      <w:r w:rsidR="00423B3B">
        <w:t xml:space="preserve">aumentata </w:t>
      </w:r>
      <w:r w:rsidR="008426A9">
        <w:t>da € 878 milioni a € 1.050</w:t>
      </w:r>
      <w:r w:rsidR="004350BB">
        <w:t xml:space="preserve"> </w:t>
      </w:r>
      <w:r w:rsidR="00824CD0">
        <w:t xml:space="preserve">milioni </w:t>
      </w:r>
      <w:r w:rsidR="004350BB" w:rsidRPr="004350BB">
        <w:t>(+20%)</w:t>
      </w:r>
      <w:r w:rsidR="004350BB">
        <w:t xml:space="preserve">. </w:t>
      </w:r>
    </w:p>
    <w:p w:rsidR="001D79A8" w:rsidRDefault="00481D22" w:rsidP="00E671D3">
      <w:r>
        <w:lastRenderedPageBreak/>
        <w:t xml:space="preserve">In dettaglio, dei € </w:t>
      </w:r>
      <w:r w:rsidR="00C43A0C">
        <w:t>1.549</w:t>
      </w:r>
      <w:r>
        <w:t xml:space="preserve"> milioni sborsati dai cittadini per il ticket sui farmaci, meno di un terzo sono relativi alla quota fissa per ricetta (€ </w:t>
      </w:r>
      <w:r w:rsidR="00C43A0C">
        <w:t>498,4</w:t>
      </w:r>
      <w:r>
        <w:t xml:space="preserve"> milioni </w:t>
      </w:r>
      <w:r w:rsidR="00001697">
        <w:t xml:space="preserve">pari a </w:t>
      </w:r>
      <w:r>
        <w:t xml:space="preserve">€ </w:t>
      </w:r>
      <w:r w:rsidR="00C43A0C">
        <w:t>8,2</w:t>
      </w:r>
      <w:r>
        <w:t xml:space="preserve"> pro-capite), mentre i rimanenti € </w:t>
      </w:r>
      <w:r w:rsidR="00C43A0C">
        <w:t>1.049,6</w:t>
      </w:r>
      <w:r>
        <w:t xml:space="preserve"> milioni (€ </w:t>
      </w:r>
      <w:r w:rsidR="00C43A0C">
        <w:t>17,3</w:t>
      </w:r>
      <w:r>
        <w:t xml:space="preserve"> pro-capite) sono </w:t>
      </w:r>
      <w:r w:rsidR="00001697">
        <w:t>imputabili alla</w:t>
      </w:r>
      <w:r>
        <w:t xml:space="preserve"> scarsa diffusione in Italia dei farmaci equivalenti </w:t>
      </w:r>
      <w:r w:rsidR="003C75E1">
        <w:t>come documenta</w:t>
      </w:r>
      <w:r w:rsidR="00BC48CD">
        <w:t>to</w:t>
      </w:r>
      <w:r w:rsidR="003C75E1">
        <w:t xml:space="preserve"> </w:t>
      </w:r>
      <w:r w:rsidR="00BC48CD">
        <w:t>dal</w:t>
      </w:r>
      <w:r w:rsidR="003C75E1" w:rsidRPr="003C75E1">
        <w:t xml:space="preserve">l’OCSE </w:t>
      </w:r>
      <w:r w:rsidR="003C75E1">
        <w:t xml:space="preserve">che ci </w:t>
      </w:r>
      <w:r w:rsidR="003C75E1" w:rsidRPr="003C75E1">
        <w:t xml:space="preserve">colloca al penultimo posto su 27 paesi sia per valore, sia per volume </w:t>
      </w:r>
      <w:r w:rsidR="003C75E1">
        <w:t xml:space="preserve">del consumo </w:t>
      </w:r>
      <w:r w:rsidR="003C75E1" w:rsidRPr="003C75E1">
        <w:t>degli equivalenti</w:t>
      </w:r>
      <w:r>
        <w:t xml:space="preserve">. </w:t>
      </w:r>
      <w:r w:rsidR="004420B7">
        <w:t xml:space="preserve">Rispetto alla quota fissa per ricetta, non prevista da </w:t>
      </w:r>
      <w:r w:rsidR="001D79A8">
        <w:t>Marche, Sardegna e Friuli Venezia Giulia</w:t>
      </w:r>
      <w:r w:rsidR="004420B7">
        <w:t>,</w:t>
      </w:r>
      <w:r w:rsidR="001D79A8">
        <w:t xml:space="preserve"> </w:t>
      </w:r>
      <w:r w:rsidR="004420B7">
        <w:t xml:space="preserve">il range varia </w:t>
      </w:r>
      <w:r>
        <w:t xml:space="preserve">da € </w:t>
      </w:r>
      <w:r w:rsidR="00C43A0C">
        <w:t>18,3</w:t>
      </w:r>
      <w:r>
        <w:t xml:space="preserve"> </w:t>
      </w:r>
      <w:r w:rsidR="001D79A8">
        <w:t xml:space="preserve">pro-capite </w:t>
      </w:r>
      <w:r>
        <w:t>della Valle d’Aosta a</w:t>
      </w:r>
      <w:r w:rsidR="00001697">
        <w:t xml:space="preserve"> </w:t>
      </w:r>
      <w:r w:rsidR="001D79A8">
        <w:t xml:space="preserve">€ 0,5 del Piemonte. </w:t>
      </w:r>
      <w:r w:rsidR="00001697">
        <w:t>L</w:t>
      </w:r>
      <w:r w:rsidR="001D79A8">
        <w:t xml:space="preserve">a quota differenziale per </w:t>
      </w:r>
      <w:r w:rsidR="00001697">
        <w:t>la scelta del</w:t>
      </w:r>
      <w:r w:rsidR="001D79A8">
        <w:t xml:space="preserve"> farmaco di marca</w:t>
      </w:r>
      <w:r w:rsidR="00001697">
        <w:t xml:space="preserve"> </w:t>
      </w:r>
      <w:r w:rsidR="001D79A8">
        <w:t xml:space="preserve">oscilla </w:t>
      </w:r>
      <w:r w:rsidR="00001697">
        <w:t xml:space="preserve">invece </w:t>
      </w:r>
      <w:r w:rsidR="001D79A8">
        <w:t xml:space="preserve">da € </w:t>
      </w:r>
      <w:r w:rsidR="00C43A0C">
        <w:t xml:space="preserve">22,9 </w:t>
      </w:r>
      <w:r w:rsidR="001D79A8">
        <w:t xml:space="preserve">pro-capite del Lazio a € </w:t>
      </w:r>
      <w:r w:rsidR="00C43A0C">
        <w:t>10,5</w:t>
      </w:r>
      <w:r w:rsidR="001D79A8">
        <w:t xml:space="preserve"> della Provincia di Bolzano. In</w:t>
      </w:r>
      <w:r w:rsidR="004420B7">
        <w:t>teressante rilevare che tutte le Regioni sopra la media nazionale</w:t>
      </w:r>
      <w:r w:rsidR="008B7198">
        <w:t xml:space="preserve"> </w:t>
      </w:r>
      <w:r w:rsidR="004420B7">
        <w:t xml:space="preserve">sono </w:t>
      </w:r>
      <w:r w:rsidR="001D79A8">
        <w:t xml:space="preserve">del centro-sud: </w:t>
      </w:r>
      <w:r w:rsidR="008B7198">
        <w:t xml:space="preserve">, oltre al già citato Lazio, </w:t>
      </w:r>
      <w:r w:rsidR="001D79A8">
        <w:t xml:space="preserve">Sicilia (€ </w:t>
      </w:r>
      <w:r w:rsidR="00C43A0C">
        <w:t>22,1</w:t>
      </w:r>
      <w:r w:rsidR="001D79A8">
        <w:t xml:space="preserve"> pro-capite), Calabria (€ </w:t>
      </w:r>
      <w:r w:rsidR="005B4E45">
        <w:t>21,2</w:t>
      </w:r>
      <w:r w:rsidR="001D79A8">
        <w:t xml:space="preserve">) Basilicata (€ </w:t>
      </w:r>
      <w:r w:rsidR="005B4E45">
        <w:t>21,2</w:t>
      </w:r>
      <w:r w:rsidR="001D79A8">
        <w:t xml:space="preserve">), </w:t>
      </w:r>
      <w:r w:rsidR="005B4E45">
        <w:t xml:space="preserve">Campania (€ 20,9), </w:t>
      </w:r>
      <w:r w:rsidR="001D79A8">
        <w:t xml:space="preserve">Puglia (€ </w:t>
      </w:r>
      <w:r w:rsidR="005B4E45">
        <w:t>20,7</w:t>
      </w:r>
      <w:r w:rsidR="001D79A8">
        <w:t>), Molise</w:t>
      </w:r>
      <w:r w:rsidR="00001697">
        <w:t xml:space="preserve"> </w:t>
      </w:r>
      <w:r w:rsidR="001D79A8">
        <w:t xml:space="preserve">(€ </w:t>
      </w:r>
      <w:r w:rsidR="005B4E45">
        <w:t>20,3</w:t>
      </w:r>
      <w:r w:rsidR="001D79A8">
        <w:t xml:space="preserve">), Abruzzo(€ 19,5), Umbria (€ </w:t>
      </w:r>
      <w:r w:rsidR="005B4E45">
        <w:t>19,5</w:t>
      </w:r>
      <w:r w:rsidR="001D79A8">
        <w:t xml:space="preserve">) e Marche (€ </w:t>
      </w:r>
      <w:r w:rsidR="005B4E45">
        <w:t>18,2</w:t>
      </w:r>
      <w:r w:rsidR="001D79A8">
        <w:t>)</w:t>
      </w:r>
      <w:r w:rsidR="008426A9">
        <w:t>.</w:t>
      </w:r>
    </w:p>
    <w:p w:rsidR="00272FAB" w:rsidRPr="00272FAB" w:rsidRDefault="00272FAB" w:rsidP="00E671D3">
      <w:pPr>
        <w:rPr>
          <w:rFonts w:eastAsia="Times New Roman" w:cstheme="minorHAnsi"/>
        </w:rPr>
      </w:pPr>
      <w:r>
        <w:t xml:space="preserve">«Durante la scorsa legislatura – precisa il Presidente – non è stata effettuata la </w:t>
      </w:r>
      <w:r w:rsidRPr="00343639">
        <w:rPr>
          <w:rFonts w:eastAsia="Times New Roman" w:cstheme="minorHAnsi"/>
        </w:rPr>
        <w:t>revisione dei criteri di compartecipazione alla spesa</w:t>
      </w:r>
      <w:r>
        <w:rPr>
          <w:rFonts w:eastAsia="Times New Roman" w:cstheme="minorHAnsi"/>
        </w:rPr>
        <w:t xml:space="preserve"> </w:t>
      </w:r>
      <w:r w:rsidR="00352BE2">
        <w:rPr>
          <w:rFonts w:eastAsia="Times New Roman" w:cstheme="minorHAnsi"/>
        </w:rPr>
        <w:t xml:space="preserve">prevista </w:t>
      </w:r>
      <w:r>
        <w:t>dal</w:t>
      </w:r>
      <w:r w:rsidRPr="00343639">
        <w:rPr>
          <w:rFonts w:eastAsia="Times New Roman" w:cstheme="minorHAnsi"/>
        </w:rPr>
        <w:t>l’art. 8 de</w:t>
      </w:r>
      <w:r>
        <w:rPr>
          <w:rFonts w:eastAsia="Times New Roman" w:cstheme="minorHAnsi"/>
        </w:rPr>
        <w:t xml:space="preserve">l Patto per la Salute </w:t>
      </w:r>
      <w:r w:rsidR="00352BE2">
        <w:rPr>
          <w:rFonts w:eastAsia="Times New Roman" w:cstheme="minorHAnsi"/>
        </w:rPr>
        <w:t>per</w:t>
      </w:r>
      <w:r>
        <w:rPr>
          <w:rFonts w:eastAsia="Times New Roman" w:cstheme="minorHAnsi"/>
        </w:rPr>
        <w:t xml:space="preserve"> evitare uno</w:t>
      </w:r>
      <w:r w:rsidRPr="000202BF">
        <w:rPr>
          <w:rFonts w:eastAsia="Times New Roman" w:cstheme="minorHAnsi"/>
        </w:rPr>
        <w:t xml:space="preserve"> spos</w:t>
      </w:r>
      <w:r>
        <w:rPr>
          <w:rFonts w:eastAsia="Times New Roman" w:cstheme="minorHAnsi"/>
        </w:rPr>
        <w:t>tamento verso strutture private</w:t>
      </w:r>
      <w:r w:rsidRPr="00BE1D0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 causa di</w:t>
      </w:r>
      <w:r w:rsidRPr="000202BF">
        <w:rPr>
          <w:rFonts w:eastAsia="Times New Roman" w:cstheme="minorHAnsi"/>
        </w:rPr>
        <w:t xml:space="preserve"> ticket troppo elevat</w:t>
      </w:r>
      <w:r>
        <w:rPr>
          <w:rFonts w:eastAsia="Times New Roman" w:cstheme="minorHAnsi"/>
        </w:rPr>
        <w:t xml:space="preserve">i </w:t>
      </w:r>
      <w:r w:rsidRPr="000202BF">
        <w:rPr>
          <w:rFonts w:eastAsia="Times New Roman" w:cstheme="minorHAnsi"/>
        </w:rPr>
        <w:t>per la specialistica</w:t>
      </w:r>
      <w:r w:rsidRPr="00B20DA5">
        <w:rPr>
          <w:color w:val="000000" w:themeColor="text1"/>
        </w:rPr>
        <w:t>»</w:t>
      </w:r>
      <w:r>
        <w:t xml:space="preserve">. </w:t>
      </w:r>
      <w:r>
        <w:rPr>
          <w:rFonts w:eastAsia="Times New Roman" w:cstheme="minorHAnsi"/>
        </w:rPr>
        <w:t xml:space="preserve">Solo con </w:t>
      </w:r>
      <w:r>
        <w:t>la L</w:t>
      </w:r>
      <w:r w:rsidRPr="00455F5E">
        <w:t xml:space="preserve">egge di </w:t>
      </w:r>
      <w:r>
        <w:t>B</w:t>
      </w:r>
      <w:r w:rsidRPr="00455F5E">
        <w:t>ilancio 2018</w:t>
      </w:r>
      <w:r w:rsidRPr="00423B3B">
        <w:t xml:space="preserve"> </w:t>
      </w:r>
      <w:r>
        <w:t xml:space="preserve">sono stati </w:t>
      </w:r>
      <w:r w:rsidRPr="00455F5E">
        <w:t>stanzia</w:t>
      </w:r>
      <w:r>
        <w:t xml:space="preserve">ti </w:t>
      </w:r>
      <w:r w:rsidRPr="00455F5E">
        <w:t>60 milioni</w:t>
      </w:r>
      <w:r>
        <w:t xml:space="preserve"> di euro destinati ad avviare una seppur parziale riduzione del supert</w:t>
      </w:r>
      <w:r w:rsidRPr="00455F5E">
        <w:t>icket</w:t>
      </w:r>
      <w:r>
        <w:t xml:space="preserve"> per la specialistica </w:t>
      </w:r>
      <w:r w:rsidRPr="00455F5E">
        <w:t>ambulatoriale</w:t>
      </w:r>
      <w:r>
        <w:t xml:space="preserve">. Tuttavia, lo </w:t>
      </w:r>
      <w:r w:rsidRPr="00455F5E">
        <w:t xml:space="preserve">schema di decreto per il </w:t>
      </w:r>
      <w:r>
        <w:t xml:space="preserve">loro </w:t>
      </w:r>
      <w:r w:rsidRPr="00455F5E">
        <w:t xml:space="preserve">riparto </w:t>
      </w:r>
      <w:r>
        <w:t xml:space="preserve">non ha ancora acquisito </w:t>
      </w:r>
      <w:r w:rsidRPr="00455F5E">
        <w:t>l’intesa</w:t>
      </w:r>
      <w:r>
        <w:t xml:space="preserve"> della Conferenza Stato-Regi</w:t>
      </w:r>
      <w:r w:rsidRPr="00652002">
        <w:t xml:space="preserve">oni e, </w:t>
      </w:r>
      <w:r>
        <w:t xml:space="preserve">nel frattempo, </w:t>
      </w:r>
      <w:r w:rsidRPr="00652002">
        <w:t>Emilia Romagna, Lombardia e Abruzzo si sono mosse in auton</w:t>
      </w:r>
      <w:r>
        <w:t>omia per ridurre il superticket</w:t>
      </w:r>
      <w:r w:rsidRPr="00652002">
        <w:t>.</w:t>
      </w:r>
    </w:p>
    <w:p w:rsidR="004350BB" w:rsidRDefault="00E31033" w:rsidP="00E671D3">
      <w:r>
        <w:t>«</w:t>
      </w:r>
      <w:r w:rsidR="00352BE2">
        <w:t xml:space="preserve">Considerato che </w:t>
      </w:r>
      <w:r w:rsidR="004350BB">
        <w:t>l</w:t>
      </w:r>
      <w:r w:rsidR="008426A9">
        <w:t xml:space="preserve">a revisione dei criteri di compartecipazione alla spesa </w:t>
      </w:r>
      <w:r>
        <w:t>– conclude Cartabellotta</w:t>
      </w:r>
      <w:r w:rsidR="004E003D">
        <w:t xml:space="preserve"> </w:t>
      </w:r>
      <w:r>
        <w:t>–</w:t>
      </w:r>
      <w:r w:rsidR="009F2F35">
        <w:t xml:space="preserve"> </w:t>
      </w:r>
      <w:r w:rsidR="008426A9">
        <w:t xml:space="preserve"> </w:t>
      </w:r>
      <w:r w:rsidR="00652002">
        <w:t xml:space="preserve">rappresenta </w:t>
      </w:r>
      <w:r w:rsidR="008426A9">
        <w:t xml:space="preserve">una priorità per il nuovo Esecutivo, </w:t>
      </w:r>
      <w:r w:rsidR="004350BB" w:rsidRPr="004350BB">
        <w:t xml:space="preserve">le </w:t>
      </w:r>
      <w:r w:rsidR="004350BB">
        <w:t xml:space="preserve">nostre </w:t>
      </w:r>
      <w:r w:rsidR="00BC48CD">
        <w:t xml:space="preserve">analisi </w:t>
      </w:r>
      <w:r w:rsidR="004350BB" w:rsidRPr="004350BB">
        <w:t>dimostrano che le eterogeneità regionali e quelle relative alla tipologia di ticket (farmaci vs prestazioni) richiedono az</w:t>
      </w:r>
      <w:r w:rsidR="004350BB">
        <w:t>ioni</w:t>
      </w:r>
      <w:r w:rsidR="00BC48CD">
        <w:t xml:space="preserve"> differenti</w:t>
      </w:r>
      <w:r w:rsidR="008426A9">
        <w:t xml:space="preserve">. </w:t>
      </w:r>
      <w:r w:rsidR="004350BB" w:rsidRPr="004350BB">
        <w:t xml:space="preserve">Innanzitutto, è indispensabile uniformare a livello nazionale </w:t>
      </w:r>
      <w:r w:rsidR="00BC48CD">
        <w:t xml:space="preserve">i </w:t>
      </w:r>
      <w:r w:rsidR="004350BB" w:rsidRPr="004350BB">
        <w:t xml:space="preserve">criteri per la compartecipazione alla spesa e </w:t>
      </w:r>
      <w:r w:rsidR="00BC48CD">
        <w:t xml:space="preserve">le </w:t>
      </w:r>
      <w:r w:rsidR="004350BB" w:rsidRPr="004350BB">
        <w:t>regole per definire le esenzioni</w:t>
      </w:r>
      <w:r w:rsidR="004350BB">
        <w:t>; i</w:t>
      </w:r>
      <w:r w:rsidR="004350BB" w:rsidRPr="004350BB">
        <w:t>n secondo luogo, anche al fine di ridurre le “fughe” verso il privato</w:t>
      </w:r>
      <w:r w:rsidR="00BC48CD" w:rsidRPr="00BC48CD">
        <w:t xml:space="preserve"> </w:t>
      </w:r>
      <w:r w:rsidR="00BC48CD" w:rsidRPr="004350BB">
        <w:t>pe</w:t>
      </w:r>
      <w:r w:rsidR="00BC48CD">
        <w:t>r le prestazioni specialistiche</w:t>
      </w:r>
      <w:r w:rsidR="004350BB" w:rsidRPr="004350BB">
        <w:t xml:space="preserve">, </w:t>
      </w:r>
      <w:r w:rsidR="00352BE2">
        <w:t>occorre</w:t>
      </w:r>
      <w:r w:rsidR="00352BE2" w:rsidRPr="004350BB">
        <w:t xml:space="preserve"> </w:t>
      </w:r>
      <w:r w:rsidR="004350BB" w:rsidRPr="004350BB">
        <w:t>pervenire ad un definitivo superamento del superticket</w:t>
      </w:r>
      <w:r w:rsidR="004350BB">
        <w:t>; i</w:t>
      </w:r>
      <w:r w:rsidR="004350BB" w:rsidRPr="004350BB">
        <w:t xml:space="preserve">nfine, sono indispensabili </w:t>
      </w:r>
      <w:r w:rsidR="00BC48CD">
        <w:t xml:space="preserve">azioni </w:t>
      </w:r>
      <w:r w:rsidR="004350BB" w:rsidRPr="004350BB">
        <w:t>concrete per aumentare l’ut</w:t>
      </w:r>
      <w:r w:rsidR="00BC48CD">
        <w:t xml:space="preserve">ilizzo dei farmaci equivalenti, </w:t>
      </w:r>
      <w:r w:rsidR="004350BB" w:rsidRPr="004350BB">
        <w:t xml:space="preserve">visto che la preferenza per i farmaci brand oggi “pesa” per oltre </w:t>
      </w:r>
      <w:r w:rsidR="00BC48CD">
        <w:t xml:space="preserve">1/3 </w:t>
      </w:r>
      <w:r w:rsidR="004350BB" w:rsidRPr="004350BB">
        <w:t xml:space="preserve">della cifra totale sborsata dai cittadini per i ticket e per </w:t>
      </w:r>
      <w:r w:rsidR="00BC48CD">
        <w:t>più di</w:t>
      </w:r>
      <w:r w:rsidR="004350BB" w:rsidRPr="004350BB">
        <w:t xml:space="preserve"> 2/3 della </w:t>
      </w:r>
      <w:r w:rsidR="004350BB">
        <w:t>compartecipazione per i farmaci</w:t>
      </w:r>
      <w:r w:rsidRPr="00B20DA5">
        <w:rPr>
          <w:color w:val="000000" w:themeColor="text1"/>
        </w:rPr>
        <w:t>»</w:t>
      </w:r>
      <w:r>
        <w:t>.</w:t>
      </w:r>
    </w:p>
    <w:p w:rsidR="00657085" w:rsidRDefault="00B11C7D" w:rsidP="00391AD2">
      <w:r>
        <w:t xml:space="preserve">Il </w:t>
      </w:r>
      <w:r w:rsidR="00352BE2">
        <w:t xml:space="preserve">report </w:t>
      </w:r>
      <w:r w:rsidR="00652002">
        <w:t xml:space="preserve">dell’Osservatorio </w:t>
      </w:r>
      <w:r w:rsidR="00080E0C">
        <w:t xml:space="preserve">GIMBE </w:t>
      </w:r>
      <w:r w:rsidR="00652002">
        <w:t>“T</w:t>
      </w:r>
      <w:r w:rsidR="00080E0C">
        <w:t>icket 2017</w:t>
      </w:r>
      <w:r w:rsidR="00652002">
        <w:t>”</w:t>
      </w:r>
      <w:r w:rsidR="00080E0C">
        <w:t xml:space="preserve"> è disponibile a</w:t>
      </w:r>
      <w:r>
        <w:t xml:space="preserve">: </w:t>
      </w:r>
      <w:hyperlink r:id="rId9" w:history="1">
        <w:r w:rsidR="00E129B1" w:rsidRPr="00B746D8">
          <w:rPr>
            <w:rStyle w:val="Collegamentoipertestuale"/>
          </w:rPr>
          <w:t>www.gimbe.org/ticket</w:t>
        </w:r>
      </w:hyperlink>
      <w:r w:rsidR="00DE6D16">
        <w:rPr>
          <w:rStyle w:val="Collegamentoipertestuale"/>
        </w:rPr>
        <w:t>2017</w:t>
      </w:r>
      <w:r w:rsidR="005B7A0D">
        <w:t xml:space="preserve"> </w:t>
      </w:r>
    </w:p>
    <w:p w:rsidR="007E5E04" w:rsidRDefault="007E5E04" w:rsidP="00DC2A0C">
      <w:pPr>
        <w:spacing w:after="0"/>
      </w:pP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="00743430" w:rsidRPr="0087215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BE" w:rsidRDefault="007A73BE" w:rsidP="00ED0CFD">
      <w:pPr>
        <w:spacing w:after="0" w:line="240" w:lineRule="auto"/>
      </w:pPr>
      <w:r>
        <w:separator/>
      </w:r>
    </w:p>
  </w:endnote>
  <w:endnote w:type="continuationSeparator" w:id="0">
    <w:p w:rsidR="007A73BE" w:rsidRDefault="007A73BE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BE" w:rsidRDefault="007A73BE" w:rsidP="00ED0CFD">
      <w:pPr>
        <w:spacing w:after="0" w:line="240" w:lineRule="auto"/>
      </w:pPr>
      <w:r>
        <w:separator/>
      </w:r>
    </w:p>
  </w:footnote>
  <w:footnote w:type="continuationSeparator" w:id="0">
    <w:p w:rsidR="007A73BE" w:rsidRDefault="007A73BE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07" w:rsidRPr="00DA4A4F" w:rsidRDefault="00751807" w:rsidP="00DA4A4F">
    <w:pPr>
      <w:jc w:val="center"/>
      <w:rPr>
        <w:rFonts w:ascii="Calibri" w:eastAsia="Calibri" w:hAnsi="Calibri" w:cs="Times New Roman"/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6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 Cottafava">
    <w15:presenceInfo w15:providerId="AD" w15:userId="S-1-5-21-2621246473-3078978095-2341016601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B25"/>
    <w:rsid w:val="00006555"/>
    <w:rsid w:val="00010498"/>
    <w:rsid w:val="0001111C"/>
    <w:rsid w:val="0001384A"/>
    <w:rsid w:val="00013DFA"/>
    <w:rsid w:val="0001439D"/>
    <w:rsid w:val="000151FC"/>
    <w:rsid w:val="00015D8E"/>
    <w:rsid w:val="00017968"/>
    <w:rsid w:val="00017FB4"/>
    <w:rsid w:val="000202BF"/>
    <w:rsid w:val="00020F55"/>
    <w:rsid w:val="00021D7F"/>
    <w:rsid w:val="00023462"/>
    <w:rsid w:val="00023D8A"/>
    <w:rsid w:val="00024DD4"/>
    <w:rsid w:val="00027E3B"/>
    <w:rsid w:val="000314E4"/>
    <w:rsid w:val="000340C1"/>
    <w:rsid w:val="00035404"/>
    <w:rsid w:val="00035633"/>
    <w:rsid w:val="00042141"/>
    <w:rsid w:val="0004410A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D27"/>
    <w:rsid w:val="000602AA"/>
    <w:rsid w:val="00060A59"/>
    <w:rsid w:val="0006440E"/>
    <w:rsid w:val="000657A8"/>
    <w:rsid w:val="000662E3"/>
    <w:rsid w:val="00067B8F"/>
    <w:rsid w:val="000707B3"/>
    <w:rsid w:val="00070F64"/>
    <w:rsid w:val="000715A9"/>
    <w:rsid w:val="000718E4"/>
    <w:rsid w:val="00071F0A"/>
    <w:rsid w:val="00071F88"/>
    <w:rsid w:val="00072570"/>
    <w:rsid w:val="0007355C"/>
    <w:rsid w:val="00073870"/>
    <w:rsid w:val="00074788"/>
    <w:rsid w:val="000771A4"/>
    <w:rsid w:val="00080E0C"/>
    <w:rsid w:val="00082EDA"/>
    <w:rsid w:val="000905D1"/>
    <w:rsid w:val="00090A39"/>
    <w:rsid w:val="00090B7E"/>
    <w:rsid w:val="000927C7"/>
    <w:rsid w:val="000935F1"/>
    <w:rsid w:val="00094560"/>
    <w:rsid w:val="000965BE"/>
    <w:rsid w:val="000A05CF"/>
    <w:rsid w:val="000A0FC3"/>
    <w:rsid w:val="000A1367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25AC"/>
    <w:rsid w:val="000D44D4"/>
    <w:rsid w:val="000D5771"/>
    <w:rsid w:val="000D5893"/>
    <w:rsid w:val="000D7252"/>
    <w:rsid w:val="000E2E4F"/>
    <w:rsid w:val="000E4E47"/>
    <w:rsid w:val="000E7CC2"/>
    <w:rsid w:val="000F0BBD"/>
    <w:rsid w:val="000F10F8"/>
    <w:rsid w:val="000F39EF"/>
    <w:rsid w:val="000F5C0F"/>
    <w:rsid w:val="0010059E"/>
    <w:rsid w:val="0010173D"/>
    <w:rsid w:val="001033BE"/>
    <w:rsid w:val="00107096"/>
    <w:rsid w:val="0011205F"/>
    <w:rsid w:val="001139A6"/>
    <w:rsid w:val="00113D4A"/>
    <w:rsid w:val="00113F3C"/>
    <w:rsid w:val="00115344"/>
    <w:rsid w:val="001167D9"/>
    <w:rsid w:val="00123196"/>
    <w:rsid w:val="00123378"/>
    <w:rsid w:val="00125C6A"/>
    <w:rsid w:val="001262A5"/>
    <w:rsid w:val="001317CF"/>
    <w:rsid w:val="001329EC"/>
    <w:rsid w:val="00134C8C"/>
    <w:rsid w:val="00143689"/>
    <w:rsid w:val="00143A68"/>
    <w:rsid w:val="00144408"/>
    <w:rsid w:val="001446A5"/>
    <w:rsid w:val="00144F94"/>
    <w:rsid w:val="001458FE"/>
    <w:rsid w:val="00145BA6"/>
    <w:rsid w:val="001471AF"/>
    <w:rsid w:val="00150EF3"/>
    <w:rsid w:val="0015229D"/>
    <w:rsid w:val="00153328"/>
    <w:rsid w:val="0015377E"/>
    <w:rsid w:val="00156B19"/>
    <w:rsid w:val="001608BE"/>
    <w:rsid w:val="00162FBC"/>
    <w:rsid w:val="0016375C"/>
    <w:rsid w:val="001654A5"/>
    <w:rsid w:val="00170760"/>
    <w:rsid w:val="0017089E"/>
    <w:rsid w:val="00170B46"/>
    <w:rsid w:val="00171767"/>
    <w:rsid w:val="00173764"/>
    <w:rsid w:val="0017405D"/>
    <w:rsid w:val="001748BA"/>
    <w:rsid w:val="00183DFD"/>
    <w:rsid w:val="00191F59"/>
    <w:rsid w:val="00192DAD"/>
    <w:rsid w:val="00192F75"/>
    <w:rsid w:val="00193B5E"/>
    <w:rsid w:val="00193F19"/>
    <w:rsid w:val="001A3E0D"/>
    <w:rsid w:val="001A3E96"/>
    <w:rsid w:val="001A6181"/>
    <w:rsid w:val="001B39C4"/>
    <w:rsid w:val="001C00F9"/>
    <w:rsid w:val="001C48AA"/>
    <w:rsid w:val="001C51E2"/>
    <w:rsid w:val="001C60EA"/>
    <w:rsid w:val="001C611E"/>
    <w:rsid w:val="001C6D0F"/>
    <w:rsid w:val="001C7F98"/>
    <w:rsid w:val="001D04DB"/>
    <w:rsid w:val="001D0E41"/>
    <w:rsid w:val="001D153D"/>
    <w:rsid w:val="001D19F1"/>
    <w:rsid w:val="001D3E45"/>
    <w:rsid w:val="001D4CE8"/>
    <w:rsid w:val="001D79A8"/>
    <w:rsid w:val="001E0E42"/>
    <w:rsid w:val="001E2726"/>
    <w:rsid w:val="001E5245"/>
    <w:rsid w:val="001E6902"/>
    <w:rsid w:val="001E6CBA"/>
    <w:rsid w:val="001F1C35"/>
    <w:rsid w:val="001F20B8"/>
    <w:rsid w:val="00201481"/>
    <w:rsid w:val="002020DB"/>
    <w:rsid w:val="00202A01"/>
    <w:rsid w:val="0020435A"/>
    <w:rsid w:val="002056E1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158D6"/>
    <w:rsid w:val="002206B0"/>
    <w:rsid w:val="00223C4D"/>
    <w:rsid w:val="00223F01"/>
    <w:rsid w:val="00224E88"/>
    <w:rsid w:val="00226406"/>
    <w:rsid w:val="00232C0A"/>
    <w:rsid w:val="00233EF5"/>
    <w:rsid w:val="002349C3"/>
    <w:rsid w:val="0023771D"/>
    <w:rsid w:val="00241AB7"/>
    <w:rsid w:val="00241CF7"/>
    <w:rsid w:val="00241E9C"/>
    <w:rsid w:val="00242077"/>
    <w:rsid w:val="00244FA4"/>
    <w:rsid w:val="0025050F"/>
    <w:rsid w:val="0025076D"/>
    <w:rsid w:val="0025100A"/>
    <w:rsid w:val="00251AC2"/>
    <w:rsid w:val="002551A1"/>
    <w:rsid w:val="002616ED"/>
    <w:rsid w:val="0026358E"/>
    <w:rsid w:val="00265B05"/>
    <w:rsid w:val="00266561"/>
    <w:rsid w:val="00266D0D"/>
    <w:rsid w:val="00266E0C"/>
    <w:rsid w:val="00266E1A"/>
    <w:rsid w:val="00271105"/>
    <w:rsid w:val="002723FC"/>
    <w:rsid w:val="002726D7"/>
    <w:rsid w:val="00272C42"/>
    <w:rsid w:val="00272D7A"/>
    <w:rsid w:val="00272FAB"/>
    <w:rsid w:val="0027468B"/>
    <w:rsid w:val="00276B9E"/>
    <w:rsid w:val="00277114"/>
    <w:rsid w:val="00282655"/>
    <w:rsid w:val="00282DAE"/>
    <w:rsid w:val="00287105"/>
    <w:rsid w:val="00291602"/>
    <w:rsid w:val="00292151"/>
    <w:rsid w:val="0029392F"/>
    <w:rsid w:val="00294338"/>
    <w:rsid w:val="00297583"/>
    <w:rsid w:val="002A2034"/>
    <w:rsid w:val="002A3232"/>
    <w:rsid w:val="002A3B41"/>
    <w:rsid w:val="002A51D6"/>
    <w:rsid w:val="002B12E6"/>
    <w:rsid w:val="002B1329"/>
    <w:rsid w:val="002B7295"/>
    <w:rsid w:val="002B7C26"/>
    <w:rsid w:val="002B7F03"/>
    <w:rsid w:val="002C0B56"/>
    <w:rsid w:val="002C0B93"/>
    <w:rsid w:val="002C0F1B"/>
    <w:rsid w:val="002C3123"/>
    <w:rsid w:val="002C433C"/>
    <w:rsid w:val="002C4FFE"/>
    <w:rsid w:val="002C5187"/>
    <w:rsid w:val="002C5517"/>
    <w:rsid w:val="002D1A9D"/>
    <w:rsid w:val="002D1D66"/>
    <w:rsid w:val="002D2C39"/>
    <w:rsid w:val="002D3092"/>
    <w:rsid w:val="002D3B2F"/>
    <w:rsid w:val="002D4D2D"/>
    <w:rsid w:val="002D61E1"/>
    <w:rsid w:val="002D7409"/>
    <w:rsid w:val="002E0F88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1EA6"/>
    <w:rsid w:val="00305113"/>
    <w:rsid w:val="003059C3"/>
    <w:rsid w:val="00305B3F"/>
    <w:rsid w:val="00310511"/>
    <w:rsid w:val="00310654"/>
    <w:rsid w:val="00313AD1"/>
    <w:rsid w:val="00315407"/>
    <w:rsid w:val="00315734"/>
    <w:rsid w:val="00315E74"/>
    <w:rsid w:val="0031648A"/>
    <w:rsid w:val="00316F39"/>
    <w:rsid w:val="0031755E"/>
    <w:rsid w:val="00321C3D"/>
    <w:rsid w:val="00323A55"/>
    <w:rsid w:val="003257BC"/>
    <w:rsid w:val="00325A97"/>
    <w:rsid w:val="00325E98"/>
    <w:rsid w:val="003268D1"/>
    <w:rsid w:val="00327AF0"/>
    <w:rsid w:val="00331B49"/>
    <w:rsid w:val="00331F29"/>
    <w:rsid w:val="00332812"/>
    <w:rsid w:val="00333A1D"/>
    <w:rsid w:val="00333B9B"/>
    <w:rsid w:val="0033460B"/>
    <w:rsid w:val="00334F92"/>
    <w:rsid w:val="0033752D"/>
    <w:rsid w:val="00341F1E"/>
    <w:rsid w:val="00341F7E"/>
    <w:rsid w:val="0034291E"/>
    <w:rsid w:val="00343639"/>
    <w:rsid w:val="00344C5E"/>
    <w:rsid w:val="003456F8"/>
    <w:rsid w:val="00347675"/>
    <w:rsid w:val="00347BD4"/>
    <w:rsid w:val="00347CD5"/>
    <w:rsid w:val="00350B80"/>
    <w:rsid w:val="00351462"/>
    <w:rsid w:val="00352BE2"/>
    <w:rsid w:val="00353E36"/>
    <w:rsid w:val="003554E0"/>
    <w:rsid w:val="00355DBF"/>
    <w:rsid w:val="003563F4"/>
    <w:rsid w:val="003576FF"/>
    <w:rsid w:val="00357F80"/>
    <w:rsid w:val="0036304D"/>
    <w:rsid w:val="003631B2"/>
    <w:rsid w:val="00363764"/>
    <w:rsid w:val="0036462F"/>
    <w:rsid w:val="00364E32"/>
    <w:rsid w:val="003653A3"/>
    <w:rsid w:val="00365753"/>
    <w:rsid w:val="00367A4B"/>
    <w:rsid w:val="00370768"/>
    <w:rsid w:val="00380A73"/>
    <w:rsid w:val="00382F29"/>
    <w:rsid w:val="00384AF1"/>
    <w:rsid w:val="00385A79"/>
    <w:rsid w:val="00386385"/>
    <w:rsid w:val="00386FD8"/>
    <w:rsid w:val="00387555"/>
    <w:rsid w:val="0039006E"/>
    <w:rsid w:val="00391AD2"/>
    <w:rsid w:val="00393B9D"/>
    <w:rsid w:val="00394823"/>
    <w:rsid w:val="003955A0"/>
    <w:rsid w:val="003978DA"/>
    <w:rsid w:val="003A0A46"/>
    <w:rsid w:val="003A13B4"/>
    <w:rsid w:val="003A25F6"/>
    <w:rsid w:val="003A72AE"/>
    <w:rsid w:val="003A7632"/>
    <w:rsid w:val="003A7E5F"/>
    <w:rsid w:val="003B3381"/>
    <w:rsid w:val="003B4A8D"/>
    <w:rsid w:val="003B5D7A"/>
    <w:rsid w:val="003B72C4"/>
    <w:rsid w:val="003C2417"/>
    <w:rsid w:val="003C276B"/>
    <w:rsid w:val="003C3404"/>
    <w:rsid w:val="003C48B6"/>
    <w:rsid w:val="003C75E1"/>
    <w:rsid w:val="003D4318"/>
    <w:rsid w:val="003D66C8"/>
    <w:rsid w:val="003E0375"/>
    <w:rsid w:val="003E2D1E"/>
    <w:rsid w:val="003E4422"/>
    <w:rsid w:val="003E44CA"/>
    <w:rsid w:val="003E4FF7"/>
    <w:rsid w:val="003E6B2B"/>
    <w:rsid w:val="003F1AAC"/>
    <w:rsid w:val="003F1E08"/>
    <w:rsid w:val="003F35EF"/>
    <w:rsid w:val="003F3B35"/>
    <w:rsid w:val="003F470F"/>
    <w:rsid w:val="003F52F6"/>
    <w:rsid w:val="004052B2"/>
    <w:rsid w:val="00405C0C"/>
    <w:rsid w:val="00406018"/>
    <w:rsid w:val="004063A2"/>
    <w:rsid w:val="00412253"/>
    <w:rsid w:val="00414C6F"/>
    <w:rsid w:val="00415770"/>
    <w:rsid w:val="00415FC6"/>
    <w:rsid w:val="0041646F"/>
    <w:rsid w:val="0041674A"/>
    <w:rsid w:val="00423B3B"/>
    <w:rsid w:val="004247AF"/>
    <w:rsid w:val="00425913"/>
    <w:rsid w:val="00430270"/>
    <w:rsid w:val="00434060"/>
    <w:rsid w:val="004350BB"/>
    <w:rsid w:val="00436E44"/>
    <w:rsid w:val="00437569"/>
    <w:rsid w:val="0044012A"/>
    <w:rsid w:val="00440D4A"/>
    <w:rsid w:val="00441D52"/>
    <w:rsid w:val="004420B7"/>
    <w:rsid w:val="00442312"/>
    <w:rsid w:val="00442E37"/>
    <w:rsid w:val="004432F6"/>
    <w:rsid w:val="00446F85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775E"/>
    <w:rsid w:val="00467895"/>
    <w:rsid w:val="0047038B"/>
    <w:rsid w:val="00470740"/>
    <w:rsid w:val="00470D92"/>
    <w:rsid w:val="0047196C"/>
    <w:rsid w:val="0047354E"/>
    <w:rsid w:val="004752D9"/>
    <w:rsid w:val="00475510"/>
    <w:rsid w:val="0047586E"/>
    <w:rsid w:val="00477873"/>
    <w:rsid w:val="00480E9D"/>
    <w:rsid w:val="00481D22"/>
    <w:rsid w:val="00483720"/>
    <w:rsid w:val="0048588A"/>
    <w:rsid w:val="00490397"/>
    <w:rsid w:val="00490692"/>
    <w:rsid w:val="004952D7"/>
    <w:rsid w:val="004955F7"/>
    <w:rsid w:val="00496108"/>
    <w:rsid w:val="004971EA"/>
    <w:rsid w:val="004A07FF"/>
    <w:rsid w:val="004A0830"/>
    <w:rsid w:val="004A0E05"/>
    <w:rsid w:val="004A11C7"/>
    <w:rsid w:val="004A18D7"/>
    <w:rsid w:val="004A1B26"/>
    <w:rsid w:val="004A1BFD"/>
    <w:rsid w:val="004A31D4"/>
    <w:rsid w:val="004A5489"/>
    <w:rsid w:val="004B3935"/>
    <w:rsid w:val="004B4909"/>
    <w:rsid w:val="004B7ACD"/>
    <w:rsid w:val="004C17CB"/>
    <w:rsid w:val="004C2236"/>
    <w:rsid w:val="004C6784"/>
    <w:rsid w:val="004D0248"/>
    <w:rsid w:val="004D0BDF"/>
    <w:rsid w:val="004D3A0B"/>
    <w:rsid w:val="004D469E"/>
    <w:rsid w:val="004D4B67"/>
    <w:rsid w:val="004D5883"/>
    <w:rsid w:val="004E003D"/>
    <w:rsid w:val="004E4BBD"/>
    <w:rsid w:val="004E5018"/>
    <w:rsid w:val="004E5EFE"/>
    <w:rsid w:val="004F0578"/>
    <w:rsid w:val="004F064A"/>
    <w:rsid w:val="004F0FD3"/>
    <w:rsid w:val="004F1688"/>
    <w:rsid w:val="004F3FEB"/>
    <w:rsid w:val="004F69B2"/>
    <w:rsid w:val="004F751C"/>
    <w:rsid w:val="005014CD"/>
    <w:rsid w:val="00501793"/>
    <w:rsid w:val="00505B7D"/>
    <w:rsid w:val="00505BFD"/>
    <w:rsid w:val="00510AA1"/>
    <w:rsid w:val="00511D86"/>
    <w:rsid w:val="00511E6F"/>
    <w:rsid w:val="00512868"/>
    <w:rsid w:val="00512879"/>
    <w:rsid w:val="00517170"/>
    <w:rsid w:val="005203E7"/>
    <w:rsid w:val="005204CB"/>
    <w:rsid w:val="00520DE3"/>
    <w:rsid w:val="00522C6E"/>
    <w:rsid w:val="00524F37"/>
    <w:rsid w:val="00525AEA"/>
    <w:rsid w:val="00525FA8"/>
    <w:rsid w:val="005272D8"/>
    <w:rsid w:val="00530B7D"/>
    <w:rsid w:val="00530BB4"/>
    <w:rsid w:val="00530FB0"/>
    <w:rsid w:val="00531550"/>
    <w:rsid w:val="00531EA2"/>
    <w:rsid w:val="005320A9"/>
    <w:rsid w:val="00532D90"/>
    <w:rsid w:val="00533D48"/>
    <w:rsid w:val="005419E9"/>
    <w:rsid w:val="00541AF9"/>
    <w:rsid w:val="00541DC9"/>
    <w:rsid w:val="00542475"/>
    <w:rsid w:val="005440CF"/>
    <w:rsid w:val="00550ABA"/>
    <w:rsid w:val="00550C9C"/>
    <w:rsid w:val="005516A8"/>
    <w:rsid w:val="00552A16"/>
    <w:rsid w:val="00553691"/>
    <w:rsid w:val="00560786"/>
    <w:rsid w:val="0056268F"/>
    <w:rsid w:val="00563BF8"/>
    <w:rsid w:val="0056476B"/>
    <w:rsid w:val="00565187"/>
    <w:rsid w:val="00565C3C"/>
    <w:rsid w:val="0057085B"/>
    <w:rsid w:val="00570C6B"/>
    <w:rsid w:val="00572C27"/>
    <w:rsid w:val="00572DF6"/>
    <w:rsid w:val="00573388"/>
    <w:rsid w:val="00573AB6"/>
    <w:rsid w:val="005751E5"/>
    <w:rsid w:val="00577D77"/>
    <w:rsid w:val="00580725"/>
    <w:rsid w:val="00586657"/>
    <w:rsid w:val="005869A8"/>
    <w:rsid w:val="00586FDE"/>
    <w:rsid w:val="00587C9B"/>
    <w:rsid w:val="00590E5A"/>
    <w:rsid w:val="00591F4E"/>
    <w:rsid w:val="005932A0"/>
    <w:rsid w:val="005940D1"/>
    <w:rsid w:val="00594E34"/>
    <w:rsid w:val="005A2BB7"/>
    <w:rsid w:val="005A3A8D"/>
    <w:rsid w:val="005A4ADA"/>
    <w:rsid w:val="005A6F2F"/>
    <w:rsid w:val="005B283E"/>
    <w:rsid w:val="005B3A18"/>
    <w:rsid w:val="005B41AA"/>
    <w:rsid w:val="005B4E45"/>
    <w:rsid w:val="005B4F61"/>
    <w:rsid w:val="005B57EF"/>
    <w:rsid w:val="005B678F"/>
    <w:rsid w:val="005B7A0D"/>
    <w:rsid w:val="005C5968"/>
    <w:rsid w:val="005C726D"/>
    <w:rsid w:val="005C7593"/>
    <w:rsid w:val="005C7707"/>
    <w:rsid w:val="005D0B90"/>
    <w:rsid w:val="005D133C"/>
    <w:rsid w:val="005D33D4"/>
    <w:rsid w:val="005D5CF2"/>
    <w:rsid w:val="005D7FCA"/>
    <w:rsid w:val="005E1232"/>
    <w:rsid w:val="005E485F"/>
    <w:rsid w:val="005E548F"/>
    <w:rsid w:val="005F26F4"/>
    <w:rsid w:val="006002AA"/>
    <w:rsid w:val="006007E1"/>
    <w:rsid w:val="006032BF"/>
    <w:rsid w:val="00605C92"/>
    <w:rsid w:val="00606191"/>
    <w:rsid w:val="006068C6"/>
    <w:rsid w:val="00606B8C"/>
    <w:rsid w:val="00611C67"/>
    <w:rsid w:val="00614076"/>
    <w:rsid w:val="00614E5A"/>
    <w:rsid w:val="00616235"/>
    <w:rsid w:val="00617A65"/>
    <w:rsid w:val="00617D4B"/>
    <w:rsid w:val="00620244"/>
    <w:rsid w:val="00620B8A"/>
    <w:rsid w:val="00621D5A"/>
    <w:rsid w:val="0062275E"/>
    <w:rsid w:val="0062554E"/>
    <w:rsid w:val="006258B1"/>
    <w:rsid w:val="00630230"/>
    <w:rsid w:val="00630E03"/>
    <w:rsid w:val="00631233"/>
    <w:rsid w:val="0063197E"/>
    <w:rsid w:val="00633A2F"/>
    <w:rsid w:val="006342E2"/>
    <w:rsid w:val="00636EB6"/>
    <w:rsid w:val="00640B8B"/>
    <w:rsid w:val="006414FA"/>
    <w:rsid w:val="00643E28"/>
    <w:rsid w:val="0064462F"/>
    <w:rsid w:val="00645153"/>
    <w:rsid w:val="00646223"/>
    <w:rsid w:val="00646F8C"/>
    <w:rsid w:val="00650304"/>
    <w:rsid w:val="00650FCC"/>
    <w:rsid w:val="00652002"/>
    <w:rsid w:val="00652695"/>
    <w:rsid w:val="006529FA"/>
    <w:rsid w:val="006535F8"/>
    <w:rsid w:val="00653B45"/>
    <w:rsid w:val="0065498E"/>
    <w:rsid w:val="00657085"/>
    <w:rsid w:val="00660E10"/>
    <w:rsid w:val="00663B7B"/>
    <w:rsid w:val="00663CB0"/>
    <w:rsid w:val="006640FF"/>
    <w:rsid w:val="00666CF5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386F"/>
    <w:rsid w:val="00683FFA"/>
    <w:rsid w:val="0068552E"/>
    <w:rsid w:val="00687427"/>
    <w:rsid w:val="00687C90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46FB"/>
    <w:rsid w:val="006A4CFB"/>
    <w:rsid w:val="006A52B4"/>
    <w:rsid w:val="006A71A2"/>
    <w:rsid w:val="006A74A6"/>
    <w:rsid w:val="006A7D1E"/>
    <w:rsid w:val="006B2505"/>
    <w:rsid w:val="006B4075"/>
    <w:rsid w:val="006B5E7A"/>
    <w:rsid w:val="006B6817"/>
    <w:rsid w:val="006B6956"/>
    <w:rsid w:val="006C09E3"/>
    <w:rsid w:val="006C1110"/>
    <w:rsid w:val="006C2CFA"/>
    <w:rsid w:val="006C41FF"/>
    <w:rsid w:val="006C4E62"/>
    <w:rsid w:val="006C514B"/>
    <w:rsid w:val="006D165F"/>
    <w:rsid w:val="006D30E8"/>
    <w:rsid w:val="006D502F"/>
    <w:rsid w:val="006D5067"/>
    <w:rsid w:val="006D549D"/>
    <w:rsid w:val="006D5AAC"/>
    <w:rsid w:val="006E031B"/>
    <w:rsid w:val="006E19A5"/>
    <w:rsid w:val="006E1EA3"/>
    <w:rsid w:val="006E265E"/>
    <w:rsid w:val="006E27FD"/>
    <w:rsid w:val="006E3A2A"/>
    <w:rsid w:val="006E3EA3"/>
    <w:rsid w:val="006E4DAD"/>
    <w:rsid w:val="006E6CC2"/>
    <w:rsid w:val="006E7D1F"/>
    <w:rsid w:val="006F0C20"/>
    <w:rsid w:val="006F39C8"/>
    <w:rsid w:val="006F41BB"/>
    <w:rsid w:val="006F5C05"/>
    <w:rsid w:val="006F5E1D"/>
    <w:rsid w:val="006F5E63"/>
    <w:rsid w:val="006F6ADA"/>
    <w:rsid w:val="006F707F"/>
    <w:rsid w:val="00701CC2"/>
    <w:rsid w:val="0070382E"/>
    <w:rsid w:val="00704AF2"/>
    <w:rsid w:val="00704F88"/>
    <w:rsid w:val="0070621C"/>
    <w:rsid w:val="00706682"/>
    <w:rsid w:val="00707993"/>
    <w:rsid w:val="0071123A"/>
    <w:rsid w:val="00711E25"/>
    <w:rsid w:val="0071252F"/>
    <w:rsid w:val="00712A2C"/>
    <w:rsid w:val="007138CC"/>
    <w:rsid w:val="0071439B"/>
    <w:rsid w:val="007204A2"/>
    <w:rsid w:val="0072122E"/>
    <w:rsid w:val="00723351"/>
    <w:rsid w:val="00723B85"/>
    <w:rsid w:val="007250A2"/>
    <w:rsid w:val="007257B8"/>
    <w:rsid w:val="007260E1"/>
    <w:rsid w:val="00727A83"/>
    <w:rsid w:val="00727B49"/>
    <w:rsid w:val="0073174A"/>
    <w:rsid w:val="007333BE"/>
    <w:rsid w:val="007335A8"/>
    <w:rsid w:val="00737013"/>
    <w:rsid w:val="0073764E"/>
    <w:rsid w:val="00737DDD"/>
    <w:rsid w:val="00743430"/>
    <w:rsid w:val="00744544"/>
    <w:rsid w:val="00750239"/>
    <w:rsid w:val="0075099D"/>
    <w:rsid w:val="00751807"/>
    <w:rsid w:val="0075219A"/>
    <w:rsid w:val="00756B84"/>
    <w:rsid w:val="00757A75"/>
    <w:rsid w:val="00760136"/>
    <w:rsid w:val="00760496"/>
    <w:rsid w:val="0076053B"/>
    <w:rsid w:val="0076327B"/>
    <w:rsid w:val="00763FB0"/>
    <w:rsid w:val="0077041A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579B"/>
    <w:rsid w:val="007866FF"/>
    <w:rsid w:val="0078737D"/>
    <w:rsid w:val="00790464"/>
    <w:rsid w:val="00792F39"/>
    <w:rsid w:val="007939B6"/>
    <w:rsid w:val="007964C7"/>
    <w:rsid w:val="007A4969"/>
    <w:rsid w:val="007A6D9A"/>
    <w:rsid w:val="007A73BE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3D92"/>
    <w:rsid w:val="007C5420"/>
    <w:rsid w:val="007D1008"/>
    <w:rsid w:val="007D1505"/>
    <w:rsid w:val="007D1B67"/>
    <w:rsid w:val="007D2672"/>
    <w:rsid w:val="007D315D"/>
    <w:rsid w:val="007D4B6B"/>
    <w:rsid w:val="007D62DC"/>
    <w:rsid w:val="007D714C"/>
    <w:rsid w:val="007D7930"/>
    <w:rsid w:val="007E0965"/>
    <w:rsid w:val="007E0BA2"/>
    <w:rsid w:val="007E312F"/>
    <w:rsid w:val="007E45BB"/>
    <w:rsid w:val="007E5E04"/>
    <w:rsid w:val="007E728E"/>
    <w:rsid w:val="007E784C"/>
    <w:rsid w:val="007F130A"/>
    <w:rsid w:val="007F2BD9"/>
    <w:rsid w:val="007F3912"/>
    <w:rsid w:val="007F3D4F"/>
    <w:rsid w:val="007F46C8"/>
    <w:rsid w:val="007F5D18"/>
    <w:rsid w:val="007F7C88"/>
    <w:rsid w:val="00802069"/>
    <w:rsid w:val="008025DC"/>
    <w:rsid w:val="00802B47"/>
    <w:rsid w:val="00802D51"/>
    <w:rsid w:val="00803C62"/>
    <w:rsid w:val="00804056"/>
    <w:rsid w:val="00806EC8"/>
    <w:rsid w:val="008105B4"/>
    <w:rsid w:val="00812D5B"/>
    <w:rsid w:val="00813C6C"/>
    <w:rsid w:val="00814CE9"/>
    <w:rsid w:val="00815D73"/>
    <w:rsid w:val="00815EBF"/>
    <w:rsid w:val="00816569"/>
    <w:rsid w:val="008176D9"/>
    <w:rsid w:val="00821721"/>
    <w:rsid w:val="00823FD5"/>
    <w:rsid w:val="008246EF"/>
    <w:rsid w:val="00824CD0"/>
    <w:rsid w:val="00825BCB"/>
    <w:rsid w:val="0082609D"/>
    <w:rsid w:val="0082651A"/>
    <w:rsid w:val="008268DC"/>
    <w:rsid w:val="008270A6"/>
    <w:rsid w:val="00827BB7"/>
    <w:rsid w:val="0083089C"/>
    <w:rsid w:val="00831276"/>
    <w:rsid w:val="00831988"/>
    <w:rsid w:val="00832233"/>
    <w:rsid w:val="00832BDC"/>
    <w:rsid w:val="0083364D"/>
    <w:rsid w:val="008340F1"/>
    <w:rsid w:val="0083420C"/>
    <w:rsid w:val="00834A4A"/>
    <w:rsid w:val="0083539A"/>
    <w:rsid w:val="0083564F"/>
    <w:rsid w:val="008356C6"/>
    <w:rsid w:val="00835BAF"/>
    <w:rsid w:val="0083673F"/>
    <w:rsid w:val="008403E5"/>
    <w:rsid w:val="008409F8"/>
    <w:rsid w:val="008426A9"/>
    <w:rsid w:val="00844028"/>
    <w:rsid w:val="00844290"/>
    <w:rsid w:val="0084493B"/>
    <w:rsid w:val="00845D51"/>
    <w:rsid w:val="00845E94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64979"/>
    <w:rsid w:val="00864FF7"/>
    <w:rsid w:val="00865069"/>
    <w:rsid w:val="00867113"/>
    <w:rsid w:val="00867AEB"/>
    <w:rsid w:val="008775A4"/>
    <w:rsid w:val="00881122"/>
    <w:rsid w:val="00881AF4"/>
    <w:rsid w:val="00882476"/>
    <w:rsid w:val="008834FE"/>
    <w:rsid w:val="00883BC1"/>
    <w:rsid w:val="00884AE7"/>
    <w:rsid w:val="0088673B"/>
    <w:rsid w:val="008878B8"/>
    <w:rsid w:val="00890405"/>
    <w:rsid w:val="008920DC"/>
    <w:rsid w:val="008956D1"/>
    <w:rsid w:val="008957EF"/>
    <w:rsid w:val="008972B2"/>
    <w:rsid w:val="008976A1"/>
    <w:rsid w:val="008A0E25"/>
    <w:rsid w:val="008A1766"/>
    <w:rsid w:val="008A639D"/>
    <w:rsid w:val="008A7AFF"/>
    <w:rsid w:val="008B1F09"/>
    <w:rsid w:val="008B2BA7"/>
    <w:rsid w:val="008B3494"/>
    <w:rsid w:val="008B505C"/>
    <w:rsid w:val="008B7022"/>
    <w:rsid w:val="008B7198"/>
    <w:rsid w:val="008C08BA"/>
    <w:rsid w:val="008C0A82"/>
    <w:rsid w:val="008C2356"/>
    <w:rsid w:val="008C29D7"/>
    <w:rsid w:val="008C4980"/>
    <w:rsid w:val="008C4A1C"/>
    <w:rsid w:val="008C5798"/>
    <w:rsid w:val="008D06CB"/>
    <w:rsid w:val="008D2BDD"/>
    <w:rsid w:val="008D2CD5"/>
    <w:rsid w:val="008D2EE7"/>
    <w:rsid w:val="008D33F8"/>
    <w:rsid w:val="008D4BC6"/>
    <w:rsid w:val="008D4E8C"/>
    <w:rsid w:val="008E4235"/>
    <w:rsid w:val="008E4AD4"/>
    <w:rsid w:val="008F0D6A"/>
    <w:rsid w:val="008F1906"/>
    <w:rsid w:val="008F1B08"/>
    <w:rsid w:val="008F2550"/>
    <w:rsid w:val="008F2E54"/>
    <w:rsid w:val="008F3B48"/>
    <w:rsid w:val="008F4A94"/>
    <w:rsid w:val="008F52F1"/>
    <w:rsid w:val="008F6563"/>
    <w:rsid w:val="008F6975"/>
    <w:rsid w:val="008F72C4"/>
    <w:rsid w:val="00900A5F"/>
    <w:rsid w:val="00902865"/>
    <w:rsid w:val="00902D10"/>
    <w:rsid w:val="00904E80"/>
    <w:rsid w:val="0090623C"/>
    <w:rsid w:val="00906DD1"/>
    <w:rsid w:val="00912AE4"/>
    <w:rsid w:val="00914310"/>
    <w:rsid w:val="00916F07"/>
    <w:rsid w:val="00916FCB"/>
    <w:rsid w:val="009171F5"/>
    <w:rsid w:val="00917BA0"/>
    <w:rsid w:val="00917D94"/>
    <w:rsid w:val="00920382"/>
    <w:rsid w:val="00920E58"/>
    <w:rsid w:val="00921057"/>
    <w:rsid w:val="00921E42"/>
    <w:rsid w:val="009221E2"/>
    <w:rsid w:val="00923A38"/>
    <w:rsid w:val="00924122"/>
    <w:rsid w:val="009241E0"/>
    <w:rsid w:val="00924583"/>
    <w:rsid w:val="009265E3"/>
    <w:rsid w:val="009269CC"/>
    <w:rsid w:val="00930CCE"/>
    <w:rsid w:val="00931A17"/>
    <w:rsid w:val="00933206"/>
    <w:rsid w:val="009353AC"/>
    <w:rsid w:val="009360C0"/>
    <w:rsid w:val="00936208"/>
    <w:rsid w:val="0093653B"/>
    <w:rsid w:val="00936FF7"/>
    <w:rsid w:val="00937550"/>
    <w:rsid w:val="00945596"/>
    <w:rsid w:val="00946D07"/>
    <w:rsid w:val="00947084"/>
    <w:rsid w:val="00947FBD"/>
    <w:rsid w:val="00952489"/>
    <w:rsid w:val="00954B63"/>
    <w:rsid w:val="00957526"/>
    <w:rsid w:val="00957D24"/>
    <w:rsid w:val="0096002A"/>
    <w:rsid w:val="0096003B"/>
    <w:rsid w:val="009630B4"/>
    <w:rsid w:val="009631A8"/>
    <w:rsid w:val="009650B3"/>
    <w:rsid w:val="00965964"/>
    <w:rsid w:val="0097162D"/>
    <w:rsid w:val="009722DB"/>
    <w:rsid w:val="00973B94"/>
    <w:rsid w:val="00975859"/>
    <w:rsid w:val="00976F80"/>
    <w:rsid w:val="009805F2"/>
    <w:rsid w:val="00981A5E"/>
    <w:rsid w:val="00986052"/>
    <w:rsid w:val="00987C74"/>
    <w:rsid w:val="009905E7"/>
    <w:rsid w:val="00996FA7"/>
    <w:rsid w:val="009A1C97"/>
    <w:rsid w:val="009A2DA3"/>
    <w:rsid w:val="009A3ADF"/>
    <w:rsid w:val="009A662A"/>
    <w:rsid w:val="009A6C03"/>
    <w:rsid w:val="009A7BFF"/>
    <w:rsid w:val="009A7F2E"/>
    <w:rsid w:val="009B0C1D"/>
    <w:rsid w:val="009B2E68"/>
    <w:rsid w:val="009B32CB"/>
    <w:rsid w:val="009B5BF8"/>
    <w:rsid w:val="009C18B3"/>
    <w:rsid w:val="009C1A22"/>
    <w:rsid w:val="009C2C3C"/>
    <w:rsid w:val="009C4BF1"/>
    <w:rsid w:val="009C7037"/>
    <w:rsid w:val="009C7943"/>
    <w:rsid w:val="009D1A5C"/>
    <w:rsid w:val="009D4F4F"/>
    <w:rsid w:val="009D5F17"/>
    <w:rsid w:val="009D6E1C"/>
    <w:rsid w:val="009D7351"/>
    <w:rsid w:val="009D73B8"/>
    <w:rsid w:val="009D7945"/>
    <w:rsid w:val="009E090D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2842"/>
    <w:rsid w:val="009F2CAA"/>
    <w:rsid w:val="009F2F35"/>
    <w:rsid w:val="009F4B17"/>
    <w:rsid w:val="009F4C61"/>
    <w:rsid w:val="009F5683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21946"/>
    <w:rsid w:val="00A237FB"/>
    <w:rsid w:val="00A23E03"/>
    <w:rsid w:val="00A27978"/>
    <w:rsid w:val="00A30449"/>
    <w:rsid w:val="00A35B4A"/>
    <w:rsid w:val="00A364A1"/>
    <w:rsid w:val="00A36649"/>
    <w:rsid w:val="00A36D32"/>
    <w:rsid w:val="00A401BC"/>
    <w:rsid w:val="00A40F25"/>
    <w:rsid w:val="00A44F7D"/>
    <w:rsid w:val="00A470BC"/>
    <w:rsid w:val="00A50C7C"/>
    <w:rsid w:val="00A527F6"/>
    <w:rsid w:val="00A545A7"/>
    <w:rsid w:val="00A579AC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06F"/>
    <w:rsid w:val="00A853FB"/>
    <w:rsid w:val="00A86DA7"/>
    <w:rsid w:val="00A87DF7"/>
    <w:rsid w:val="00A91E49"/>
    <w:rsid w:val="00A9205A"/>
    <w:rsid w:val="00A96450"/>
    <w:rsid w:val="00A96809"/>
    <w:rsid w:val="00AA2509"/>
    <w:rsid w:val="00AA2A57"/>
    <w:rsid w:val="00AA5738"/>
    <w:rsid w:val="00AB0720"/>
    <w:rsid w:val="00AB0FBF"/>
    <w:rsid w:val="00AB114B"/>
    <w:rsid w:val="00AB51F3"/>
    <w:rsid w:val="00AB5A9E"/>
    <w:rsid w:val="00AC18D7"/>
    <w:rsid w:val="00AC2611"/>
    <w:rsid w:val="00AC2E6A"/>
    <w:rsid w:val="00AC5221"/>
    <w:rsid w:val="00AD05A6"/>
    <w:rsid w:val="00AD2810"/>
    <w:rsid w:val="00AD3255"/>
    <w:rsid w:val="00AD436F"/>
    <w:rsid w:val="00AD5FFC"/>
    <w:rsid w:val="00AE0F77"/>
    <w:rsid w:val="00AE4C5E"/>
    <w:rsid w:val="00AE52B8"/>
    <w:rsid w:val="00AE7BCB"/>
    <w:rsid w:val="00AE7C72"/>
    <w:rsid w:val="00AF0726"/>
    <w:rsid w:val="00AF1FBF"/>
    <w:rsid w:val="00AF24B2"/>
    <w:rsid w:val="00AF262F"/>
    <w:rsid w:val="00AF404A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05BD"/>
    <w:rsid w:val="00B11C7D"/>
    <w:rsid w:val="00B11ED7"/>
    <w:rsid w:val="00B12B60"/>
    <w:rsid w:val="00B15995"/>
    <w:rsid w:val="00B16885"/>
    <w:rsid w:val="00B17FF8"/>
    <w:rsid w:val="00B20B9D"/>
    <w:rsid w:val="00B20DA5"/>
    <w:rsid w:val="00B22FEF"/>
    <w:rsid w:val="00B235F7"/>
    <w:rsid w:val="00B2374C"/>
    <w:rsid w:val="00B242B8"/>
    <w:rsid w:val="00B24831"/>
    <w:rsid w:val="00B25A1C"/>
    <w:rsid w:val="00B265A5"/>
    <w:rsid w:val="00B30840"/>
    <w:rsid w:val="00B30A72"/>
    <w:rsid w:val="00B30CF7"/>
    <w:rsid w:val="00B30F3E"/>
    <w:rsid w:val="00B3280B"/>
    <w:rsid w:val="00B34570"/>
    <w:rsid w:val="00B365C9"/>
    <w:rsid w:val="00B36A4E"/>
    <w:rsid w:val="00B375D7"/>
    <w:rsid w:val="00B40BD6"/>
    <w:rsid w:val="00B42671"/>
    <w:rsid w:val="00B42F3A"/>
    <w:rsid w:val="00B43AA7"/>
    <w:rsid w:val="00B43BAA"/>
    <w:rsid w:val="00B4496C"/>
    <w:rsid w:val="00B46F5D"/>
    <w:rsid w:val="00B510D1"/>
    <w:rsid w:val="00B516F4"/>
    <w:rsid w:val="00B52090"/>
    <w:rsid w:val="00B53695"/>
    <w:rsid w:val="00B6021A"/>
    <w:rsid w:val="00B61CD8"/>
    <w:rsid w:val="00B63F07"/>
    <w:rsid w:val="00B63F8B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B01C4"/>
    <w:rsid w:val="00BB1DDF"/>
    <w:rsid w:val="00BB1F05"/>
    <w:rsid w:val="00BB2C30"/>
    <w:rsid w:val="00BB4665"/>
    <w:rsid w:val="00BB4A4E"/>
    <w:rsid w:val="00BB6339"/>
    <w:rsid w:val="00BC0981"/>
    <w:rsid w:val="00BC1CC8"/>
    <w:rsid w:val="00BC2D7C"/>
    <w:rsid w:val="00BC48CD"/>
    <w:rsid w:val="00BD1BA8"/>
    <w:rsid w:val="00BD3529"/>
    <w:rsid w:val="00BD77CC"/>
    <w:rsid w:val="00BE0898"/>
    <w:rsid w:val="00BE0CE0"/>
    <w:rsid w:val="00BE1D03"/>
    <w:rsid w:val="00BE3538"/>
    <w:rsid w:val="00BE4166"/>
    <w:rsid w:val="00BE4EA8"/>
    <w:rsid w:val="00BE56ED"/>
    <w:rsid w:val="00BE684C"/>
    <w:rsid w:val="00BE77A5"/>
    <w:rsid w:val="00BF06C7"/>
    <w:rsid w:val="00BF158F"/>
    <w:rsid w:val="00BF16AA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1019C"/>
    <w:rsid w:val="00C102A5"/>
    <w:rsid w:val="00C10CA2"/>
    <w:rsid w:val="00C1154C"/>
    <w:rsid w:val="00C11CA8"/>
    <w:rsid w:val="00C1502D"/>
    <w:rsid w:val="00C171EF"/>
    <w:rsid w:val="00C17B97"/>
    <w:rsid w:val="00C20338"/>
    <w:rsid w:val="00C2114D"/>
    <w:rsid w:val="00C239D5"/>
    <w:rsid w:val="00C24B34"/>
    <w:rsid w:val="00C33EEC"/>
    <w:rsid w:val="00C343BD"/>
    <w:rsid w:val="00C34966"/>
    <w:rsid w:val="00C35159"/>
    <w:rsid w:val="00C3561A"/>
    <w:rsid w:val="00C36730"/>
    <w:rsid w:val="00C374D4"/>
    <w:rsid w:val="00C37631"/>
    <w:rsid w:val="00C4141D"/>
    <w:rsid w:val="00C41825"/>
    <w:rsid w:val="00C43A0C"/>
    <w:rsid w:val="00C43F45"/>
    <w:rsid w:val="00C46721"/>
    <w:rsid w:val="00C46EC8"/>
    <w:rsid w:val="00C52FF7"/>
    <w:rsid w:val="00C546FF"/>
    <w:rsid w:val="00C54A92"/>
    <w:rsid w:val="00C56178"/>
    <w:rsid w:val="00C573F1"/>
    <w:rsid w:val="00C62B94"/>
    <w:rsid w:val="00C62EE7"/>
    <w:rsid w:val="00C63CEE"/>
    <w:rsid w:val="00C674B4"/>
    <w:rsid w:val="00C70D8D"/>
    <w:rsid w:val="00C72455"/>
    <w:rsid w:val="00C74392"/>
    <w:rsid w:val="00C74422"/>
    <w:rsid w:val="00C75948"/>
    <w:rsid w:val="00C767A4"/>
    <w:rsid w:val="00C76D3F"/>
    <w:rsid w:val="00C777C6"/>
    <w:rsid w:val="00C8337E"/>
    <w:rsid w:val="00C83CDE"/>
    <w:rsid w:val="00C85A02"/>
    <w:rsid w:val="00C8624C"/>
    <w:rsid w:val="00C90E7B"/>
    <w:rsid w:val="00C913DC"/>
    <w:rsid w:val="00C92371"/>
    <w:rsid w:val="00C92B2B"/>
    <w:rsid w:val="00C93F32"/>
    <w:rsid w:val="00C94775"/>
    <w:rsid w:val="00C947A9"/>
    <w:rsid w:val="00C94D3F"/>
    <w:rsid w:val="00C95D73"/>
    <w:rsid w:val="00CA1292"/>
    <w:rsid w:val="00CA2177"/>
    <w:rsid w:val="00CA492E"/>
    <w:rsid w:val="00CA4C09"/>
    <w:rsid w:val="00CA4FA9"/>
    <w:rsid w:val="00CA6DEF"/>
    <w:rsid w:val="00CB09A1"/>
    <w:rsid w:val="00CB146D"/>
    <w:rsid w:val="00CB18E2"/>
    <w:rsid w:val="00CB4302"/>
    <w:rsid w:val="00CB4D1B"/>
    <w:rsid w:val="00CB6CD5"/>
    <w:rsid w:val="00CB79A7"/>
    <w:rsid w:val="00CC1780"/>
    <w:rsid w:val="00CC4A07"/>
    <w:rsid w:val="00CC4F69"/>
    <w:rsid w:val="00CC5D1F"/>
    <w:rsid w:val="00CC64B0"/>
    <w:rsid w:val="00CC7BDF"/>
    <w:rsid w:val="00CD2571"/>
    <w:rsid w:val="00CD671E"/>
    <w:rsid w:val="00CD6AB8"/>
    <w:rsid w:val="00CD6C69"/>
    <w:rsid w:val="00CD770C"/>
    <w:rsid w:val="00CD7ACC"/>
    <w:rsid w:val="00CE13E0"/>
    <w:rsid w:val="00CE202C"/>
    <w:rsid w:val="00CE4A36"/>
    <w:rsid w:val="00CE5BC4"/>
    <w:rsid w:val="00CE5CEA"/>
    <w:rsid w:val="00CE6911"/>
    <w:rsid w:val="00CF1C62"/>
    <w:rsid w:val="00CF38D7"/>
    <w:rsid w:val="00CF540D"/>
    <w:rsid w:val="00CF7D0F"/>
    <w:rsid w:val="00D0086F"/>
    <w:rsid w:val="00D01053"/>
    <w:rsid w:val="00D01B22"/>
    <w:rsid w:val="00D0205F"/>
    <w:rsid w:val="00D02682"/>
    <w:rsid w:val="00D03E15"/>
    <w:rsid w:val="00D05FE2"/>
    <w:rsid w:val="00D06ABF"/>
    <w:rsid w:val="00D07DF0"/>
    <w:rsid w:val="00D13147"/>
    <w:rsid w:val="00D13B9D"/>
    <w:rsid w:val="00D1424F"/>
    <w:rsid w:val="00D14818"/>
    <w:rsid w:val="00D15111"/>
    <w:rsid w:val="00D167ED"/>
    <w:rsid w:val="00D1740B"/>
    <w:rsid w:val="00D20341"/>
    <w:rsid w:val="00D21751"/>
    <w:rsid w:val="00D21F6E"/>
    <w:rsid w:val="00D22CFE"/>
    <w:rsid w:val="00D23A72"/>
    <w:rsid w:val="00D23AB2"/>
    <w:rsid w:val="00D27104"/>
    <w:rsid w:val="00D301D2"/>
    <w:rsid w:val="00D31C1B"/>
    <w:rsid w:val="00D33A1A"/>
    <w:rsid w:val="00D3467B"/>
    <w:rsid w:val="00D34A64"/>
    <w:rsid w:val="00D353A8"/>
    <w:rsid w:val="00D37685"/>
    <w:rsid w:val="00D37882"/>
    <w:rsid w:val="00D40B5C"/>
    <w:rsid w:val="00D41C2B"/>
    <w:rsid w:val="00D42242"/>
    <w:rsid w:val="00D45208"/>
    <w:rsid w:val="00D45568"/>
    <w:rsid w:val="00D51C6E"/>
    <w:rsid w:val="00D609E5"/>
    <w:rsid w:val="00D61986"/>
    <w:rsid w:val="00D61DBD"/>
    <w:rsid w:val="00D636FC"/>
    <w:rsid w:val="00D651BC"/>
    <w:rsid w:val="00D66971"/>
    <w:rsid w:val="00D708B7"/>
    <w:rsid w:val="00D70E8C"/>
    <w:rsid w:val="00D755A7"/>
    <w:rsid w:val="00D77B37"/>
    <w:rsid w:val="00D80173"/>
    <w:rsid w:val="00D823A9"/>
    <w:rsid w:val="00D82903"/>
    <w:rsid w:val="00D831BB"/>
    <w:rsid w:val="00D83FB6"/>
    <w:rsid w:val="00D8687D"/>
    <w:rsid w:val="00D90217"/>
    <w:rsid w:val="00D91D2A"/>
    <w:rsid w:val="00D91F7D"/>
    <w:rsid w:val="00D95224"/>
    <w:rsid w:val="00D95989"/>
    <w:rsid w:val="00D96C89"/>
    <w:rsid w:val="00D96D8D"/>
    <w:rsid w:val="00D97320"/>
    <w:rsid w:val="00DA0BFE"/>
    <w:rsid w:val="00DA1FEC"/>
    <w:rsid w:val="00DA275A"/>
    <w:rsid w:val="00DA4A4F"/>
    <w:rsid w:val="00DA52E8"/>
    <w:rsid w:val="00DA6836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7BB6"/>
    <w:rsid w:val="00DE1F70"/>
    <w:rsid w:val="00DE3150"/>
    <w:rsid w:val="00DE437C"/>
    <w:rsid w:val="00DE5012"/>
    <w:rsid w:val="00DE591C"/>
    <w:rsid w:val="00DE68E0"/>
    <w:rsid w:val="00DE6D16"/>
    <w:rsid w:val="00DF20F8"/>
    <w:rsid w:val="00DF274C"/>
    <w:rsid w:val="00DF2BB6"/>
    <w:rsid w:val="00DF2C50"/>
    <w:rsid w:val="00DF3C21"/>
    <w:rsid w:val="00DF3CD3"/>
    <w:rsid w:val="00DF50F1"/>
    <w:rsid w:val="00DF5824"/>
    <w:rsid w:val="00DF6487"/>
    <w:rsid w:val="00E00E5A"/>
    <w:rsid w:val="00E011B1"/>
    <w:rsid w:val="00E0203D"/>
    <w:rsid w:val="00E0255C"/>
    <w:rsid w:val="00E034C8"/>
    <w:rsid w:val="00E03634"/>
    <w:rsid w:val="00E04093"/>
    <w:rsid w:val="00E102BB"/>
    <w:rsid w:val="00E102ED"/>
    <w:rsid w:val="00E126E0"/>
    <w:rsid w:val="00E129B1"/>
    <w:rsid w:val="00E146FE"/>
    <w:rsid w:val="00E1501D"/>
    <w:rsid w:val="00E1655E"/>
    <w:rsid w:val="00E17D68"/>
    <w:rsid w:val="00E21DED"/>
    <w:rsid w:val="00E22F11"/>
    <w:rsid w:val="00E24AD4"/>
    <w:rsid w:val="00E25FA6"/>
    <w:rsid w:val="00E26262"/>
    <w:rsid w:val="00E263F2"/>
    <w:rsid w:val="00E27B21"/>
    <w:rsid w:val="00E27E4C"/>
    <w:rsid w:val="00E301EE"/>
    <w:rsid w:val="00E3042A"/>
    <w:rsid w:val="00E31033"/>
    <w:rsid w:val="00E33ACC"/>
    <w:rsid w:val="00E36BE2"/>
    <w:rsid w:val="00E36EA7"/>
    <w:rsid w:val="00E36F73"/>
    <w:rsid w:val="00E3755B"/>
    <w:rsid w:val="00E37CC9"/>
    <w:rsid w:val="00E43930"/>
    <w:rsid w:val="00E44DE1"/>
    <w:rsid w:val="00E44E3C"/>
    <w:rsid w:val="00E45CD7"/>
    <w:rsid w:val="00E4759B"/>
    <w:rsid w:val="00E51A3D"/>
    <w:rsid w:val="00E53229"/>
    <w:rsid w:val="00E53F46"/>
    <w:rsid w:val="00E544CF"/>
    <w:rsid w:val="00E5485A"/>
    <w:rsid w:val="00E5649C"/>
    <w:rsid w:val="00E568E1"/>
    <w:rsid w:val="00E56BB8"/>
    <w:rsid w:val="00E574FC"/>
    <w:rsid w:val="00E60695"/>
    <w:rsid w:val="00E6090C"/>
    <w:rsid w:val="00E60FC1"/>
    <w:rsid w:val="00E61043"/>
    <w:rsid w:val="00E61CF3"/>
    <w:rsid w:val="00E61E4D"/>
    <w:rsid w:val="00E63C04"/>
    <w:rsid w:val="00E6515F"/>
    <w:rsid w:val="00E65AAE"/>
    <w:rsid w:val="00E65BF2"/>
    <w:rsid w:val="00E671D3"/>
    <w:rsid w:val="00E67592"/>
    <w:rsid w:val="00E67D85"/>
    <w:rsid w:val="00E72160"/>
    <w:rsid w:val="00E73406"/>
    <w:rsid w:val="00E75B91"/>
    <w:rsid w:val="00E76BC5"/>
    <w:rsid w:val="00E7781F"/>
    <w:rsid w:val="00E824FD"/>
    <w:rsid w:val="00E83879"/>
    <w:rsid w:val="00E83949"/>
    <w:rsid w:val="00E8596C"/>
    <w:rsid w:val="00E865C0"/>
    <w:rsid w:val="00E87C2E"/>
    <w:rsid w:val="00E900AF"/>
    <w:rsid w:val="00E90ADB"/>
    <w:rsid w:val="00E93334"/>
    <w:rsid w:val="00E9460D"/>
    <w:rsid w:val="00E94FC2"/>
    <w:rsid w:val="00E95C92"/>
    <w:rsid w:val="00E9631B"/>
    <w:rsid w:val="00E964EE"/>
    <w:rsid w:val="00E97CC8"/>
    <w:rsid w:val="00EA129E"/>
    <w:rsid w:val="00EA2570"/>
    <w:rsid w:val="00EA37A2"/>
    <w:rsid w:val="00EA39DF"/>
    <w:rsid w:val="00EA3C71"/>
    <w:rsid w:val="00EA43BE"/>
    <w:rsid w:val="00EA5DD7"/>
    <w:rsid w:val="00EA69D4"/>
    <w:rsid w:val="00EB0134"/>
    <w:rsid w:val="00EB14C9"/>
    <w:rsid w:val="00EB1723"/>
    <w:rsid w:val="00EB2C5F"/>
    <w:rsid w:val="00EB32CE"/>
    <w:rsid w:val="00EB33E2"/>
    <w:rsid w:val="00EC1E91"/>
    <w:rsid w:val="00EC3A18"/>
    <w:rsid w:val="00EC55CB"/>
    <w:rsid w:val="00EC5C09"/>
    <w:rsid w:val="00ED073D"/>
    <w:rsid w:val="00ED07ED"/>
    <w:rsid w:val="00ED0CFD"/>
    <w:rsid w:val="00ED264A"/>
    <w:rsid w:val="00ED26C2"/>
    <w:rsid w:val="00ED748B"/>
    <w:rsid w:val="00EE1CAB"/>
    <w:rsid w:val="00EE4C7B"/>
    <w:rsid w:val="00EE6DB9"/>
    <w:rsid w:val="00EE7508"/>
    <w:rsid w:val="00EE7DFC"/>
    <w:rsid w:val="00EE7F9E"/>
    <w:rsid w:val="00EF00F9"/>
    <w:rsid w:val="00EF462D"/>
    <w:rsid w:val="00EF4908"/>
    <w:rsid w:val="00EF5B96"/>
    <w:rsid w:val="00EF62C6"/>
    <w:rsid w:val="00EF67C4"/>
    <w:rsid w:val="00F00618"/>
    <w:rsid w:val="00F01ED5"/>
    <w:rsid w:val="00F030E1"/>
    <w:rsid w:val="00F1028E"/>
    <w:rsid w:val="00F10350"/>
    <w:rsid w:val="00F11576"/>
    <w:rsid w:val="00F115AA"/>
    <w:rsid w:val="00F117D2"/>
    <w:rsid w:val="00F12784"/>
    <w:rsid w:val="00F12BB1"/>
    <w:rsid w:val="00F12BCE"/>
    <w:rsid w:val="00F16B41"/>
    <w:rsid w:val="00F17700"/>
    <w:rsid w:val="00F2429D"/>
    <w:rsid w:val="00F245C8"/>
    <w:rsid w:val="00F275D7"/>
    <w:rsid w:val="00F27A45"/>
    <w:rsid w:val="00F3173A"/>
    <w:rsid w:val="00F318E1"/>
    <w:rsid w:val="00F320EE"/>
    <w:rsid w:val="00F33B5B"/>
    <w:rsid w:val="00F34775"/>
    <w:rsid w:val="00F35090"/>
    <w:rsid w:val="00F36DEA"/>
    <w:rsid w:val="00F374D0"/>
    <w:rsid w:val="00F4050E"/>
    <w:rsid w:val="00F4071A"/>
    <w:rsid w:val="00F41283"/>
    <w:rsid w:val="00F416C6"/>
    <w:rsid w:val="00F4406F"/>
    <w:rsid w:val="00F61203"/>
    <w:rsid w:val="00F61E47"/>
    <w:rsid w:val="00F61E7A"/>
    <w:rsid w:val="00F633AD"/>
    <w:rsid w:val="00F6436F"/>
    <w:rsid w:val="00F6596E"/>
    <w:rsid w:val="00F6678B"/>
    <w:rsid w:val="00F6679F"/>
    <w:rsid w:val="00F67569"/>
    <w:rsid w:val="00F67CAA"/>
    <w:rsid w:val="00F71577"/>
    <w:rsid w:val="00F71EE1"/>
    <w:rsid w:val="00F72CF5"/>
    <w:rsid w:val="00F72F47"/>
    <w:rsid w:val="00F75017"/>
    <w:rsid w:val="00F76C82"/>
    <w:rsid w:val="00F80495"/>
    <w:rsid w:val="00F81A00"/>
    <w:rsid w:val="00F82796"/>
    <w:rsid w:val="00F83A61"/>
    <w:rsid w:val="00F86243"/>
    <w:rsid w:val="00F87942"/>
    <w:rsid w:val="00F907E3"/>
    <w:rsid w:val="00F92B36"/>
    <w:rsid w:val="00F93802"/>
    <w:rsid w:val="00F948AD"/>
    <w:rsid w:val="00F95A25"/>
    <w:rsid w:val="00F962FB"/>
    <w:rsid w:val="00FA028D"/>
    <w:rsid w:val="00FA1D06"/>
    <w:rsid w:val="00FA320D"/>
    <w:rsid w:val="00FA4086"/>
    <w:rsid w:val="00FA421E"/>
    <w:rsid w:val="00FA68F1"/>
    <w:rsid w:val="00FA6B98"/>
    <w:rsid w:val="00FB028A"/>
    <w:rsid w:val="00FB114E"/>
    <w:rsid w:val="00FB3E48"/>
    <w:rsid w:val="00FB41F7"/>
    <w:rsid w:val="00FC01D2"/>
    <w:rsid w:val="00FC1144"/>
    <w:rsid w:val="00FC183E"/>
    <w:rsid w:val="00FC3282"/>
    <w:rsid w:val="00FC4E8E"/>
    <w:rsid w:val="00FC7166"/>
    <w:rsid w:val="00FD1399"/>
    <w:rsid w:val="00FD146A"/>
    <w:rsid w:val="00FD1655"/>
    <w:rsid w:val="00FD1DDA"/>
    <w:rsid w:val="00FD22E1"/>
    <w:rsid w:val="00FD47E8"/>
    <w:rsid w:val="00FD4B4C"/>
    <w:rsid w:val="00FD7969"/>
    <w:rsid w:val="00FD796E"/>
    <w:rsid w:val="00FE09E6"/>
    <w:rsid w:val="00FE277E"/>
    <w:rsid w:val="00FE3399"/>
    <w:rsid w:val="00FE38BE"/>
    <w:rsid w:val="00FE463C"/>
    <w:rsid w:val="00FE63F6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.stampa@gimb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imbe.org/ticke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405C-D869-4101-8AD1-394AED20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2018-07-18T14:46:00Z</dcterms:created>
  <dcterms:modified xsi:type="dcterms:W3CDTF">2018-07-18T14:46:00Z</dcterms:modified>
</cp:coreProperties>
</file>