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807B7" w14:textId="40831ED2" w:rsidR="00EC7A99" w:rsidRDefault="00815D37" w:rsidP="00EC7A99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14:paraId="0BBEA1C3" w14:textId="77373D14" w:rsidR="00F11C52" w:rsidRPr="00100BD1" w:rsidRDefault="00F11C52" w:rsidP="00100BD1">
      <w:pPr>
        <w:jc w:val="center"/>
        <w:rPr>
          <w:b/>
          <w:bCs/>
          <w:sz w:val="36"/>
          <w:szCs w:val="36"/>
        </w:rPr>
      </w:pPr>
      <w:r w:rsidRPr="00100BD1">
        <w:rPr>
          <w:b/>
          <w:bCs/>
          <w:sz w:val="36"/>
          <w:szCs w:val="36"/>
        </w:rPr>
        <w:t>PNRR</w:t>
      </w:r>
      <w:r w:rsidR="00100BD1">
        <w:rPr>
          <w:b/>
          <w:bCs/>
          <w:sz w:val="36"/>
          <w:szCs w:val="36"/>
        </w:rPr>
        <w:t>: RIFORMA DELL</w:t>
      </w:r>
      <w:r w:rsidR="005F3E41">
        <w:rPr>
          <w:b/>
          <w:bCs/>
          <w:sz w:val="36"/>
          <w:szCs w:val="36"/>
        </w:rPr>
        <w:t xml:space="preserve">A SANITÀ </w:t>
      </w:r>
      <w:r w:rsidR="00100BD1">
        <w:rPr>
          <w:b/>
          <w:bCs/>
          <w:sz w:val="36"/>
          <w:szCs w:val="36"/>
        </w:rPr>
        <w:t>TERRITORIALE AL PALO.</w:t>
      </w:r>
      <w:r w:rsidR="00100BD1">
        <w:rPr>
          <w:b/>
          <w:bCs/>
          <w:sz w:val="36"/>
          <w:szCs w:val="36"/>
        </w:rPr>
        <w:br/>
      </w:r>
      <w:r w:rsidRPr="00100BD1">
        <w:rPr>
          <w:b/>
          <w:bCs/>
          <w:sz w:val="36"/>
          <w:szCs w:val="36"/>
        </w:rPr>
        <w:t>CASE D</w:t>
      </w:r>
      <w:r w:rsidR="00CF4348">
        <w:rPr>
          <w:b/>
          <w:bCs/>
          <w:sz w:val="36"/>
          <w:szCs w:val="36"/>
        </w:rPr>
        <w:t>ELLA</w:t>
      </w:r>
      <w:r w:rsidRPr="00100BD1">
        <w:rPr>
          <w:b/>
          <w:bCs/>
          <w:sz w:val="36"/>
          <w:szCs w:val="36"/>
        </w:rPr>
        <w:t xml:space="preserve"> COMUNITÀ</w:t>
      </w:r>
      <w:r w:rsidR="00CF4348">
        <w:rPr>
          <w:b/>
          <w:bCs/>
          <w:sz w:val="36"/>
          <w:szCs w:val="36"/>
        </w:rPr>
        <w:t xml:space="preserve">: </w:t>
      </w:r>
      <w:r w:rsidR="0048509B">
        <w:rPr>
          <w:b/>
          <w:bCs/>
          <w:sz w:val="36"/>
          <w:szCs w:val="36"/>
        </w:rPr>
        <w:t xml:space="preserve">A REGIME </w:t>
      </w:r>
      <w:r w:rsidR="00D325C2">
        <w:rPr>
          <w:b/>
          <w:bCs/>
          <w:sz w:val="36"/>
          <w:szCs w:val="36"/>
        </w:rPr>
        <w:t xml:space="preserve">SOLO </w:t>
      </w:r>
      <w:r w:rsidR="0048509B">
        <w:rPr>
          <w:b/>
          <w:bCs/>
          <w:sz w:val="36"/>
          <w:szCs w:val="36"/>
        </w:rPr>
        <w:t>66 SU 1.715</w:t>
      </w:r>
      <w:r w:rsidR="00CF4348">
        <w:rPr>
          <w:b/>
          <w:bCs/>
          <w:sz w:val="36"/>
          <w:szCs w:val="36"/>
        </w:rPr>
        <w:t>.</w:t>
      </w:r>
      <w:r w:rsidR="00CF4348">
        <w:rPr>
          <w:b/>
          <w:bCs/>
          <w:sz w:val="36"/>
          <w:szCs w:val="36"/>
        </w:rPr>
        <w:br/>
      </w:r>
      <w:r w:rsidRPr="00100BD1">
        <w:rPr>
          <w:b/>
          <w:bCs/>
          <w:sz w:val="36"/>
          <w:szCs w:val="36"/>
        </w:rPr>
        <w:t>OSPEDAL</w:t>
      </w:r>
      <w:r w:rsidR="00CF4348">
        <w:rPr>
          <w:b/>
          <w:bCs/>
          <w:sz w:val="36"/>
          <w:szCs w:val="36"/>
        </w:rPr>
        <w:t>I</w:t>
      </w:r>
      <w:r w:rsidRPr="00100BD1">
        <w:rPr>
          <w:b/>
          <w:bCs/>
          <w:sz w:val="36"/>
          <w:szCs w:val="36"/>
        </w:rPr>
        <w:t xml:space="preserve"> DI COMUNITÀ</w:t>
      </w:r>
      <w:r w:rsidR="00CF4348">
        <w:rPr>
          <w:b/>
          <w:bCs/>
          <w:sz w:val="36"/>
          <w:szCs w:val="36"/>
        </w:rPr>
        <w:t>: NESSUNO</w:t>
      </w:r>
      <w:r w:rsidRPr="00100BD1">
        <w:rPr>
          <w:b/>
          <w:bCs/>
          <w:sz w:val="36"/>
          <w:szCs w:val="36"/>
        </w:rPr>
        <w:t xml:space="preserve"> </w:t>
      </w:r>
      <w:r w:rsidR="00CF4348">
        <w:rPr>
          <w:b/>
          <w:bCs/>
          <w:sz w:val="36"/>
          <w:szCs w:val="36"/>
        </w:rPr>
        <w:t xml:space="preserve">HA </w:t>
      </w:r>
      <w:r w:rsidRPr="00100BD1">
        <w:rPr>
          <w:b/>
          <w:bCs/>
          <w:sz w:val="36"/>
          <w:szCs w:val="36"/>
        </w:rPr>
        <w:t>TUTTI I SERVIZI ATTIVI.</w:t>
      </w:r>
      <w:r w:rsidRPr="00100BD1">
        <w:rPr>
          <w:b/>
          <w:bCs/>
          <w:sz w:val="36"/>
          <w:szCs w:val="36"/>
        </w:rPr>
        <w:br/>
        <w:t xml:space="preserve">FASCICOLO SANITARIO ELETTRONICO: INCOMPLETO IN TUTTE LE REGIONI E </w:t>
      </w:r>
      <w:r w:rsidR="00CF4348">
        <w:rPr>
          <w:b/>
          <w:bCs/>
          <w:sz w:val="36"/>
          <w:szCs w:val="36"/>
        </w:rPr>
        <w:t xml:space="preserve">SOLO IL 46% </w:t>
      </w:r>
      <w:r w:rsidRPr="00100BD1">
        <w:rPr>
          <w:b/>
          <w:bCs/>
          <w:sz w:val="36"/>
          <w:szCs w:val="36"/>
        </w:rPr>
        <w:t xml:space="preserve">DEI CITTADINI </w:t>
      </w:r>
      <w:r w:rsidR="00CF4348">
        <w:rPr>
          <w:b/>
          <w:bCs/>
          <w:sz w:val="36"/>
          <w:szCs w:val="36"/>
        </w:rPr>
        <w:t>HA DATO IL CONSENSO</w:t>
      </w:r>
      <w:r w:rsidR="001C5CF4">
        <w:rPr>
          <w:b/>
          <w:bCs/>
          <w:sz w:val="36"/>
          <w:szCs w:val="36"/>
        </w:rPr>
        <w:t>.</w:t>
      </w:r>
      <w:r w:rsidR="001C5CF4">
        <w:rPr>
          <w:b/>
          <w:bCs/>
          <w:sz w:val="36"/>
          <w:szCs w:val="36"/>
        </w:rPr>
        <w:br/>
      </w:r>
      <w:r w:rsidR="001C5CF4" w:rsidRPr="007D6DE0">
        <w:rPr>
          <w:b/>
          <w:bCs/>
          <w:sz w:val="36"/>
          <w:szCs w:val="36"/>
        </w:rPr>
        <w:t xml:space="preserve">A RISCHIO OBIETTIVI PNRR AL </w:t>
      </w:r>
      <w:r w:rsidR="00F52257" w:rsidRPr="007D6DE0">
        <w:rPr>
          <w:b/>
          <w:bCs/>
          <w:sz w:val="36"/>
          <w:szCs w:val="36"/>
        </w:rPr>
        <w:t>PR</w:t>
      </w:r>
      <w:bookmarkStart w:id="0" w:name="_GoBack"/>
      <w:bookmarkEnd w:id="0"/>
      <w:r w:rsidR="00F52257" w:rsidRPr="007D6DE0">
        <w:rPr>
          <w:b/>
          <w:bCs/>
          <w:sz w:val="36"/>
          <w:szCs w:val="36"/>
        </w:rPr>
        <w:t xml:space="preserve">OSSIMO </w:t>
      </w:r>
      <w:r w:rsidR="001C5CF4" w:rsidRPr="007D6DE0">
        <w:rPr>
          <w:b/>
          <w:bCs/>
          <w:sz w:val="36"/>
          <w:szCs w:val="36"/>
        </w:rPr>
        <w:t>30 GIUGNO</w:t>
      </w:r>
    </w:p>
    <w:p w14:paraId="4D38DF05" w14:textId="644D7CEE" w:rsidR="00815D37" w:rsidRPr="00F11C52" w:rsidRDefault="001346BE" w:rsidP="00F11C52">
      <w:pPr>
        <w:jc w:val="center"/>
        <w:rPr>
          <w:b/>
          <w:bCs/>
          <w:color w:val="EE0000"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31 marzo 2026</w:t>
      </w:r>
      <w:r w:rsidR="00815D37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815D37" w:rsidRPr="00C8624C">
        <w:rPr>
          <w:rFonts w:ascii="Calibri" w:eastAsia="Calibri" w:hAnsi="Calibri" w:cs="Times New Roman"/>
          <w:b/>
          <w:bCs/>
          <w:sz w:val="24"/>
          <w:szCs w:val="24"/>
        </w:rPr>
        <w:t xml:space="preserve">Fondazione GIMBE, </w:t>
      </w:r>
      <w:r w:rsidR="002B2105">
        <w:rPr>
          <w:rFonts w:ascii="Calibri" w:eastAsia="Calibri" w:hAnsi="Calibri" w:cs="Times New Roman"/>
          <w:b/>
          <w:bCs/>
          <w:sz w:val="24"/>
          <w:szCs w:val="24"/>
        </w:rPr>
        <w:t>Bologna</w:t>
      </w:r>
    </w:p>
    <w:p w14:paraId="7AACE271" w14:textId="6108D4F0" w:rsidR="000F313A" w:rsidRPr="007655C0" w:rsidRDefault="00D75048" w:rsidP="00CF7404">
      <w:pPr>
        <w:jc w:val="both"/>
        <w:rPr>
          <w:rFonts w:cstheme="minorHAnsi"/>
        </w:rPr>
      </w:pPr>
      <w:r w:rsidRPr="007655C0">
        <w:rPr>
          <w:rFonts w:cstheme="minorHAnsi"/>
        </w:rPr>
        <w:t xml:space="preserve">La riforma dell’assistenza territoriale, pilastro del PNRR </w:t>
      </w:r>
      <w:r w:rsidR="007E7C6D">
        <w:rPr>
          <w:rFonts w:cstheme="minorHAnsi"/>
        </w:rPr>
        <w:t xml:space="preserve">Missione Salute </w:t>
      </w:r>
      <w:r w:rsidRPr="007655C0">
        <w:rPr>
          <w:rFonts w:cstheme="minorHAnsi"/>
        </w:rPr>
        <w:t xml:space="preserve">per avvicinare la sanità ai cittadini, è ancora </w:t>
      </w:r>
      <w:r w:rsidR="0088216D">
        <w:rPr>
          <w:rFonts w:cstheme="minorHAnsi"/>
        </w:rPr>
        <w:t xml:space="preserve">ben </w:t>
      </w:r>
      <w:r w:rsidRPr="007655C0">
        <w:rPr>
          <w:rFonts w:cstheme="minorHAnsi"/>
        </w:rPr>
        <w:t xml:space="preserve">lontana dall’essere </w:t>
      </w:r>
      <w:r w:rsidR="0088216D">
        <w:rPr>
          <w:rFonts w:cstheme="minorHAnsi"/>
        </w:rPr>
        <w:t>realmente</w:t>
      </w:r>
      <w:r w:rsidR="0088216D" w:rsidRPr="007655C0">
        <w:rPr>
          <w:rFonts w:cstheme="minorHAnsi"/>
        </w:rPr>
        <w:t xml:space="preserve"> </w:t>
      </w:r>
      <w:r w:rsidRPr="007655C0">
        <w:rPr>
          <w:rFonts w:cstheme="minorHAnsi"/>
        </w:rPr>
        <w:t>operativa</w:t>
      </w:r>
      <w:r w:rsidR="007E7C6D">
        <w:rPr>
          <w:rFonts w:cstheme="minorHAnsi"/>
        </w:rPr>
        <w:t>. A</w:t>
      </w:r>
      <w:r w:rsidRPr="007655C0">
        <w:rPr>
          <w:rFonts w:cstheme="minorHAnsi"/>
        </w:rPr>
        <w:t xml:space="preserve">l 31 dicembre 2025 </w:t>
      </w:r>
      <w:r w:rsidR="007E7C6D">
        <w:rPr>
          <w:rFonts w:cstheme="minorHAnsi"/>
        </w:rPr>
        <w:t xml:space="preserve">solo 66 </w:t>
      </w:r>
      <w:r w:rsidRPr="007655C0">
        <w:rPr>
          <w:rFonts w:cstheme="minorHAnsi"/>
        </w:rPr>
        <w:t xml:space="preserve">Case della Comunità </w:t>
      </w:r>
      <w:r w:rsidR="00C86D33">
        <w:rPr>
          <w:rFonts w:cstheme="minorHAnsi"/>
        </w:rPr>
        <w:t xml:space="preserve">(3,9%) </w:t>
      </w:r>
      <w:r w:rsidRPr="007655C0">
        <w:rPr>
          <w:rFonts w:cstheme="minorHAnsi"/>
        </w:rPr>
        <w:t>risulta</w:t>
      </w:r>
      <w:r w:rsidR="007E7C6D">
        <w:rPr>
          <w:rFonts w:cstheme="minorHAnsi"/>
        </w:rPr>
        <w:t>no</w:t>
      </w:r>
      <w:r w:rsidRPr="007655C0">
        <w:rPr>
          <w:rFonts w:cstheme="minorHAnsi"/>
        </w:rPr>
        <w:t xml:space="preserve"> pienamente funzionant</w:t>
      </w:r>
      <w:r w:rsidR="00C86D33">
        <w:rPr>
          <w:rFonts w:cstheme="minorHAnsi"/>
        </w:rPr>
        <w:t>i</w:t>
      </w:r>
      <w:r w:rsidR="00330753">
        <w:rPr>
          <w:rFonts w:cstheme="minorHAnsi"/>
        </w:rPr>
        <w:t xml:space="preserve"> e </w:t>
      </w:r>
      <w:r w:rsidR="007E7C6D" w:rsidRPr="00641090">
        <w:rPr>
          <w:rFonts w:cstheme="minorHAnsi"/>
        </w:rPr>
        <w:t xml:space="preserve">solo </w:t>
      </w:r>
      <w:r w:rsidR="007E7C6D">
        <w:rPr>
          <w:rFonts w:cstheme="minorHAnsi"/>
        </w:rPr>
        <w:t xml:space="preserve">163 </w:t>
      </w:r>
      <w:r w:rsidR="00330753">
        <w:rPr>
          <w:rFonts w:cstheme="minorHAnsi"/>
        </w:rPr>
        <w:t xml:space="preserve">Ospedali di Comunità </w:t>
      </w:r>
      <w:r w:rsidR="007E7C6D">
        <w:rPr>
          <w:rFonts w:cstheme="minorHAnsi"/>
        </w:rPr>
        <w:t>(27</w:t>
      </w:r>
      <w:r w:rsidR="007E7C6D" w:rsidRPr="00641090">
        <w:rPr>
          <w:rFonts w:cstheme="minorHAnsi"/>
        </w:rPr>
        <w:t>,</w:t>
      </w:r>
      <w:r w:rsidR="007E7C6D">
        <w:rPr>
          <w:rFonts w:cstheme="minorHAnsi"/>
        </w:rPr>
        <w:t>4</w:t>
      </w:r>
      <w:r w:rsidR="007E7C6D" w:rsidRPr="00641090">
        <w:rPr>
          <w:rFonts w:cstheme="minorHAnsi"/>
        </w:rPr>
        <w:t>%</w:t>
      </w:r>
      <w:r w:rsidR="007E7C6D">
        <w:rPr>
          <w:rFonts w:cstheme="minorHAnsi"/>
        </w:rPr>
        <w:t xml:space="preserve">) hanno </w:t>
      </w:r>
      <w:r w:rsidR="00775121">
        <w:rPr>
          <w:rFonts w:cstheme="minorHAnsi"/>
        </w:rPr>
        <w:t xml:space="preserve">attivato </w:t>
      </w:r>
      <w:r w:rsidR="007E7C6D">
        <w:rPr>
          <w:rFonts w:cstheme="minorHAnsi"/>
        </w:rPr>
        <w:t>almeno un servizio</w:t>
      </w:r>
      <w:r w:rsidR="00DB60E3">
        <w:rPr>
          <w:rFonts w:cstheme="minorHAnsi"/>
        </w:rPr>
        <w:t>, ma nessuno risulta pienamente funzionante</w:t>
      </w:r>
      <w:r w:rsidR="007E7C6D">
        <w:rPr>
          <w:rFonts w:cstheme="minorHAnsi"/>
        </w:rPr>
        <w:t xml:space="preserve">. </w:t>
      </w:r>
      <w:r w:rsidRPr="007655C0">
        <w:rPr>
          <w:rFonts w:cstheme="minorHAnsi"/>
        </w:rPr>
        <w:t xml:space="preserve">Sul fronte digitale, il Fascicolo Sanitario Elettronico </w:t>
      </w:r>
      <w:r w:rsidR="0088216D">
        <w:rPr>
          <w:rFonts w:cstheme="minorHAnsi"/>
        </w:rPr>
        <w:t>(FSE) rimane</w:t>
      </w:r>
      <w:r w:rsidR="0088216D" w:rsidRPr="007655C0">
        <w:rPr>
          <w:rFonts w:cstheme="minorHAnsi"/>
        </w:rPr>
        <w:t xml:space="preserve"> </w:t>
      </w:r>
      <w:r w:rsidR="00CE60BB">
        <w:rPr>
          <w:rFonts w:cstheme="minorHAnsi"/>
        </w:rPr>
        <w:t xml:space="preserve">ancora </w:t>
      </w:r>
      <w:r w:rsidRPr="007655C0">
        <w:rPr>
          <w:rFonts w:cstheme="minorHAnsi"/>
        </w:rPr>
        <w:t>incompleto e</w:t>
      </w:r>
      <w:r w:rsidR="00CE60BB">
        <w:rPr>
          <w:rFonts w:cstheme="minorHAnsi"/>
        </w:rPr>
        <w:t xml:space="preserve"> </w:t>
      </w:r>
      <w:r w:rsidRPr="007655C0">
        <w:rPr>
          <w:rFonts w:cstheme="minorHAnsi"/>
        </w:rPr>
        <w:t>poco utilizzato</w:t>
      </w:r>
      <w:r w:rsidR="007E7C6D">
        <w:rPr>
          <w:rFonts w:cstheme="minorHAnsi"/>
        </w:rPr>
        <w:t xml:space="preserve"> per il mancato consenso all’utilizzo dei dati</w:t>
      </w:r>
      <w:r w:rsidR="00C733C6">
        <w:rPr>
          <w:rFonts w:cstheme="minorHAnsi"/>
        </w:rPr>
        <w:t>, in particolare nel Mezzogiorno.</w:t>
      </w:r>
    </w:p>
    <w:p w14:paraId="3C52E0B0" w14:textId="2170F5F9" w:rsidR="00CE60BB" w:rsidRDefault="00897B0F" w:rsidP="00CF7404">
      <w:pPr>
        <w:jc w:val="both"/>
        <w:rPr>
          <w:rFonts w:cstheme="minorHAnsi"/>
        </w:rPr>
      </w:pPr>
      <w:r w:rsidRPr="00C94BD0">
        <w:rPr>
          <w:rFonts w:cstheme="minorHAnsi"/>
        </w:rPr>
        <w:t>L’Osservatorio GIMBE sul Servizio Sanitario Nazionale</w:t>
      </w:r>
      <w:r w:rsidR="00B96CEA" w:rsidRPr="00C94BD0">
        <w:rPr>
          <w:rFonts w:cstheme="minorHAnsi"/>
        </w:rPr>
        <w:t xml:space="preserve"> (SSN)</w:t>
      </w:r>
      <w:r w:rsidRPr="00C94BD0">
        <w:rPr>
          <w:rFonts w:cstheme="minorHAnsi"/>
        </w:rPr>
        <w:t xml:space="preserve"> prosegue </w:t>
      </w:r>
      <w:r w:rsidR="00CF7404" w:rsidRPr="00C94BD0">
        <w:rPr>
          <w:rFonts w:cstheme="minorHAnsi"/>
        </w:rPr>
        <w:t>il</w:t>
      </w:r>
      <w:r w:rsidRPr="00C94BD0">
        <w:rPr>
          <w:rFonts w:cstheme="minorHAnsi"/>
        </w:rPr>
        <w:t xml:space="preserve"> monitoraggio indipendente</w:t>
      </w:r>
      <w:r w:rsidR="00CF7404" w:rsidRPr="00C94BD0">
        <w:rPr>
          <w:rFonts w:cstheme="minorHAnsi"/>
        </w:rPr>
        <w:t xml:space="preserve"> sull’attuazione della Missione Salute</w:t>
      </w:r>
      <w:r w:rsidR="00994D0A" w:rsidRPr="00C94BD0">
        <w:rPr>
          <w:rFonts w:cstheme="minorHAnsi"/>
        </w:rPr>
        <w:t xml:space="preserve"> del PNRR</w:t>
      </w:r>
      <w:r w:rsidR="00CE60BB" w:rsidRPr="00C94BD0">
        <w:rPr>
          <w:rFonts w:cstheme="minorHAnsi"/>
        </w:rPr>
        <w:t xml:space="preserve">. «Abbiamo analizzato – dichiara Nino Cartabellotta, Presidente della Fondazione GIMBE – i risultati raggiunti al 30 dicembre 2025 e le criticità che continuano a frenare la riforma dell’assistenza territoriale. </w:t>
      </w:r>
      <w:r w:rsidR="00302F87" w:rsidRPr="00C94BD0">
        <w:rPr>
          <w:rFonts w:cstheme="minorHAnsi"/>
        </w:rPr>
        <w:t>L’</w:t>
      </w:r>
      <w:r w:rsidR="00CE60BB" w:rsidRPr="00C94BD0">
        <w:rPr>
          <w:rFonts w:cstheme="minorHAnsi"/>
        </w:rPr>
        <w:t xml:space="preserve">obiettivo </w:t>
      </w:r>
      <w:r w:rsidR="00302F87" w:rsidRPr="00C94BD0">
        <w:rPr>
          <w:rFonts w:cstheme="minorHAnsi"/>
        </w:rPr>
        <w:t xml:space="preserve">è duplice: </w:t>
      </w:r>
      <w:r w:rsidR="00CE60BB" w:rsidRPr="00C94BD0">
        <w:rPr>
          <w:rFonts w:cstheme="minorHAnsi"/>
        </w:rPr>
        <w:t>fornire ai cittadini un quadro oggettivo, al riparo da letture strumentali</w:t>
      </w:r>
      <w:r w:rsidR="00302F87" w:rsidRPr="00C94BD0">
        <w:rPr>
          <w:rFonts w:cstheme="minorHAnsi"/>
        </w:rPr>
        <w:t>,</w:t>
      </w:r>
      <w:r w:rsidR="00CE60BB" w:rsidRPr="00C94BD0">
        <w:rPr>
          <w:rFonts w:cstheme="minorHAnsi"/>
        </w:rPr>
        <w:t xml:space="preserve"> e </w:t>
      </w:r>
      <w:r w:rsidR="00302F87" w:rsidRPr="00C94BD0">
        <w:rPr>
          <w:rFonts w:cstheme="minorHAnsi"/>
        </w:rPr>
        <w:t>lanciare un monito a</w:t>
      </w:r>
      <w:r w:rsidR="00CE60BB" w:rsidRPr="00C94BD0">
        <w:rPr>
          <w:rFonts w:cstheme="minorHAnsi"/>
        </w:rPr>
        <w:t xml:space="preserve"> Governo e Regioni sui potenziali rischi che gli inaccettabili ritardi </w:t>
      </w:r>
      <w:r w:rsidR="00775121" w:rsidRPr="00C94BD0">
        <w:rPr>
          <w:rFonts w:cstheme="minorHAnsi"/>
        </w:rPr>
        <w:t xml:space="preserve">accumulati </w:t>
      </w:r>
      <w:r w:rsidR="00CE60BB" w:rsidRPr="00C94BD0">
        <w:rPr>
          <w:rFonts w:cstheme="minorHAnsi"/>
        </w:rPr>
        <w:t>avranno sulla rendicontazione finale del prossimo 30 giugno».</w:t>
      </w:r>
    </w:p>
    <w:p w14:paraId="53BB3238" w14:textId="56EEF488" w:rsidR="00DF677E" w:rsidRDefault="00324D49" w:rsidP="0088216D">
      <w:pPr>
        <w:jc w:val="both"/>
        <w:rPr>
          <w:rFonts w:cstheme="minorHAnsi"/>
        </w:rPr>
      </w:pPr>
      <w:r>
        <w:rPr>
          <w:rFonts w:cstheme="minorHAnsi"/>
          <w:b/>
          <w:bCs/>
        </w:rPr>
        <w:t>RIFORMA DELL’</w:t>
      </w:r>
      <w:r w:rsidR="00641090">
        <w:rPr>
          <w:rFonts w:cstheme="minorHAnsi"/>
          <w:b/>
          <w:bCs/>
        </w:rPr>
        <w:t>ASSISTENZA TERRITORIALE</w:t>
      </w:r>
      <w:r w:rsidR="00327726">
        <w:rPr>
          <w:rFonts w:cstheme="minorHAnsi"/>
        </w:rPr>
        <w:t xml:space="preserve">. </w:t>
      </w:r>
      <w:r w:rsidR="00641090" w:rsidRPr="00641090">
        <w:rPr>
          <w:rFonts w:cstheme="minorHAnsi"/>
        </w:rPr>
        <w:t xml:space="preserve">A </w:t>
      </w:r>
      <w:r w:rsidR="00E1651B">
        <w:rPr>
          <w:rFonts w:cstheme="minorHAnsi"/>
        </w:rPr>
        <w:t xml:space="preserve">quattro </w:t>
      </w:r>
      <w:r w:rsidR="00641090" w:rsidRPr="00641090">
        <w:rPr>
          <w:rFonts w:cstheme="minorHAnsi"/>
        </w:rPr>
        <w:t xml:space="preserve">anni </w:t>
      </w:r>
      <w:r w:rsidR="009B4114">
        <w:rPr>
          <w:rFonts w:cstheme="minorHAnsi"/>
        </w:rPr>
        <w:t>dall’adozione del</w:t>
      </w:r>
      <w:r w:rsidR="007F03B2">
        <w:rPr>
          <w:rFonts w:cstheme="minorHAnsi"/>
        </w:rPr>
        <w:t xml:space="preserve"> DM 77</w:t>
      </w:r>
      <w:r w:rsidR="009B4114">
        <w:rPr>
          <w:rFonts w:cstheme="minorHAnsi"/>
        </w:rPr>
        <w:t xml:space="preserve">, la riforma dell’assistenza territoriale </w:t>
      </w:r>
      <w:r w:rsidR="007F03B2">
        <w:rPr>
          <w:rFonts w:cstheme="minorHAnsi"/>
        </w:rPr>
        <w:t>procede a rilento</w:t>
      </w:r>
      <w:r w:rsidR="009B4114">
        <w:rPr>
          <w:rFonts w:cstheme="minorHAnsi"/>
        </w:rPr>
        <w:t>,</w:t>
      </w:r>
      <w:r w:rsidR="007F03B2">
        <w:rPr>
          <w:rFonts w:cstheme="minorHAnsi"/>
        </w:rPr>
        <w:t xml:space="preserve"> con </w:t>
      </w:r>
      <w:r w:rsidR="0088216D">
        <w:rPr>
          <w:rFonts w:cstheme="minorHAnsi"/>
        </w:rPr>
        <w:t xml:space="preserve">marcate </w:t>
      </w:r>
      <w:r w:rsidR="007F03B2">
        <w:rPr>
          <w:rFonts w:cstheme="minorHAnsi"/>
        </w:rPr>
        <w:t xml:space="preserve">diseguaglianze </w:t>
      </w:r>
      <w:r w:rsidR="0088216D">
        <w:rPr>
          <w:rFonts w:cstheme="minorHAnsi"/>
        </w:rPr>
        <w:t>regionali</w:t>
      </w:r>
      <w:r w:rsidR="00641090" w:rsidRPr="00641090">
        <w:rPr>
          <w:rFonts w:cstheme="minorHAnsi"/>
        </w:rPr>
        <w:t xml:space="preserve">, </w:t>
      </w:r>
      <w:r w:rsidR="009B4114">
        <w:rPr>
          <w:rFonts w:cstheme="minorHAnsi"/>
        </w:rPr>
        <w:t>in particolare nell’</w:t>
      </w:r>
      <w:r w:rsidR="00641090" w:rsidRPr="00641090">
        <w:rPr>
          <w:rFonts w:cstheme="minorHAnsi"/>
        </w:rPr>
        <w:t xml:space="preserve">attivazione e </w:t>
      </w:r>
      <w:r w:rsidR="000C5D19">
        <w:rPr>
          <w:rFonts w:cstheme="minorHAnsi"/>
        </w:rPr>
        <w:t>nella piena operatività</w:t>
      </w:r>
      <w:r w:rsidR="00641090" w:rsidRPr="00641090">
        <w:rPr>
          <w:rFonts w:cstheme="minorHAnsi"/>
        </w:rPr>
        <w:t xml:space="preserve"> </w:t>
      </w:r>
      <w:r w:rsidR="0088216D">
        <w:rPr>
          <w:rFonts w:cstheme="minorHAnsi"/>
        </w:rPr>
        <w:t>di</w:t>
      </w:r>
      <w:r w:rsidR="0088216D" w:rsidRPr="00641090">
        <w:rPr>
          <w:rFonts w:cstheme="minorHAnsi"/>
        </w:rPr>
        <w:t xml:space="preserve"> </w:t>
      </w:r>
      <w:r w:rsidR="00641090" w:rsidRPr="00641090">
        <w:rPr>
          <w:rFonts w:cstheme="minorHAnsi"/>
        </w:rPr>
        <w:t xml:space="preserve">Case e Ospedali di Comunità. Lo confermano </w:t>
      </w:r>
      <w:r w:rsidR="004F5602">
        <w:rPr>
          <w:rFonts w:cstheme="minorHAnsi"/>
        </w:rPr>
        <w:t xml:space="preserve">i dati </w:t>
      </w:r>
      <w:r w:rsidR="004F5602" w:rsidRPr="00641090">
        <w:rPr>
          <w:rFonts w:cstheme="minorHAnsi"/>
        </w:rPr>
        <w:t>elaborati dalla Fondazione GIMBE</w:t>
      </w:r>
      <w:r w:rsidR="004F5602">
        <w:rPr>
          <w:rFonts w:cstheme="minorHAnsi"/>
        </w:rPr>
        <w:t xml:space="preserve"> </w:t>
      </w:r>
      <w:r w:rsidR="00C733C6">
        <w:rPr>
          <w:rFonts w:cstheme="minorHAnsi"/>
        </w:rPr>
        <w:t xml:space="preserve">estratti </w:t>
      </w:r>
      <w:r w:rsidR="004F5602">
        <w:rPr>
          <w:rFonts w:cstheme="minorHAnsi"/>
        </w:rPr>
        <w:t xml:space="preserve">dal </w:t>
      </w:r>
      <w:hyperlink r:id="rId8" w:history="1">
        <w:r w:rsidR="0088216D" w:rsidRPr="00B51190">
          <w:rPr>
            <w:rStyle w:val="Collegamentoipertestuale"/>
            <w:rFonts w:cstheme="minorHAnsi"/>
          </w:rPr>
          <w:t xml:space="preserve">report </w:t>
        </w:r>
        <w:r w:rsidR="00641090" w:rsidRPr="00B51190">
          <w:rPr>
            <w:rStyle w:val="Collegamentoipertestuale"/>
            <w:rFonts w:cstheme="minorHAnsi"/>
          </w:rPr>
          <w:t>Agenas sul monitoraggio del DM 77</w:t>
        </w:r>
      </w:hyperlink>
      <w:r w:rsidR="00641090" w:rsidRPr="00641090">
        <w:rPr>
          <w:rFonts w:cstheme="minorHAnsi"/>
        </w:rPr>
        <w:t xml:space="preserve">, aggiornati al </w:t>
      </w:r>
      <w:r w:rsidR="00E1651B">
        <w:rPr>
          <w:rFonts w:cstheme="minorHAnsi"/>
        </w:rPr>
        <w:t>31</w:t>
      </w:r>
      <w:r w:rsidR="004F5602">
        <w:rPr>
          <w:rFonts w:cstheme="minorHAnsi"/>
        </w:rPr>
        <w:t xml:space="preserve"> dicembre </w:t>
      </w:r>
      <w:r w:rsidR="00641090" w:rsidRPr="00641090">
        <w:rPr>
          <w:rFonts w:cstheme="minorHAnsi"/>
        </w:rPr>
        <w:t>202</w:t>
      </w:r>
      <w:r w:rsidR="00E1651B">
        <w:rPr>
          <w:rFonts w:cstheme="minorHAnsi"/>
        </w:rPr>
        <w:t>5</w:t>
      </w:r>
      <w:r w:rsidR="00641090" w:rsidRPr="00641090">
        <w:rPr>
          <w:rFonts w:cstheme="minorHAnsi"/>
        </w:rPr>
        <w:t>.</w:t>
      </w:r>
      <w:r w:rsidR="00641090">
        <w:rPr>
          <w:rFonts w:cstheme="minorHAnsi"/>
        </w:rPr>
        <w:t xml:space="preserve"> </w:t>
      </w:r>
      <w:r w:rsidR="00641090" w:rsidRPr="00641090">
        <w:rPr>
          <w:rFonts w:cstheme="minorHAnsi"/>
        </w:rPr>
        <w:t xml:space="preserve">«Il potenziamento dell’assistenza territoriale </w:t>
      </w:r>
      <w:r w:rsidR="009B4114" w:rsidRPr="00641090">
        <w:rPr>
          <w:rFonts w:cstheme="minorHAnsi"/>
        </w:rPr>
        <w:t xml:space="preserve">– </w:t>
      </w:r>
      <w:r w:rsidR="009B4114">
        <w:rPr>
          <w:rFonts w:cstheme="minorHAnsi"/>
        </w:rPr>
        <w:t>afferm</w:t>
      </w:r>
      <w:r w:rsidR="009B4114" w:rsidRPr="00641090">
        <w:rPr>
          <w:rFonts w:cstheme="minorHAnsi"/>
        </w:rPr>
        <w:t xml:space="preserve">a </w:t>
      </w:r>
      <w:r w:rsidR="009B4114">
        <w:rPr>
          <w:rFonts w:cstheme="minorHAnsi"/>
        </w:rPr>
        <w:t xml:space="preserve">Cartabellotta </w:t>
      </w:r>
      <w:r w:rsidR="009B4114" w:rsidRPr="00641090">
        <w:rPr>
          <w:rFonts w:cstheme="minorHAnsi"/>
        </w:rPr>
        <w:t xml:space="preserve">– </w:t>
      </w:r>
      <w:r w:rsidR="00641090" w:rsidRPr="00641090">
        <w:rPr>
          <w:rFonts w:cstheme="minorHAnsi"/>
        </w:rPr>
        <w:t xml:space="preserve">è la chiave per decongestionare ospedali e pronto soccorso e garantire </w:t>
      </w:r>
      <w:r w:rsidR="009B4114">
        <w:rPr>
          <w:rFonts w:cstheme="minorHAnsi"/>
        </w:rPr>
        <w:t xml:space="preserve">una </w:t>
      </w:r>
      <w:r w:rsidR="00641090" w:rsidRPr="00641090">
        <w:rPr>
          <w:rFonts w:cstheme="minorHAnsi"/>
        </w:rPr>
        <w:t>sanità di prossimità</w:t>
      </w:r>
      <w:r w:rsidR="009B4114">
        <w:rPr>
          <w:rFonts w:cstheme="minorHAnsi"/>
        </w:rPr>
        <w:t>. Tuttavia,</w:t>
      </w:r>
      <w:r w:rsidR="00641090" w:rsidRPr="00641090">
        <w:rPr>
          <w:rFonts w:cstheme="minorHAnsi"/>
        </w:rPr>
        <w:t xml:space="preserve"> </w:t>
      </w:r>
      <w:r w:rsidR="009B4114">
        <w:rPr>
          <w:rFonts w:cstheme="minorHAnsi"/>
        </w:rPr>
        <w:t>i dati</w:t>
      </w:r>
      <w:r w:rsidR="00641090" w:rsidRPr="00641090">
        <w:rPr>
          <w:rFonts w:cstheme="minorHAnsi"/>
        </w:rPr>
        <w:t xml:space="preserve"> ufficiali </w:t>
      </w:r>
      <w:r w:rsidR="004F5602">
        <w:rPr>
          <w:rFonts w:cstheme="minorHAnsi"/>
        </w:rPr>
        <w:t xml:space="preserve">trasmessi dalle Regioni </w:t>
      </w:r>
      <w:r w:rsidR="0088216D">
        <w:rPr>
          <w:rFonts w:cstheme="minorHAnsi"/>
        </w:rPr>
        <w:t xml:space="preserve">restituiscono un quadro preoccupante: </w:t>
      </w:r>
      <w:r w:rsidR="0048763C">
        <w:rPr>
          <w:rFonts w:cstheme="minorHAnsi"/>
        </w:rPr>
        <w:t xml:space="preserve">fatta eccezione per le Centrali Operative Territoriali, </w:t>
      </w:r>
      <w:r w:rsidR="004749FA">
        <w:rPr>
          <w:rFonts w:cstheme="minorHAnsi"/>
        </w:rPr>
        <w:t>a pochi mesi dalla scadenza del PNRR siamo molto lontani dal raggiungimento del target europeo</w:t>
      </w:r>
      <w:r w:rsidR="00C86D33">
        <w:rPr>
          <w:rFonts w:cstheme="minorHAnsi"/>
        </w:rPr>
        <w:t xml:space="preserve">. </w:t>
      </w:r>
      <w:r w:rsidR="00F57EB0">
        <w:rPr>
          <w:rFonts w:cstheme="minorHAnsi"/>
        </w:rPr>
        <w:t xml:space="preserve">E il </w:t>
      </w:r>
      <w:r w:rsidR="000C5D19">
        <w:rPr>
          <w:rFonts w:cstheme="minorHAnsi"/>
        </w:rPr>
        <w:t xml:space="preserve">ritmo </w:t>
      </w:r>
      <w:r w:rsidR="004749FA">
        <w:rPr>
          <w:rFonts w:cstheme="minorHAnsi"/>
        </w:rPr>
        <w:t>di attivazione d</w:t>
      </w:r>
      <w:r w:rsidR="0048763C">
        <w:rPr>
          <w:rFonts w:cstheme="minorHAnsi"/>
        </w:rPr>
        <w:t xml:space="preserve">i Case e Ospedali di </w:t>
      </w:r>
      <w:r w:rsidR="004B0132">
        <w:rPr>
          <w:rFonts w:cstheme="minorHAnsi"/>
        </w:rPr>
        <w:t>c</w:t>
      </w:r>
      <w:r w:rsidR="0048763C">
        <w:rPr>
          <w:rFonts w:cstheme="minorHAnsi"/>
        </w:rPr>
        <w:t xml:space="preserve">omunità </w:t>
      </w:r>
      <w:r w:rsidR="00F57EB0">
        <w:rPr>
          <w:rFonts w:cstheme="minorHAnsi"/>
        </w:rPr>
        <w:t>rimane</w:t>
      </w:r>
      <w:r w:rsidR="0088216D" w:rsidRPr="00C94BD0">
        <w:rPr>
          <w:rFonts w:cstheme="minorHAnsi"/>
        </w:rPr>
        <w:t xml:space="preserve"> troppo</w:t>
      </w:r>
      <w:r w:rsidR="004749FA" w:rsidRPr="00C94BD0">
        <w:rPr>
          <w:rFonts w:cstheme="minorHAnsi"/>
        </w:rPr>
        <w:t xml:space="preserve"> </w:t>
      </w:r>
      <w:r w:rsidR="000C5D19" w:rsidRPr="00DF677E">
        <w:rPr>
          <w:rFonts w:cstheme="minorHAnsi"/>
        </w:rPr>
        <w:t>lento</w:t>
      </w:r>
      <w:bookmarkStart w:id="1" w:name="_Hlk225521209"/>
      <w:r w:rsidR="00641090" w:rsidRPr="00DF677E">
        <w:rPr>
          <w:rFonts w:cstheme="minorHAnsi"/>
        </w:rPr>
        <w:t>».</w:t>
      </w:r>
      <w:r w:rsidR="0048763C" w:rsidRPr="00DF677E">
        <w:rPr>
          <w:rFonts w:cstheme="minorHAnsi"/>
        </w:rPr>
        <w:t xml:space="preserve"> </w:t>
      </w:r>
    </w:p>
    <w:p w14:paraId="0D691298" w14:textId="248FDE27" w:rsidR="00F57EB0" w:rsidRDefault="00745AA0" w:rsidP="007F3B58">
      <w:pPr>
        <w:jc w:val="both"/>
        <w:rPr>
          <w:rFonts w:cstheme="minorHAnsi"/>
        </w:rPr>
      </w:pPr>
      <w:r w:rsidRPr="00175360">
        <w:rPr>
          <w:rFonts w:cstheme="minorHAnsi"/>
        </w:rPr>
        <w:t xml:space="preserve">La </w:t>
      </w:r>
      <w:r w:rsidR="005C78A1" w:rsidRPr="00175360">
        <w:rPr>
          <w:rFonts w:cstheme="minorHAnsi"/>
        </w:rPr>
        <w:t xml:space="preserve">riorganizzazione dell’assistenza territoriale </w:t>
      </w:r>
      <w:r w:rsidR="00F57EB0" w:rsidRPr="00175360">
        <w:rPr>
          <w:rFonts w:cstheme="minorHAnsi"/>
        </w:rPr>
        <w:t xml:space="preserve">definita dal </w:t>
      </w:r>
      <w:r w:rsidR="005C78A1" w:rsidRPr="00175360">
        <w:rPr>
          <w:rFonts w:cstheme="minorHAnsi"/>
        </w:rPr>
        <w:t>DM</w:t>
      </w:r>
      <w:r w:rsidR="00231000" w:rsidRPr="00175360">
        <w:rPr>
          <w:rFonts w:cstheme="minorHAnsi"/>
        </w:rPr>
        <w:t xml:space="preserve"> </w:t>
      </w:r>
      <w:r w:rsidR="005C78A1" w:rsidRPr="00175360">
        <w:rPr>
          <w:rFonts w:cstheme="minorHAnsi"/>
        </w:rPr>
        <w:t>77</w:t>
      </w:r>
      <w:r w:rsidR="002D2826" w:rsidRPr="00175360">
        <w:rPr>
          <w:rFonts w:cstheme="minorHAnsi"/>
        </w:rPr>
        <w:t xml:space="preserve"> </w:t>
      </w:r>
      <w:r w:rsidR="00F57EB0" w:rsidRPr="00175360">
        <w:rPr>
          <w:rFonts w:cstheme="minorHAnsi"/>
        </w:rPr>
        <w:t>prevede</w:t>
      </w:r>
      <w:r w:rsidR="00231000" w:rsidRPr="00175360">
        <w:rPr>
          <w:rFonts w:cstheme="minorHAnsi"/>
        </w:rPr>
        <w:t xml:space="preserve"> la realizzazione di </w:t>
      </w:r>
      <w:r w:rsidR="002D2826" w:rsidRPr="00175360">
        <w:rPr>
          <w:rFonts w:cstheme="minorHAnsi"/>
        </w:rPr>
        <w:t>1.715 Case della Comunità</w:t>
      </w:r>
      <w:r w:rsidR="005C78A1" w:rsidRPr="00175360">
        <w:rPr>
          <w:rFonts w:cstheme="minorHAnsi"/>
        </w:rPr>
        <w:t xml:space="preserve"> (CdC)</w:t>
      </w:r>
      <w:r w:rsidR="002D2826" w:rsidRPr="00175360">
        <w:rPr>
          <w:rFonts w:cstheme="minorHAnsi"/>
        </w:rPr>
        <w:t xml:space="preserve">, 657 Centrali Operative Territoriali </w:t>
      </w:r>
      <w:r w:rsidR="005C78A1" w:rsidRPr="00175360">
        <w:rPr>
          <w:rFonts w:cstheme="minorHAnsi"/>
        </w:rPr>
        <w:t xml:space="preserve">(COT) </w:t>
      </w:r>
      <w:r w:rsidR="002D2826" w:rsidRPr="00175360">
        <w:rPr>
          <w:rFonts w:cstheme="minorHAnsi"/>
        </w:rPr>
        <w:t xml:space="preserve">e 594 </w:t>
      </w:r>
      <w:r w:rsidR="001B266D" w:rsidRPr="00175360">
        <w:rPr>
          <w:rFonts w:cstheme="minorHAnsi"/>
        </w:rPr>
        <w:t>Ospedali di Comunità</w:t>
      </w:r>
      <w:r w:rsidR="005C78A1" w:rsidRPr="00175360">
        <w:rPr>
          <w:rFonts w:cstheme="minorHAnsi"/>
        </w:rPr>
        <w:t xml:space="preserve"> (OdC)</w:t>
      </w:r>
      <w:r w:rsidRPr="00175360">
        <w:rPr>
          <w:rFonts w:cstheme="minorHAnsi"/>
        </w:rPr>
        <w:t>.</w:t>
      </w:r>
      <w:r w:rsidR="00311888" w:rsidRPr="00175360">
        <w:rPr>
          <w:rFonts w:cstheme="minorHAnsi"/>
        </w:rPr>
        <w:t xml:space="preserve"> </w:t>
      </w:r>
      <w:r w:rsidR="005C78A1" w:rsidRPr="00175360">
        <w:rPr>
          <w:rFonts w:cstheme="minorHAnsi"/>
        </w:rPr>
        <w:t>Di queste</w:t>
      </w:r>
      <w:r w:rsidR="00231000" w:rsidRPr="00175360">
        <w:rPr>
          <w:rFonts w:cstheme="minorHAnsi"/>
        </w:rPr>
        <w:t xml:space="preserve"> strutture</w:t>
      </w:r>
      <w:r w:rsidR="005C78A1" w:rsidRPr="00175360">
        <w:rPr>
          <w:rFonts w:cstheme="minorHAnsi"/>
        </w:rPr>
        <w:t xml:space="preserve">, </w:t>
      </w:r>
      <w:r w:rsidR="00231000" w:rsidRPr="00175360">
        <w:rPr>
          <w:rFonts w:cstheme="minorHAnsi"/>
        </w:rPr>
        <w:t xml:space="preserve">le risorse del </w:t>
      </w:r>
      <w:r w:rsidR="005C78A1" w:rsidRPr="00175360">
        <w:rPr>
          <w:rFonts w:cstheme="minorHAnsi"/>
        </w:rPr>
        <w:t xml:space="preserve">PNRR </w:t>
      </w:r>
      <w:r w:rsidR="00F57EB0" w:rsidRPr="00175360">
        <w:rPr>
          <w:rFonts w:cstheme="minorHAnsi"/>
        </w:rPr>
        <w:t xml:space="preserve">finanziavano </w:t>
      </w:r>
      <w:r w:rsidR="005C78A1" w:rsidRPr="00175360">
        <w:rPr>
          <w:rFonts w:cstheme="minorHAnsi"/>
        </w:rPr>
        <w:t>inizialmente 1.350 CdC, 600 COT e 400 OdC. N</w:t>
      </w:r>
      <w:r w:rsidR="001B266D" w:rsidRPr="00175360">
        <w:rPr>
          <w:rFonts w:cstheme="minorHAnsi"/>
        </w:rPr>
        <w:t>el novembre 2023</w:t>
      </w:r>
      <w:r w:rsidR="00175360" w:rsidRPr="00175360">
        <w:rPr>
          <w:rFonts w:cstheme="minorHAnsi"/>
        </w:rPr>
        <w:t xml:space="preserve"> </w:t>
      </w:r>
      <w:r w:rsidR="00157C9C" w:rsidRPr="00175360">
        <w:rPr>
          <w:rFonts w:cstheme="minorHAnsi"/>
        </w:rPr>
        <w:t xml:space="preserve">i </w:t>
      </w:r>
      <w:r w:rsidR="005C78A1" w:rsidRPr="00175360">
        <w:rPr>
          <w:rFonts w:cstheme="minorHAnsi"/>
        </w:rPr>
        <w:t xml:space="preserve">target sono stati </w:t>
      </w:r>
      <w:r w:rsidR="00973AF6" w:rsidRPr="00175360">
        <w:rPr>
          <w:rFonts w:cstheme="minorHAnsi"/>
        </w:rPr>
        <w:t>rivisti</w:t>
      </w:r>
      <w:r w:rsidR="001B266D" w:rsidRPr="00175360">
        <w:rPr>
          <w:rFonts w:cstheme="minorHAnsi"/>
        </w:rPr>
        <w:t xml:space="preserve"> al ribasso: le </w:t>
      </w:r>
      <w:r w:rsidR="005C78A1" w:rsidRPr="00175360">
        <w:rPr>
          <w:rFonts w:cstheme="minorHAnsi"/>
        </w:rPr>
        <w:t xml:space="preserve">CdC </w:t>
      </w:r>
      <w:r w:rsidR="001B266D" w:rsidRPr="00175360">
        <w:rPr>
          <w:rFonts w:cstheme="minorHAnsi"/>
        </w:rPr>
        <w:t xml:space="preserve">si </w:t>
      </w:r>
      <w:r w:rsidRPr="00175360">
        <w:rPr>
          <w:rFonts w:cstheme="minorHAnsi"/>
        </w:rPr>
        <w:t xml:space="preserve">sono ridotte a </w:t>
      </w:r>
      <w:r w:rsidR="001B266D" w:rsidRPr="00175360">
        <w:rPr>
          <w:rFonts w:cstheme="minorHAnsi"/>
        </w:rPr>
        <w:t xml:space="preserve">1.038, </w:t>
      </w:r>
      <w:r w:rsidRPr="00175360">
        <w:rPr>
          <w:rFonts w:cstheme="minorHAnsi"/>
        </w:rPr>
        <w:t xml:space="preserve">le </w:t>
      </w:r>
      <w:r w:rsidR="005C78A1" w:rsidRPr="00175360">
        <w:rPr>
          <w:rFonts w:cstheme="minorHAnsi"/>
        </w:rPr>
        <w:t xml:space="preserve">COT </w:t>
      </w:r>
      <w:r w:rsidR="001B266D" w:rsidRPr="00175360">
        <w:rPr>
          <w:rFonts w:cstheme="minorHAnsi"/>
        </w:rPr>
        <w:t xml:space="preserve">a 480 e </w:t>
      </w:r>
      <w:r w:rsidR="005C78A1" w:rsidRPr="00175360">
        <w:rPr>
          <w:rFonts w:cstheme="minorHAnsi"/>
        </w:rPr>
        <w:t xml:space="preserve">gli OdC </w:t>
      </w:r>
      <w:r w:rsidR="001B266D" w:rsidRPr="00175360">
        <w:rPr>
          <w:rFonts w:cstheme="minorHAnsi"/>
        </w:rPr>
        <w:t>a 307</w:t>
      </w:r>
      <w:r w:rsidR="00C733C6" w:rsidRPr="00175360">
        <w:rPr>
          <w:rFonts w:cstheme="minorHAnsi"/>
        </w:rPr>
        <w:t xml:space="preserve"> </w:t>
      </w:r>
      <w:r w:rsidR="0048763C" w:rsidRPr="00175360">
        <w:rPr>
          <w:rFonts w:cstheme="minorHAnsi"/>
        </w:rPr>
        <w:t>(</w:t>
      </w:r>
      <w:r w:rsidR="001B266D" w:rsidRPr="00175360">
        <w:rPr>
          <w:rFonts w:cstheme="minorHAnsi"/>
        </w:rPr>
        <w:t>Tabella 1</w:t>
      </w:r>
      <w:r w:rsidR="0048763C" w:rsidRPr="00175360">
        <w:rPr>
          <w:rFonts w:cstheme="minorHAnsi"/>
        </w:rPr>
        <w:t>).</w:t>
      </w:r>
      <w:r w:rsidR="00231000" w:rsidRPr="00175360">
        <w:rPr>
          <w:rFonts w:cstheme="minorHAnsi"/>
        </w:rPr>
        <w:t xml:space="preserve"> «In altri termini – afferma Cartabellotta – </w:t>
      </w:r>
      <w:r w:rsidR="00175360" w:rsidRPr="00175360">
        <w:rPr>
          <w:rFonts w:cstheme="minorHAnsi"/>
        </w:rPr>
        <w:t xml:space="preserve">le risorse del </w:t>
      </w:r>
      <w:r w:rsidR="00231000" w:rsidRPr="00175360">
        <w:rPr>
          <w:rFonts w:cstheme="minorHAnsi"/>
        </w:rPr>
        <w:t xml:space="preserve">PNRR </w:t>
      </w:r>
      <w:r w:rsidR="00157C9C" w:rsidRPr="00175360">
        <w:rPr>
          <w:rFonts w:cstheme="minorHAnsi"/>
        </w:rPr>
        <w:t>copr</w:t>
      </w:r>
      <w:r w:rsidR="00175360" w:rsidRPr="00175360">
        <w:rPr>
          <w:rFonts w:cstheme="minorHAnsi"/>
        </w:rPr>
        <w:t>ono</w:t>
      </w:r>
      <w:r w:rsidR="00157C9C" w:rsidRPr="00175360">
        <w:rPr>
          <w:rFonts w:cstheme="minorHAnsi"/>
        </w:rPr>
        <w:t xml:space="preserve"> solo</w:t>
      </w:r>
      <w:r w:rsidR="00231000" w:rsidRPr="00175360">
        <w:rPr>
          <w:rFonts w:cstheme="minorHAnsi"/>
        </w:rPr>
        <w:t xml:space="preserve"> una parte delle strutture programmate per la piena attuazione della riforma dell’assistenza territoriale».</w:t>
      </w:r>
      <w:r w:rsidR="00231000" w:rsidRPr="00DF677E">
        <w:rPr>
          <w:rFonts w:cstheme="minorHAnsi"/>
        </w:rPr>
        <w:t xml:space="preserve"> </w:t>
      </w:r>
      <w:bookmarkEnd w:id="1"/>
    </w:p>
    <w:p w14:paraId="72B1C64B" w14:textId="2827E0BF" w:rsidR="00157C9C" w:rsidRDefault="00A12A38" w:rsidP="007F3B58">
      <w:pPr>
        <w:jc w:val="both"/>
        <w:rPr>
          <w:rFonts w:cstheme="minorHAnsi"/>
        </w:rPr>
      </w:pPr>
      <w:r w:rsidRPr="00A12A38">
        <w:rPr>
          <w:rFonts w:cstheme="minorHAnsi"/>
          <w:b/>
          <w:bCs/>
        </w:rPr>
        <w:t xml:space="preserve">Case della </w:t>
      </w:r>
      <w:r w:rsidR="006A13C2">
        <w:rPr>
          <w:rFonts w:cstheme="minorHAnsi"/>
          <w:b/>
          <w:bCs/>
        </w:rPr>
        <w:t>C</w:t>
      </w:r>
      <w:r w:rsidRPr="00A12A38">
        <w:rPr>
          <w:rFonts w:cstheme="minorHAnsi"/>
          <w:b/>
          <w:bCs/>
        </w:rPr>
        <w:t xml:space="preserve">omunità. </w:t>
      </w:r>
      <w:r w:rsidR="00F47111" w:rsidRPr="00F47111">
        <w:rPr>
          <w:rFonts w:cstheme="minorHAnsi"/>
        </w:rPr>
        <w:t xml:space="preserve">Al </w:t>
      </w:r>
      <w:r w:rsidR="00E1651B">
        <w:rPr>
          <w:rFonts w:cstheme="minorHAnsi"/>
        </w:rPr>
        <w:t>31</w:t>
      </w:r>
      <w:r w:rsidR="00F47111" w:rsidRPr="00F47111">
        <w:rPr>
          <w:rFonts w:cstheme="minorHAnsi"/>
        </w:rPr>
        <w:t xml:space="preserve"> dicembre 202</w:t>
      </w:r>
      <w:r w:rsidR="00E1651B">
        <w:rPr>
          <w:rFonts w:cstheme="minorHAnsi"/>
        </w:rPr>
        <w:t>5</w:t>
      </w:r>
      <w:r w:rsidR="00F47111" w:rsidRPr="00F47111">
        <w:rPr>
          <w:rFonts w:cstheme="minorHAnsi"/>
        </w:rPr>
        <w:t>, s</w:t>
      </w:r>
      <w:r w:rsidR="009B4114">
        <w:rPr>
          <w:rFonts w:cstheme="minorHAnsi"/>
        </w:rPr>
        <w:t xml:space="preserve">u </w:t>
      </w:r>
      <w:r w:rsidR="00641090" w:rsidRPr="00641090">
        <w:rPr>
          <w:rFonts w:cstheme="minorHAnsi"/>
        </w:rPr>
        <w:t>1.71</w:t>
      </w:r>
      <w:r w:rsidR="00141DDB">
        <w:rPr>
          <w:rFonts w:cstheme="minorHAnsi"/>
        </w:rPr>
        <w:t>5</w:t>
      </w:r>
      <w:r w:rsidR="00641090" w:rsidRPr="00641090">
        <w:rPr>
          <w:rFonts w:cstheme="minorHAnsi"/>
        </w:rPr>
        <w:t xml:space="preserve"> </w:t>
      </w:r>
      <w:r w:rsidR="00994D0A">
        <w:rPr>
          <w:rFonts w:cstheme="minorHAnsi"/>
        </w:rPr>
        <w:t>CdC</w:t>
      </w:r>
      <w:r w:rsidR="00641090" w:rsidRPr="00641090">
        <w:rPr>
          <w:rFonts w:cstheme="minorHAnsi"/>
        </w:rPr>
        <w:t xml:space="preserve"> </w:t>
      </w:r>
      <w:r w:rsidR="00B353DE">
        <w:rPr>
          <w:rFonts w:cstheme="minorHAnsi"/>
        </w:rPr>
        <w:t>programmate</w:t>
      </w:r>
      <w:r w:rsidR="000C5D19">
        <w:rPr>
          <w:rFonts w:cstheme="minorHAnsi"/>
        </w:rPr>
        <w:t>,</w:t>
      </w:r>
      <w:r w:rsidR="00324D49">
        <w:rPr>
          <w:rFonts w:cstheme="minorHAnsi"/>
        </w:rPr>
        <w:t xml:space="preserve"> per</w:t>
      </w:r>
      <w:r w:rsidR="006A13C2">
        <w:rPr>
          <w:rFonts w:cstheme="minorHAnsi"/>
        </w:rPr>
        <w:t xml:space="preserve"> </w:t>
      </w:r>
      <w:r w:rsidR="00141DDB">
        <w:rPr>
          <w:rFonts w:cstheme="minorHAnsi"/>
        </w:rPr>
        <w:t>649</w:t>
      </w:r>
      <w:r w:rsidR="00F47111">
        <w:rPr>
          <w:rFonts w:cstheme="minorHAnsi"/>
        </w:rPr>
        <w:t xml:space="preserve"> (</w:t>
      </w:r>
      <w:r w:rsidR="00141DDB">
        <w:rPr>
          <w:rFonts w:cstheme="minorHAnsi"/>
        </w:rPr>
        <w:t>37</w:t>
      </w:r>
      <w:r w:rsidR="00F47111">
        <w:rPr>
          <w:rFonts w:cstheme="minorHAnsi"/>
        </w:rPr>
        <w:t>,</w:t>
      </w:r>
      <w:r w:rsidR="00141DDB">
        <w:rPr>
          <w:rFonts w:cstheme="minorHAnsi"/>
        </w:rPr>
        <w:t>8</w:t>
      </w:r>
      <w:r w:rsidR="00F47111">
        <w:rPr>
          <w:rFonts w:cstheme="minorHAnsi"/>
        </w:rPr>
        <w:t>%</w:t>
      </w:r>
      <w:r w:rsidR="006A13C2">
        <w:rPr>
          <w:rFonts w:cstheme="minorHAnsi"/>
        </w:rPr>
        <w:t xml:space="preserve">) </w:t>
      </w:r>
      <w:r w:rsidR="00F47111">
        <w:rPr>
          <w:rFonts w:cstheme="minorHAnsi"/>
        </w:rPr>
        <w:t xml:space="preserve">le Regioni non </w:t>
      </w:r>
      <w:r w:rsidR="00324D49">
        <w:rPr>
          <w:rFonts w:cstheme="minorHAnsi"/>
        </w:rPr>
        <w:t xml:space="preserve">hanno </w:t>
      </w:r>
      <w:r w:rsidR="00F47111">
        <w:rPr>
          <w:rFonts w:cstheme="minorHAnsi"/>
        </w:rPr>
        <w:t xml:space="preserve">dichiarato attivo </w:t>
      </w:r>
      <w:r w:rsidR="000C5D19">
        <w:rPr>
          <w:rFonts w:cstheme="minorHAnsi"/>
        </w:rPr>
        <w:t xml:space="preserve">alcun servizio </w:t>
      </w:r>
      <w:r w:rsidR="00973AF6">
        <w:rPr>
          <w:rFonts w:cstheme="minorHAnsi"/>
        </w:rPr>
        <w:t>previsto</w:t>
      </w:r>
      <w:r w:rsidR="00CD15A8">
        <w:rPr>
          <w:rFonts w:cstheme="minorHAnsi"/>
        </w:rPr>
        <w:t xml:space="preserve"> dal DM 77</w:t>
      </w:r>
      <w:r w:rsidR="007F3B58">
        <w:rPr>
          <w:rFonts w:cstheme="minorHAnsi"/>
        </w:rPr>
        <w:t xml:space="preserve">. </w:t>
      </w:r>
      <w:r w:rsidR="007F3B58" w:rsidRPr="00324D49">
        <w:rPr>
          <w:rFonts w:cstheme="minorHAnsi"/>
        </w:rPr>
        <w:t>«</w:t>
      </w:r>
      <w:r w:rsidR="00973AF6">
        <w:rPr>
          <w:rFonts w:cstheme="minorHAnsi"/>
        </w:rPr>
        <w:t xml:space="preserve">Per oltre un terzo delle strutture programmate </w:t>
      </w:r>
      <w:r w:rsidR="007F3B58" w:rsidRPr="00324D49">
        <w:rPr>
          <w:rFonts w:cstheme="minorHAnsi"/>
        </w:rPr>
        <w:t xml:space="preserve">– </w:t>
      </w:r>
      <w:r w:rsidR="007F3B58">
        <w:rPr>
          <w:rFonts w:cstheme="minorHAnsi"/>
        </w:rPr>
        <w:t xml:space="preserve">commenta il Presidente </w:t>
      </w:r>
      <w:r w:rsidR="007F3B58" w:rsidRPr="00324D49">
        <w:rPr>
          <w:rFonts w:cstheme="minorHAnsi"/>
        </w:rPr>
        <w:t>–</w:t>
      </w:r>
      <w:r w:rsidR="00745AA0">
        <w:rPr>
          <w:rFonts w:cstheme="minorHAnsi"/>
        </w:rPr>
        <w:t xml:space="preserve"> </w:t>
      </w:r>
      <w:r w:rsidR="007F3B58">
        <w:rPr>
          <w:rFonts w:cstheme="minorHAnsi"/>
        </w:rPr>
        <w:t xml:space="preserve">non </w:t>
      </w:r>
      <w:r w:rsidR="00973AF6">
        <w:rPr>
          <w:rFonts w:cstheme="minorHAnsi"/>
        </w:rPr>
        <w:t>esiste</w:t>
      </w:r>
      <w:r w:rsidR="00207BDE">
        <w:rPr>
          <w:rFonts w:cstheme="minorHAnsi"/>
        </w:rPr>
        <w:t xml:space="preserve"> </w:t>
      </w:r>
      <w:r w:rsidR="007F3B58">
        <w:rPr>
          <w:rFonts w:cstheme="minorHAnsi"/>
        </w:rPr>
        <w:t>alcun dato pubblico</w:t>
      </w:r>
      <w:r w:rsidR="00973AF6">
        <w:rPr>
          <w:rFonts w:cstheme="minorHAnsi"/>
        </w:rPr>
        <w:t>: né</w:t>
      </w:r>
      <w:r w:rsidR="007F3B58">
        <w:rPr>
          <w:rFonts w:cstheme="minorHAnsi"/>
        </w:rPr>
        <w:t xml:space="preserve"> sulla loro </w:t>
      </w:r>
      <w:r w:rsidR="00973AF6">
        <w:rPr>
          <w:rFonts w:cstheme="minorHAnsi"/>
        </w:rPr>
        <w:t xml:space="preserve">reale </w:t>
      </w:r>
      <w:r w:rsidR="007F3B58">
        <w:rPr>
          <w:rFonts w:cstheme="minorHAnsi"/>
        </w:rPr>
        <w:t xml:space="preserve">esistenza, né sullo </w:t>
      </w:r>
      <w:r w:rsidR="00973AF6">
        <w:rPr>
          <w:rFonts w:cstheme="minorHAnsi"/>
        </w:rPr>
        <w:t xml:space="preserve">stato </w:t>
      </w:r>
      <w:r w:rsidR="007F3B58">
        <w:rPr>
          <w:rFonts w:cstheme="minorHAnsi"/>
        </w:rPr>
        <w:t xml:space="preserve">di </w:t>
      </w:r>
      <w:r w:rsidR="007F3B58">
        <w:rPr>
          <w:rFonts w:cstheme="minorHAnsi"/>
        </w:rPr>
        <w:lastRenderedPageBreak/>
        <w:t>avanzamento</w:t>
      </w:r>
      <w:r w:rsidR="007F3B58" w:rsidRPr="00324D49">
        <w:rPr>
          <w:rFonts w:cstheme="minorHAnsi"/>
        </w:rPr>
        <w:t>»</w:t>
      </w:r>
      <w:r w:rsidR="007F3B58">
        <w:rPr>
          <w:rFonts w:cstheme="minorHAnsi"/>
        </w:rPr>
        <w:t xml:space="preserve">. </w:t>
      </w:r>
      <w:bookmarkStart w:id="2" w:name="_Hlk225521068"/>
      <w:r w:rsidR="007F3B58">
        <w:rPr>
          <w:rFonts w:cstheme="minorHAnsi"/>
        </w:rPr>
        <w:t>P</w:t>
      </w:r>
      <w:r w:rsidR="009E317A">
        <w:rPr>
          <w:rFonts w:cstheme="minorHAnsi"/>
        </w:rPr>
        <w:t xml:space="preserve">er </w:t>
      </w:r>
      <w:r w:rsidR="00141DDB">
        <w:rPr>
          <w:rFonts w:cstheme="minorHAnsi"/>
        </w:rPr>
        <w:t xml:space="preserve">781 </w:t>
      </w:r>
      <w:r w:rsidR="000C5D19">
        <w:rPr>
          <w:rFonts w:cstheme="minorHAnsi"/>
        </w:rPr>
        <w:t xml:space="preserve">strutture </w:t>
      </w:r>
      <w:r w:rsidR="006A13C2">
        <w:rPr>
          <w:rFonts w:cstheme="minorHAnsi"/>
        </w:rPr>
        <w:t>(</w:t>
      </w:r>
      <w:r w:rsidR="00141DDB">
        <w:rPr>
          <w:rFonts w:cstheme="minorHAnsi"/>
        </w:rPr>
        <w:t>45</w:t>
      </w:r>
      <w:r w:rsidR="006A13C2">
        <w:rPr>
          <w:rFonts w:cstheme="minorHAnsi"/>
        </w:rPr>
        <w:t>,</w:t>
      </w:r>
      <w:r w:rsidR="00141DDB">
        <w:rPr>
          <w:rFonts w:cstheme="minorHAnsi"/>
        </w:rPr>
        <w:t>5</w:t>
      </w:r>
      <w:r w:rsidR="006A13C2">
        <w:rPr>
          <w:rFonts w:cstheme="minorHAnsi"/>
        </w:rPr>
        <w:t xml:space="preserve">%) </w:t>
      </w:r>
      <w:r w:rsidR="00973AF6">
        <w:rPr>
          <w:rFonts w:cstheme="minorHAnsi"/>
        </w:rPr>
        <w:t>risulta</w:t>
      </w:r>
      <w:r w:rsidR="00F47111">
        <w:rPr>
          <w:rFonts w:cstheme="minorHAnsi"/>
        </w:rPr>
        <w:t xml:space="preserve"> attivo </w:t>
      </w:r>
      <w:r w:rsidR="00641090" w:rsidRPr="00641090">
        <w:rPr>
          <w:rFonts w:cstheme="minorHAnsi"/>
        </w:rPr>
        <w:t xml:space="preserve">almeno un </w:t>
      </w:r>
      <w:r w:rsidR="00973AF6" w:rsidRPr="00641090">
        <w:rPr>
          <w:rFonts w:cstheme="minorHAnsi"/>
        </w:rPr>
        <w:t>servizio</w:t>
      </w:r>
      <w:r w:rsidR="00E022A7">
        <w:rPr>
          <w:rFonts w:cstheme="minorHAnsi"/>
        </w:rPr>
        <w:t>: di queste</w:t>
      </w:r>
      <w:r w:rsidR="00B51190">
        <w:rPr>
          <w:rFonts w:cstheme="minorHAnsi"/>
        </w:rPr>
        <w:t xml:space="preserve"> </w:t>
      </w:r>
      <w:r w:rsidR="00973AF6">
        <w:rPr>
          <w:rFonts w:cstheme="minorHAnsi"/>
        </w:rPr>
        <w:t>s</w:t>
      </w:r>
      <w:r w:rsidR="00231540">
        <w:rPr>
          <w:rFonts w:cstheme="minorHAnsi"/>
        </w:rPr>
        <w:t xml:space="preserve">olo </w:t>
      </w:r>
      <w:r w:rsidR="00E022A7">
        <w:rPr>
          <w:rFonts w:cstheme="minorHAnsi"/>
        </w:rPr>
        <w:t xml:space="preserve">per </w:t>
      </w:r>
      <w:r w:rsidR="00141DDB">
        <w:rPr>
          <w:rFonts w:cstheme="minorHAnsi"/>
        </w:rPr>
        <w:t>285</w:t>
      </w:r>
      <w:r w:rsidR="00CD15A8">
        <w:rPr>
          <w:rFonts w:cstheme="minorHAnsi"/>
        </w:rPr>
        <w:t xml:space="preserve"> </w:t>
      </w:r>
      <w:r w:rsidR="00F47111">
        <w:rPr>
          <w:rFonts w:cstheme="minorHAnsi"/>
        </w:rPr>
        <w:t>(</w:t>
      </w:r>
      <w:r w:rsidR="00141DDB">
        <w:rPr>
          <w:rFonts w:cstheme="minorHAnsi"/>
        </w:rPr>
        <w:t>16,7</w:t>
      </w:r>
      <w:r w:rsidR="00F47111">
        <w:rPr>
          <w:rFonts w:cstheme="minorHAnsi"/>
        </w:rPr>
        <w:t xml:space="preserve">%) </w:t>
      </w:r>
      <w:r w:rsidR="009E317A">
        <w:rPr>
          <w:rFonts w:cstheme="minorHAnsi"/>
        </w:rPr>
        <w:t xml:space="preserve">sono stati </w:t>
      </w:r>
      <w:r w:rsidR="00CD15A8" w:rsidRPr="00CD15A8">
        <w:rPr>
          <w:rFonts w:cstheme="minorHAnsi"/>
        </w:rPr>
        <w:t>dichiarati attivi</w:t>
      </w:r>
      <w:r w:rsidR="009B702D">
        <w:rPr>
          <w:rFonts w:cstheme="minorHAnsi"/>
        </w:rPr>
        <w:t xml:space="preserve"> </w:t>
      </w:r>
      <w:r w:rsidR="00E022A7">
        <w:rPr>
          <w:rFonts w:cstheme="minorHAnsi"/>
        </w:rPr>
        <w:t xml:space="preserve">tutti </w:t>
      </w:r>
      <w:r w:rsidR="00874ECF">
        <w:rPr>
          <w:rFonts w:cstheme="minorHAnsi"/>
        </w:rPr>
        <w:t xml:space="preserve">i </w:t>
      </w:r>
      <w:r w:rsidR="009B702D" w:rsidRPr="00CD15A8">
        <w:rPr>
          <w:rFonts w:cstheme="minorHAnsi"/>
        </w:rPr>
        <w:t>servizi obbligatori</w:t>
      </w:r>
      <w:r w:rsidR="009504BB">
        <w:rPr>
          <w:rFonts w:cstheme="minorHAnsi"/>
        </w:rPr>
        <w:t xml:space="preserve">: </w:t>
      </w:r>
      <w:r w:rsidR="00973AF6">
        <w:rPr>
          <w:rFonts w:cstheme="minorHAnsi"/>
        </w:rPr>
        <w:t xml:space="preserve">presenza di </w:t>
      </w:r>
      <w:r w:rsidR="009504BB" w:rsidRPr="00F365A2">
        <w:rPr>
          <w:rFonts w:cstheme="minorHAnsi"/>
        </w:rPr>
        <w:t>équipe multi</w:t>
      </w:r>
      <w:r w:rsidR="00745AA0">
        <w:rPr>
          <w:rFonts w:cstheme="minorHAnsi"/>
        </w:rPr>
        <w:t>-</w:t>
      </w:r>
      <w:r w:rsidR="009504BB" w:rsidRPr="00F365A2">
        <w:rPr>
          <w:rFonts w:cstheme="minorHAnsi"/>
        </w:rPr>
        <w:t xml:space="preserve">professionali, </w:t>
      </w:r>
      <w:r w:rsidR="009504BB">
        <w:rPr>
          <w:rFonts w:cstheme="minorHAnsi"/>
        </w:rPr>
        <w:t>punto unico di accesso</w:t>
      </w:r>
      <w:r w:rsidR="009504BB" w:rsidRPr="00F365A2">
        <w:rPr>
          <w:rFonts w:cstheme="minorHAnsi"/>
        </w:rPr>
        <w:t xml:space="preserve">, assistenza domiciliare, specialistica ambulatoriale, </w:t>
      </w:r>
      <w:r w:rsidR="009504BB">
        <w:rPr>
          <w:rFonts w:cstheme="minorHAnsi"/>
        </w:rPr>
        <w:t>s</w:t>
      </w:r>
      <w:r w:rsidR="009504BB" w:rsidRPr="00F365A2">
        <w:rPr>
          <w:rFonts w:cstheme="minorHAnsi"/>
        </w:rPr>
        <w:t>ervizi infermieristici,</w:t>
      </w:r>
      <w:r w:rsidR="009504BB">
        <w:rPr>
          <w:rFonts w:cstheme="minorHAnsi"/>
        </w:rPr>
        <w:t xml:space="preserve"> sistema </w:t>
      </w:r>
      <w:r w:rsidR="009504BB" w:rsidRPr="00F365A2">
        <w:rPr>
          <w:rFonts w:cstheme="minorHAnsi"/>
        </w:rPr>
        <w:t>di prenotazione collegato al CUP</w:t>
      </w:r>
      <w:r w:rsidR="009504BB">
        <w:rPr>
          <w:rFonts w:cstheme="minorHAnsi"/>
        </w:rPr>
        <w:t>, i</w:t>
      </w:r>
      <w:r w:rsidR="009504BB" w:rsidRPr="00F365A2">
        <w:rPr>
          <w:rFonts w:cstheme="minorHAnsi"/>
        </w:rPr>
        <w:t>ntegrazione con i servizi sociali</w:t>
      </w:r>
      <w:r w:rsidR="00745AA0">
        <w:rPr>
          <w:rFonts w:cstheme="minorHAnsi"/>
        </w:rPr>
        <w:t>,</w:t>
      </w:r>
      <w:r w:rsidR="00973AF6">
        <w:rPr>
          <w:rFonts w:cstheme="minorHAnsi"/>
        </w:rPr>
        <w:t xml:space="preserve"> </w:t>
      </w:r>
      <w:r w:rsidR="009504BB">
        <w:rPr>
          <w:rFonts w:cstheme="minorHAnsi"/>
        </w:rPr>
        <w:t>p</w:t>
      </w:r>
      <w:r w:rsidR="009504BB" w:rsidRPr="00F365A2">
        <w:rPr>
          <w:rFonts w:cstheme="minorHAnsi"/>
        </w:rPr>
        <w:t>artecipazione della comunità</w:t>
      </w:r>
      <w:r w:rsidR="00302F87">
        <w:rPr>
          <w:rFonts w:cstheme="minorHAnsi"/>
        </w:rPr>
        <w:t xml:space="preserve">, </w:t>
      </w:r>
      <w:r w:rsidR="00302F87" w:rsidRPr="0048509B">
        <w:rPr>
          <w:rFonts w:cstheme="minorHAnsi"/>
        </w:rPr>
        <w:t>o</w:t>
      </w:r>
      <w:r w:rsidR="00874ECF" w:rsidRPr="0048509B">
        <w:rPr>
          <w:rFonts w:cstheme="minorHAnsi"/>
        </w:rPr>
        <w:t xml:space="preserve">ltre </w:t>
      </w:r>
      <w:r w:rsidR="00157C9C">
        <w:rPr>
          <w:rFonts w:cstheme="minorHAnsi"/>
        </w:rPr>
        <w:t>a</w:t>
      </w:r>
      <w:r w:rsidR="00157C9C" w:rsidRPr="0048509B">
        <w:rPr>
          <w:rFonts w:cstheme="minorHAnsi"/>
        </w:rPr>
        <w:t xml:space="preserve"> </w:t>
      </w:r>
      <w:r w:rsidR="009504BB" w:rsidRPr="0048509B">
        <w:rPr>
          <w:rFonts w:cstheme="minorHAnsi"/>
        </w:rPr>
        <w:t>servizi diagnostici di base, continuità assistenziale</w:t>
      </w:r>
      <w:r w:rsidR="00874ECF" w:rsidRPr="0048509B">
        <w:rPr>
          <w:rFonts w:cstheme="minorHAnsi"/>
        </w:rPr>
        <w:t xml:space="preserve"> e </w:t>
      </w:r>
      <w:r w:rsidR="009504BB" w:rsidRPr="0048509B">
        <w:rPr>
          <w:rFonts w:cstheme="minorHAnsi"/>
        </w:rPr>
        <w:t>punto prelievi</w:t>
      </w:r>
      <w:r w:rsidR="00874ECF" w:rsidRPr="0048509B">
        <w:rPr>
          <w:rFonts w:cstheme="minorHAnsi"/>
        </w:rPr>
        <w:t xml:space="preserve"> </w:t>
      </w:r>
      <w:r w:rsidR="00FE2E17">
        <w:rPr>
          <w:rFonts w:cstheme="minorHAnsi"/>
        </w:rPr>
        <w:t xml:space="preserve">solo </w:t>
      </w:r>
      <w:r w:rsidR="00874ECF" w:rsidRPr="0048509B">
        <w:rPr>
          <w:rFonts w:cstheme="minorHAnsi"/>
        </w:rPr>
        <w:t xml:space="preserve">nelle CdC </w:t>
      </w:r>
      <w:r w:rsidR="0048509B" w:rsidRPr="0048509B">
        <w:rPr>
          <w:rFonts w:cstheme="minorHAnsi"/>
        </w:rPr>
        <w:t>principali</w:t>
      </w:r>
      <w:r w:rsidR="00D325C2">
        <w:rPr>
          <w:rFonts w:cstheme="minorHAnsi"/>
        </w:rPr>
        <w:t xml:space="preserve"> (</w:t>
      </w:r>
      <w:r w:rsidR="00D325C2">
        <w:rPr>
          <w:rFonts w:cstheme="minorHAnsi"/>
          <w:i/>
          <w:iCs/>
        </w:rPr>
        <w:t>hub</w:t>
      </w:r>
      <w:r w:rsidR="00D325C2" w:rsidRPr="00D325C2">
        <w:rPr>
          <w:rFonts w:cstheme="minorHAnsi"/>
        </w:rPr>
        <w:t>)</w:t>
      </w:r>
      <w:r w:rsidR="009504BB" w:rsidRPr="0048509B">
        <w:rPr>
          <w:rFonts w:cstheme="minorHAnsi"/>
        </w:rPr>
        <w:t xml:space="preserve">. </w:t>
      </w:r>
      <w:r w:rsidR="003A4C83" w:rsidRPr="0048509B">
        <w:rPr>
          <w:rFonts w:cstheme="minorHAnsi"/>
        </w:rPr>
        <w:t>«Considerata la rilevanza di ciascuno di questi servizi</w:t>
      </w:r>
      <w:r w:rsidR="00951D00" w:rsidRPr="0048509B">
        <w:rPr>
          <w:rFonts w:cstheme="minorHAnsi"/>
        </w:rPr>
        <w:t xml:space="preserve"> </w:t>
      </w:r>
      <w:r w:rsidR="003A4C83" w:rsidRPr="0048509B">
        <w:rPr>
          <w:rFonts w:cstheme="minorHAnsi"/>
        </w:rPr>
        <w:t xml:space="preserve">– chiosa Cartabellotta – la loro presenza parziale </w:t>
      </w:r>
      <w:r w:rsidR="00745AA0" w:rsidRPr="0048509B">
        <w:rPr>
          <w:rFonts w:cstheme="minorHAnsi"/>
        </w:rPr>
        <w:t xml:space="preserve">non solo </w:t>
      </w:r>
      <w:r w:rsidR="00C066EC" w:rsidRPr="0048509B">
        <w:rPr>
          <w:rFonts w:cstheme="minorHAnsi"/>
        </w:rPr>
        <w:t>i</w:t>
      </w:r>
      <w:r w:rsidR="003A4C83" w:rsidRPr="0048509B">
        <w:rPr>
          <w:rFonts w:cstheme="minorHAnsi"/>
        </w:rPr>
        <w:t>ndebolisce l</w:t>
      </w:r>
      <w:r w:rsidR="00745AA0" w:rsidRPr="0048509B">
        <w:rPr>
          <w:rFonts w:cstheme="minorHAnsi"/>
        </w:rPr>
        <w:t>e</w:t>
      </w:r>
      <w:r w:rsidR="003A4C83" w:rsidRPr="0048509B">
        <w:rPr>
          <w:rFonts w:cstheme="minorHAnsi"/>
        </w:rPr>
        <w:t xml:space="preserve"> funzion</w:t>
      </w:r>
      <w:r w:rsidR="00745AA0" w:rsidRPr="0048509B">
        <w:rPr>
          <w:rFonts w:cstheme="minorHAnsi"/>
        </w:rPr>
        <w:t>i</w:t>
      </w:r>
      <w:r w:rsidR="00C066EC" w:rsidRPr="0048509B">
        <w:rPr>
          <w:rFonts w:cstheme="minorHAnsi"/>
        </w:rPr>
        <w:t xml:space="preserve"> delle Case della Comunità</w:t>
      </w:r>
      <w:r w:rsidR="00745AA0" w:rsidRPr="0048509B">
        <w:rPr>
          <w:rFonts w:cstheme="minorHAnsi"/>
        </w:rPr>
        <w:t xml:space="preserve">, ma rende </w:t>
      </w:r>
      <w:r w:rsidR="00C066EC" w:rsidRPr="0048509B">
        <w:rPr>
          <w:rFonts w:cstheme="minorHAnsi"/>
        </w:rPr>
        <w:t xml:space="preserve">le strutture </w:t>
      </w:r>
      <w:r w:rsidR="00745AA0" w:rsidRPr="0048509B">
        <w:rPr>
          <w:rFonts w:cstheme="minorHAnsi"/>
        </w:rPr>
        <w:t>poco attrattive per i cittadini</w:t>
      </w:r>
      <w:r w:rsidR="00C066EC" w:rsidRPr="0048509B">
        <w:rPr>
          <w:rFonts w:cstheme="minorHAnsi"/>
        </w:rPr>
        <w:t xml:space="preserve"> che non trovano tutte le risposte </w:t>
      </w:r>
      <w:r w:rsidR="00157C9C">
        <w:rPr>
          <w:rFonts w:cstheme="minorHAnsi"/>
        </w:rPr>
        <w:t>adeguate ai bisogni assistenziali</w:t>
      </w:r>
      <w:r w:rsidR="003A4C83" w:rsidRPr="0048509B">
        <w:rPr>
          <w:rFonts w:cstheme="minorHAnsi"/>
        </w:rPr>
        <w:t>»</w:t>
      </w:r>
      <w:r w:rsidR="009504BB" w:rsidRPr="0048509B">
        <w:rPr>
          <w:rFonts w:cstheme="minorHAnsi"/>
        </w:rPr>
        <w:t>.</w:t>
      </w:r>
      <w:bookmarkEnd w:id="2"/>
      <w:r w:rsidR="009504BB" w:rsidRPr="0048509B">
        <w:rPr>
          <w:rFonts w:cstheme="minorHAnsi"/>
        </w:rPr>
        <w:t xml:space="preserve"> Infine, </w:t>
      </w:r>
      <w:r w:rsidR="00E022A7">
        <w:rPr>
          <w:rFonts w:cstheme="minorHAnsi"/>
        </w:rPr>
        <w:t>del</w:t>
      </w:r>
      <w:r w:rsidR="00EC7B0A" w:rsidRPr="0048509B">
        <w:rPr>
          <w:rFonts w:cstheme="minorHAnsi"/>
        </w:rPr>
        <w:t xml:space="preserve">le </w:t>
      </w:r>
      <w:r w:rsidR="009504BB" w:rsidRPr="0048509B">
        <w:rPr>
          <w:rFonts w:cstheme="minorHAnsi"/>
        </w:rPr>
        <w:t xml:space="preserve">285 </w:t>
      </w:r>
      <w:r w:rsidR="00157C9C">
        <w:rPr>
          <w:rFonts w:cstheme="minorHAnsi"/>
        </w:rPr>
        <w:t>CdC</w:t>
      </w:r>
      <w:r w:rsidR="009B702D" w:rsidRPr="0048509B">
        <w:rPr>
          <w:rFonts w:cstheme="minorHAnsi"/>
        </w:rPr>
        <w:t xml:space="preserve"> </w:t>
      </w:r>
      <w:r w:rsidR="009504BB" w:rsidRPr="0048509B">
        <w:rPr>
          <w:rFonts w:cstheme="minorHAnsi"/>
        </w:rPr>
        <w:t>con tutti i servizi obbligatori attivi</w:t>
      </w:r>
      <w:r w:rsidR="00EC7B0A" w:rsidRPr="0048509B">
        <w:rPr>
          <w:rFonts w:cstheme="minorHAnsi"/>
        </w:rPr>
        <w:t xml:space="preserve">, </w:t>
      </w:r>
      <w:r w:rsidR="009B4114" w:rsidRPr="0048509B">
        <w:rPr>
          <w:rFonts w:cstheme="minorHAnsi"/>
        </w:rPr>
        <w:t>sol</w:t>
      </w:r>
      <w:r w:rsidR="009504BB" w:rsidRPr="0048509B">
        <w:rPr>
          <w:rFonts w:cstheme="minorHAnsi"/>
        </w:rPr>
        <w:t xml:space="preserve">o </w:t>
      </w:r>
      <w:r w:rsidR="00141DDB" w:rsidRPr="0048509B">
        <w:rPr>
          <w:rFonts w:cstheme="minorHAnsi"/>
        </w:rPr>
        <w:t>66</w:t>
      </w:r>
      <w:r w:rsidR="009B4114" w:rsidRPr="0048509B">
        <w:rPr>
          <w:rFonts w:cstheme="minorHAnsi"/>
        </w:rPr>
        <w:t xml:space="preserve"> </w:t>
      </w:r>
      <w:r w:rsidR="00F47111" w:rsidRPr="0048509B">
        <w:rPr>
          <w:rFonts w:cstheme="minorHAnsi"/>
        </w:rPr>
        <w:t>(</w:t>
      </w:r>
      <w:r w:rsidR="00141DDB" w:rsidRPr="0048509B">
        <w:rPr>
          <w:rFonts w:cstheme="minorHAnsi"/>
        </w:rPr>
        <w:t>3,9</w:t>
      </w:r>
      <w:r w:rsidR="006A13C2" w:rsidRPr="0048509B">
        <w:rPr>
          <w:rFonts w:cstheme="minorHAnsi"/>
        </w:rPr>
        <w:t>%</w:t>
      </w:r>
      <w:r w:rsidR="00F47111" w:rsidRPr="0048509B">
        <w:rPr>
          <w:rFonts w:cstheme="minorHAnsi"/>
        </w:rPr>
        <w:t>)</w:t>
      </w:r>
      <w:r w:rsidR="009B4114" w:rsidRPr="0048509B">
        <w:rPr>
          <w:rFonts w:cstheme="minorHAnsi"/>
        </w:rPr>
        <w:t xml:space="preserve"> risult</w:t>
      </w:r>
      <w:r w:rsidR="00EC7B0A" w:rsidRPr="0048509B">
        <w:rPr>
          <w:rFonts w:cstheme="minorHAnsi"/>
        </w:rPr>
        <w:t>ano</w:t>
      </w:r>
      <w:r w:rsidR="009B4114" w:rsidRPr="0048509B">
        <w:rPr>
          <w:rFonts w:cstheme="minorHAnsi"/>
        </w:rPr>
        <w:t xml:space="preserve"> </w:t>
      </w:r>
      <w:r w:rsidR="006A13C2" w:rsidRPr="0048509B">
        <w:rPr>
          <w:rFonts w:cstheme="minorHAnsi"/>
        </w:rPr>
        <w:t>pienamente operative</w:t>
      </w:r>
      <w:r w:rsidR="009B4114" w:rsidRPr="0048509B">
        <w:rPr>
          <w:rFonts w:cstheme="minorHAnsi"/>
        </w:rPr>
        <w:t xml:space="preserve">, </w:t>
      </w:r>
      <w:r w:rsidR="00745AA0" w:rsidRPr="0048509B">
        <w:rPr>
          <w:rFonts w:cstheme="minorHAnsi"/>
        </w:rPr>
        <w:t xml:space="preserve">grazie alla </w:t>
      </w:r>
      <w:r w:rsidR="006A13C2" w:rsidRPr="0048509B">
        <w:rPr>
          <w:rFonts w:cstheme="minorHAnsi"/>
        </w:rPr>
        <w:t xml:space="preserve">presenza </w:t>
      </w:r>
      <w:r w:rsidR="00EC7B0A" w:rsidRPr="0048509B">
        <w:rPr>
          <w:rFonts w:cstheme="minorHAnsi"/>
        </w:rPr>
        <w:t xml:space="preserve">di personale medico </w:t>
      </w:r>
      <w:r w:rsidR="00951D00" w:rsidRPr="0048509B">
        <w:rPr>
          <w:rFonts w:cstheme="minorHAnsi"/>
        </w:rPr>
        <w:t xml:space="preserve">(H 24 7/7 giorni nelle CdC </w:t>
      </w:r>
      <w:r w:rsidR="0048509B" w:rsidRPr="0048509B">
        <w:rPr>
          <w:rFonts w:cstheme="minorHAnsi"/>
        </w:rPr>
        <w:t xml:space="preserve">principali </w:t>
      </w:r>
      <w:r w:rsidR="00951D00" w:rsidRPr="0048509B">
        <w:rPr>
          <w:rFonts w:cstheme="minorHAnsi"/>
        </w:rPr>
        <w:t>e almeno 12 ore/die per 6</w:t>
      </w:r>
      <w:r w:rsidR="00302F87" w:rsidRPr="0048509B">
        <w:rPr>
          <w:rFonts w:cstheme="minorHAnsi"/>
        </w:rPr>
        <w:t xml:space="preserve">/7 giorni </w:t>
      </w:r>
      <w:r w:rsidR="00874ECF" w:rsidRPr="0048509B">
        <w:rPr>
          <w:rFonts w:cstheme="minorHAnsi"/>
        </w:rPr>
        <w:t xml:space="preserve">nelle </w:t>
      </w:r>
      <w:r w:rsidR="0048509B" w:rsidRPr="0048509B">
        <w:rPr>
          <w:rFonts w:cstheme="minorHAnsi"/>
        </w:rPr>
        <w:t>secondarie</w:t>
      </w:r>
      <w:r w:rsidR="00951D00" w:rsidRPr="0048509B">
        <w:rPr>
          <w:rFonts w:cstheme="minorHAnsi"/>
        </w:rPr>
        <w:t xml:space="preserve">) </w:t>
      </w:r>
      <w:r w:rsidR="00EC7B0A" w:rsidRPr="0048509B">
        <w:rPr>
          <w:rFonts w:cstheme="minorHAnsi"/>
        </w:rPr>
        <w:t>e infermieristico</w:t>
      </w:r>
      <w:r w:rsidR="00951D00" w:rsidRPr="0048509B">
        <w:rPr>
          <w:rFonts w:cstheme="minorHAnsi"/>
        </w:rPr>
        <w:t xml:space="preserve"> (almeno 12 ore/die per 7/7 giorni nelle CdC </w:t>
      </w:r>
      <w:r w:rsidR="0048509B" w:rsidRPr="0048509B">
        <w:rPr>
          <w:rFonts w:cstheme="minorHAnsi"/>
        </w:rPr>
        <w:t xml:space="preserve">principali </w:t>
      </w:r>
      <w:r w:rsidR="00951D00" w:rsidRPr="0048509B">
        <w:rPr>
          <w:rFonts w:cstheme="minorHAnsi"/>
        </w:rPr>
        <w:t xml:space="preserve">e </w:t>
      </w:r>
      <w:r w:rsidR="00157C9C">
        <w:rPr>
          <w:rFonts w:cstheme="minorHAnsi"/>
        </w:rPr>
        <w:t xml:space="preserve">per </w:t>
      </w:r>
      <w:r w:rsidR="00951D00" w:rsidRPr="0048509B">
        <w:rPr>
          <w:rFonts w:cstheme="minorHAnsi"/>
        </w:rPr>
        <w:t xml:space="preserve">6/7 </w:t>
      </w:r>
      <w:r w:rsidR="00157C9C">
        <w:rPr>
          <w:rFonts w:cstheme="minorHAnsi"/>
        </w:rPr>
        <w:t>giorni in quelle</w:t>
      </w:r>
      <w:r w:rsidR="00157C9C" w:rsidRPr="0048509B">
        <w:rPr>
          <w:rFonts w:cstheme="minorHAnsi"/>
        </w:rPr>
        <w:t xml:space="preserve"> </w:t>
      </w:r>
      <w:r w:rsidR="0048509B" w:rsidRPr="0048509B">
        <w:rPr>
          <w:rFonts w:cstheme="minorHAnsi"/>
        </w:rPr>
        <w:t>secondarie</w:t>
      </w:r>
      <w:r w:rsidR="00951D00" w:rsidRPr="0048509B">
        <w:rPr>
          <w:rFonts w:cstheme="minorHAnsi"/>
        </w:rPr>
        <w:t>)</w:t>
      </w:r>
      <w:r w:rsidR="00C86D33" w:rsidRPr="0048509B">
        <w:rPr>
          <w:rFonts w:cstheme="minorHAnsi"/>
        </w:rPr>
        <w:t xml:space="preserve"> </w:t>
      </w:r>
      <w:r w:rsidR="00C21884" w:rsidRPr="0048509B">
        <w:rPr>
          <w:rFonts w:cstheme="minorHAnsi"/>
        </w:rPr>
        <w:t>(</w:t>
      </w:r>
      <w:r w:rsidR="00C21884" w:rsidRPr="00DC38E4">
        <w:rPr>
          <w:rFonts w:cstheme="minorHAnsi"/>
          <w:highlight w:val="yellow"/>
        </w:rPr>
        <w:t xml:space="preserve">Figura </w:t>
      </w:r>
      <w:r w:rsidR="006B391E" w:rsidRPr="00DC38E4">
        <w:rPr>
          <w:rFonts w:cstheme="minorHAnsi"/>
          <w:highlight w:val="yellow"/>
        </w:rPr>
        <w:t>1</w:t>
      </w:r>
      <w:r w:rsidR="00207BDE" w:rsidRPr="00DC38E4">
        <w:rPr>
          <w:rFonts w:cstheme="minorHAnsi"/>
          <w:highlight w:val="yellow"/>
        </w:rPr>
        <w:t xml:space="preserve">, </w:t>
      </w:r>
      <w:r w:rsidR="002E0878" w:rsidRPr="00DC38E4">
        <w:rPr>
          <w:rFonts w:cstheme="minorHAnsi"/>
          <w:highlight w:val="yellow"/>
        </w:rPr>
        <w:t xml:space="preserve">Tabella </w:t>
      </w:r>
      <w:r w:rsidR="001B266D" w:rsidRPr="00DC38E4">
        <w:rPr>
          <w:rFonts w:cstheme="minorHAnsi"/>
          <w:highlight w:val="yellow"/>
        </w:rPr>
        <w:t>2</w:t>
      </w:r>
      <w:r w:rsidR="002E0878" w:rsidRPr="0048509B">
        <w:rPr>
          <w:rFonts w:cstheme="minorHAnsi"/>
        </w:rPr>
        <w:t>).</w:t>
      </w:r>
      <w:r w:rsidR="004B0132">
        <w:rPr>
          <w:rFonts w:cstheme="minorHAnsi"/>
        </w:rPr>
        <w:t xml:space="preserve"> </w:t>
      </w:r>
    </w:p>
    <w:p w14:paraId="1B550223" w14:textId="1E16996E" w:rsidR="00157C9C" w:rsidRDefault="00141DDB" w:rsidP="0048763C">
      <w:pPr>
        <w:jc w:val="both"/>
        <w:rPr>
          <w:rFonts w:cstheme="minorHAnsi"/>
        </w:rPr>
      </w:pPr>
      <w:r>
        <w:rPr>
          <w:rFonts w:cstheme="minorHAnsi"/>
        </w:rPr>
        <w:t xml:space="preserve">La media nazionale del 45,5% </w:t>
      </w:r>
      <w:r w:rsidR="00207BDE">
        <w:rPr>
          <w:rFonts w:cstheme="minorHAnsi"/>
        </w:rPr>
        <w:t xml:space="preserve">delle CdC </w:t>
      </w:r>
      <w:r w:rsidR="00F13704">
        <w:rPr>
          <w:rFonts w:cstheme="minorHAnsi"/>
        </w:rPr>
        <w:t xml:space="preserve">con almeno un servizio dichiarato attivo </w:t>
      </w:r>
      <w:r>
        <w:rPr>
          <w:rFonts w:cstheme="minorHAnsi"/>
        </w:rPr>
        <w:t>è superata da 10 Regioni</w:t>
      </w:r>
      <w:r w:rsidR="00F13704">
        <w:rPr>
          <w:rFonts w:cstheme="minorHAnsi"/>
        </w:rPr>
        <w:t>:</w:t>
      </w:r>
      <w:r>
        <w:rPr>
          <w:rFonts w:cstheme="minorHAnsi"/>
        </w:rPr>
        <w:t xml:space="preserve"> dal 49,7% della Toscana al 100% della Valle d’Aosta. Le r</w:t>
      </w:r>
      <w:r w:rsidR="00F13704">
        <w:rPr>
          <w:rFonts w:cstheme="minorHAnsi"/>
        </w:rPr>
        <w:t xml:space="preserve">imanenti </w:t>
      </w:r>
      <w:r w:rsidR="00C733C6">
        <w:rPr>
          <w:rFonts w:cstheme="minorHAnsi"/>
        </w:rPr>
        <w:t>11</w:t>
      </w:r>
      <w:r>
        <w:rPr>
          <w:rFonts w:cstheme="minorHAnsi"/>
        </w:rPr>
        <w:t xml:space="preserve"> si collocano al di sotto del valore nazionale: dal 38,5% della Provincia </w:t>
      </w:r>
      <w:r w:rsidR="00EC7B0A">
        <w:rPr>
          <w:rFonts w:cstheme="minorHAnsi"/>
        </w:rPr>
        <w:t xml:space="preserve">autonoma </w:t>
      </w:r>
      <w:r>
        <w:rPr>
          <w:rFonts w:cstheme="minorHAnsi"/>
        </w:rPr>
        <w:t xml:space="preserve">di Trento </w:t>
      </w:r>
      <w:r w:rsidR="00F13704">
        <w:rPr>
          <w:rFonts w:cstheme="minorHAnsi"/>
        </w:rPr>
        <w:t>sino alla</w:t>
      </w:r>
      <w:r>
        <w:rPr>
          <w:rFonts w:cstheme="minorHAnsi"/>
        </w:rPr>
        <w:t xml:space="preserve"> Basilicata e </w:t>
      </w:r>
      <w:r w:rsidR="00F13704">
        <w:rPr>
          <w:rFonts w:cstheme="minorHAnsi"/>
        </w:rPr>
        <w:t xml:space="preserve">alla </w:t>
      </w:r>
      <w:r>
        <w:rPr>
          <w:rFonts w:cstheme="minorHAnsi"/>
        </w:rPr>
        <w:t xml:space="preserve">Provincia </w:t>
      </w:r>
      <w:r w:rsidR="00EC7B0A">
        <w:rPr>
          <w:rFonts w:cstheme="minorHAnsi"/>
        </w:rPr>
        <w:t xml:space="preserve">autonoma </w:t>
      </w:r>
      <w:r>
        <w:rPr>
          <w:rFonts w:cstheme="minorHAnsi"/>
        </w:rPr>
        <w:t>di Bolzano</w:t>
      </w:r>
      <w:r w:rsidR="00EC7B0A">
        <w:rPr>
          <w:rFonts w:cstheme="minorHAnsi"/>
        </w:rPr>
        <w:t>,</w:t>
      </w:r>
      <w:r>
        <w:rPr>
          <w:rFonts w:cstheme="minorHAnsi"/>
        </w:rPr>
        <w:t xml:space="preserve"> dove </w:t>
      </w:r>
      <w:r w:rsidR="009B4114">
        <w:rPr>
          <w:rFonts w:cstheme="minorHAnsi"/>
        </w:rPr>
        <w:t>non risulta attiva alcuna CdC</w:t>
      </w:r>
      <w:r w:rsidR="00181CE6">
        <w:rPr>
          <w:rFonts w:cstheme="minorHAnsi"/>
        </w:rPr>
        <w:t xml:space="preserve"> </w:t>
      </w:r>
      <w:r w:rsidR="00997C38">
        <w:rPr>
          <w:rFonts w:cstheme="minorHAnsi"/>
        </w:rPr>
        <w:t>(</w:t>
      </w:r>
      <w:r w:rsidR="00997C38" w:rsidRPr="00997C38">
        <w:rPr>
          <w:rFonts w:cstheme="minorHAnsi"/>
          <w:highlight w:val="yellow"/>
        </w:rPr>
        <w:t>Figura</w:t>
      </w:r>
      <w:r w:rsidR="00997C38">
        <w:rPr>
          <w:rFonts w:cstheme="minorHAnsi"/>
          <w:highlight w:val="yellow"/>
        </w:rPr>
        <w:t xml:space="preserve"> </w:t>
      </w:r>
      <w:r w:rsidR="006B391E">
        <w:rPr>
          <w:rFonts w:cstheme="minorHAnsi"/>
          <w:highlight w:val="yellow"/>
        </w:rPr>
        <w:t>2</w:t>
      </w:r>
      <w:r w:rsidR="00181CE6" w:rsidRPr="00A52C49">
        <w:rPr>
          <w:rFonts w:cstheme="minorHAnsi"/>
        </w:rPr>
        <w:t>)</w:t>
      </w:r>
      <w:r w:rsidR="00181CE6" w:rsidRPr="00231540">
        <w:rPr>
          <w:rFonts w:cstheme="minorHAnsi"/>
        </w:rPr>
        <w:t>.</w:t>
      </w:r>
      <w:r w:rsidR="005B69CF">
        <w:rPr>
          <w:rFonts w:cstheme="minorHAnsi"/>
        </w:rPr>
        <w:t xml:space="preserve"> </w:t>
      </w:r>
      <w:r w:rsidR="00EC7B0A">
        <w:rPr>
          <w:rFonts w:cstheme="minorHAnsi"/>
        </w:rPr>
        <w:t>Limitando l’analisi alle</w:t>
      </w:r>
      <w:r w:rsidR="00843208">
        <w:rPr>
          <w:rFonts w:cstheme="minorHAnsi"/>
        </w:rPr>
        <w:t xml:space="preserve"> CdC con tutti i servizi </w:t>
      </w:r>
      <w:r w:rsidR="00A52C49">
        <w:rPr>
          <w:rFonts w:cstheme="minorHAnsi"/>
        </w:rPr>
        <w:t xml:space="preserve">dichiarati </w:t>
      </w:r>
      <w:r w:rsidR="00843208">
        <w:rPr>
          <w:rFonts w:cstheme="minorHAnsi"/>
        </w:rPr>
        <w:t>attivi</w:t>
      </w:r>
      <w:r w:rsidR="00453087">
        <w:rPr>
          <w:rFonts w:cstheme="minorHAnsi"/>
        </w:rPr>
        <w:t>,</w:t>
      </w:r>
      <w:r w:rsidR="00843208">
        <w:rPr>
          <w:rFonts w:cstheme="minorHAnsi"/>
        </w:rPr>
        <w:t xml:space="preserve"> </w:t>
      </w:r>
      <w:r w:rsidR="00F34ACA">
        <w:rPr>
          <w:rFonts w:cstheme="minorHAnsi"/>
        </w:rPr>
        <w:t>la</w:t>
      </w:r>
      <w:r w:rsidR="00843208">
        <w:rPr>
          <w:rFonts w:cstheme="minorHAnsi"/>
        </w:rPr>
        <w:t xml:space="preserve"> media nazionale </w:t>
      </w:r>
      <w:r w:rsidR="00EC7B0A">
        <w:rPr>
          <w:rFonts w:cstheme="minorHAnsi"/>
        </w:rPr>
        <w:t>scende al</w:t>
      </w:r>
      <w:r w:rsidR="00F34ACA">
        <w:rPr>
          <w:rFonts w:cstheme="minorHAnsi"/>
        </w:rPr>
        <w:t xml:space="preserve"> </w:t>
      </w:r>
      <w:r w:rsidR="00D437C5">
        <w:rPr>
          <w:rFonts w:cstheme="minorHAnsi"/>
        </w:rPr>
        <w:t>12</w:t>
      </w:r>
      <w:r w:rsidR="00843208">
        <w:rPr>
          <w:rFonts w:cstheme="minorHAnsi"/>
        </w:rPr>
        <w:t>,</w:t>
      </w:r>
      <w:r w:rsidR="00D437C5">
        <w:rPr>
          <w:rFonts w:cstheme="minorHAnsi"/>
        </w:rPr>
        <w:t>8</w:t>
      </w:r>
      <w:r w:rsidR="00843208">
        <w:rPr>
          <w:rFonts w:cstheme="minorHAnsi"/>
        </w:rPr>
        <w:t xml:space="preserve">% per quelle </w:t>
      </w:r>
      <w:r w:rsidR="00DE1923">
        <w:rPr>
          <w:rFonts w:cstheme="minorHAnsi"/>
        </w:rPr>
        <w:t>prive di personale</w:t>
      </w:r>
      <w:r w:rsidR="00963A49">
        <w:rPr>
          <w:rFonts w:cstheme="minorHAnsi"/>
        </w:rPr>
        <w:t xml:space="preserve"> </w:t>
      </w:r>
      <w:r w:rsidR="00DE1923">
        <w:rPr>
          <w:rFonts w:cstheme="minorHAnsi"/>
        </w:rPr>
        <w:t xml:space="preserve">medico </w:t>
      </w:r>
      <w:r w:rsidR="00F34ACA">
        <w:rPr>
          <w:rFonts w:cstheme="minorHAnsi"/>
        </w:rPr>
        <w:t xml:space="preserve">e </w:t>
      </w:r>
      <w:r w:rsidR="00DE1923">
        <w:rPr>
          <w:rFonts w:cstheme="minorHAnsi"/>
        </w:rPr>
        <w:t xml:space="preserve">infermieristico </w:t>
      </w:r>
      <w:r w:rsidR="00843208">
        <w:rPr>
          <w:rFonts w:cstheme="minorHAnsi"/>
        </w:rPr>
        <w:t xml:space="preserve">e </w:t>
      </w:r>
      <w:r w:rsidR="00F34ACA">
        <w:rPr>
          <w:rFonts w:cstheme="minorHAnsi"/>
        </w:rPr>
        <w:t xml:space="preserve">al </w:t>
      </w:r>
      <w:r w:rsidR="00D437C5">
        <w:rPr>
          <w:rFonts w:cstheme="minorHAnsi"/>
        </w:rPr>
        <w:t>3</w:t>
      </w:r>
      <w:r w:rsidR="00843208">
        <w:rPr>
          <w:rFonts w:cstheme="minorHAnsi"/>
        </w:rPr>
        <w:t>,</w:t>
      </w:r>
      <w:r w:rsidR="00AD5401">
        <w:rPr>
          <w:rFonts w:cstheme="minorHAnsi"/>
        </w:rPr>
        <w:t>9</w:t>
      </w:r>
      <w:r w:rsidR="00843208">
        <w:rPr>
          <w:rFonts w:cstheme="minorHAnsi"/>
        </w:rPr>
        <w:t xml:space="preserve">% </w:t>
      </w:r>
      <w:r w:rsidR="00F34ACA">
        <w:rPr>
          <w:rFonts w:cstheme="minorHAnsi"/>
        </w:rPr>
        <w:t>per quelle pienamente funzionanti</w:t>
      </w:r>
      <w:r w:rsidR="00E022A7">
        <w:rPr>
          <w:rFonts w:cstheme="minorHAnsi"/>
        </w:rPr>
        <w:t xml:space="preserve">, di cui </w:t>
      </w:r>
      <w:r w:rsidR="00E022A7" w:rsidRPr="0048509B">
        <w:rPr>
          <w:rFonts w:cstheme="minorHAnsi"/>
        </w:rPr>
        <w:t xml:space="preserve">oltre la metà si </w:t>
      </w:r>
      <w:r w:rsidR="00E022A7">
        <w:rPr>
          <w:rFonts w:cstheme="minorHAnsi"/>
        </w:rPr>
        <w:t>concentra</w:t>
      </w:r>
      <w:r w:rsidR="00E022A7" w:rsidRPr="0048509B">
        <w:rPr>
          <w:rFonts w:cstheme="minorHAnsi"/>
        </w:rPr>
        <w:t xml:space="preserve"> in Lombardia (n. 22) ed Emilia Romagna (n. 15</w:t>
      </w:r>
      <w:r w:rsidR="00E022A7">
        <w:rPr>
          <w:rFonts w:cstheme="minorHAnsi"/>
        </w:rPr>
        <w:t>)</w:t>
      </w:r>
      <w:r w:rsidR="00F34ACA">
        <w:rPr>
          <w:rFonts w:cstheme="minorHAnsi"/>
        </w:rPr>
        <w:t>. Le</w:t>
      </w:r>
      <w:r w:rsidR="00843208">
        <w:rPr>
          <w:rFonts w:cstheme="minorHAnsi"/>
        </w:rPr>
        <w:t xml:space="preserve"> differenze </w:t>
      </w:r>
      <w:r w:rsidR="00EC7B0A">
        <w:rPr>
          <w:rFonts w:cstheme="minorHAnsi"/>
        </w:rPr>
        <w:t>regionali</w:t>
      </w:r>
      <w:r w:rsidR="00843208">
        <w:rPr>
          <w:rFonts w:cstheme="minorHAnsi"/>
        </w:rPr>
        <w:t xml:space="preserve"> </w:t>
      </w:r>
      <w:r w:rsidR="00EC7B0A">
        <w:rPr>
          <w:rFonts w:cstheme="minorHAnsi"/>
        </w:rPr>
        <w:t xml:space="preserve">non </w:t>
      </w:r>
      <w:r w:rsidR="00F34ACA">
        <w:rPr>
          <w:rFonts w:cstheme="minorHAnsi"/>
        </w:rPr>
        <w:t>dipendono solo</w:t>
      </w:r>
      <w:r w:rsidR="00453087">
        <w:rPr>
          <w:rFonts w:cstheme="minorHAnsi"/>
        </w:rPr>
        <w:t xml:space="preserve"> </w:t>
      </w:r>
      <w:r w:rsidR="00843208">
        <w:rPr>
          <w:rFonts w:cstheme="minorHAnsi"/>
        </w:rPr>
        <w:t xml:space="preserve">dal completamento delle strutture, </w:t>
      </w:r>
      <w:r w:rsidR="00F34ACA">
        <w:rPr>
          <w:rFonts w:cstheme="minorHAnsi"/>
        </w:rPr>
        <w:t xml:space="preserve">ma soprattutto </w:t>
      </w:r>
      <w:r w:rsidR="00843208">
        <w:rPr>
          <w:rFonts w:cstheme="minorHAnsi"/>
        </w:rPr>
        <w:t>dalla disponibilità di personale</w:t>
      </w:r>
      <w:r w:rsidR="001A14B5">
        <w:rPr>
          <w:rFonts w:cstheme="minorHAnsi"/>
        </w:rPr>
        <w:t>: in tutte le Regioni,</w:t>
      </w:r>
      <w:r w:rsidR="003E1D84">
        <w:rPr>
          <w:rFonts w:cstheme="minorHAnsi"/>
        </w:rPr>
        <w:t xml:space="preserve"> </w:t>
      </w:r>
      <w:r w:rsidR="00EC7B0A">
        <w:rPr>
          <w:rFonts w:cstheme="minorHAnsi"/>
        </w:rPr>
        <w:t xml:space="preserve">ad </w:t>
      </w:r>
      <w:r w:rsidR="00F34ACA">
        <w:rPr>
          <w:rFonts w:cstheme="minorHAnsi"/>
        </w:rPr>
        <w:t xml:space="preserve">eccezione </w:t>
      </w:r>
      <w:r w:rsidR="00EC7B0A">
        <w:rPr>
          <w:rFonts w:cstheme="minorHAnsi"/>
        </w:rPr>
        <w:t xml:space="preserve">di </w:t>
      </w:r>
      <w:r w:rsidR="00D437C5">
        <w:rPr>
          <w:rFonts w:cstheme="minorHAnsi"/>
        </w:rPr>
        <w:t xml:space="preserve">Valle d’Aosta, </w:t>
      </w:r>
      <w:r w:rsidR="00843208">
        <w:rPr>
          <w:rFonts w:cstheme="minorHAnsi"/>
        </w:rPr>
        <w:t>Molise</w:t>
      </w:r>
      <w:r w:rsidR="00D437C5">
        <w:rPr>
          <w:rFonts w:cstheme="minorHAnsi"/>
        </w:rPr>
        <w:t xml:space="preserve"> e Abruzzo</w:t>
      </w:r>
      <w:r w:rsidR="00843208">
        <w:rPr>
          <w:rFonts w:cstheme="minorHAnsi"/>
        </w:rPr>
        <w:t xml:space="preserve">, la </w:t>
      </w:r>
      <w:r w:rsidR="00F34ACA">
        <w:rPr>
          <w:rFonts w:cstheme="minorHAnsi"/>
        </w:rPr>
        <w:t xml:space="preserve">quota </w:t>
      </w:r>
      <w:r w:rsidR="00843208">
        <w:rPr>
          <w:rFonts w:cstheme="minorHAnsi"/>
        </w:rPr>
        <w:t xml:space="preserve">di </w:t>
      </w:r>
      <w:r w:rsidR="000170A8">
        <w:rPr>
          <w:rFonts w:cstheme="minorHAnsi"/>
        </w:rPr>
        <w:t xml:space="preserve">CdC pienamente </w:t>
      </w:r>
      <w:r w:rsidR="00DE1923">
        <w:rPr>
          <w:rFonts w:cstheme="minorHAnsi"/>
        </w:rPr>
        <w:t xml:space="preserve">operative </w:t>
      </w:r>
      <w:r w:rsidR="00843208">
        <w:rPr>
          <w:rFonts w:cstheme="minorHAnsi"/>
        </w:rPr>
        <w:t>è sempre inferiore</w:t>
      </w:r>
      <w:r w:rsidR="000170A8">
        <w:rPr>
          <w:rFonts w:cstheme="minorHAnsi"/>
        </w:rPr>
        <w:t xml:space="preserve"> rispetto a </w:t>
      </w:r>
      <w:r w:rsidR="00DE1923">
        <w:rPr>
          <w:rFonts w:cstheme="minorHAnsi"/>
        </w:rPr>
        <w:t>quelle</w:t>
      </w:r>
      <w:r w:rsidR="00F34ACA">
        <w:rPr>
          <w:rFonts w:cstheme="minorHAnsi"/>
        </w:rPr>
        <w:t xml:space="preserve"> </w:t>
      </w:r>
      <w:r w:rsidR="001A14B5">
        <w:rPr>
          <w:rFonts w:cstheme="minorHAnsi"/>
        </w:rPr>
        <w:t>con</w:t>
      </w:r>
      <w:r w:rsidR="00F34ACA">
        <w:rPr>
          <w:rFonts w:cstheme="minorHAnsi"/>
        </w:rPr>
        <w:t xml:space="preserve"> </w:t>
      </w:r>
      <w:r w:rsidR="000170A8">
        <w:rPr>
          <w:rFonts w:cstheme="minorHAnsi"/>
        </w:rPr>
        <w:t>tutti i servizi</w:t>
      </w:r>
      <w:r w:rsidR="00CC37C1">
        <w:rPr>
          <w:rFonts w:cstheme="minorHAnsi"/>
        </w:rPr>
        <w:t xml:space="preserve"> </w:t>
      </w:r>
      <w:r w:rsidR="001A14B5">
        <w:rPr>
          <w:rFonts w:cstheme="minorHAnsi"/>
        </w:rPr>
        <w:t xml:space="preserve">attivi </w:t>
      </w:r>
      <w:r w:rsidR="00843208" w:rsidRPr="00231540">
        <w:rPr>
          <w:rFonts w:cstheme="minorHAnsi"/>
        </w:rPr>
        <w:t>(</w:t>
      </w:r>
      <w:r w:rsidR="00997C38">
        <w:rPr>
          <w:rFonts w:cstheme="minorHAnsi"/>
          <w:highlight w:val="yellow"/>
        </w:rPr>
        <w:t xml:space="preserve">Figura </w:t>
      </w:r>
      <w:r w:rsidR="006B391E">
        <w:rPr>
          <w:rFonts w:cstheme="minorHAnsi"/>
          <w:highlight w:val="yellow"/>
        </w:rPr>
        <w:t>3</w:t>
      </w:r>
      <w:r w:rsidR="00997C38">
        <w:rPr>
          <w:rFonts w:cstheme="minorHAnsi"/>
        </w:rPr>
        <w:t>)</w:t>
      </w:r>
      <w:r w:rsidR="00833796">
        <w:rPr>
          <w:rFonts w:cstheme="minorHAnsi"/>
        </w:rPr>
        <w:t>.</w:t>
      </w:r>
      <w:r w:rsidR="00641090">
        <w:rPr>
          <w:rFonts w:cstheme="minorHAnsi"/>
        </w:rPr>
        <w:t xml:space="preserve"> </w:t>
      </w:r>
      <w:r w:rsidR="00EC7B0A" w:rsidRPr="00EC7B0A">
        <w:rPr>
          <w:rFonts w:cstheme="minorHAnsi"/>
        </w:rPr>
        <w:t xml:space="preserve">«Anche dove tutti i servizi </w:t>
      </w:r>
      <w:r w:rsidR="003E1D84">
        <w:rPr>
          <w:rFonts w:cstheme="minorHAnsi"/>
        </w:rPr>
        <w:t xml:space="preserve">vengono dichiarati </w:t>
      </w:r>
      <w:r w:rsidR="00EC7B0A" w:rsidRPr="00EC7B0A">
        <w:rPr>
          <w:rFonts w:cstheme="minorHAnsi"/>
        </w:rPr>
        <w:t>attivi – commenta il Presidente – le Case della Comunità restano</w:t>
      </w:r>
      <w:r w:rsidR="001A14B5">
        <w:rPr>
          <w:rFonts w:cstheme="minorHAnsi"/>
        </w:rPr>
        <w:t>,</w:t>
      </w:r>
      <w:r w:rsidR="003E1D84">
        <w:rPr>
          <w:rFonts w:cstheme="minorHAnsi"/>
        </w:rPr>
        <w:t xml:space="preserve"> </w:t>
      </w:r>
      <w:r w:rsidR="001A14B5">
        <w:rPr>
          <w:rFonts w:cstheme="minorHAnsi"/>
        </w:rPr>
        <w:t xml:space="preserve">nei fatti, </w:t>
      </w:r>
      <w:r w:rsidR="00EC7B0A" w:rsidRPr="00EC7B0A">
        <w:rPr>
          <w:rFonts w:cstheme="minorHAnsi"/>
        </w:rPr>
        <w:t xml:space="preserve">scatole vuote: senza personale </w:t>
      </w:r>
      <w:r w:rsidR="001A14B5">
        <w:rPr>
          <w:rFonts w:cstheme="minorHAnsi"/>
        </w:rPr>
        <w:t xml:space="preserve">sanitario </w:t>
      </w:r>
      <w:r w:rsidR="00EC7B0A">
        <w:rPr>
          <w:rFonts w:cstheme="minorHAnsi"/>
        </w:rPr>
        <w:t>non possono funzionare</w:t>
      </w:r>
      <w:r w:rsidR="00EC7B0A" w:rsidRPr="00EC7B0A">
        <w:rPr>
          <w:rFonts w:cstheme="minorHAnsi"/>
        </w:rPr>
        <w:t>».</w:t>
      </w:r>
    </w:p>
    <w:p w14:paraId="2467ABCC" w14:textId="2C31F97D" w:rsidR="001A14B5" w:rsidRDefault="00A12A38" w:rsidP="000F313A">
      <w:pPr>
        <w:jc w:val="both"/>
        <w:rPr>
          <w:rFonts w:cstheme="minorHAnsi"/>
        </w:rPr>
      </w:pPr>
      <w:r w:rsidRPr="00A12A38">
        <w:rPr>
          <w:rFonts w:cstheme="minorHAnsi"/>
          <w:b/>
          <w:bCs/>
        </w:rPr>
        <w:t>Ospedali di comunità.</w:t>
      </w:r>
      <w:r w:rsidRPr="009E317A">
        <w:rPr>
          <w:rFonts w:cstheme="minorHAnsi"/>
        </w:rPr>
        <w:t xml:space="preserve"> </w:t>
      </w:r>
      <w:r w:rsidR="009E317A" w:rsidRPr="009E317A">
        <w:rPr>
          <w:rFonts w:cstheme="minorHAnsi"/>
        </w:rPr>
        <w:t xml:space="preserve">Al </w:t>
      </w:r>
      <w:r w:rsidR="006D718C">
        <w:rPr>
          <w:rFonts w:cstheme="minorHAnsi"/>
        </w:rPr>
        <w:t xml:space="preserve">31 </w:t>
      </w:r>
      <w:r w:rsidR="009E317A" w:rsidRPr="009E317A">
        <w:rPr>
          <w:rFonts w:cstheme="minorHAnsi"/>
        </w:rPr>
        <w:t>dicembre 202</w:t>
      </w:r>
      <w:r w:rsidR="006D718C">
        <w:rPr>
          <w:rFonts w:cstheme="minorHAnsi"/>
        </w:rPr>
        <w:t>5</w:t>
      </w:r>
      <w:r w:rsidR="009E317A" w:rsidRPr="009E317A">
        <w:rPr>
          <w:rFonts w:cstheme="minorHAnsi"/>
        </w:rPr>
        <w:t>, d</w:t>
      </w:r>
      <w:r w:rsidR="00641090" w:rsidRPr="00641090">
        <w:rPr>
          <w:rFonts w:cstheme="minorHAnsi"/>
        </w:rPr>
        <w:t xml:space="preserve">ei </w:t>
      </w:r>
      <w:r w:rsidR="000F313A">
        <w:rPr>
          <w:rFonts w:cstheme="minorHAnsi"/>
        </w:rPr>
        <w:t>594</w:t>
      </w:r>
      <w:r w:rsidR="00641090" w:rsidRPr="00641090">
        <w:rPr>
          <w:rFonts w:cstheme="minorHAnsi"/>
        </w:rPr>
        <w:t xml:space="preserve"> </w:t>
      </w:r>
      <w:r w:rsidR="00F34ACA">
        <w:rPr>
          <w:rFonts w:cstheme="minorHAnsi"/>
        </w:rPr>
        <w:t xml:space="preserve">Ospedali di Comunità </w:t>
      </w:r>
      <w:r w:rsidR="00641090" w:rsidRPr="00641090">
        <w:rPr>
          <w:rFonts w:cstheme="minorHAnsi"/>
        </w:rPr>
        <w:t>pr</w:t>
      </w:r>
      <w:r w:rsidR="00B353DE">
        <w:rPr>
          <w:rFonts w:cstheme="minorHAnsi"/>
        </w:rPr>
        <w:t>ogrammati</w:t>
      </w:r>
      <w:r w:rsidR="00641090" w:rsidRPr="00641090">
        <w:rPr>
          <w:rFonts w:cstheme="minorHAnsi"/>
        </w:rPr>
        <w:t xml:space="preserve">, solo </w:t>
      </w:r>
      <w:r w:rsidR="000F313A">
        <w:rPr>
          <w:rFonts w:cstheme="minorHAnsi"/>
        </w:rPr>
        <w:t>163</w:t>
      </w:r>
      <w:r w:rsidR="00504A30">
        <w:rPr>
          <w:rFonts w:cstheme="minorHAnsi"/>
        </w:rPr>
        <w:t xml:space="preserve"> (</w:t>
      </w:r>
      <w:r w:rsidR="000F313A">
        <w:rPr>
          <w:rFonts w:cstheme="minorHAnsi"/>
        </w:rPr>
        <w:t>27</w:t>
      </w:r>
      <w:r w:rsidR="00504A30" w:rsidRPr="00641090">
        <w:rPr>
          <w:rFonts w:cstheme="minorHAnsi"/>
        </w:rPr>
        <w:t>,</w:t>
      </w:r>
      <w:r w:rsidR="000F313A">
        <w:rPr>
          <w:rFonts w:cstheme="minorHAnsi"/>
        </w:rPr>
        <w:t>4</w:t>
      </w:r>
      <w:r w:rsidR="00504A30" w:rsidRPr="00641090">
        <w:rPr>
          <w:rFonts w:cstheme="minorHAnsi"/>
        </w:rPr>
        <w:t>%</w:t>
      </w:r>
      <w:r w:rsidR="00504A30">
        <w:rPr>
          <w:rFonts w:cstheme="minorHAnsi"/>
        </w:rPr>
        <w:t xml:space="preserve">) </w:t>
      </w:r>
      <w:r w:rsidR="00F34ACA">
        <w:rPr>
          <w:rFonts w:cstheme="minorHAnsi"/>
        </w:rPr>
        <w:t xml:space="preserve">risultano avere </w:t>
      </w:r>
      <w:r w:rsidR="00504A30">
        <w:rPr>
          <w:rFonts w:cstheme="minorHAnsi"/>
        </w:rPr>
        <w:t xml:space="preserve">almeno un servizio </w:t>
      </w:r>
      <w:r w:rsidR="00504A30" w:rsidRPr="000F313A">
        <w:rPr>
          <w:rFonts w:cstheme="minorHAnsi"/>
        </w:rPr>
        <w:t xml:space="preserve">attivo </w:t>
      </w:r>
      <w:r w:rsidR="00AF0E11" w:rsidRPr="000F313A">
        <w:rPr>
          <w:rFonts w:cstheme="minorHAnsi"/>
        </w:rPr>
        <w:t>(</w:t>
      </w:r>
      <w:r w:rsidR="00997C38" w:rsidRPr="000F313A">
        <w:rPr>
          <w:rFonts w:cstheme="minorHAnsi"/>
          <w:highlight w:val="yellow"/>
        </w:rPr>
        <w:t xml:space="preserve">Tabella </w:t>
      </w:r>
      <w:r w:rsidR="001B266D">
        <w:rPr>
          <w:rFonts w:cstheme="minorHAnsi"/>
          <w:highlight w:val="yellow"/>
        </w:rPr>
        <w:t>3</w:t>
      </w:r>
      <w:r w:rsidR="00504A30" w:rsidRPr="000F313A">
        <w:rPr>
          <w:rFonts w:cstheme="minorHAnsi"/>
        </w:rPr>
        <w:t>)</w:t>
      </w:r>
      <w:r w:rsidR="00641090" w:rsidRPr="000F313A">
        <w:rPr>
          <w:rFonts w:cstheme="minorHAnsi"/>
        </w:rPr>
        <w:t xml:space="preserve">, </w:t>
      </w:r>
      <w:r w:rsidR="00F34ACA" w:rsidRPr="000F313A">
        <w:rPr>
          <w:rFonts w:cstheme="minorHAnsi"/>
        </w:rPr>
        <w:t xml:space="preserve">per un totale di </w:t>
      </w:r>
      <w:r w:rsidR="000F313A" w:rsidRPr="000F313A">
        <w:rPr>
          <w:rFonts w:cstheme="minorHAnsi"/>
        </w:rPr>
        <w:t xml:space="preserve">oltre </w:t>
      </w:r>
      <w:r w:rsidR="004E4378" w:rsidRPr="000F313A">
        <w:rPr>
          <w:rFonts w:cstheme="minorHAnsi"/>
        </w:rPr>
        <w:t>2.</w:t>
      </w:r>
      <w:r w:rsidR="000F313A" w:rsidRPr="000F313A">
        <w:rPr>
          <w:rFonts w:cstheme="minorHAnsi"/>
        </w:rPr>
        <w:t>900</w:t>
      </w:r>
      <w:r w:rsidR="00641090" w:rsidRPr="000F313A">
        <w:rPr>
          <w:rFonts w:cstheme="minorHAnsi"/>
        </w:rPr>
        <w:t xml:space="preserve"> posti letto. </w:t>
      </w:r>
      <w:r w:rsidR="00504A30" w:rsidRPr="000F313A">
        <w:rPr>
          <w:rFonts w:cstheme="minorHAnsi"/>
        </w:rPr>
        <w:t xml:space="preserve">In </w:t>
      </w:r>
      <w:r w:rsidR="00EC7B0A">
        <w:rPr>
          <w:rFonts w:cstheme="minorHAnsi"/>
        </w:rPr>
        <w:t xml:space="preserve">valori </w:t>
      </w:r>
      <w:r w:rsidR="00504A30">
        <w:rPr>
          <w:rFonts w:cstheme="minorHAnsi"/>
        </w:rPr>
        <w:t xml:space="preserve">assoluti, </w:t>
      </w:r>
      <w:r w:rsidR="001A1CFC" w:rsidRPr="001A1CFC">
        <w:rPr>
          <w:rFonts w:cstheme="minorHAnsi"/>
        </w:rPr>
        <w:t xml:space="preserve">i numeri più alti si registrano </w:t>
      </w:r>
      <w:r w:rsidR="001A1CFC">
        <w:rPr>
          <w:rFonts w:cstheme="minorHAnsi"/>
        </w:rPr>
        <w:t xml:space="preserve">in </w:t>
      </w:r>
      <w:r w:rsidR="00504A30">
        <w:rPr>
          <w:rFonts w:cstheme="minorHAnsi"/>
        </w:rPr>
        <w:t>Veneto (n.</w:t>
      </w:r>
      <w:r w:rsidR="001E206E">
        <w:rPr>
          <w:rFonts w:cstheme="minorHAnsi"/>
        </w:rPr>
        <w:t xml:space="preserve"> </w:t>
      </w:r>
      <w:r w:rsidR="00504A30">
        <w:rPr>
          <w:rFonts w:cstheme="minorHAnsi"/>
        </w:rPr>
        <w:t>4</w:t>
      </w:r>
      <w:r w:rsidR="000F313A">
        <w:rPr>
          <w:rFonts w:cstheme="minorHAnsi"/>
        </w:rPr>
        <w:t>7</w:t>
      </w:r>
      <w:r w:rsidR="00504A30">
        <w:rPr>
          <w:rFonts w:cstheme="minorHAnsi"/>
        </w:rPr>
        <w:t xml:space="preserve">), Lombardia (n. </w:t>
      </w:r>
      <w:r w:rsidR="000F313A">
        <w:rPr>
          <w:rFonts w:cstheme="minorHAnsi"/>
        </w:rPr>
        <w:t>30</w:t>
      </w:r>
      <w:r w:rsidR="00504A30">
        <w:rPr>
          <w:rFonts w:cstheme="minorHAnsi"/>
        </w:rPr>
        <w:t>)</w:t>
      </w:r>
      <w:r w:rsidR="000F313A">
        <w:rPr>
          <w:rFonts w:cstheme="minorHAnsi"/>
        </w:rPr>
        <w:t xml:space="preserve">, </w:t>
      </w:r>
      <w:r w:rsidR="001A1CFC">
        <w:rPr>
          <w:rFonts w:cstheme="minorHAnsi"/>
        </w:rPr>
        <w:t>Emilia-</w:t>
      </w:r>
      <w:r w:rsidR="00504A30">
        <w:rPr>
          <w:rFonts w:cstheme="minorHAnsi"/>
        </w:rPr>
        <w:t xml:space="preserve">Romagna (n. </w:t>
      </w:r>
      <w:r w:rsidR="000F313A">
        <w:rPr>
          <w:rFonts w:cstheme="minorHAnsi"/>
        </w:rPr>
        <w:t>24</w:t>
      </w:r>
      <w:r w:rsidR="00504A30">
        <w:rPr>
          <w:rFonts w:cstheme="minorHAnsi"/>
        </w:rPr>
        <w:t>)</w:t>
      </w:r>
      <w:r w:rsidR="000F313A">
        <w:rPr>
          <w:rFonts w:cstheme="minorHAnsi"/>
        </w:rPr>
        <w:t xml:space="preserve"> e Toscana (n. 17)</w:t>
      </w:r>
      <w:r w:rsidR="001A1CFC">
        <w:rPr>
          <w:rFonts w:cstheme="minorHAnsi"/>
        </w:rPr>
        <w:t>.</w:t>
      </w:r>
      <w:r w:rsidR="009E317A">
        <w:rPr>
          <w:rFonts w:cstheme="minorHAnsi"/>
        </w:rPr>
        <w:t xml:space="preserve"> </w:t>
      </w:r>
      <w:r w:rsidR="00504A30">
        <w:rPr>
          <w:rFonts w:cstheme="minorHAnsi"/>
        </w:rPr>
        <w:t xml:space="preserve">Altre </w:t>
      </w:r>
      <w:r w:rsidR="000F313A">
        <w:rPr>
          <w:rFonts w:cstheme="minorHAnsi"/>
        </w:rPr>
        <w:t xml:space="preserve">13 </w:t>
      </w:r>
      <w:r w:rsidR="00504A30">
        <w:rPr>
          <w:rFonts w:cstheme="minorHAnsi"/>
        </w:rPr>
        <w:t xml:space="preserve">Regioni hanno </w:t>
      </w:r>
      <w:r w:rsidR="00F34ACA">
        <w:rPr>
          <w:rFonts w:cstheme="minorHAnsi"/>
        </w:rPr>
        <w:t xml:space="preserve">attivato almeno </w:t>
      </w:r>
      <w:r w:rsidR="00504A30">
        <w:rPr>
          <w:rFonts w:cstheme="minorHAnsi"/>
        </w:rPr>
        <w:t>un OdC</w:t>
      </w:r>
      <w:r w:rsidR="009E317A">
        <w:rPr>
          <w:rFonts w:cstheme="minorHAnsi"/>
        </w:rPr>
        <w:t xml:space="preserve">: </w:t>
      </w:r>
      <w:r w:rsidR="00504A30">
        <w:rPr>
          <w:rFonts w:cstheme="minorHAnsi"/>
        </w:rPr>
        <w:t>dagli 8 dell</w:t>
      </w:r>
      <w:r w:rsidR="000F313A">
        <w:rPr>
          <w:rFonts w:cstheme="minorHAnsi"/>
        </w:rPr>
        <w:t xml:space="preserve">’Umbria </w:t>
      </w:r>
      <w:r w:rsidR="00504A30">
        <w:rPr>
          <w:rFonts w:cstheme="minorHAnsi"/>
        </w:rPr>
        <w:t xml:space="preserve">a </w:t>
      </w:r>
      <w:r w:rsidR="008B5F3A">
        <w:rPr>
          <w:rFonts w:cstheme="minorHAnsi"/>
        </w:rPr>
        <w:t xml:space="preserve">1 </w:t>
      </w:r>
      <w:r w:rsidR="00F34ACA">
        <w:rPr>
          <w:rFonts w:cstheme="minorHAnsi"/>
        </w:rPr>
        <w:t xml:space="preserve">in </w:t>
      </w:r>
      <w:r w:rsidR="000F313A">
        <w:rPr>
          <w:rFonts w:cstheme="minorHAnsi"/>
        </w:rPr>
        <w:t xml:space="preserve">Calabria, </w:t>
      </w:r>
      <w:r w:rsidR="00504A30">
        <w:rPr>
          <w:rFonts w:cstheme="minorHAnsi"/>
        </w:rPr>
        <w:t xml:space="preserve">Campania e </w:t>
      </w:r>
      <w:r w:rsidR="000F313A">
        <w:rPr>
          <w:rFonts w:cstheme="minorHAnsi"/>
        </w:rPr>
        <w:t>Piemonte</w:t>
      </w:r>
      <w:r w:rsidR="00504A30">
        <w:rPr>
          <w:rFonts w:cstheme="minorHAnsi"/>
        </w:rPr>
        <w:t xml:space="preserve">. </w:t>
      </w:r>
      <w:r w:rsidR="000F313A">
        <w:rPr>
          <w:rFonts w:cstheme="minorHAnsi"/>
        </w:rPr>
        <w:t>Quattro</w:t>
      </w:r>
      <w:r w:rsidR="00504A30">
        <w:rPr>
          <w:rFonts w:cstheme="minorHAnsi"/>
        </w:rPr>
        <w:t xml:space="preserve"> Regioni</w:t>
      </w:r>
      <w:r w:rsidR="002E431F">
        <w:rPr>
          <w:rFonts w:cstheme="minorHAnsi"/>
        </w:rPr>
        <w:t xml:space="preserve"> restano invece </w:t>
      </w:r>
      <w:r w:rsidR="001A14B5">
        <w:rPr>
          <w:rFonts w:cstheme="minorHAnsi"/>
        </w:rPr>
        <w:t xml:space="preserve">ferme </w:t>
      </w:r>
      <w:r w:rsidR="00504A30">
        <w:rPr>
          <w:rFonts w:cstheme="minorHAnsi"/>
        </w:rPr>
        <w:t>a quota zero</w:t>
      </w:r>
      <w:r w:rsidR="00F13704">
        <w:rPr>
          <w:rFonts w:cstheme="minorHAnsi"/>
        </w:rPr>
        <w:t>: Basilicata, Marche, Provincia autonoma di Bolzano e Valle d’Aosta</w:t>
      </w:r>
      <w:r w:rsidR="00504A30">
        <w:rPr>
          <w:rFonts w:cstheme="minorHAnsi"/>
        </w:rPr>
        <w:t xml:space="preserve">. </w:t>
      </w:r>
      <w:r w:rsidR="00F34ACA">
        <w:rPr>
          <w:rFonts w:cstheme="minorHAnsi"/>
        </w:rPr>
        <w:t>A</w:t>
      </w:r>
      <w:r w:rsidR="00504A30">
        <w:rPr>
          <w:rFonts w:cstheme="minorHAnsi"/>
        </w:rPr>
        <w:t xml:space="preserve"> fronte di una media nazionale del 2</w:t>
      </w:r>
      <w:r w:rsidR="000F313A">
        <w:rPr>
          <w:rFonts w:cstheme="minorHAnsi"/>
        </w:rPr>
        <w:t>7</w:t>
      </w:r>
      <w:r w:rsidR="00504A30">
        <w:rPr>
          <w:rFonts w:cstheme="minorHAnsi"/>
        </w:rPr>
        <w:t>%</w:t>
      </w:r>
      <w:r w:rsidR="00F34ACA">
        <w:rPr>
          <w:rFonts w:cstheme="minorHAnsi"/>
        </w:rPr>
        <w:t xml:space="preserve">, le </w:t>
      </w:r>
      <w:r w:rsidR="008B5F3A">
        <w:rPr>
          <w:rFonts w:cstheme="minorHAnsi"/>
        </w:rPr>
        <w:t>differenze territoriali sono marcate</w:t>
      </w:r>
      <w:r w:rsidR="00F34ACA">
        <w:rPr>
          <w:rFonts w:cstheme="minorHAnsi"/>
        </w:rPr>
        <w:t xml:space="preserve">: il </w:t>
      </w:r>
      <w:r w:rsidR="00504A30">
        <w:rPr>
          <w:rFonts w:cstheme="minorHAnsi"/>
        </w:rPr>
        <w:t>Molise</w:t>
      </w:r>
      <w:r w:rsidR="00F34ACA">
        <w:rPr>
          <w:rFonts w:cstheme="minorHAnsi"/>
        </w:rPr>
        <w:t>,</w:t>
      </w:r>
      <w:r w:rsidR="00504A30">
        <w:rPr>
          <w:rFonts w:cstheme="minorHAnsi"/>
        </w:rPr>
        <w:t xml:space="preserve"> </w:t>
      </w:r>
      <w:r w:rsidR="00F34ACA">
        <w:rPr>
          <w:rFonts w:cstheme="minorHAnsi"/>
        </w:rPr>
        <w:t xml:space="preserve">con soli 2 OdC </w:t>
      </w:r>
      <w:r w:rsidR="008B5F3A">
        <w:rPr>
          <w:rFonts w:cstheme="minorHAnsi"/>
        </w:rPr>
        <w:t>programmati</w:t>
      </w:r>
      <w:r w:rsidR="00F34ACA">
        <w:rPr>
          <w:rFonts w:cstheme="minorHAnsi"/>
        </w:rPr>
        <w:t xml:space="preserve">, </w:t>
      </w:r>
      <w:r w:rsidR="00504A30">
        <w:rPr>
          <w:rFonts w:cstheme="minorHAnsi"/>
        </w:rPr>
        <w:t>raggiunge il 100</w:t>
      </w:r>
      <w:r w:rsidR="008B5F3A">
        <w:rPr>
          <w:rFonts w:cstheme="minorHAnsi"/>
        </w:rPr>
        <w:t xml:space="preserve">%, mentre </w:t>
      </w:r>
      <w:r w:rsidR="002E431F">
        <w:rPr>
          <w:rFonts w:cstheme="minorHAnsi"/>
        </w:rPr>
        <w:t xml:space="preserve">all’estremo opposto </w:t>
      </w:r>
      <w:r w:rsidR="000F313A">
        <w:rPr>
          <w:rFonts w:cstheme="minorHAnsi"/>
        </w:rPr>
        <w:t>quattro</w:t>
      </w:r>
      <w:r w:rsidR="00BD35F9">
        <w:rPr>
          <w:rFonts w:cstheme="minorHAnsi"/>
        </w:rPr>
        <w:t xml:space="preserve"> Regioni</w:t>
      </w:r>
      <w:r w:rsidR="00BD35F9" w:rsidRPr="00F34ACA">
        <w:rPr>
          <w:rFonts w:cstheme="minorHAnsi"/>
        </w:rPr>
        <w:t xml:space="preserve"> non</w:t>
      </w:r>
      <w:r w:rsidR="008B5F3A">
        <w:rPr>
          <w:rFonts w:cstheme="minorHAnsi"/>
        </w:rPr>
        <w:t xml:space="preserve"> ne</w:t>
      </w:r>
      <w:r w:rsidR="00BD35F9" w:rsidRPr="00F34ACA">
        <w:rPr>
          <w:rFonts w:cstheme="minorHAnsi"/>
        </w:rPr>
        <w:t xml:space="preserve"> hanno attivato </w:t>
      </w:r>
      <w:r w:rsidR="008B5F3A">
        <w:rPr>
          <w:rFonts w:cstheme="minorHAnsi"/>
        </w:rPr>
        <w:t xml:space="preserve">alcuno; </w:t>
      </w:r>
      <w:r w:rsidR="00F34ACA">
        <w:rPr>
          <w:rFonts w:cstheme="minorHAnsi"/>
        </w:rPr>
        <w:t xml:space="preserve">le altre si </w:t>
      </w:r>
      <w:r w:rsidR="008B5F3A">
        <w:rPr>
          <w:rFonts w:cstheme="minorHAnsi"/>
        </w:rPr>
        <w:t>collocano in un intervallo molto ampio, dal</w:t>
      </w:r>
      <w:r w:rsidR="00504A30">
        <w:rPr>
          <w:rFonts w:cstheme="minorHAnsi"/>
        </w:rPr>
        <w:t xml:space="preserve"> 2% della Campania </w:t>
      </w:r>
      <w:r w:rsidR="008B5F3A">
        <w:rPr>
          <w:rFonts w:cstheme="minorHAnsi"/>
        </w:rPr>
        <w:t>al</w:t>
      </w:r>
      <w:r w:rsidR="00F34ACA">
        <w:rPr>
          <w:rFonts w:cstheme="minorHAnsi"/>
        </w:rPr>
        <w:t xml:space="preserve"> </w:t>
      </w:r>
      <w:r w:rsidR="000F313A">
        <w:rPr>
          <w:rFonts w:cstheme="minorHAnsi"/>
        </w:rPr>
        <w:t>75</w:t>
      </w:r>
      <w:r w:rsidR="00504A30">
        <w:rPr>
          <w:rFonts w:cstheme="minorHAnsi"/>
        </w:rPr>
        <w:t>% del</w:t>
      </w:r>
      <w:r w:rsidR="000F313A">
        <w:rPr>
          <w:rFonts w:cstheme="minorHAnsi"/>
        </w:rPr>
        <w:t xml:space="preserve">la Provincia </w:t>
      </w:r>
      <w:r w:rsidR="008B5F3A">
        <w:rPr>
          <w:rFonts w:cstheme="minorHAnsi"/>
        </w:rPr>
        <w:t xml:space="preserve">autonoma </w:t>
      </w:r>
      <w:r w:rsidR="000F313A">
        <w:rPr>
          <w:rFonts w:cstheme="minorHAnsi"/>
        </w:rPr>
        <w:t>di Trento</w:t>
      </w:r>
      <w:r w:rsidR="00F34ACA">
        <w:rPr>
          <w:rFonts w:cstheme="minorHAnsi"/>
        </w:rPr>
        <w:t xml:space="preserve"> </w:t>
      </w:r>
      <w:r w:rsidR="000A5363" w:rsidRPr="0006218B">
        <w:rPr>
          <w:rFonts w:cstheme="minorHAnsi"/>
        </w:rPr>
        <w:t>(</w:t>
      </w:r>
      <w:r w:rsidR="00504A30">
        <w:rPr>
          <w:rFonts w:cstheme="minorHAnsi"/>
          <w:highlight w:val="yellow"/>
        </w:rPr>
        <w:t xml:space="preserve">Figura </w:t>
      </w:r>
      <w:r w:rsidR="006B391E">
        <w:rPr>
          <w:rFonts w:cstheme="minorHAnsi"/>
          <w:highlight w:val="yellow"/>
        </w:rPr>
        <w:t>4</w:t>
      </w:r>
      <w:r w:rsidR="00504A30">
        <w:rPr>
          <w:rFonts w:cstheme="minorHAnsi"/>
        </w:rPr>
        <w:t>)</w:t>
      </w:r>
      <w:r w:rsidR="00714C27">
        <w:rPr>
          <w:rFonts w:cstheme="minorHAnsi"/>
        </w:rPr>
        <w:t xml:space="preserve">. </w:t>
      </w:r>
      <w:r w:rsidR="00714C27" w:rsidRPr="00641090">
        <w:rPr>
          <w:rFonts w:cstheme="minorHAnsi"/>
        </w:rPr>
        <w:t>«</w:t>
      </w:r>
      <w:r w:rsidR="00965BA7">
        <w:rPr>
          <w:rFonts w:cstheme="minorHAnsi"/>
        </w:rPr>
        <w:t xml:space="preserve">Questi numeri </w:t>
      </w:r>
      <w:r w:rsidR="00714C27" w:rsidRPr="00641090">
        <w:rPr>
          <w:rFonts w:cstheme="minorHAnsi"/>
        </w:rPr>
        <w:t>–</w:t>
      </w:r>
      <w:r w:rsidR="00714C27">
        <w:rPr>
          <w:rFonts w:cstheme="minorHAnsi"/>
        </w:rPr>
        <w:t xml:space="preserve"> commenta Cartabellotta </w:t>
      </w:r>
      <w:r w:rsidR="00714C27" w:rsidRPr="00641090">
        <w:rPr>
          <w:rFonts w:cstheme="minorHAnsi"/>
        </w:rPr>
        <w:t>–</w:t>
      </w:r>
      <w:r w:rsidR="00714C27">
        <w:rPr>
          <w:rFonts w:cstheme="minorHAnsi"/>
        </w:rPr>
        <w:t xml:space="preserve"> </w:t>
      </w:r>
      <w:r w:rsidR="00965BA7">
        <w:rPr>
          <w:rFonts w:cstheme="minorHAnsi"/>
        </w:rPr>
        <w:t>certificano che sugli</w:t>
      </w:r>
      <w:r w:rsidR="00965BA7" w:rsidRPr="008B5F3A">
        <w:rPr>
          <w:rFonts w:cstheme="minorHAnsi"/>
        </w:rPr>
        <w:t xml:space="preserve"> </w:t>
      </w:r>
      <w:r w:rsidR="00965BA7">
        <w:rPr>
          <w:rFonts w:cstheme="minorHAnsi"/>
        </w:rPr>
        <w:t xml:space="preserve">Ospedali di Comunità </w:t>
      </w:r>
      <w:r w:rsidR="008B5F3A">
        <w:rPr>
          <w:rFonts w:cstheme="minorHAnsi"/>
        </w:rPr>
        <w:t>siamo ancora più indietro</w:t>
      </w:r>
      <w:r w:rsidR="002E431F">
        <w:rPr>
          <w:rFonts w:cstheme="minorHAnsi"/>
        </w:rPr>
        <w:t>:</w:t>
      </w:r>
      <w:r w:rsidR="00714C27">
        <w:rPr>
          <w:rFonts w:cstheme="minorHAnsi"/>
        </w:rPr>
        <w:t xml:space="preserve"> </w:t>
      </w:r>
      <w:r w:rsidR="008B5F3A" w:rsidRPr="008B5F3A">
        <w:rPr>
          <w:rFonts w:cstheme="minorHAnsi"/>
        </w:rPr>
        <w:t>non solo le strutture procedono a rilento, ma nessuna Regione è riuscita ad attivare tutti i servizi previsti</w:t>
      </w:r>
      <w:r w:rsidR="008B5F3A">
        <w:rPr>
          <w:rFonts w:cstheme="minorHAnsi"/>
        </w:rPr>
        <w:t xml:space="preserve"> dal DM 77</w:t>
      </w:r>
      <w:r w:rsidR="008B5F3A" w:rsidRPr="008B5F3A">
        <w:rPr>
          <w:rFonts w:cstheme="minorHAnsi"/>
        </w:rPr>
        <w:t xml:space="preserve">. In queste condizioni, </w:t>
      </w:r>
      <w:r w:rsidR="00FE2E17">
        <w:t>renderli “pienamente funzionanti” entro il 30 giugno appare una missione impossibile</w:t>
      </w:r>
      <w:r w:rsidR="00714C27" w:rsidRPr="00641090">
        <w:rPr>
          <w:rFonts w:cstheme="minorHAnsi"/>
        </w:rPr>
        <w:t>»</w:t>
      </w:r>
      <w:r w:rsidR="00714C27">
        <w:rPr>
          <w:rFonts w:cstheme="minorHAnsi"/>
        </w:rPr>
        <w:t>.</w:t>
      </w:r>
      <w:r w:rsidR="008B5F3A">
        <w:rPr>
          <w:rFonts w:cstheme="minorHAnsi"/>
        </w:rPr>
        <w:t xml:space="preserve"> P</w:t>
      </w:r>
      <w:r w:rsidR="00F34ACA">
        <w:rPr>
          <w:rFonts w:cstheme="minorHAnsi"/>
        </w:rPr>
        <w:t>er essere pienamente operativi, gli</w:t>
      </w:r>
      <w:r w:rsidR="00714C27">
        <w:rPr>
          <w:rFonts w:cstheme="minorHAnsi"/>
        </w:rPr>
        <w:t xml:space="preserve"> OdC</w:t>
      </w:r>
      <w:r w:rsidR="00F34ACA">
        <w:rPr>
          <w:rFonts w:cstheme="minorHAnsi"/>
        </w:rPr>
        <w:t xml:space="preserve"> devono </w:t>
      </w:r>
      <w:r w:rsidR="008B5F3A">
        <w:rPr>
          <w:rFonts w:cstheme="minorHAnsi"/>
        </w:rPr>
        <w:t xml:space="preserve">infatti </w:t>
      </w:r>
      <w:r w:rsidR="00F34ACA">
        <w:rPr>
          <w:rFonts w:cstheme="minorHAnsi"/>
        </w:rPr>
        <w:t>garantire</w:t>
      </w:r>
      <w:r w:rsidR="00714C27">
        <w:rPr>
          <w:rFonts w:cstheme="minorHAnsi"/>
        </w:rPr>
        <w:t xml:space="preserve"> p</w:t>
      </w:r>
      <w:r w:rsidR="00714C27" w:rsidRPr="00714C27">
        <w:rPr>
          <w:rFonts w:cstheme="minorHAnsi"/>
        </w:rPr>
        <w:t>resenza medica</w:t>
      </w:r>
      <w:r w:rsidR="00F34ACA">
        <w:rPr>
          <w:rFonts w:cstheme="minorHAnsi"/>
        </w:rPr>
        <w:t xml:space="preserve"> per </w:t>
      </w:r>
      <w:r w:rsidR="00714C27" w:rsidRPr="00714C27">
        <w:rPr>
          <w:rFonts w:cstheme="minorHAnsi"/>
        </w:rPr>
        <w:t>almeno</w:t>
      </w:r>
      <w:r w:rsidR="00714C27">
        <w:rPr>
          <w:rFonts w:cstheme="minorHAnsi"/>
        </w:rPr>
        <w:t xml:space="preserve"> </w:t>
      </w:r>
      <w:r w:rsidR="00714C27" w:rsidRPr="00714C27">
        <w:rPr>
          <w:rFonts w:cstheme="minorHAnsi"/>
        </w:rPr>
        <w:t>4,5 ore al giorno</w:t>
      </w:r>
      <w:r w:rsidR="00F34ACA">
        <w:rPr>
          <w:rFonts w:cstheme="minorHAnsi"/>
        </w:rPr>
        <w:t xml:space="preserve"> </w:t>
      </w:r>
      <w:r w:rsidR="008B5F3A">
        <w:rPr>
          <w:rFonts w:cstheme="minorHAnsi"/>
        </w:rPr>
        <w:t xml:space="preserve">per 6 </w:t>
      </w:r>
      <w:r w:rsidR="00F34ACA">
        <w:rPr>
          <w:rFonts w:cstheme="minorHAnsi"/>
        </w:rPr>
        <w:t xml:space="preserve">giorni su </w:t>
      </w:r>
      <w:r w:rsidR="008B5F3A">
        <w:rPr>
          <w:rFonts w:cstheme="minorHAnsi"/>
        </w:rPr>
        <w:t>7</w:t>
      </w:r>
      <w:r w:rsidR="00F34ACA">
        <w:rPr>
          <w:rFonts w:cstheme="minorHAnsi"/>
        </w:rPr>
        <w:t>,</w:t>
      </w:r>
      <w:r w:rsidR="00714C27">
        <w:rPr>
          <w:rFonts w:cstheme="minorHAnsi"/>
        </w:rPr>
        <w:t xml:space="preserve"> </w:t>
      </w:r>
      <w:r w:rsidR="00F34ACA">
        <w:rPr>
          <w:rFonts w:cstheme="minorHAnsi"/>
        </w:rPr>
        <w:t xml:space="preserve">assistenza </w:t>
      </w:r>
      <w:r w:rsidR="00714C27" w:rsidRPr="00714C27">
        <w:rPr>
          <w:rFonts w:cstheme="minorHAnsi"/>
        </w:rPr>
        <w:t>infermieristica</w:t>
      </w:r>
      <w:r w:rsidR="00714C27">
        <w:rPr>
          <w:rFonts w:cstheme="minorHAnsi"/>
        </w:rPr>
        <w:t xml:space="preserve"> </w:t>
      </w:r>
      <w:r w:rsidR="00F34ACA">
        <w:rPr>
          <w:rFonts w:cstheme="minorHAnsi"/>
        </w:rPr>
        <w:t xml:space="preserve">continuativa </w:t>
      </w:r>
      <w:r w:rsidR="00714C27">
        <w:rPr>
          <w:rFonts w:cstheme="minorHAnsi"/>
        </w:rPr>
        <w:t>(</w:t>
      </w:r>
      <w:r w:rsidR="00714C27" w:rsidRPr="00714C27">
        <w:rPr>
          <w:rFonts w:cstheme="minorHAnsi"/>
        </w:rPr>
        <w:t>H24 7/7</w:t>
      </w:r>
      <w:r w:rsidR="000170A8">
        <w:rPr>
          <w:rFonts w:cstheme="minorHAnsi"/>
        </w:rPr>
        <w:t xml:space="preserve"> giorni</w:t>
      </w:r>
      <w:r w:rsidR="00714C27">
        <w:rPr>
          <w:rFonts w:cstheme="minorHAnsi"/>
        </w:rPr>
        <w:t>)</w:t>
      </w:r>
      <w:r w:rsidR="00F34ACA">
        <w:rPr>
          <w:rFonts w:cstheme="minorHAnsi"/>
        </w:rPr>
        <w:t>, la figura del</w:t>
      </w:r>
      <w:r w:rsidR="00714C27">
        <w:rPr>
          <w:rFonts w:cstheme="minorHAnsi"/>
        </w:rPr>
        <w:t xml:space="preserve"> c</w:t>
      </w:r>
      <w:r w:rsidR="00714C27" w:rsidRPr="00714C27">
        <w:rPr>
          <w:rFonts w:cstheme="minorHAnsi"/>
        </w:rPr>
        <w:t xml:space="preserve">ase </w:t>
      </w:r>
      <w:r w:rsidR="00714C27">
        <w:rPr>
          <w:rFonts w:cstheme="minorHAnsi"/>
        </w:rPr>
        <w:t>m</w:t>
      </w:r>
      <w:r w:rsidR="00714C27" w:rsidRPr="00714C27">
        <w:rPr>
          <w:rFonts w:cstheme="minorHAnsi"/>
        </w:rPr>
        <w:t>anager</w:t>
      </w:r>
      <w:r w:rsidR="00714C27">
        <w:rPr>
          <w:rFonts w:cstheme="minorHAnsi"/>
        </w:rPr>
        <w:t xml:space="preserve">, </w:t>
      </w:r>
      <w:r w:rsidR="00714C27" w:rsidRPr="00714C27">
        <w:rPr>
          <w:rFonts w:cstheme="minorHAnsi"/>
        </w:rPr>
        <w:t xml:space="preserve">posti letto </w:t>
      </w:r>
      <w:r w:rsidR="008B5F3A">
        <w:rPr>
          <w:rFonts w:cstheme="minorHAnsi"/>
        </w:rPr>
        <w:t>dedicati a</w:t>
      </w:r>
      <w:r w:rsidR="008B5F3A" w:rsidRPr="00714C27">
        <w:rPr>
          <w:rFonts w:cstheme="minorHAnsi"/>
        </w:rPr>
        <w:t xml:space="preserve"> </w:t>
      </w:r>
      <w:r w:rsidR="00714C27" w:rsidRPr="00714C27">
        <w:rPr>
          <w:rFonts w:cstheme="minorHAnsi"/>
        </w:rPr>
        <w:t>pazienti con demenza o</w:t>
      </w:r>
      <w:r w:rsidR="00714C27">
        <w:rPr>
          <w:rFonts w:cstheme="minorHAnsi"/>
        </w:rPr>
        <w:t xml:space="preserve"> </w:t>
      </w:r>
      <w:r w:rsidR="00714C27" w:rsidRPr="00714C27">
        <w:rPr>
          <w:rFonts w:cstheme="minorHAnsi"/>
        </w:rPr>
        <w:t>disturbi comportamentali</w:t>
      </w:r>
      <w:r w:rsidR="00714C27">
        <w:rPr>
          <w:rFonts w:cstheme="minorHAnsi"/>
        </w:rPr>
        <w:t xml:space="preserve"> e </w:t>
      </w:r>
      <w:r w:rsidR="00714C27" w:rsidRPr="00714C27">
        <w:rPr>
          <w:rFonts w:cstheme="minorHAnsi"/>
        </w:rPr>
        <w:t xml:space="preserve">spazi </w:t>
      </w:r>
      <w:r w:rsidR="008B5F3A">
        <w:rPr>
          <w:rFonts w:cstheme="minorHAnsi"/>
        </w:rPr>
        <w:t>per la</w:t>
      </w:r>
      <w:r w:rsidR="00714C27" w:rsidRPr="00714C27">
        <w:rPr>
          <w:rFonts w:cstheme="minorHAnsi"/>
        </w:rPr>
        <w:t xml:space="preserve"> riabilitazione</w:t>
      </w:r>
      <w:r w:rsidR="00714C27">
        <w:rPr>
          <w:rFonts w:cstheme="minorHAnsi"/>
        </w:rPr>
        <w:t xml:space="preserve"> </w:t>
      </w:r>
      <w:r w:rsidR="00714C27" w:rsidRPr="00714C27">
        <w:rPr>
          <w:rFonts w:cstheme="minorHAnsi"/>
        </w:rPr>
        <w:t>motoria</w:t>
      </w:r>
      <w:r w:rsidR="00714C27">
        <w:rPr>
          <w:rFonts w:cstheme="minorHAnsi"/>
        </w:rPr>
        <w:t>.</w:t>
      </w:r>
    </w:p>
    <w:p w14:paraId="65DF5663" w14:textId="349DF2A5" w:rsidR="00207BDE" w:rsidRDefault="00A12A38" w:rsidP="00641090">
      <w:pPr>
        <w:jc w:val="both"/>
        <w:rPr>
          <w:rFonts w:cstheme="minorHAnsi"/>
        </w:rPr>
      </w:pPr>
      <w:r w:rsidRPr="00A12A38">
        <w:rPr>
          <w:rFonts w:cstheme="minorHAnsi"/>
          <w:b/>
          <w:bCs/>
        </w:rPr>
        <w:t xml:space="preserve">Centrali </w:t>
      </w:r>
      <w:r w:rsidR="00426075">
        <w:rPr>
          <w:rFonts w:cstheme="minorHAnsi"/>
          <w:b/>
          <w:bCs/>
        </w:rPr>
        <w:t>O</w:t>
      </w:r>
      <w:r w:rsidRPr="00A12A38">
        <w:rPr>
          <w:rFonts w:cstheme="minorHAnsi"/>
          <w:b/>
          <w:bCs/>
        </w:rPr>
        <w:t xml:space="preserve">perative </w:t>
      </w:r>
      <w:r w:rsidR="00426075">
        <w:rPr>
          <w:rFonts w:cstheme="minorHAnsi"/>
          <w:b/>
          <w:bCs/>
        </w:rPr>
        <w:t>T</w:t>
      </w:r>
      <w:r w:rsidRPr="00A12A38">
        <w:rPr>
          <w:rFonts w:cstheme="minorHAnsi"/>
          <w:b/>
          <w:bCs/>
        </w:rPr>
        <w:t>erritoriali</w:t>
      </w:r>
      <w:r w:rsidRPr="00426075">
        <w:rPr>
          <w:rFonts w:cstheme="minorHAnsi"/>
        </w:rPr>
        <w:t xml:space="preserve">. </w:t>
      </w:r>
      <w:r w:rsidR="00277F16">
        <w:rPr>
          <w:rFonts w:cstheme="minorHAnsi"/>
        </w:rPr>
        <w:t>Le</w:t>
      </w:r>
      <w:r w:rsidR="00DF78AE">
        <w:rPr>
          <w:rFonts w:cstheme="minorHAnsi"/>
        </w:rPr>
        <w:t xml:space="preserve"> COT,</w:t>
      </w:r>
      <w:r w:rsidR="00277F16">
        <w:rPr>
          <w:rFonts w:cstheme="minorHAnsi"/>
        </w:rPr>
        <w:t xml:space="preserve"> s</w:t>
      </w:r>
      <w:r w:rsidR="00277F16" w:rsidRPr="00426075">
        <w:rPr>
          <w:rFonts w:cstheme="minorHAnsi"/>
        </w:rPr>
        <w:t xml:space="preserve">trutture </w:t>
      </w:r>
      <w:r w:rsidR="008B5F3A">
        <w:rPr>
          <w:rFonts w:cstheme="minorHAnsi"/>
        </w:rPr>
        <w:t>chiave</w:t>
      </w:r>
      <w:r w:rsidR="008B5F3A" w:rsidRPr="00426075">
        <w:rPr>
          <w:rFonts w:cstheme="minorHAnsi"/>
        </w:rPr>
        <w:t xml:space="preserve"> </w:t>
      </w:r>
      <w:r w:rsidR="00277F16">
        <w:rPr>
          <w:rFonts w:cstheme="minorHAnsi"/>
        </w:rPr>
        <w:t xml:space="preserve">per </w:t>
      </w:r>
      <w:r w:rsidR="00277F16" w:rsidRPr="00426075">
        <w:rPr>
          <w:rFonts w:cstheme="minorHAnsi"/>
        </w:rPr>
        <w:t>coordin</w:t>
      </w:r>
      <w:r w:rsidR="00277F16">
        <w:rPr>
          <w:rFonts w:cstheme="minorHAnsi"/>
        </w:rPr>
        <w:t>are</w:t>
      </w:r>
      <w:r w:rsidR="00277F16" w:rsidRPr="00426075">
        <w:rPr>
          <w:rFonts w:cstheme="minorHAnsi"/>
        </w:rPr>
        <w:t xml:space="preserve"> </w:t>
      </w:r>
      <w:r w:rsidR="00277F16">
        <w:rPr>
          <w:rFonts w:cstheme="minorHAnsi"/>
        </w:rPr>
        <w:t xml:space="preserve">la </w:t>
      </w:r>
      <w:r w:rsidR="00277F16" w:rsidRPr="00426075">
        <w:rPr>
          <w:rFonts w:cstheme="minorHAnsi"/>
        </w:rPr>
        <w:t xml:space="preserve">presa in carico dei pazienti e </w:t>
      </w:r>
      <w:r w:rsidR="00277F16">
        <w:rPr>
          <w:rFonts w:cstheme="minorHAnsi"/>
        </w:rPr>
        <w:t xml:space="preserve">integrare </w:t>
      </w:r>
      <w:r w:rsidR="00277F16" w:rsidRPr="00426075">
        <w:rPr>
          <w:rFonts w:cstheme="minorHAnsi"/>
        </w:rPr>
        <w:t>l’assistenza sanitaria e sociosanitaria</w:t>
      </w:r>
      <w:r w:rsidR="004C1A68">
        <w:rPr>
          <w:rFonts w:cstheme="minorHAnsi"/>
        </w:rPr>
        <w:t>,</w:t>
      </w:r>
      <w:r w:rsidR="00277F16" w:rsidRPr="00426075">
        <w:rPr>
          <w:rFonts w:cstheme="minorHAnsi"/>
        </w:rPr>
        <w:t xml:space="preserve"> risultano attivate in tutte le Regioni</w:t>
      </w:r>
      <w:r w:rsidR="00BD2989">
        <w:rPr>
          <w:rFonts w:cstheme="minorHAnsi"/>
        </w:rPr>
        <w:t xml:space="preserve"> e il target europeo di 480 </w:t>
      </w:r>
      <w:r w:rsidR="008B5F3A">
        <w:rPr>
          <w:rFonts w:cstheme="minorHAnsi"/>
        </w:rPr>
        <w:t xml:space="preserve">è </w:t>
      </w:r>
      <w:r w:rsidR="00BD2989">
        <w:rPr>
          <w:rFonts w:cstheme="minorHAnsi"/>
        </w:rPr>
        <w:t xml:space="preserve">già </w:t>
      </w:r>
      <w:r w:rsidR="008B5F3A">
        <w:rPr>
          <w:rFonts w:cstheme="minorHAnsi"/>
        </w:rPr>
        <w:t xml:space="preserve">stato </w:t>
      </w:r>
      <w:r w:rsidR="00BD2989">
        <w:rPr>
          <w:rFonts w:cstheme="minorHAnsi"/>
        </w:rPr>
        <w:t>raggiunto</w:t>
      </w:r>
      <w:r w:rsidR="00277F16">
        <w:rPr>
          <w:rFonts w:cstheme="minorHAnsi"/>
        </w:rPr>
        <w:t xml:space="preserve">. </w:t>
      </w:r>
      <w:r w:rsidR="008B5F3A">
        <w:rPr>
          <w:rFonts w:cstheme="minorHAnsi"/>
        </w:rPr>
        <w:t>A</w:t>
      </w:r>
      <w:r w:rsidR="00426075" w:rsidRPr="00426075">
        <w:rPr>
          <w:rFonts w:cstheme="minorHAnsi"/>
        </w:rPr>
        <w:t>l</w:t>
      </w:r>
      <w:r w:rsidR="00426075">
        <w:rPr>
          <w:rFonts w:cstheme="minorHAnsi"/>
        </w:rPr>
        <w:t xml:space="preserve"> 31 </w:t>
      </w:r>
      <w:r w:rsidR="00426075" w:rsidRPr="00426075">
        <w:rPr>
          <w:rFonts w:cstheme="minorHAnsi"/>
        </w:rPr>
        <w:t>dicembre 202</w:t>
      </w:r>
      <w:r w:rsidR="006D718C">
        <w:rPr>
          <w:rFonts w:cstheme="minorHAnsi"/>
        </w:rPr>
        <w:t>5</w:t>
      </w:r>
      <w:r w:rsidR="000170A8">
        <w:rPr>
          <w:rFonts w:cstheme="minorHAnsi"/>
        </w:rPr>
        <w:t>,</w:t>
      </w:r>
      <w:r w:rsidR="00426075">
        <w:rPr>
          <w:rFonts w:cstheme="minorHAnsi"/>
        </w:rPr>
        <w:t xml:space="preserve"> </w:t>
      </w:r>
      <w:r w:rsidR="000170A8">
        <w:rPr>
          <w:rFonts w:cstheme="minorHAnsi"/>
        </w:rPr>
        <w:t>s</w:t>
      </w:r>
      <w:r w:rsidR="000170A8" w:rsidRPr="00426075">
        <w:rPr>
          <w:rFonts w:cstheme="minorHAnsi"/>
        </w:rPr>
        <w:t xml:space="preserve">u </w:t>
      </w:r>
      <w:r w:rsidR="000F313A">
        <w:rPr>
          <w:rFonts w:cstheme="minorHAnsi"/>
        </w:rPr>
        <w:t>657</w:t>
      </w:r>
      <w:r w:rsidR="000170A8" w:rsidRPr="00426075">
        <w:rPr>
          <w:rFonts w:cstheme="minorHAnsi"/>
        </w:rPr>
        <w:t xml:space="preserve"> COT programmate</w:t>
      </w:r>
      <w:r w:rsidR="004C1A68">
        <w:rPr>
          <w:rFonts w:cstheme="minorHAnsi"/>
        </w:rPr>
        <w:t>,</w:t>
      </w:r>
      <w:r w:rsidR="000170A8">
        <w:rPr>
          <w:rFonts w:cstheme="minorHAnsi"/>
        </w:rPr>
        <w:t xml:space="preserve"> </w:t>
      </w:r>
      <w:r w:rsidR="000F313A">
        <w:rPr>
          <w:rFonts w:cstheme="minorHAnsi"/>
        </w:rPr>
        <w:t>625</w:t>
      </w:r>
      <w:r w:rsidR="00426075">
        <w:rPr>
          <w:rFonts w:cstheme="minorHAnsi"/>
        </w:rPr>
        <w:t xml:space="preserve"> </w:t>
      </w:r>
      <w:r w:rsidR="008B5F3A" w:rsidRPr="00426075">
        <w:rPr>
          <w:rFonts w:cstheme="minorHAnsi"/>
        </w:rPr>
        <w:t>risulta</w:t>
      </w:r>
      <w:r w:rsidR="008B5F3A">
        <w:rPr>
          <w:rFonts w:cstheme="minorHAnsi"/>
        </w:rPr>
        <w:t>no</w:t>
      </w:r>
      <w:r w:rsidR="008B5F3A" w:rsidRPr="00426075">
        <w:rPr>
          <w:rFonts w:cstheme="minorHAnsi"/>
        </w:rPr>
        <w:t xml:space="preserve"> </w:t>
      </w:r>
      <w:r w:rsidR="00426075" w:rsidRPr="00426075">
        <w:rPr>
          <w:rFonts w:cstheme="minorHAnsi"/>
        </w:rPr>
        <w:t>pienamente funzionanti</w:t>
      </w:r>
      <w:r w:rsidR="00BD2989">
        <w:rPr>
          <w:rFonts w:cstheme="minorHAnsi"/>
        </w:rPr>
        <w:t>.</w:t>
      </w:r>
      <w:r w:rsidR="00F47C9B">
        <w:rPr>
          <w:rFonts w:cstheme="minorHAnsi"/>
        </w:rPr>
        <w:t xml:space="preserve"> </w:t>
      </w:r>
    </w:p>
    <w:p w14:paraId="41B6F787" w14:textId="7519DAEC" w:rsidR="00170A89" w:rsidRPr="00170A89" w:rsidRDefault="008A284D" w:rsidP="008912E4">
      <w:pPr>
        <w:jc w:val="both"/>
      </w:pPr>
      <w:r w:rsidRPr="00F47C9B">
        <w:rPr>
          <w:rFonts w:cstheme="minorHAnsi"/>
        </w:rPr>
        <w:t>«</w:t>
      </w:r>
      <w:r w:rsidR="002E431F" w:rsidRPr="00F47C9B">
        <w:rPr>
          <w:rFonts w:cstheme="minorHAnsi"/>
        </w:rPr>
        <w:t xml:space="preserve">Rispetto </w:t>
      </w:r>
      <w:r w:rsidRPr="00F47C9B">
        <w:rPr>
          <w:rFonts w:cstheme="minorHAnsi"/>
        </w:rPr>
        <w:t xml:space="preserve">alla fotografia scattata da Agenas </w:t>
      </w:r>
      <w:r w:rsidR="00BD2989" w:rsidRPr="00F47C9B">
        <w:rPr>
          <w:rFonts w:cstheme="minorHAnsi"/>
        </w:rPr>
        <w:t xml:space="preserve">tre </w:t>
      </w:r>
      <w:r w:rsidRPr="00F47C9B">
        <w:rPr>
          <w:rFonts w:cstheme="minorHAnsi"/>
        </w:rPr>
        <w:t xml:space="preserve">mesi fa </w:t>
      </w:r>
      <w:r w:rsidR="002E431F" w:rsidRPr="00F47C9B">
        <w:rPr>
          <w:rFonts w:cstheme="minorHAnsi"/>
        </w:rPr>
        <w:t>– commenta il Presidente –</w:t>
      </w:r>
      <w:r w:rsidR="00166FDA" w:rsidRPr="00F47C9B">
        <w:rPr>
          <w:rFonts w:cstheme="minorHAnsi"/>
        </w:rPr>
        <w:t xml:space="preserve"> </w:t>
      </w:r>
      <w:r w:rsidR="009E317A" w:rsidRPr="00F47C9B">
        <w:rPr>
          <w:rFonts w:cstheme="minorHAnsi"/>
        </w:rPr>
        <w:t xml:space="preserve">è </w:t>
      </w:r>
      <w:r w:rsidR="008B5F3A">
        <w:rPr>
          <w:rFonts w:cstheme="minorHAnsi"/>
        </w:rPr>
        <w:t>plausibile che il quadro si</w:t>
      </w:r>
      <w:r w:rsidR="00F11C52">
        <w:rPr>
          <w:rFonts w:cstheme="minorHAnsi"/>
        </w:rPr>
        <w:t>a</w:t>
      </w:r>
      <w:r w:rsidR="008B5F3A">
        <w:rPr>
          <w:rFonts w:cstheme="minorHAnsi"/>
        </w:rPr>
        <w:t xml:space="preserve"> migliora</w:t>
      </w:r>
      <w:r w:rsidR="00F11C52">
        <w:rPr>
          <w:rFonts w:cstheme="minorHAnsi"/>
        </w:rPr>
        <w:t>to</w:t>
      </w:r>
      <w:r w:rsidR="002E431F" w:rsidRPr="00F47C9B">
        <w:rPr>
          <w:rFonts w:cstheme="minorHAnsi"/>
        </w:rPr>
        <w:t xml:space="preserve">. Tuttavia, </w:t>
      </w:r>
      <w:r w:rsidR="004C1A68" w:rsidRPr="00F47C9B">
        <w:rPr>
          <w:rFonts w:cstheme="minorHAnsi"/>
        </w:rPr>
        <w:t>l’att</w:t>
      </w:r>
      <w:r w:rsidR="00625F38" w:rsidRPr="00F47C9B">
        <w:rPr>
          <w:rFonts w:cstheme="minorHAnsi"/>
        </w:rPr>
        <w:t xml:space="preserve">ivazione </w:t>
      </w:r>
      <w:r w:rsidRPr="00F47C9B">
        <w:rPr>
          <w:rFonts w:cstheme="minorHAnsi"/>
        </w:rPr>
        <w:t>di C</w:t>
      </w:r>
      <w:r w:rsidR="00625F38" w:rsidRPr="00F47C9B">
        <w:rPr>
          <w:rFonts w:cstheme="minorHAnsi"/>
        </w:rPr>
        <w:t xml:space="preserve">ase della Comunità e </w:t>
      </w:r>
      <w:r w:rsidRPr="00F47C9B">
        <w:rPr>
          <w:rFonts w:cstheme="minorHAnsi"/>
        </w:rPr>
        <w:t>O</w:t>
      </w:r>
      <w:r w:rsidR="00625F38" w:rsidRPr="00F47C9B">
        <w:rPr>
          <w:rFonts w:cstheme="minorHAnsi"/>
        </w:rPr>
        <w:t xml:space="preserve">spedali di </w:t>
      </w:r>
      <w:r w:rsidRPr="00F47C9B">
        <w:rPr>
          <w:rFonts w:cstheme="minorHAnsi"/>
        </w:rPr>
        <w:t>C</w:t>
      </w:r>
      <w:r w:rsidR="00625F38" w:rsidRPr="00F47C9B">
        <w:rPr>
          <w:rFonts w:cstheme="minorHAnsi"/>
        </w:rPr>
        <w:t>omunità</w:t>
      </w:r>
      <w:r w:rsidRPr="00F47C9B">
        <w:rPr>
          <w:rFonts w:cstheme="minorHAnsi"/>
        </w:rPr>
        <w:t xml:space="preserve"> procede </w:t>
      </w:r>
      <w:r w:rsidR="009E317A" w:rsidRPr="00F47C9B">
        <w:rPr>
          <w:rFonts w:cstheme="minorHAnsi"/>
        </w:rPr>
        <w:t>c</w:t>
      </w:r>
      <w:r w:rsidR="002E431F" w:rsidRPr="00F47C9B">
        <w:rPr>
          <w:rFonts w:cstheme="minorHAnsi"/>
        </w:rPr>
        <w:t>on una lentezza inaccettabile</w:t>
      </w:r>
      <w:r w:rsidR="00BD2989" w:rsidRPr="00F47C9B">
        <w:rPr>
          <w:rFonts w:cstheme="minorHAnsi"/>
        </w:rPr>
        <w:t xml:space="preserve">, </w:t>
      </w:r>
      <w:r w:rsidR="002E431F" w:rsidRPr="00F47C9B">
        <w:rPr>
          <w:rFonts w:cstheme="minorHAnsi"/>
        </w:rPr>
        <w:t xml:space="preserve">a velocità </w:t>
      </w:r>
      <w:r w:rsidR="001A14B5" w:rsidRPr="00F47C9B">
        <w:rPr>
          <w:rFonts w:cstheme="minorHAnsi"/>
        </w:rPr>
        <w:t>divers</w:t>
      </w:r>
      <w:r w:rsidR="001A14B5">
        <w:rPr>
          <w:rFonts w:cstheme="minorHAnsi"/>
        </w:rPr>
        <w:t>e</w:t>
      </w:r>
      <w:r w:rsidR="001A14B5" w:rsidRPr="00F47C9B">
        <w:rPr>
          <w:rFonts w:cstheme="minorHAnsi"/>
        </w:rPr>
        <w:t xml:space="preserve"> </w:t>
      </w:r>
      <w:r w:rsidR="002E431F" w:rsidRPr="00F47C9B">
        <w:rPr>
          <w:rFonts w:cstheme="minorHAnsi"/>
        </w:rPr>
        <w:t>tra le Regioni</w:t>
      </w:r>
      <w:r w:rsidR="00BD2989" w:rsidRPr="00F47C9B">
        <w:rPr>
          <w:rFonts w:cstheme="minorHAnsi"/>
        </w:rPr>
        <w:t xml:space="preserve"> e </w:t>
      </w:r>
      <w:r w:rsidR="002261B3">
        <w:rPr>
          <w:rFonts w:cstheme="minorHAnsi"/>
        </w:rPr>
        <w:t xml:space="preserve">frenata dalla mancata </w:t>
      </w:r>
      <w:r w:rsidR="00BD2989" w:rsidRPr="00F47C9B">
        <w:rPr>
          <w:rFonts w:cstheme="minorHAnsi"/>
        </w:rPr>
        <w:t>attivazione di tutti i servizi e dalla carenza di personale</w:t>
      </w:r>
      <w:bookmarkStart w:id="3" w:name="_Hlk225510767"/>
      <w:r w:rsidRPr="00F47C9B">
        <w:t>».</w:t>
      </w:r>
      <w:r w:rsidR="00BD2989" w:rsidRPr="00F47C9B">
        <w:t xml:space="preserve"> Infatti, </w:t>
      </w:r>
      <w:r w:rsidR="002261B3">
        <w:t>tra</w:t>
      </w:r>
      <w:r w:rsidR="002261B3" w:rsidRPr="00F47C9B">
        <w:t xml:space="preserve"> </w:t>
      </w:r>
      <w:r w:rsidR="00BD2989" w:rsidRPr="00F47C9B">
        <w:t xml:space="preserve">giugno </w:t>
      </w:r>
      <w:r w:rsidR="002261B3">
        <w:t>e</w:t>
      </w:r>
      <w:r w:rsidR="002261B3" w:rsidRPr="00F47C9B">
        <w:t xml:space="preserve"> </w:t>
      </w:r>
      <w:r w:rsidR="00BD2989" w:rsidRPr="00F47C9B">
        <w:t>dicembre 2025, a fronte</w:t>
      </w:r>
      <w:r w:rsidR="00B51190">
        <w:t xml:space="preserve"> di</w:t>
      </w:r>
      <w:r w:rsidR="00BD2989" w:rsidRPr="00F47C9B">
        <w:t xml:space="preserve"> un incremento di 121 Case della </w:t>
      </w:r>
      <w:r w:rsidR="00BD2989" w:rsidRPr="00F47C9B">
        <w:lastRenderedPageBreak/>
        <w:t xml:space="preserve">Comunità con almeno un servizio </w:t>
      </w:r>
      <w:r w:rsidR="002261B3">
        <w:t>attivo</w:t>
      </w:r>
      <w:r w:rsidR="00BD2989" w:rsidRPr="00F47C9B">
        <w:t>, quelle con tutti i servizi obbligatori dichiarati attivi sono 51 (</w:t>
      </w:r>
      <w:r w:rsidR="00E14771">
        <w:t>42,2%</w:t>
      </w:r>
      <w:r w:rsidR="00BD2989" w:rsidRPr="00F47C9B">
        <w:t>) e quelle anche con presenza medica e infermieristica solo 20 (</w:t>
      </w:r>
      <w:r w:rsidR="00E14771">
        <w:t>16,5%</w:t>
      </w:r>
      <w:r w:rsidR="00BD2989" w:rsidRPr="00F47C9B">
        <w:t>)</w:t>
      </w:r>
      <w:r w:rsidR="002D2826">
        <w:t xml:space="preserve"> </w:t>
      </w:r>
      <w:r w:rsidR="002D2826" w:rsidRPr="000F313A">
        <w:rPr>
          <w:rFonts w:cstheme="minorHAnsi"/>
        </w:rPr>
        <w:t>(</w:t>
      </w:r>
      <w:r w:rsidR="002D2826" w:rsidRPr="000F313A">
        <w:rPr>
          <w:rFonts w:cstheme="minorHAnsi"/>
          <w:highlight w:val="yellow"/>
        </w:rPr>
        <w:t xml:space="preserve">Tabella </w:t>
      </w:r>
      <w:r w:rsidR="001B266D">
        <w:rPr>
          <w:rFonts w:cstheme="minorHAnsi"/>
          <w:highlight w:val="yellow"/>
        </w:rPr>
        <w:t>4</w:t>
      </w:r>
      <w:r w:rsidR="002D2826" w:rsidRPr="000F313A">
        <w:rPr>
          <w:rFonts w:cstheme="minorHAnsi"/>
        </w:rPr>
        <w:t>)</w:t>
      </w:r>
      <w:r w:rsidR="00BD2989" w:rsidRPr="00F47C9B">
        <w:t xml:space="preserve">. </w:t>
      </w:r>
      <w:r w:rsidR="002261B3">
        <w:t>Per</w:t>
      </w:r>
      <w:r w:rsidR="002261B3" w:rsidRPr="00F47C9B">
        <w:t xml:space="preserve"> </w:t>
      </w:r>
      <w:r w:rsidR="00450840" w:rsidRPr="00F47C9B">
        <w:t xml:space="preserve">gli Ospedali di </w:t>
      </w:r>
      <w:r w:rsidR="002261B3">
        <w:t>C</w:t>
      </w:r>
      <w:r w:rsidR="002261B3" w:rsidRPr="00F47C9B">
        <w:t>omunità</w:t>
      </w:r>
      <w:r w:rsidR="002261B3">
        <w:t>, nello stesso periodo,</w:t>
      </w:r>
      <w:r w:rsidR="002261B3" w:rsidRPr="00F47C9B">
        <w:t xml:space="preserve"> </w:t>
      </w:r>
      <w:r w:rsidR="002261B3" w:rsidRPr="002261B3">
        <w:t xml:space="preserve">l’incremento è stato ancora più contenuto: solo 10 strutture attivate, </w:t>
      </w:r>
      <w:r w:rsidR="00450840" w:rsidRPr="00F47C9B">
        <w:t>per un totale di 205 posti letto</w:t>
      </w:r>
      <w:r w:rsidR="00625F38" w:rsidRPr="00F47C9B">
        <w:t>.</w:t>
      </w:r>
      <w:r w:rsidR="00625F38">
        <w:t xml:space="preserve"> </w:t>
      </w:r>
      <w:r w:rsidR="00DB60E3" w:rsidRPr="007D6DE0">
        <w:t xml:space="preserve">A fronte di tali ritardi, </w:t>
      </w:r>
      <w:r w:rsidR="00DB60E3" w:rsidRPr="007D6DE0">
        <w:rPr>
          <w:rFonts w:cstheme="minorHAnsi"/>
        </w:rPr>
        <w:t xml:space="preserve">nel </w:t>
      </w:r>
      <w:r w:rsidR="00DB60E3" w:rsidRPr="007D6DE0">
        <w:rPr>
          <w:rFonts w:cstheme="minorHAnsi"/>
          <w:i/>
        </w:rPr>
        <w:t xml:space="preserve">question time </w:t>
      </w:r>
      <w:r w:rsidR="00F7051C" w:rsidRPr="007D6DE0">
        <w:rPr>
          <w:rFonts w:cstheme="minorHAnsi"/>
        </w:rPr>
        <w:t xml:space="preserve">al Senato </w:t>
      </w:r>
      <w:r w:rsidR="00DB60E3" w:rsidRPr="007D6DE0">
        <w:rPr>
          <w:rFonts w:cstheme="minorHAnsi"/>
        </w:rPr>
        <w:t xml:space="preserve">del 29 settembre 2025 il ministro Tommaso Foti aveva </w:t>
      </w:r>
      <w:r w:rsidR="003D7CD3" w:rsidRPr="007D6DE0">
        <w:rPr>
          <w:rFonts w:cstheme="minorHAnsi"/>
        </w:rPr>
        <w:t xml:space="preserve">fornito rassicurazioni </w:t>
      </w:r>
      <w:r w:rsidR="00EF6C5A" w:rsidRPr="007D6DE0">
        <w:rPr>
          <w:rFonts w:cstheme="minorHAnsi"/>
        </w:rPr>
        <w:t xml:space="preserve">sul raggiungimento dei target minimi previsti </w:t>
      </w:r>
      <w:r w:rsidR="00DB60E3" w:rsidRPr="007D6DE0">
        <w:rPr>
          <w:rFonts w:cstheme="minorHAnsi"/>
        </w:rPr>
        <w:t xml:space="preserve">entro il 30 giugno 2026. </w:t>
      </w:r>
      <w:r w:rsidR="003D7CD3" w:rsidRPr="007D6DE0">
        <w:rPr>
          <w:rFonts w:cstheme="minorHAnsi"/>
        </w:rPr>
        <w:t xml:space="preserve">Tuttavia, </w:t>
      </w:r>
      <w:r w:rsidR="00EF6C5A" w:rsidRPr="007D6DE0">
        <w:rPr>
          <w:rFonts w:cstheme="minorHAnsi"/>
        </w:rPr>
        <w:t xml:space="preserve">lo scorso </w:t>
      </w:r>
      <w:r w:rsidR="00457BFC" w:rsidRPr="007D6DE0">
        <w:rPr>
          <w:rFonts w:cstheme="minorHAnsi"/>
        </w:rPr>
        <w:t xml:space="preserve">20 febbraio ha </w:t>
      </w:r>
      <w:r w:rsidR="00EF6C5A" w:rsidRPr="007D6DE0">
        <w:rPr>
          <w:rFonts w:cstheme="minorHAnsi"/>
        </w:rPr>
        <w:t xml:space="preserve">annunciato </w:t>
      </w:r>
      <w:r w:rsidR="00F7051C" w:rsidRPr="007D6DE0">
        <w:rPr>
          <w:rFonts w:cstheme="minorHAnsi"/>
        </w:rPr>
        <w:t xml:space="preserve">la convocazione </w:t>
      </w:r>
      <w:r w:rsidR="00EF6C5A" w:rsidRPr="007D6DE0">
        <w:rPr>
          <w:rFonts w:cstheme="minorHAnsi"/>
        </w:rPr>
        <w:t xml:space="preserve">di </w:t>
      </w:r>
      <w:r w:rsidR="00457BFC" w:rsidRPr="007D6DE0">
        <w:rPr>
          <w:rFonts w:cstheme="minorHAnsi"/>
        </w:rPr>
        <w:t xml:space="preserve">due cabine di regia con i </w:t>
      </w:r>
      <w:r w:rsidR="00F7051C" w:rsidRPr="007D6DE0">
        <w:rPr>
          <w:rFonts w:cstheme="minorHAnsi"/>
        </w:rPr>
        <w:t>P</w:t>
      </w:r>
      <w:r w:rsidR="00457BFC" w:rsidRPr="007D6DE0">
        <w:rPr>
          <w:rFonts w:cstheme="minorHAnsi"/>
        </w:rPr>
        <w:t>residenti d</w:t>
      </w:r>
      <w:r w:rsidR="00DB60E3" w:rsidRPr="007D6DE0">
        <w:rPr>
          <w:rFonts w:cstheme="minorHAnsi"/>
        </w:rPr>
        <w:t xml:space="preserve">elle </w:t>
      </w:r>
      <w:r w:rsidR="00457BFC" w:rsidRPr="007D6DE0">
        <w:rPr>
          <w:rFonts w:cstheme="minorHAnsi"/>
        </w:rPr>
        <w:t>Region</w:t>
      </w:r>
      <w:r w:rsidR="00DB60E3" w:rsidRPr="007D6DE0">
        <w:rPr>
          <w:rFonts w:cstheme="minorHAnsi"/>
        </w:rPr>
        <w:t>i</w:t>
      </w:r>
      <w:r w:rsidR="00457BFC" w:rsidRPr="007D6DE0">
        <w:rPr>
          <w:rFonts w:cstheme="minorHAnsi"/>
        </w:rPr>
        <w:t xml:space="preserve"> perché “</w:t>
      </w:r>
      <w:r w:rsidR="00457BFC" w:rsidRPr="007D6DE0">
        <w:rPr>
          <w:rFonts w:cstheme="minorHAnsi"/>
          <w:i/>
          <w:iCs/>
        </w:rPr>
        <w:t>il passo era ancora troppo lento</w:t>
      </w:r>
      <w:r w:rsidR="00457BFC" w:rsidRPr="007D6DE0">
        <w:rPr>
          <w:rFonts w:cstheme="minorHAnsi"/>
        </w:rPr>
        <w:t xml:space="preserve">”, </w:t>
      </w:r>
      <w:r w:rsidR="00DB60E3" w:rsidRPr="007D6DE0">
        <w:rPr>
          <w:rFonts w:cstheme="minorHAnsi"/>
        </w:rPr>
        <w:t xml:space="preserve">ha </w:t>
      </w:r>
      <w:r w:rsidR="00457BFC" w:rsidRPr="007D6DE0">
        <w:rPr>
          <w:rFonts w:cstheme="minorHAnsi"/>
        </w:rPr>
        <w:t xml:space="preserve">proposto l'istituzione di un tavolo tecnico e ipotizzato il commissariamento delle Regioni </w:t>
      </w:r>
      <w:r w:rsidR="00457BFC" w:rsidRPr="00170A89">
        <w:rPr>
          <w:rFonts w:cstheme="minorHAnsi"/>
        </w:rPr>
        <w:t>inadempienti.</w:t>
      </w:r>
      <w:bookmarkEnd w:id="3"/>
      <w:r w:rsidR="009E76CC" w:rsidRPr="00170A89">
        <w:rPr>
          <w:rFonts w:cstheme="minorHAnsi"/>
        </w:rPr>
        <w:t xml:space="preserve"> Nel frattempo, è stat</w:t>
      </w:r>
      <w:r w:rsidR="00B51190">
        <w:rPr>
          <w:rFonts w:cstheme="minorHAnsi"/>
        </w:rPr>
        <w:t>o</w:t>
      </w:r>
      <w:r w:rsidR="009E76CC" w:rsidRPr="00170A89">
        <w:rPr>
          <w:rFonts w:cstheme="minorHAnsi"/>
        </w:rPr>
        <w:t xml:space="preserve"> approvat</w:t>
      </w:r>
      <w:r w:rsidR="000666C6" w:rsidRPr="00170A89">
        <w:rPr>
          <w:rFonts w:cstheme="minorHAnsi"/>
        </w:rPr>
        <w:t>o</w:t>
      </w:r>
      <w:r w:rsidR="009E76CC" w:rsidRPr="00170A89">
        <w:rPr>
          <w:rFonts w:cstheme="minorHAnsi"/>
        </w:rPr>
        <w:t xml:space="preserve"> </w:t>
      </w:r>
      <w:r w:rsidR="000666C6" w:rsidRPr="00170A89">
        <w:rPr>
          <w:rFonts w:cstheme="minorHAnsi"/>
        </w:rPr>
        <w:t>il</w:t>
      </w:r>
      <w:r w:rsidR="009E76CC" w:rsidRPr="00170A89">
        <w:rPr>
          <w:rFonts w:cstheme="minorHAnsi"/>
        </w:rPr>
        <w:t xml:space="preserve"> </w:t>
      </w:r>
      <w:hyperlink r:id="rId9" w:history="1">
        <w:r w:rsidR="000666C6" w:rsidRPr="00170A89">
          <w:rPr>
            <w:rStyle w:val="Collegamentoipertestuale"/>
            <w:rFonts w:cstheme="minorHAnsi"/>
          </w:rPr>
          <w:t>Disegno di L</w:t>
        </w:r>
        <w:r w:rsidR="009E76CC" w:rsidRPr="00170A89">
          <w:rPr>
            <w:rStyle w:val="Collegamentoipertestuale"/>
            <w:rFonts w:cstheme="minorHAnsi"/>
          </w:rPr>
          <w:t>egge Delega</w:t>
        </w:r>
      </w:hyperlink>
      <w:r w:rsidR="009E76CC" w:rsidRPr="00170A89">
        <w:rPr>
          <w:rFonts w:cstheme="minorHAnsi"/>
        </w:rPr>
        <w:t xml:space="preserve"> sulla riorganizzazione e potenziamento dell’assistenza territoriale e ospedaliera</w:t>
      </w:r>
      <w:r w:rsidR="001A14B5" w:rsidRPr="00170A89">
        <w:rPr>
          <w:rFonts w:cstheme="minorHAnsi"/>
        </w:rPr>
        <w:t xml:space="preserve">, </w:t>
      </w:r>
      <w:r w:rsidR="00B563EF" w:rsidRPr="00170A89">
        <w:rPr>
          <w:rFonts w:cstheme="minorHAnsi"/>
        </w:rPr>
        <w:t xml:space="preserve">che prevede una revisione di modelli e standard del DM 77. </w:t>
      </w:r>
      <w:r w:rsidR="00D7147A" w:rsidRPr="00170A89">
        <w:t>«Auspichiamo – sottolinea Cartabellotta –</w:t>
      </w:r>
      <w:r w:rsidR="00B51190">
        <w:t xml:space="preserve"> </w:t>
      </w:r>
      <w:r w:rsidR="003B0DFB" w:rsidRPr="00170A89">
        <w:t xml:space="preserve">che </w:t>
      </w:r>
      <w:r w:rsidR="00170A89" w:rsidRPr="00170A89">
        <w:t xml:space="preserve">tale </w:t>
      </w:r>
      <w:r w:rsidR="003B0DFB" w:rsidRPr="00170A89">
        <w:t xml:space="preserve">revisione </w:t>
      </w:r>
      <w:r w:rsidR="00170A89" w:rsidRPr="00170A89">
        <w:t xml:space="preserve">non determini una revisione al ribasso degli standard </w:t>
      </w:r>
      <w:r w:rsidR="00170A89">
        <w:t xml:space="preserve">solo al fine di </w:t>
      </w:r>
      <w:r w:rsidR="00170A89" w:rsidRPr="00170A89">
        <w:t>rendere compatibile la riforma dell’assistenza territoriale con le difficoltà di attuazione».</w:t>
      </w:r>
    </w:p>
    <w:p w14:paraId="3F84472A" w14:textId="455E4C7A" w:rsidR="002261B3" w:rsidRDefault="008912E4" w:rsidP="008912E4">
      <w:pPr>
        <w:jc w:val="both"/>
        <w:rPr>
          <w:rFonts w:cstheme="minorHAnsi"/>
        </w:rPr>
      </w:pPr>
      <w:r>
        <w:rPr>
          <w:rFonts w:cstheme="minorHAnsi"/>
          <w:b/>
          <w:bCs/>
        </w:rPr>
        <w:t>FASCICOLO SANITARIO ELETTRONICO (FSE)</w:t>
      </w:r>
      <w:r>
        <w:rPr>
          <w:rFonts w:cstheme="minorHAnsi"/>
        </w:rPr>
        <w:t xml:space="preserve">. Il </w:t>
      </w:r>
      <w:r w:rsidRPr="00E851CE">
        <w:rPr>
          <w:rFonts w:cstheme="minorHAnsi"/>
        </w:rPr>
        <w:t>FSE</w:t>
      </w:r>
      <w:r>
        <w:rPr>
          <w:rFonts w:cstheme="minorHAnsi"/>
        </w:rPr>
        <w:t xml:space="preserve"> 2.0 </w:t>
      </w:r>
      <w:r w:rsidR="002261B3">
        <w:rPr>
          <w:rFonts w:cstheme="minorHAnsi"/>
        </w:rPr>
        <w:t xml:space="preserve">è </w:t>
      </w:r>
      <w:r>
        <w:t>il</w:t>
      </w:r>
      <w:r w:rsidRPr="00A671D3">
        <w:t xml:space="preserve"> pilastro </w:t>
      </w:r>
      <w:r>
        <w:t xml:space="preserve">della trasformazione digitale </w:t>
      </w:r>
      <w:r w:rsidRPr="00E851CE">
        <w:rPr>
          <w:rFonts w:cstheme="minorHAnsi"/>
        </w:rPr>
        <w:t xml:space="preserve">del </w:t>
      </w:r>
      <w:r>
        <w:rPr>
          <w:rFonts w:cstheme="minorHAnsi"/>
        </w:rPr>
        <w:t xml:space="preserve">SSN: </w:t>
      </w:r>
      <w:r w:rsidR="003B0DFB">
        <w:rPr>
          <w:rFonts w:cstheme="minorHAnsi"/>
        </w:rPr>
        <w:t xml:space="preserve">il </w:t>
      </w:r>
      <w:r w:rsidR="0068279F">
        <w:rPr>
          <w:rFonts w:cstheme="minorHAnsi"/>
        </w:rPr>
        <w:t xml:space="preserve">PNRR </w:t>
      </w:r>
      <w:r w:rsidR="003B0DFB">
        <w:rPr>
          <w:rFonts w:cstheme="minorHAnsi"/>
        </w:rPr>
        <w:t xml:space="preserve">destina un </w:t>
      </w:r>
      <w:r>
        <w:rPr>
          <w:rFonts w:cstheme="minorHAnsi"/>
        </w:rPr>
        <w:t>investimento d</w:t>
      </w:r>
      <w:r w:rsidR="00FE2E17">
        <w:rPr>
          <w:rFonts w:cstheme="minorHAnsi"/>
        </w:rPr>
        <w:t>i</w:t>
      </w:r>
      <w:r w:rsidRPr="00E851CE">
        <w:rPr>
          <w:rFonts w:cstheme="minorHAnsi"/>
        </w:rPr>
        <w:t xml:space="preserve"> </w:t>
      </w:r>
      <w:r>
        <w:rPr>
          <w:rFonts w:cstheme="minorHAnsi"/>
        </w:rPr>
        <w:t xml:space="preserve">€ 1,38 miliardi </w:t>
      </w:r>
      <w:r w:rsidR="002261B3">
        <w:rPr>
          <w:rFonts w:cstheme="minorHAnsi"/>
        </w:rPr>
        <w:t>per</w:t>
      </w:r>
      <w:r>
        <w:rPr>
          <w:rFonts w:cstheme="minorHAnsi"/>
        </w:rPr>
        <w:t xml:space="preserve"> creare un </w:t>
      </w:r>
      <w:r w:rsidRPr="00E851CE">
        <w:rPr>
          <w:rFonts w:cstheme="minorHAnsi"/>
        </w:rPr>
        <w:t xml:space="preserve">ecosistema digitale </w:t>
      </w:r>
      <w:r w:rsidR="002261B3">
        <w:rPr>
          <w:rFonts w:cstheme="minorHAnsi"/>
        </w:rPr>
        <w:t>interoperabile di dati sanitari su scala nazionale</w:t>
      </w:r>
      <w:r w:rsidR="005E7E0A">
        <w:rPr>
          <w:rFonts w:cstheme="minorHAnsi"/>
        </w:rPr>
        <w:t xml:space="preserve">. </w:t>
      </w:r>
      <w:r w:rsidRPr="002C6092">
        <w:rPr>
          <w:rFonts w:cstheme="minorHAnsi"/>
        </w:rPr>
        <w:t>«</w:t>
      </w:r>
      <w:r w:rsidR="003B0DFB">
        <w:rPr>
          <w:rFonts w:cstheme="minorHAnsi"/>
        </w:rPr>
        <w:t xml:space="preserve">Proprio oggi, </w:t>
      </w:r>
      <w:r w:rsidR="0068279F">
        <w:rPr>
          <w:rFonts w:cstheme="minorHAnsi"/>
        </w:rPr>
        <w:t xml:space="preserve">31 marzo </w:t>
      </w:r>
      <w:r w:rsidR="002261B3" w:rsidRPr="00641090">
        <w:rPr>
          <w:rFonts w:cstheme="minorHAnsi"/>
        </w:rPr>
        <w:t>–</w:t>
      </w:r>
      <w:r w:rsidR="002261B3">
        <w:rPr>
          <w:rFonts w:cstheme="minorHAnsi"/>
        </w:rPr>
        <w:t xml:space="preserve"> spiega Cartabellotta </w:t>
      </w:r>
      <w:r w:rsidR="002261B3" w:rsidRPr="00641090">
        <w:rPr>
          <w:rFonts w:cstheme="minorHAnsi"/>
        </w:rPr>
        <w:t>–</w:t>
      </w:r>
      <w:r w:rsidR="002261B3">
        <w:rPr>
          <w:rFonts w:cstheme="minorHAnsi"/>
        </w:rPr>
        <w:t xml:space="preserve"> scade il termine</w:t>
      </w:r>
      <w:r w:rsidR="0055173D" w:rsidRPr="0055173D">
        <w:rPr>
          <w:rFonts w:cstheme="minorHAnsi"/>
        </w:rPr>
        <w:t xml:space="preserve"> per </w:t>
      </w:r>
      <w:r w:rsidR="002261B3">
        <w:rPr>
          <w:rFonts w:cstheme="minorHAnsi"/>
        </w:rPr>
        <w:t>l’adeguamento del</w:t>
      </w:r>
      <w:r w:rsidR="0055173D" w:rsidRPr="0055173D">
        <w:rPr>
          <w:rFonts w:cstheme="minorHAnsi"/>
        </w:rPr>
        <w:t>le strutture sanitarie pubbliche e private al modello</w:t>
      </w:r>
      <w:r w:rsidR="0055173D">
        <w:rPr>
          <w:rFonts w:cstheme="minorHAnsi"/>
        </w:rPr>
        <w:t xml:space="preserve"> standard</w:t>
      </w:r>
      <w:r w:rsidR="0055173D" w:rsidRPr="0055173D">
        <w:rPr>
          <w:rFonts w:cstheme="minorHAnsi"/>
        </w:rPr>
        <w:t xml:space="preserve"> di trasmissione dei dati per alimentare il F</w:t>
      </w:r>
      <w:r w:rsidR="0055173D">
        <w:rPr>
          <w:rFonts w:cstheme="minorHAnsi"/>
        </w:rPr>
        <w:t>SE</w:t>
      </w:r>
      <w:r w:rsidR="0055173D" w:rsidRPr="0055173D">
        <w:rPr>
          <w:rFonts w:cstheme="minorHAnsi"/>
        </w:rPr>
        <w:t>.</w:t>
      </w:r>
      <w:r w:rsidR="0055173D">
        <w:rPr>
          <w:rFonts w:cstheme="minorHAnsi"/>
        </w:rPr>
        <w:t xml:space="preserve"> </w:t>
      </w:r>
      <w:r w:rsidR="002261B3">
        <w:rPr>
          <w:rFonts w:cstheme="minorHAnsi"/>
        </w:rPr>
        <w:t>Un passaggio</w:t>
      </w:r>
      <w:r w:rsidR="00604D37">
        <w:rPr>
          <w:rFonts w:cstheme="minorHAnsi"/>
        </w:rPr>
        <w:t xml:space="preserve"> cruciale</w:t>
      </w:r>
      <w:r w:rsidR="00F47C9B">
        <w:rPr>
          <w:rFonts w:cstheme="minorHAnsi"/>
        </w:rPr>
        <w:t>,</w:t>
      </w:r>
      <w:r w:rsidR="002C6092">
        <w:rPr>
          <w:rFonts w:cstheme="minorHAnsi"/>
        </w:rPr>
        <w:t xml:space="preserve"> </w:t>
      </w:r>
      <w:r w:rsidR="002C6092" w:rsidRPr="002C6092">
        <w:rPr>
          <w:rFonts w:cstheme="minorHAnsi"/>
        </w:rPr>
        <w:t xml:space="preserve">ma ancora </w:t>
      </w:r>
      <w:r w:rsidR="002261B3" w:rsidRPr="002C6092">
        <w:rPr>
          <w:rFonts w:cstheme="minorHAnsi"/>
        </w:rPr>
        <w:t>incomplet</w:t>
      </w:r>
      <w:r w:rsidR="002261B3">
        <w:rPr>
          <w:rFonts w:cstheme="minorHAnsi"/>
        </w:rPr>
        <w:t>o</w:t>
      </w:r>
      <w:r w:rsidR="002261B3" w:rsidRPr="002C6092">
        <w:rPr>
          <w:rFonts w:cstheme="minorHAnsi"/>
        </w:rPr>
        <w:t xml:space="preserve"> </w:t>
      </w:r>
      <w:r w:rsidR="002C6092" w:rsidRPr="002C6092">
        <w:rPr>
          <w:rFonts w:cstheme="minorHAnsi"/>
        </w:rPr>
        <w:t xml:space="preserve">e molto </w:t>
      </w:r>
      <w:r w:rsidR="002261B3">
        <w:rPr>
          <w:rFonts w:cstheme="minorHAnsi"/>
        </w:rPr>
        <w:t>disomogeneo</w:t>
      </w:r>
      <w:r w:rsidR="002261B3" w:rsidRPr="002C6092">
        <w:rPr>
          <w:rFonts w:cstheme="minorHAnsi"/>
        </w:rPr>
        <w:t xml:space="preserve"> </w:t>
      </w:r>
      <w:r w:rsidR="002C6092" w:rsidRPr="002C6092">
        <w:rPr>
          <w:rFonts w:cstheme="minorHAnsi"/>
        </w:rPr>
        <w:t>tra le Regioni</w:t>
      </w:r>
      <w:r w:rsidR="003B0DFB">
        <w:rPr>
          <w:rFonts w:cstheme="minorHAnsi"/>
        </w:rPr>
        <w:t>: senza una interoperabilità reale, il FSE resta</w:t>
      </w:r>
      <w:r w:rsidR="00B74218">
        <w:rPr>
          <w:rFonts w:cstheme="minorHAnsi"/>
        </w:rPr>
        <w:t xml:space="preserve"> </w:t>
      </w:r>
      <w:r w:rsidR="002C6092" w:rsidRPr="002C6092">
        <w:rPr>
          <w:rFonts w:cstheme="minorHAnsi"/>
        </w:rPr>
        <w:t xml:space="preserve">un’infrastruttura incapace di </w:t>
      </w:r>
      <w:r w:rsidR="002261B3">
        <w:rPr>
          <w:rFonts w:cstheme="minorHAnsi"/>
        </w:rPr>
        <w:t>generare</w:t>
      </w:r>
      <w:r w:rsidR="002261B3" w:rsidRPr="002C6092">
        <w:rPr>
          <w:rFonts w:cstheme="minorHAnsi"/>
        </w:rPr>
        <w:t xml:space="preserve"> </w:t>
      </w:r>
      <w:r w:rsidR="002C6092" w:rsidRPr="002C6092">
        <w:rPr>
          <w:rFonts w:cstheme="minorHAnsi"/>
        </w:rPr>
        <w:t>benefici concreti per l’assistenza</w:t>
      </w:r>
      <w:r w:rsidR="0081502D">
        <w:rPr>
          <w:rFonts w:cstheme="minorHAnsi"/>
        </w:rPr>
        <w:t xml:space="preserve"> sanitaria</w:t>
      </w:r>
      <w:r w:rsidRPr="002C6092">
        <w:rPr>
          <w:rFonts w:cstheme="minorHAnsi"/>
        </w:rPr>
        <w:t>»</w:t>
      </w:r>
      <w:r w:rsidRPr="00641090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D099F36" w14:textId="7AE9E8FB" w:rsidR="002261B3" w:rsidRDefault="008912E4" w:rsidP="008912E4">
      <w:pPr>
        <w:jc w:val="both"/>
        <w:rPr>
          <w:rFonts w:cstheme="minorHAnsi"/>
        </w:rPr>
      </w:pPr>
      <w:r w:rsidRPr="00894C0F">
        <w:rPr>
          <w:rFonts w:cstheme="minorHAnsi"/>
          <w:b/>
          <w:bCs/>
        </w:rPr>
        <w:t>Completezza del FSE</w:t>
      </w:r>
      <w:r>
        <w:rPr>
          <w:rFonts w:cstheme="minorHAnsi"/>
        </w:rPr>
        <w:t>. A</w:t>
      </w:r>
      <w:r w:rsidRPr="000910E1">
        <w:rPr>
          <w:rFonts w:cstheme="minorHAnsi"/>
        </w:rPr>
        <w:t xml:space="preserve">l </w:t>
      </w:r>
      <w:r>
        <w:rPr>
          <w:rFonts w:cstheme="minorHAnsi"/>
        </w:rPr>
        <w:t>30 settembre 2025,</w:t>
      </w:r>
      <w:r w:rsidRPr="000910E1">
        <w:rPr>
          <w:rFonts w:cstheme="minorHAnsi"/>
        </w:rPr>
        <w:t xml:space="preserve"> </w:t>
      </w:r>
      <w:r>
        <w:rPr>
          <w:rFonts w:cstheme="minorHAnsi"/>
        </w:rPr>
        <w:t xml:space="preserve">secondo i dati </w:t>
      </w:r>
      <w:r w:rsidR="002261B3">
        <w:rPr>
          <w:rFonts w:cstheme="minorHAnsi"/>
        </w:rPr>
        <w:t>del</w:t>
      </w:r>
      <w:r w:rsidRPr="000910E1">
        <w:rPr>
          <w:rFonts w:cstheme="minorHAnsi"/>
        </w:rPr>
        <w:t xml:space="preserve"> </w:t>
      </w:r>
      <w:hyperlink r:id="rId10" w:history="1">
        <w:r w:rsidRPr="000910E1">
          <w:rPr>
            <w:rStyle w:val="Collegamentoipertestuale"/>
            <w:rFonts w:cstheme="minorHAnsi"/>
          </w:rPr>
          <w:t>portale Fascicolo Sanitario Elettronico 2.0</w:t>
        </w:r>
      </w:hyperlink>
      <w:r>
        <w:rPr>
          <w:rFonts w:cstheme="minorHAnsi"/>
        </w:rPr>
        <w:t xml:space="preserve">, </w:t>
      </w:r>
      <w:r w:rsidRPr="000131FB">
        <w:rPr>
          <w:rFonts w:cstheme="minorHAnsi"/>
        </w:rPr>
        <w:t>n</w:t>
      </w:r>
      <w:r>
        <w:rPr>
          <w:rFonts w:cstheme="minorHAnsi"/>
        </w:rPr>
        <w:t xml:space="preserve">essuna </w:t>
      </w:r>
      <w:r w:rsidRPr="000131FB">
        <w:rPr>
          <w:rFonts w:cstheme="minorHAnsi"/>
        </w:rPr>
        <w:t>Region</w:t>
      </w:r>
      <w:r>
        <w:rPr>
          <w:rFonts w:cstheme="minorHAnsi"/>
        </w:rPr>
        <w:t>e</w:t>
      </w:r>
      <w:r w:rsidRPr="000131FB">
        <w:rPr>
          <w:rFonts w:cstheme="minorHAnsi"/>
        </w:rPr>
        <w:t xml:space="preserve"> rend</w:t>
      </w:r>
      <w:r>
        <w:rPr>
          <w:rFonts w:cstheme="minorHAnsi"/>
        </w:rPr>
        <w:t xml:space="preserve">e </w:t>
      </w:r>
      <w:r w:rsidRPr="000131FB">
        <w:rPr>
          <w:rFonts w:cstheme="minorHAnsi"/>
        </w:rPr>
        <w:t>disponibili</w:t>
      </w:r>
      <w:r w:rsidR="00AD5401">
        <w:rPr>
          <w:rFonts w:cstheme="minorHAnsi"/>
        </w:rPr>
        <w:t xml:space="preserve"> tutte</w:t>
      </w:r>
      <w:r w:rsidRPr="000131FB">
        <w:rPr>
          <w:rFonts w:cstheme="minorHAnsi"/>
        </w:rPr>
        <w:t xml:space="preserve"> </w:t>
      </w:r>
      <w:r>
        <w:rPr>
          <w:rFonts w:cstheme="minorHAnsi"/>
        </w:rPr>
        <w:t>le</w:t>
      </w:r>
      <w:r w:rsidRPr="000910E1">
        <w:rPr>
          <w:rFonts w:cstheme="minorHAnsi"/>
        </w:rPr>
        <w:t xml:space="preserve"> </w:t>
      </w:r>
      <w:r w:rsidR="00AD5401">
        <w:rPr>
          <w:rFonts w:cstheme="minorHAnsi"/>
        </w:rPr>
        <w:t>20</w:t>
      </w:r>
      <w:r>
        <w:rPr>
          <w:rFonts w:cstheme="minorHAnsi"/>
        </w:rPr>
        <w:t xml:space="preserve"> tipologie di </w:t>
      </w:r>
      <w:r w:rsidRPr="000910E1">
        <w:rPr>
          <w:rFonts w:cstheme="minorHAnsi"/>
        </w:rPr>
        <w:t>documenti</w:t>
      </w:r>
      <w:r w:rsidRPr="000131FB">
        <w:rPr>
          <w:rFonts w:cstheme="minorHAnsi"/>
        </w:rPr>
        <w:t xml:space="preserve"> </w:t>
      </w:r>
      <w:r>
        <w:rPr>
          <w:rFonts w:cstheme="minorHAnsi"/>
        </w:rPr>
        <w:t xml:space="preserve">previste dal DM </w:t>
      </w:r>
      <w:r w:rsidRPr="000131FB">
        <w:rPr>
          <w:rFonts w:cstheme="minorHAnsi"/>
        </w:rPr>
        <w:t>7 settembre 2023</w:t>
      </w:r>
      <w:r w:rsidR="002F0FD0">
        <w:rPr>
          <w:rFonts w:cstheme="minorHAnsi"/>
        </w:rPr>
        <w:t xml:space="preserve">. Il </w:t>
      </w:r>
      <w:r w:rsidR="000054AA">
        <w:rPr>
          <w:rFonts w:cstheme="minorHAnsi"/>
        </w:rPr>
        <w:t xml:space="preserve">livello </w:t>
      </w:r>
      <w:r w:rsidRPr="000131FB">
        <w:rPr>
          <w:rFonts w:cstheme="minorHAnsi"/>
        </w:rPr>
        <w:t>di completezza</w:t>
      </w:r>
      <w:r>
        <w:rPr>
          <w:rFonts w:cstheme="minorHAnsi"/>
        </w:rPr>
        <w:t xml:space="preserve"> varia </w:t>
      </w:r>
      <w:r w:rsidRPr="000131FB">
        <w:rPr>
          <w:rFonts w:cstheme="minorHAnsi"/>
        </w:rPr>
        <w:t>da</w:t>
      </w:r>
      <w:r w:rsidR="00AD5401">
        <w:rPr>
          <w:rFonts w:cstheme="minorHAnsi"/>
        </w:rPr>
        <w:t xml:space="preserve">i 17 documenti </w:t>
      </w:r>
      <w:r>
        <w:rPr>
          <w:rFonts w:cstheme="minorHAnsi"/>
        </w:rPr>
        <w:t>dell’Emilia-Romagna</w:t>
      </w:r>
      <w:r w:rsidRPr="000131FB">
        <w:rPr>
          <w:rFonts w:cstheme="minorHAnsi"/>
        </w:rPr>
        <w:t xml:space="preserve"> a</w:t>
      </w:r>
      <w:r w:rsidR="00AD5401">
        <w:rPr>
          <w:rFonts w:cstheme="minorHAnsi"/>
        </w:rPr>
        <w:t xml:space="preserve">gli 11 </w:t>
      </w:r>
      <w:r>
        <w:rPr>
          <w:rFonts w:cstheme="minorHAnsi"/>
        </w:rPr>
        <w:t>della</w:t>
      </w:r>
      <w:r w:rsidRPr="000131FB">
        <w:rPr>
          <w:rFonts w:cstheme="minorHAnsi"/>
        </w:rPr>
        <w:t xml:space="preserve"> Puglia (</w:t>
      </w:r>
      <w:r>
        <w:rPr>
          <w:rFonts w:cstheme="minorHAnsi"/>
          <w:highlight w:val="yellow"/>
        </w:rPr>
        <w:t>F</w:t>
      </w:r>
      <w:r w:rsidRPr="000131FB">
        <w:rPr>
          <w:rFonts w:cstheme="minorHAnsi"/>
          <w:highlight w:val="yellow"/>
        </w:rPr>
        <w:t xml:space="preserve">igura </w:t>
      </w:r>
      <w:r w:rsidR="006B391E">
        <w:rPr>
          <w:rFonts w:cstheme="minorHAnsi"/>
          <w:highlight w:val="yellow"/>
        </w:rPr>
        <w:t>5</w:t>
      </w:r>
      <w:r w:rsidRPr="000131FB">
        <w:rPr>
          <w:rFonts w:cstheme="minorHAnsi"/>
        </w:rPr>
        <w:t xml:space="preserve">). </w:t>
      </w:r>
    </w:p>
    <w:p w14:paraId="424970CE" w14:textId="1308C770" w:rsidR="003B0DFB" w:rsidRPr="00902050" w:rsidRDefault="008912E4" w:rsidP="003B0DFB">
      <w:pPr>
        <w:jc w:val="both"/>
      </w:pPr>
      <w:r w:rsidRPr="002F17FD">
        <w:rPr>
          <w:b/>
        </w:rPr>
        <w:t>Consenso alla consultazione</w:t>
      </w:r>
      <w:r w:rsidR="00280CBE">
        <w:rPr>
          <w:b/>
        </w:rPr>
        <w:t xml:space="preserve"> del FSE</w:t>
      </w:r>
      <w:r w:rsidRPr="002F17FD">
        <w:rPr>
          <w:b/>
        </w:rPr>
        <w:t>.</w:t>
      </w:r>
      <w:r w:rsidRPr="002F17FD">
        <w:t xml:space="preserve"> Al 3</w:t>
      </w:r>
      <w:r>
        <w:t xml:space="preserve">0 </w:t>
      </w:r>
      <w:r>
        <w:rPr>
          <w:rFonts w:cstheme="minorHAnsi"/>
        </w:rPr>
        <w:t>settembre 2025</w:t>
      </w:r>
      <w:r w:rsidRPr="00B15EC5">
        <w:t xml:space="preserve">, </w:t>
      </w:r>
      <w:r>
        <w:t xml:space="preserve">solo </w:t>
      </w:r>
      <w:r w:rsidRPr="00B15EC5">
        <w:t xml:space="preserve">il </w:t>
      </w:r>
      <w:r w:rsidRPr="002F17FD">
        <w:t>4</w:t>
      </w:r>
      <w:r>
        <w:t>4</w:t>
      </w:r>
      <w:r w:rsidRPr="002F17FD">
        <w:t>% dei cittadini ha espresso il consenso alla consultazione de</w:t>
      </w:r>
      <w:r>
        <w:t xml:space="preserve">l FSE </w:t>
      </w:r>
      <w:r w:rsidRPr="002F17FD">
        <w:t>da parte di medici e operatori del SSN</w:t>
      </w:r>
      <w:r>
        <w:t xml:space="preserve">, con forti disomogeneità </w:t>
      </w:r>
      <w:r w:rsidRPr="002F17FD">
        <w:t>regional</w:t>
      </w:r>
      <w:r>
        <w:t>i: dal 2</w:t>
      </w:r>
      <w:r w:rsidRPr="002F17FD">
        <w:t xml:space="preserve">% </w:t>
      </w:r>
      <w:r>
        <w:t xml:space="preserve">in Abruzzo e </w:t>
      </w:r>
      <w:r w:rsidRPr="002F17FD">
        <w:t>Campania</w:t>
      </w:r>
      <w:r>
        <w:t xml:space="preserve"> al 92</w:t>
      </w:r>
      <w:r w:rsidRPr="002F17FD">
        <w:t xml:space="preserve">% in Emilia-Romagna. Tra le </w:t>
      </w:r>
      <w:r>
        <w:t>R</w:t>
      </w:r>
      <w:r w:rsidRPr="002F17FD">
        <w:t>egioni del Mezzogiorno, solo la Puglia</w:t>
      </w:r>
      <w:r>
        <w:t xml:space="preserve"> </w:t>
      </w:r>
      <w:r w:rsidRPr="002F17FD">
        <w:t>supera la media nazionale</w:t>
      </w:r>
      <w:r>
        <w:t xml:space="preserve"> (44%)</w:t>
      </w:r>
      <w:r w:rsidR="003B0DFB">
        <w:t xml:space="preserve">, </w:t>
      </w:r>
      <w:r w:rsidR="00B74218">
        <w:t xml:space="preserve">raggiungendo il </w:t>
      </w:r>
      <w:r>
        <w:t>75</w:t>
      </w:r>
      <w:r w:rsidRPr="002F17FD">
        <w:t>% (</w:t>
      </w:r>
      <w:r>
        <w:rPr>
          <w:highlight w:val="yellow"/>
        </w:rPr>
        <w:t>F</w:t>
      </w:r>
      <w:r w:rsidRPr="002F17FD">
        <w:rPr>
          <w:highlight w:val="yellow"/>
        </w:rPr>
        <w:t>igura</w:t>
      </w:r>
      <w:r>
        <w:rPr>
          <w:highlight w:val="yellow"/>
        </w:rPr>
        <w:t xml:space="preserve"> </w:t>
      </w:r>
      <w:r w:rsidR="006B391E">
        <w:rPr>
          <w:highlight w:val="yellow"/>
        </w:rPr>
        <w:t>6</w:t>
      </w:r>
      <w:r w:rsidRPr="002F17FD">
        <w:t>).</w:t>
      </w:r>
      <w:r>
        <w:t xml:space="preserve"> </w:t>
      </w:r>
      <w:r w:rsidRPr="00B66016">
        <w:t>«</w:t>
      </w:r>
      <w:r w:rsidR="00604D37">
        <w:t xml:space="preserve">Se </w:t>
      </w:r>
      <w:r w:rsidR="00C066EC">
        <w:t xml:space="preserve">nemmeno la </w:t>
      </w:r>
      <w:r w:rsidR="002C6092">
        <w:t xml:space="preserve">metà dei cittadini </w:t>
      </w:r>
      <w:r w:rsidR="000054AA">
        <w:t>consente l’accesso al proprio</w:t>
      </w:r>
      <w:r w:rsidR="002C6092">
        <w:t xml:space="preserve"> FSE </w:t>
      </w:r>
      <w:r w:rsidR="002C6092" w:rsidRPr="00641090">
        <w:rPr>
          <w:rFonts w:cstheme="minorHAnsi"/>
        </w:rPr>
        <w:t>–</w:t>
      </w:r>
      <w:r w:rsidR="002C6092">
        <w:rPr>
          <w:rFonts w:cstheme="minorHAnsi"/>
        </w:rPr>
        <w:t xml:space="preserve"> </w:t>
      </w:r>
      <w:r w:rsidR="00C11950">
        <w:rPr>
          <w:rFonts w:cstheme="minorHAnsi"/>
        </w:rPr>
        <w:t>avverte</w:t>
      </w:r>
      <w:r w:rsidR="002C6092">
        <w:rPr>
          <w:rFonts w:cstheme="minorHAnsi"/>
        </w:rPr>
        <w:t xml:space="preserve"> Cartabellotta </w:t>
      </w:r>
      <w:r w:rsidR="002C6092" w:rsidRPr="00641090">
        <w:rPr>
          <w:rFonts w:cstheme="minorHAnsi"/>
        </w:rPr>
        <w:t>–</w:t>
      </w:r>
      <w:r w:rsidR="002C6092">
        <w:rPr>
          <w:rFonts w:cstheme="minorHAnsi"/>
        </w:rPr>
        <w:t xml:space="preserve"> </w:t>
      </w:r>
      <w:r w:rsidR="000054AA" w:rsidRPr="000054AA">
        <w:rPr>
          <w:rFonts w:cstheme="minorHAnsi"/>
        </w:rPr>
        <w:t xml:space="preserve">non siamo di fronte a </w:t>
      </w:r>
      <w:r w:rsidR="003B0DFB">
        <w:rPr>
          <w:rFonts w:cstheme="minorHAnsi"/>
        </w:rPr>
        <w:t>un problema tecnico</w:t>
      </w:r>
      <w:r w:rsidR="000054AA" w:rsidRPr="000054AA">
        <w:rPr>
          <w:rFonts w:cstheme="minorHAnsi"/>
        </w:rPr>
        <w:t xml:space="preserve">, ma a un </w:t>
      </w:r>
      <w:r w:rsidR="003B0DFB">
        <w:rPr>
          <w:rFonts w:cstheme="minorHAnsi"/>
        </w:rPr>
        <w:t>fallimento</w:t>
      </w:r>
      <w:r w:rsidR="003B0DFB" w:rsidRPr="000054AA">
        <w:rPr>
          <w:rFonts w:cstheme="minorHAnsi"/>
        </w:rPr>
        <w:t xml:space="preserve"> </w:t>
      </w:r>
      <w:r w:rsidR="00C066EC">
        <w:rPr>
          <w:rFonts w:cstheme="minorHAnsi"/>
        </w:rPr>
        <w:t xml:space="preserve">culturale </w:t>
      </w:r>
      <w:r w:rsidR="003B0DFB">
        <w:rPr>
          <w:rFonts w:cstheme="minorHAnsi"/>
        </w:rPr>
        <w:t xml:space="preserve">e organizzativo. </w:t>
      </w:r>
      <w:r w:rsidR="003B0DFB" w:rsidRPr="003B0DFB">
        <w:rPr>
          <w:rFonts w:cstheme="minorHAnsi"/>
        </w:rPr>
        <w:t>Colmare divari così ampi richiede</w:t>
      </w:r>
      <w:r w:rsidR="003B0DFB">
        <w:rPr>
          <w:rFonts w:cstheme="minorHAnsi"/>
        </w:rPr>
        <w:t xml:space="preserve"> alla politica</w:t>
      </w:r>
      <w:r w:rsidR="003B0DFB" w:rsidRPr="003B0DFB">
        <w:rPr>
          <w:rFonts w:cstheme="minorHAnsi"/>
        </w:rPr>
        <w:t xml:space="preserve"> interventi immediati</w:t>
      </w:r>
      <w:r w:rsidR="000054AA" w:rsidRPr="000054AA">
        <w:t xml:space="preserve">: nel Mezzogiorno pesano </w:t>
      </w:r>
      <w:r w:rsidR="00604D37">
        <w:t>analfabetismo digitale, s</w:t>
      </w:r>
      <w:r w:rsidR="002C6092">
        <w:t xml:space="preserve">carsa fiducia </w:t>
      </w:r>
      <w:r w:rsidR="00604D37">
        <w:t xml:space="preserve">sulla sicurezza dei dati e </w:t>
      </w:r>
      <w:r w:rsidR="003B0DFB">
        <w:t xml:space="preserve">una </w:t>
      </w:r>
      <w:r w:rsidR="002C6092">
        <w:t>limitata percezione dell’utilità del</w:t>
      </w:r>
      <w:r w:rsidR="00C066EC">
        <w:t xml:space="preserve"> FSE</w:t>
      </w:r>
      <w:r w:rsidRPr="002C6092">
        <w:t>».</w:t>
      </w:r>
    </w:p>
    <w:p w14:paraId="65A28B94" w14:textId="0583E434" w:rsidR="003B0DFB" w:rsidRPr="00902050" w:rsidRDefault="00AE2D5E" w:rsidP="002E431F">
      <w:pPr>
        <w:jc w:val="both"/>
      </w:pPr>
      <w:r w:rsidRPr="004F5602">
        <w:rPr>
          <w:rFonts w:cstheme="minorHAnsi"/>
        </w:rPr>
        <w:t>«</w:t>
      </w:r>
      <w:r>
        <w:rPr>
          <w:rFonts w:cstheme="minorHAnsi"/>
        </w:rPr>
        <w:t xml:space="preserve">A </w:t>
      </w:r>
      <w:r w:rsidR="0014311F">
        <w:rPr>
          <w:rFonts w:cstheme="minorHAnsi"/>
        </w:rPr>
        <w:t xml:space="preserve">soli </w:t>
      </w:r>
      <w:r w:rsidR="00934D88">
        <w:rPr>
          <w:rFonts w:cstheme="minorHAnsi"/>
        </w:rPr>
        <w:t xml:space="preserve">tre mesi </w:t>
      </w:r>
      <w:r>
        <w:rPr>
          <w:rFonts w:cstheme="minorHAnsi"/>
        </w:rPr>
        <w:t xml:space="preserve">dalla rendicontazione finale </w:t>
      </w:r>
      <w:r w:rsidR="008A284D">
        <w:rPr>
          <w:rFonts w:cstheme="minorHAnsi"/>
        </w:rPr>
        <w:t xml:space="preserve">della Missione Salute del PNRR </w:t>
      </w:r>
      <w:r w:rsidRPr="004F5602">
        <w:rPr>
          <w:rFonts w:cstheme="minorHAnsi"/>
        </w:rPr>
        <w:t xml:space="preserve">– </w:t>
      </w:r>
      <w:r>
        <w:rPr>
          <w:rFonts w:cstheme="minorHAnsi"/>
        </w:rPr>
        <w:t>conclude</w:t>
      </w:r>
      <w:r w:rsidRPr="004F5602">
        <w:rPr>
          <w:rFonts w:cstheme="minorHAnsi"/>
        </w:rPr>
        <w:t xml:space="preserve"> Cartabellotta –</w:t>
      </w:r>
      <w:r>
        <w:rPr>
          <w:rFonts w:cstheme="minorHAnsi"/>
        </w:rPr>
        <w:t xml:space="preserve"> </w:t>
      </w:r>
      <w:r w:rsidR="00561D1F">
        <w:rPr>
          <w:rFonts w:cstheme="minorHAnsi"/>
        </w:rPr>
        <w:t xml:space="preserve">l’obiettivo di rendere Case e Ospedali di Comunità “pienamente funzionanti”, requisito indispensabile per </w:t>
      </w:r>
      <w:r w:rsidR="00C066EC">
        <w:rPr>
          <w:rFonts w:cstheme="minorHAnsi"/>
        </w:rPr>
        <w:t>raggiungere i target</w:t>
      </w:r>
      <w:r w:rsidR="00561D1F">
        <w:rPr>
          <w:rFonts w:cstheme="minorHAnsi"/>
        </w:rPr>
        <w:t>,</w:t>
      </w:r>
      <w:r w:rsidR="00561D1F">
        <w:t xml:space="preserve"> </w:t>
      </w:r>
      <w:r w:rsidR="000054AA">
        <w:rPr>
          <w:rFonts w:cstheme="minorHAnsi"/>
        </w:rPr>
        <w:t>resta ancora molto</w:t>
      </w:r>
      <w:r w:rsidR="00561D1F">
        <w:rPr>
          <w:rFonts w:cstheme="minorHAnsi"/>
        </w:rPr>
        <w:t xml:space="preserve"> lontano, con </w:t>
      </w:r>
      <w:r w:rsidR="000054AA">
        <w:rPr>
          <w:rFonts w:cstheme="minorHAnsi"/>
        </w:rPr>
        <w:t xml:space="preserve">avanzamenti lenti e </w:t>
      </w:r>
      <w:r w:rsidR="005F3E41">
        <w:rPr>
          <w:rFonts w:cstheme="minorHAnsi"/>
        </w:rPr>
        <w:t>inaccettabili</w:t>
      </w:r>
      <w:r w:rsidR="000054AA">
        <w:rPr>
          <w:rFonts w:cstheme="minorHAnsi"/>
        </w:rPr>
        <w:t xml:space="preserve"> diseguaglianze </w:t>
      </w:r>
      <w:r w:rsidR="0068279F">
        <w:rPr>
          <w:rFonts w:cstheme="minorHAnsi"/>
        </w:rPr>
        <w:t>regionali</w:t>
      </w:r>
      <w:r w:rsidR="00277F16">
        <w:rPr>
          <w:rFonts w:cstheme="minorHAnsi"/>
        </w:rPr>
        <w:t xml:space="preserve">. </w:t>
      </w:r>
      <w:r w:rsidR="00DB60E3">
        <w:rPr>
          <w:rFonts w:cstheme="minorHAnsi"/>
        </w:rPr>
        <w:t xml:space="preserve">Pesano </w:t>
      </w:r>
      <w:r w:rsidR="00EB1B36">
        <w:rPr>
          <w:rFonts w:cstheme="minorHAnsi"/>
        </w:rPr>
        <w:t>i ritardi</w:t>
      </w:r>
      <w:r w:rsidR="00D074F7">
        <w:rPr>
          <w:rFonts w:cstheme="minorHAnsi"/>
        </w:rPr>
        <w:t xml:space="preserve"> </w:t>
      </w:r>
      <w:r w:rsidR="00EB1B36">
        <w:rPr>
          <w:rFonts w:cstheme="minorHAnsi"/>
        </w:rPr>
        <w:t>strutturali</w:t>
      </w:r>
      <w:r w:rsidR="00DB60E3">
        <w:rPr>
          <w:rFonts w:cstheme="minorHAnsi"/>
        </w:rPr>
        <w:t xml:space="preserve">, </w:t>
      </w:r>
      <w:r w:rsidR="00D074F7">
        <w:rPr>
          <w:rFonts w:cstheme="minorHAnsi"/>
        </w:rPr>
        <w:t xml:space="preserve">l’attivazione </w:t>
      </w:r>
      <w:r w:rsidR="00C066EC">
        <w:rPr>
          <w:rFonts w:cstheme="minorHAnsi"/>
        </w:rPr>
        <w:t xml:space="preserve">parziale </w:t>
      </w:r>
      <w:r w:rsidR="000054AA">
        <w:rPr>
          <w:rFonts w:cstheme="minorHAnsi"/>
        </w:rPr>
        <w:t>dei</w:t>
      </w:r>
      <w:r w:rsidR="00D074F7">
        <w:rPr>
          <w:rFonts w:cstheme="minorHAnsi"/>
        </w:rPr>
        <w:t xml:space="preserve"> servizi</w:t>
      </w:r>
      <w:r w:rsidR="00DB60E3">
        <w:rPr>
          <w:rFonts w:cstheme="minorHAnsi"/>
        </w:rPr>
        <w:t xml:space="preserve"> e </w:t>
      </w:r>
      <w:r w:rsidR="000054AA">
        <w:rPr>
          <w:rFonts w:cstheme="minorHAnsi"/>
        </w:rPr>
        <w:t>l</w:t>
      </w:r>
      <w:r w:rsidR="00561D1F">
        <w:rPr>
          <w:rFonts w:cstheme="minorHAnsi"/>
        </w:rPr>
        <w:t>a carenza di personale sanitario, in particolare infermieristico</w:t>
      </w:r>
      <w:r w:rsidR="00DB60E3">
        <w:rPr>
          <w:rFonts w:cstheme="minorHAnsi"/>
        </w:rPr>
        <w:t>; p</w:t>
      </w:r>
      <w:r w:rsidR="00C066EC">
        <w:rPr>
          <w:rFonts w:cstheme="minorHAnsi"/>
        </w:rPr>
        <w:t xml:space="preserve">er le </w:t>
      </w:r>
      <w:r w:rsidR="008A284D">
        <w:rPr>
          <w:rFonts w:cstheme="minorHAnsi"/>
        </w:rPr>
        <w:t>Case della Comunità</w:t>
      </w:r>
      <w:r w:rsidR="00EB1B36">
        <w:rPr>
          <w:rFonts w:cstheme="minorHAnsi"/>
        </w:rPr>
        <w:t xml:space="preserve"> </w:t>
      </w:r>
      <w:r w:rsidR="008A284D">
        <w:rPr>
          <w:rFonts w:cstheme="minorHAnsi"/>
        </w:rPr>
        <w:t xml:space="preserve">anche </w:t>
      </w:r>
      <w:r w:rsidR="00D074F7">
        <w:rPr>
          <w:rFonts w:cstheme="minorHAnsi"/>
        </w:rPr>
        <w:t xml:space="preserve">il ritardo nel </w:t>
      </w:r>
      <w:r w:rsidR="008A284D">
        <w:rPr>
          <w:rFonts w:cstheme="minorHAnsi"/>
        </w:rPr>
        <w:t xml:space="preserve">coinvolgimento dei medici di famiglia, </w:t>
      </w:r>
      <w:r w:rsidR="00E52FAD">
        <w:rPr>
          <w:rFonts w:cstheme="minorHAnsi"/>
        </w:rPr>
        <w:t xml:space="preserve">figura chiave </w:t>
      </w:r>
      <w:r w:rsidR="008A284D">
        <w:rPr>
          <w:rFonts w:cstheme="minorHAnsi"/>
        </w:rPr>
        <w:t>dell’assistenza territoriale</w:t>
      </w:r>
      <w:r w:rsidR="0081502D">
        <w:rPr>
          <w:rFonts w:cstheme="minorHAnsi"/>
        </w:rPr>
        <w:t>.</w:t>
      </w:r>
      <w:r w:rsidR="000054AA">
        <w:rPr>
          <w:rFonts w:cstheme="minorHAnsi"/>
        </w:rPr>
        <w:t xml:space="preserve"> </w:t>
      </w:r>
      <w:r w:rsidR="00DB60E3">
        <w:rPr>
          <w:rFonts w:cstheme="minorHAnsi"/>
        </w:rPr>
        <w:t xml:space="preserve">Ecco perché, </w:t>
      </w:r>
      <w:r w:rsidR="00E52FAD">
        <w:rPr>
          <w:rFonts w:cstheme="minorHAnsi"/>
        </w:rPr>
        <w:t>a tre mesi dalla scadenza Governo e Regioni</w:t>
      </w:r>
      <w:r w:rsidR="00A1724F">
        <w:rPr>
          <w:rFonts w:cstheme="minorHAnsi"/>
        </w:rPr>
        <w:t xml:space="preserve">, oltre ad </w:t>
      </w:r>
      <w:r w:rsidR="008A284D">
        <w:rPr>
          <w:rFonts w:cstheme="minorHAnsi"/>
        </w:rPr>
        <w:t>accelerare</w:t>
      </w:r>
      <w:r w:rsidR="000054AA">
        <w:rPr>
          <w:rFonts w:cstheme="minorHAnsi"/>
        </w:rPr>
        <w:t xml:space="preserve">, </w:t>
      </w:r>
      <w:r w:rsidR="00A1724F">
        <w:rPr>
          <w:rFonts w:cstheme="minorHAnsi"/>
        </w:rPr>
        <w:t xml:space="preserve">devono </w:t>
      </w:r>
      <w:r w:rsidR="000054AA">
        <w:rPr>
          <w:rFonts w:cstheme="minorHAnsi"/>
        </w:rPr>
        <w:t xml:space="preserve">prendere </w:t>
      </w:r>
      <w:r w:rsidR="0068279F">
        <w:rPr>
          <w:rFonts w:cstheme="minorHAnsi"/>
        </w:rPr>
        <w:t xml:space="preserve">seriamente </w:t>
      </w:r>
      <w:r w:rsidR="000054AA">
        <w:rPr>
          <w:rFonts w:cstheme="minorHAnsi"/>
        </w:rPr>
        <w:t xml:space="preserve">atto dei </w:t>
      </w:r>
      <w:r w:rsidR="008A284D">
        <w:rPr>
          <w:rFonts w:cstheme="minorHAnsi"/>
        </w:rPr>
        <w:t xml:space="preserve">rischi </w:t>
      </w:r>
      <w:r w:rsidR="000054AA">
        <w:rPr>
          <w:rFonts w:cstheme="minorHAnsi"/>
        </w:rPr>
        <w:t xml:space="preserve">che accompagnano la </w:t>
      </w:r>
      <w:r w:rsidR="00E52FAD">
        <w:rPr>
          <w:rFonts w:cstheme="minorHAnsi"/>
        </w:rPr>
        <w:t xml:space="preserve">rendicontazione </w:t>
      </w:r>
      <w:r w:rsidR="000054AA">
        <w:rPr>
          <w:rFonts w:cstheme="minorHAnsi"/>
        </w:rPr>
        <w:t>finale</w:t>
      </w:r>
      <w:r w:rsidR="00E52FAD">
        <w:rPr>
          <w:rFonts w:cstheme="minorHAnsi"/>
        </w:rPr>
        <w:t xml:space="preserve"> del PNRR</w:t>
      </w:r>
      <w:r w:rsidR="00621642">
        <w:rPr>
          <w:rFonts w:cstheme="minorHAnsi"/>
        </w:rPr>
        <w:t>,</w:t>
      </w:r>
      <w:r w:rsidR="00DB60E3">
        <w:rPr>
          <w:rFonts w:cstheme="minorHAnsi"/>
        </w:rPr>
        <w:t xml:space="preserve"> che al momento non prevede alcuno slittamento temporale</w:t>
      </w:r>
      <w:r w:rsidR="008A284D">
        <w:rPr>
          <w:rFonts w:cstheme="minorHAnsi"/>
        </w:rPr>
        <w:t xml:space="preserve">. </w:t>
      </w:r>
      <w:r w:rsidR="00E517EF">
        <w:rPr>
          <w:rFonts w:cstheme="minorHAnsi"/>
        </w:rPr>
        <w:t>Il primo</w:t>
      </w:r>
      <w:r w:rsidR="00DB60E3">
        <w:rPr>
          <w:rFonts w:cstheme="minorHAnsi"/>
        </w:rPr>
        <w:t xml:space="preserve"> rischio</w:t>
      </w:r>
      <w:r w:rsidR="008A284D">
        <w:rPr>
          <w:rFonts w:cstheme="minorHAnsi"/>
        </w:rPr>
        <w:t xml:space="preserve">, da evitare </w:t>
      </w:r>
      <w:r w:rsidR="00E517EF">
        <w:rPr>
          <w:rFonts w:cstheme="minorHAnsi"/>
        </w:rPr>
        <w:t>ad ogni costo</w:t>
      </w:r>
      <w:r w:rsidR="008A284D">
        <w:rPr>
          <w:rFonts w:cstheme="minorHAnsi"/>
        </w:rPr>
        <w:t xml:space="preserve">, </w:t>
      </w:r>
      <w:r w:rsidR="00E517EF">
        <w:rPr>
          <w:rFonts w:cstheme="minorHAnsi"/>
        </w:rPr>
        <w:t xml:space="preserve">è </w:t>
      </w:r>
      <w:r w:rsidR="00C066EC">
        <w:rPr>
          <w:rFonts w:cstheme="minorHAnsi"/>
        </w:rPr>
        <w:t xml:space="preserve">di </w:t>
      </w:r>
      <w:r w:rsidR="008A284D">
        <w:rPr>
          <w:rFonts w:cstheme="minorHAnsi"/>
        </w:rPr>
        <w:t xml:space="preserve">non raggiungere i target </w:t>
      </w:r>
      <w:r w:rsidR="00E517EF">
        <w:rPr>
          <w:rFonts w:cstheme="minorHAnsi"/>
        </w:rPr>
        <w:t xml:space="preserve">europei </w:t>
      </w:r>
      <w:r w:rsidR="008A284D">
        <w:rPr>
          <w:rFonts w:cstheme="minorHAnsi"/>
        </w:rPr>
        <w:t>e dover restituire il contributo a fondo perduto</w:t>
      </w:r>
      <w:r w:rsidR="00E517EF">
        <w:rPr>
          <w:rFonts w:cstheme="minorHAnsi"/>
        </w:rPr>
        <w:t xml:space="preserve">. Il secondo è </w:t>
      </w:r>
      <w:r w:rsidR="000054AA">
        <w:rPr>
          <w:rFonts w:cstheme="minorHAnsi"/>
        </w:rPr>
        <w:t xml:space="preserve">centrare </w:t>
      </w:r>
      <w:r w:rsidR="00CD15A8">
        <w:rPr>
          <w:rFonts w:cstheme="minorHAnsi"/>
        </w:rPr>
        <w:t>il target nazionale</w:t>
      </w:r>
      <w:r w:rsidR="0081502D">
        <w:rPr>
          <w:rFonts w:cstheme="minorHAnsi"/>
        </w:rPr>
        <w:t xml:space="preserve"> grazie ai risultati di alcune Regioni</w:t>
      </w:r>
      <w:r w:rsidR="00CD15A8">
        <w:rPr>
          <w:rFonts w:cstheme="minorHAnsi"/>
        </w:rPr>
        <w:t xml:space="preserve">, </w:t>
      </w:r>
      <w:r w:rsidR="00E517EF">
        <w:rPr>
          <w:rFonts w:cstheme="minorHAnsi"/>
        </w:rPr>
        <w:t>senza ridurre</w:t>
      </w:r>
      <w:r w:rsidR="008A284D">
        <w:rPr>
          <w:rFonts w:cstheme="minorHAnsi"/>
        </w:rPr>
        <w:t xml:space="preserve"> le diseguaglianze regionali e territoriali</w:t>
      </w:r>
      <w:r w:rsidR="00E517EF">
        <w:rPr>
          <w:rFonts w:cstheme="minorHAnsi"/>
        </w:rPr>
        <w:t>,</w:t>
      </w:r>
      <w:r w:rsidR="00CC37C1">
        <w:rPr>
          <w:rFonts w:cstheme="minorHAnsi"/>
        </w:rPr>
        <w:t xml:space="preserve"> </w:t>
      </w:r>
      <w:r w:rsidR="00277F16">
        <w:rPr>
          <w:rFonts w:cstheme="minorHAnsi"/>
        </w:rPr>
        <w:t>che</w:t>
      </w:r>
      <w:r w:rsidR="00E517EF">
        <w:rPr>
          <w:rFonts w:cstheme="minorHAnsi"/>
        </w:rPr>
        <w:t xml:space="preserve"> rischiano anzi di ampliarsi. Il terzo, il più grave, è </w:t>
      </w:r>
      <w:r w:rsidR="00DB60E3">
        <w:rPr>
          <w:rFonts w:cstheme="minorHAnsi"/>
        </w:rPr>
        <w:t xml:space="preserve">di completare l’incasso delle rate </w:t>
      </w:r>
      <w:r w:rsidR="008A284D">
        <w:rPr>
          <w:rFonts w:cstheme="minorHAnsi"/>
        </w:rPr>
        <w:t xml:space="preserve">senza </w:t>
      </w:r>
      <w:r w:rsidR="00E517EF">
        <w:rPr>
          <w:rFonts w:cstheme="minorHAnsi"/>
        </w:rPr>
        <w:t xml:space="preserve">produrre </w:t>
      </w:r>
      <w:r w:rsidR="008A284D">
        <w:rPr>
          <w:rFonts w:cstheme="minorHAnsi"/>
        </w:rPr>
        <w:t xml:space="preserve">benefici </w:t>
      </w:r>
      <w:r w:rsidR="00621642">
        <w:rPr>
          <w:rFonts w:cstheme="minorHAnsi"/>
        </w:rPr>
        <w:t>concreti</w:t>
      </w:r>
      <w:r w:rsidR="00E517EF">
        <w:rPr>
          <w:rFonts w:cstheme="minorHAnsi"/>
        </w:rPr>
        <w:t xml:space="preserve"> </w:t>
      </w:r>
      <w:r w:rsidR="008A284D">
        <w:rPr>
          <w:rFonts w:cstheme="minorHAnsi"/>
        </w:rPr>
        <w:t xml:space="preserve">per </w:t>
      </w:r>
      <w:r w:rsidR="00621642">
        <w:rPr>
          <w:rFonts w:cstheme="minorHAnsi"/>
        </w:rPr>
        <w:t xml:space="preserve">i </w:t>
      </w:r>
      <w:r w:rsidR="008A284D">
        <w:rPr>
          <w:rFonts w:cstheme="minorHAnsi"/>
        </w:rPr>
        <w:t>cittadini</w:t>
      </w:r>
      <w:r w:rsidR="00E517EF">
        <w:rPr>
          <w:rFonts w:cstheme="minorHAnsi"/>
        </w:rPr>
        <w:t xml:space="preserve">, </w:t>
      </w:r>
      <w:r w:rsidR="00EB1B36">
        <w:t xml:space="preserve">lasciando in eredità solo scatole vuote e una digitalizzazione </w:t>
      </w:r>
      <w:r w:rsidR="006B620D">
        <w:t xml:space="preserve">frammentata e </w:t>
      </w:r>
      <w:r w:rsidR="00EB1B36">
        <w:t xml:space="preserve">incompleta, a fronte di un indebitamento </w:t>
      </w:r>
      <w:r w:rsidR="00621642">
        <w:t>scaricato sul</w:t>
      </w:r>
      <w:r w:rsidR="00EB1B36">
        <w:t>le generazioni future</w:t>
      </w:r>
      <w:r w:rsidR="00DB60E3">
        <w:t xml:space="preserve">. </w:t>
      </w:r>
      <w:r w:rsidR="00621642">
        <w:t xml:space="preserve">E </w:t>
      </w:r>
      <w:r w:rsidR="00B66028">
        <w:t>sprecando</w:t>
      </w:r>
      <w:r w:rsidR="003B0DFB">
        <w:t xml:space="preserve">, di fatto, </w:t>
      </w:r>
      <w:r w:rsidR="00DB60E3">
        <w:t xml:space="preserve">la più grande </w:t>
      </w:r>
      <w:r w:rsidR="00B66028">
        <w:t>occasione</w:t>
      </w:r>
      <w:r w:rsidR="00DB60E3">
        <w:t xml:space="preserve"> </w:t>
      </w:r>
      <w:r w:rsidR="005F3E41">
        <w:t xml:space="preserve">per </w:t>
      </w:r>
      <w:r w:rsidR="00B66028">
        <w:t xml:space="preserve">il SSN di </w:t>
      </w:r>
      <w:r w:rsidR="003B0DFB">
        <w:t xml:space="preserve">costruire </w:t>
      </w:r>
      <w:r w:rsidR="00B66028">
        <w:t>un</w:t>
      </w:r>
      <w:r w:rsidR="005F3E41">
        <w:t xml:space="preserve">a sanità </w:t>
      </w:r>
      <w:r w:rsidR="00DB60E3">
        <w:t>territoriale</w:t>
      </w:r>
      <w:r w:rsidR="005F3E41">
        <w:t xml:space="preserve"> </w:t>
      </w:r>
      <w:r w:rsidR="00B66028">
        <w:t>efficiente</w:t>
      </w:r>
      <w:r w:rsidR="00B66028" w:rsidRPr="00B66028">
        <w:t xml:space="preserve"> </w:t>
      </w:r>
      <w:r w:rsidR="00B66028">
        <w:t xml:space="preserve">e </w:t>
      </w:r>
      <w:r w:rsidR="005F3E41">
        <w:t xml:space="preserve">accessibile </w:t>
      </w:r>
      <w:r w:rsidR="00B66028">
        <w:t>per i cittadini</w:t>
      </w:r>
      <w:r w:rsidR="008A284D" w:rsidRPr="00A671D3">
        <w:t>»</w:t>
      </w:r>
      <w:r w:rsidR="000D28D8">
        <w:t>.</w:t>
      </w:r>
    </w:p>
    <w:p w14:paraId="11FC886C" w14:textId="77777777" w:rsidR="00FD63E4" w:rsidRPr="005240BD" w:rsidRDefault="00FD63E4" w:rsidP="00FD63E4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  <w:b/>
          <w:bCs/>
        </w:rPr>
        <w:lastRenderedPageBreak/>
        <w:t>Fondazione GIMBE</w:t>
      </w:r>
      <w:r w:rsidRPr="005240BD">
        <w:rPr>
          <w:rFonts w:eastAsia="Calibri" w:cstheme="minorHAnsi"/>
        </w:rPr>
        <w:br/>
        <w:t>Via Amendola 2 - 40121 Bologna</w:t>
      </w:r>
    </w:p>
    <w:p w14:paraId="200A5CEC" w14:textId="77777777" w:rsidR="00FD63E4" w:rsidRPr="005240BD" w:rsidRDefault="00FD63E4" w:rsidP="00FD63E4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>Tel. 051 5883920 - Fax 051 4075774</w:t>
      </w:r>
    </w:p>
    <w:p w14:paraId="7F0870DE" w14:textId="75A1C849" w:rsidR="001A2D1A" w:rsidRDefault="00FD63E4" w:rsidP="00A720CC">
      <w:pPr>
        <w:spacing w:after="0"/>
        <w:rPr>
          <w:rFonts w:eastAsia="Calibri" w:cstheme="minorHAnsi"/>
        </w:rPr>
      </w:pPr>
      <w:r w:rsidRPr="005240BD">
        <w:rPr>
          <w:rFonts w:eastAsia="Calibri" w:cstheme="minorHAnsi"/>
        </w:rPr>
        <w:t xml:space="preserve">E-mail: </w:t>
      </w:r>
      <w:hyperlink r:id="rId11" w:history="1">
        <w:r w:rsidRPr="005240BD">
          <w:rPr>
            <w:rFonts w:eastAsia="Calibri" w:cstheme="minorHAnsi"/>
          </w:rPr>
          <w:t>ufficio.stampa@gimbe.org</w:t>
        </w:r>
      </w:hyperlink>
    </w:p>
    <w:p w14:paraId="7D418DB6" w14:textId="165E1BC4" w:rsidR="00AC5A81" w:rsidRDefault="00AC5A81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28D19591" w14:textId="77777777" w:rsidR="00AD5401" w:rsidRDefault="00AD5401">
      <w:pPr>
        <w:rPr>
          <w:b/>
          <w:bCs/>
          <w:color w:val="00457D"/>
          <w:highlight w:val="yellow"/>
          <w:u w:color="00457D"/>
        </w:rPr>
      </w:pPr>
      <w:r>
        <w:rPr>
          <w:b/>
          <w:bCs/>
          <w:color w:val="00457D"/>
          <w:highlight w:val="yellow"/>
          <w:u w:color="00457D"/>
        </w:rPr>
        <w:br w:type="page"/>
      </w:r>
    </w:p>
    <w:p w14:paraId="6775B24A" w14:textId="0C90C491" w:rsidR="001B266D" w:rsidRDefault="001B266D" w:rsidP="001B266D">
      <w:pPr>
        <w:jc w:val="center"/>
        <w:rPr>
          <w:b/>
          <w:bCs/>
          <w:color w:val="00457D"/>
          <w:u w:color="00457D"/>
        </w:rPr>
      </w:pPr>
      <w:r w:rsidRPr="00DF677E">
        <w:rPr>
          <w:b/>
          <w:bCs/>
          <w:color w:val="00457D"/>
          <w:u w:color="00457D"/>
        </w:rPr>
        <w:lastRenderedPageBreak/>
        <w:t xml:space="preserve">Tabella 1. </w:t>
      </w:r>
      <w:r w:rsidR="00763A17" w:rsidRPr="00DF677E">
        <w:rPr>
          <w:b/>
          <w:bCs/>
          <w:color w:val="00457D"/>
          <w:u w:color="00457D"/>
        </w:rPr>
        <w:t xml:space="preserve">Rimodulazione </w:t>
      </w:r>
      <w:r w:rsidRPr="00DF677E">
        <w:rPr>
          <w:b/>
          <w:bCs/>
          <w:color w:val="00457D"/>
          <w:u w:color="00457D"/>
        </w:rPr>
        <w:t>de</w:t>
      </w:r>
      <w:r w:rsidR="00EF6C5A" w:rsidRPr="00DF677E">
        <w:rPr>
          <w:b/>
          <w:bCs/>
          <w:color w:val="00457D"/>
          <w:u w:color="00457D"/>
        </w:rPr>
        <w:t>i target PNRR rispetto al numero di strutture programm</w:t>
      </w:r>
      <w:r w:rsidR="00AB649B" w:rsidRPr="00DF677E">
        <w:rPr>
          <w:b/>
          <w:bCs/>
          <w:color w:val="00457D"/>
          <w:u w:color="00457D"/>
        </w:rPr>
        <w:t>a</w:t>
      </w:r>
      <w:r w:rsidR="00EF6C5A" w:rsidRPr="00DF677E">
        <w:rPr>
          <w:b/>
          <w:bCs/>
          <w:color w:val="00457D"/>
          <w:u w:color="00457D"/>
        </w:rPr>
        <w:t>te</w:t>
      </w:r>
    </w:p>
    <w:tbl>
      <w:tblPr>
        <w:tblW w:w="0" w:type="auto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1609"/>
        <w:gridCol w:w="1843"/>
        <w:gridCol w:w="1851"/>
      </w:tblGrid>
      <w:tr w:rsidR="001B266D" w:rsidRPr="000F313A" w14:paraId="27F4A5C9" w14:textId="77777777" w:rsidTr="00D46F89">
        <w:trPr>
          <w:trHeight w:val="624"/>
          <w:jc w:val="center"/>
        </w:trPr>
        <w:tc>
          <w:tcPr>
            <w:tcW w:w="2972" w:type="dxa"/>
            <w:tcBorders>
              <w:right w:val="single" w:sz="4" w:space="0" w:color="FFFFFF" w:themeColor="background1"/>
            </w:tcBorders>
            <w:shd w:val="clear" w:color="auto" w:fill="0045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1BA8" w14:textId="77777777" w:rsidR="001B266D" w:rsidRPr="00D437C5" w:rsidRDefault="001B266D" w:rsidP="00EC7B0A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Strutture</w:t>
            </w:r>
          </w:p>
        </w:tc>
        <w:tc>
          <w:tcPr>
            <w:tcW w:w="16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CBD4" w14:textId="77777777" w:rsidR="001B266D" w:rsidRPr="00D437C5" w:rsidRDefault="001B266D" w:rsidP="00EC7B0A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Programmate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6F04" w14:textId="3EBDC4B8" w:rsidR="001B266D" w:rsidRPr="00D437C5" w:rsidRDefault="001B266D" w:rsidP="00EC7B0A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 w:themeColor="background1"/>
              </w:rPr>
            </w:pPr>
            <w:r w:rsidRPr="00D437C5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Target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 xml:space="preserve"> </w:t>
            </w:r>
            <w:r w:rsidRPr="00D437C5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PNRR</w:t>
            </w:r>
            <w:r>
              <w:rPr>
                <w:rFonts w:ascii="Calibri" w:eastAsia="Aptos" w:hAnsi="Calibri" w:cs="Calibri"/>
                <w:b/>
                <w:bCs/>
                <w:color w:val="FFFFFF" w:themeColor="background1"/>
              </w:rPr>
              <w:br/>
            </w:r>
            <w:r w:rsidRPr="00D437C5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iniziale</w:t>
            </w:r>
            <w:r w:rsidR="007D6DE0" w:rsidRPr="007D6DE0">
              <w:rPr>
                <w:rFonts w:ascii="Calibri" w:eastAsia="Aptos" w:hAnsi="Calibri" w:cs="Calibri"/>
                <w:b/>
                <w:bCs/>
                <w:color w:val="FFFFFF" w:themeColor="background1"/>
                <w:vertAlign w:val="superscript"/>
              </w:rPr>
              <w:t>*</w:t>
            </w:r>
            <w:r w:rsidRPr="00D437C5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851" w:type="dxa"/>
            <w:tcBorders>
              <w:left w:val="single" w:sz="4" w:space="0" w:color="FFFFFF" w:themeColor="background1"/>
            </w:tcBorders>
            <w:shd w:val="clear" w:color="auto" w:fill="0045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AE9D" w14:textId="11308A82" w:rsidR="001B266D" w:rsidRPr="00D437C5" w:rsidRDefault="001B266D" w:rsidP="00EC7B0A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 w:themeColor="background1"/>
              </w:rPr>
            </w:pPr>
            <w:r w:rsidRPr="00D437C5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Target PNRR rimodulato</w:t>
            </w:r>
            <w:r w:rsidR="007D6DE0" w:rsidRPr="007D6DE0">
              <w:rPr>
                <w:rFonts w:ascii="Calibri" w:eastAsia="Aptos" w:hAnsi="Calibri" w:cs="Calibri"/>
                <w:b/>
                <w:bCs/>
                <w:color w:val="FFFFFF" w:themeColor="background1"/>
                <w:vertAlign w:val="superscript"/>
              </w:rPr>
              <w:t>*</w:t>
            </w:r>
            <w:r w:rsidRPr="00D437C5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B266D" w:rsidRPr="00D437C5" w14:paraId="1727873B" w14:textId="77777777" w:rsidTr="00D46F89">
        <w:trPr>
          <w:trHeight w:val="397"/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8E775" w14:textId="2581E92A" w:rsidR="001B266D" w:rsidRPr="00D437C5" w:rsidRDefault="001B266D" w:rsidP="00D46F89">
            <w:pPr>
              <w:spacing w:after="0" w:line="240" w:lineRule="auto"/>
              <w:rPr>
                <w:rFonts w:ascii="Calibri" w:eastAsia="Aptos" w:hAnsi="Calibri" w:cs="Calibri"/>
              </w:rPr>
            </w:pPr>
            <w:r w:rsidRPr="00D437C5">
              <w:rPr>
                <w:rFonts w:ascii="Calibri" w:eastAsia="Aptos" w:hAnsi="Calibri" w:cs="Calibri"/>
              </w:rPr>
              <w:t xml:space="preserve">Case di </w:t>
            </w:r>
            <w:r w:rsidR="00C066EC">
              <w:rPr>
                <w:rFonts w:ascii="Calibri" w:eastAsia="Aptos" w:hAnsi="Calibri" w:cs="Calibri"/>
              </w:rPr>
              <w:t>C</w:t>
            </w:r>
            <w:r w:rsidRPr="00D437C5">
              <w:rPr>
                <w:rFonts w:ascii="Calibri" w:eastAsia="Aptos" w:hAnsi="Calibri" w:cs="Calibri"/>
              </w:rPr>
              <w:t>omunità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472BB" w14:textId="5D91EB6C" w:rsidR="001B266D" w:rsidRPr="00D437C5" w:rsidRDefault="001B266D" w:rsidP="00D46F8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1.715</w:t>
            </w:r>
            <w:r w:rsidR="007D6DE0" w:rsidRPr="007D6DE0">
              <w:rPr>
                <w:rFonts w:ascii="Calibri" w:eastAsia="Aptos" w:hAnsi="Calibri" w:cs="Calibri"/>
                <w:vertAlign w:val="superscript"/>
              </w:rPr>
              <w:t>§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5A41" w14:textId="77777777" w:rsidR="001B266D" w:rsidRPr="00D437C5" w:rsidRDefault="001B266D" w:rsidP="00D46F8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1.350</w:t>
            </w:r>
          </w:p>
        </w:tc>
        <w:tc>
          <w:tcPr>
            <w:tcW w:w="1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663A" w14:textId="77777777" w:rsidR="001B266D" w:rsidRPr="00D437C5" w:rsidRDefault="001B266D" w:rsidP="00D46F8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1.038</w:t>
            </w:r>
          </w:p>
        </w:tc>
      </w:tr>
      <w:tr w:rsidR="001B266D" w:rsidRPr="00D437C5" w14:paraId="3A67F2CB" w14:textId="77777777" w:rsidTr="00D46F89">
        <w:trPr>
          <w:trHeight w:val="397"/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B92D6" w14:textId="7FE226C7" w:rsidR="001B266D" w:rsidRPr="00D437C5" w:rsidRDefault="001B266D" w:rsidP="00D46F89">
            <w:pPr>
              <w:spacing w:after="0" w:line="240" w:lineRule="auto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 xml:space="preserve">Centrali </w:t>
            </w:r>
            <w:r w:rsidR="00C066EC">
              <w:rPr>
                <w:rFonts w:ascii="Calibri" w:eastAsia="Aptos" w:hAnsi="Calibri" w:cs="Calibri"/>
              </w:rPr>
              <w:t>O</w:t>
            </w:r>
            <w:r>
              <w:rPr>
                <w:rFonts w:ascii="Calibri" w:eastAsia="Aptos" w:hAnsi="Calibri" w:cs="Calibri"/>
              </w:rPr>
              <w:t xml:space="preserve">perative </w:t>
            </w:r>
            <w:r w:rsidR="00C066EC">
              <w:rPr>
                <w:rFonts w:ascii="Calibri" w:eastAsia="Aptos" w:hAnsi="Calibri" w:cs="Calibri"/>
              </w:rPr>
              <w:t>T</w:t>
            </w:r>
            <w:r>
              <w:rPr>
                <w:rFonts w:ascii="Calibri" w:eastAsia="Aptos" w:hAnsi="Calibri" w:cs="Calibri"/>
              </w:rPr>
              <w:t>erritoriali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029F" w14:textId="77777777" w:rsidR="001B266D" w:rsidRPr="00D437C5" w:rsidRDefault="001B266D" w:rsidP="00D46F8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657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504D" w14:textId="77777777" w:rsidR="001B266D" w:rsidRPr="00D437C5" w:rsidRDefault="001B266D" w:rsidP="00D46F8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600</w:t>
            </w:r>
          </w:p>
        </w:tc>
        <w:tc>
          <w:tcPr>
            <w:tcW w:w="1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58D6" w14:textId="77777777" w:rsidR="001B266D" w:rsidRPr="00D437C5" w:rsidRDefault="001B266D" w:rsidP="00D46F8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480</w:t>
            </w:r>
          </w:p>
        </w:tc>
      </w:tr>
      <w:tr w:rsidR="001B266D" w:rsidRPr="00D437C5" w14:paraId="28081FF5" w14:textId="77777777" w:rsidTr="00D46F89">
        <w:trPr>
          <w:trHeight w:val="397"/>
          <w:jc w:val="center"/>
        </w:trPr>
        <w:tc>
          <w:tcPr>
            <w:tcW w:w="29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228C" w14:textId="75D69452" w:rsidR="001B266D" w:rsidRPr="00D437C5" w:rsidRDefault="001B266D" w:rsidP="00D46F89">
            <w:pPr>
              <w:spacing w:after="0" w:line="240" w:lineRule="auto"/>
              <w:rPr>
                <w:rFonts w:ascii="Calibri" w:eastAsia="Aptos" w:hAnsi="Calibri" w:cs="Calibri"/>
              </w:rPr>
            </w:pPr>
            <w:r w:rsidRPr="00D437C5">
              <w:rPr>
                <w:rFonts w:ascii="Calibri" w:eastAsia="Aptos" w:hAnsi="Calibri" w:cs="Calibri"/>
              </w:rPr>
              <w:t xml:space="preserve">Ospedali di </w:t>
            </w:r>
            <w:r w:rsidR="00C066EC">
              <w:rPr>
                <w:rFonts w:ascii="Calibri" w:eastAsia="Aptos" w:hAnsi="Calibri" w:cs="Calibri"/>
              </w:rPr>
              <w:t>C</w:t>
            </w:r>
            <w:r w:rsidRPr="00D437C5">
              <w:rPr>
                <w:rFonts w:ascii="Calibri" w:eastAsia="Aptos" w:hAnsi="Calibri" w:cs="Calibri"/>
              </w:rPr>
              <w:t>omunità</w:t>
            </w:r>
          </w:p>
        </w:tc>
        <w:tc>
          <w:tcPr>
            <w:tcW w:w="16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C35AC" w14:textId="77777777" w:rsidR="001B266D" w:rsidRPr="00D437C5" w:rsidRDefault="001B266D" w:rsidP="00D46F8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594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AEAC" w14:textId="77777777" w:rsidR="001B266D" w:rsidRPr="00D437C5" w:rsidRDefault="001B266D" w:rsidP="00D46F8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400</w:t>
            </w:r>
          </w:p>
        </w:tc>
        <w:tc>
          <w:tcPr>
            <w:tcW w:w="1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D640" w14:textId="77777777" w:rsidR="001B266D" w:rsidRPr="00D437C5" w:rsidRDefault="001B266D" w:rsidP="00D46F89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</w:rPr>
              <w:t>307</w:t>
            </w:r>
          </w:p>
        </w:tc>
      </w:tr>
      <w:tr w:rsidR="001B266D" w:rsidRPr="00D437C5" w14:paraId="609EF304" w14:textId="77777777" w:rsidTr="00D46F89">
        <w:trPr>
          <w:trHeight w:val="680"/>
          <w:jc w:val="center"/>
        </w:trPr>
        <w:tc>
          <w:tcPr>
            <w:tcW w:w="827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B126" w14:textId="30DE3E18" w:rsidR="001B266D" w:rsidRDefault="007D6DE0" w:rsidP="007D6DE0">
            <w:pPr>
              <w:spacing w:after="0"/>
              <w:rPr>
                <w:rFonts w:ascii="Calibri" w:eastAsia="Aptos" w:hAnsi="Calibri" w:cs="Calibri"/>
              </w:rPr>
            </w:pPr>
            <w:r w:rsidRPr="007D6DE0">
              <w:rPr>
                <w:rFonts w:ascii="Calibri" w:eastAsia="Aptos" w:hAnsi="Calibri" w:cs="Calibri"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eastAsia="Aptos" w:hAnsi="Calibri" w:cs="Calibri"/>
                <w:sz w:val="20"/>
                <w:szCs w:val="20"/>
              </w:rPr>
              <w:t>Da raggiungere entro il 30 giugno 2026</w:t>
            </w:r>
            <w:r>
              <w:rPr>
                <w:rFonts w:ascii="Calibri" w:eastAsia="Aptos" w:hAnsi="Calibri" w:cs="Calibri"/>
                <w:sz w:val="20"/>
                <w:szCs w:val="20"/>
                <w:vertAlign w:val="superscript"/>
              </w:rPr>
              <w:br/>
            </w:r>
            <w:r w:rsidRPr="007D6DE0">
              <w:rPr>
                <w:rFonts w:ascii="Calibri" w:eastAsia="Aptos" w:hAnsi="Calibri" w:cs="Calibri"/>
                <w:sz w:val="20"/>
                <w:szCs w:val="20"/>
                <w:vertAlign w:val="superscript"/>
              </w:rPr>
              <w:t>§</w:t>
            </w:r>
            <w:r w:rsidR="001B266D" w:rsidRPr="00837A6B">
              <w:rPr>
                <w:rFonts w:ascii="Calibri" w:eastAsia="Aptos" w:hAnsi="Calibri" w:cs="Calibri"/>
                <w:sz w:val="20"/>
                <w:szCs w:val="20"/>
              </w:rPr>
              <w:t>1.404 CIS e 311 extra-C</w:t>
            </w:r>
            <w:r w:rsidR="00D46F89">
              <w:rPr>
                <w:rFonts w:ascii="Calibri" w:eastAsia="Aptos" w:hAnsi="Calibri" w:cs="Calibri"/>
                <w:sz w:val="20"/>
                <w:szCs w:val="20"/>
              </w:rPr>
              <w:t xml:space="preserve">ontratti </w:t>
            </w:r>
            <w:r w:rsidR="001B266D" w:rsidRPr="00837A6B">
              <w:rPr>
                <w:rFonts w:ascii="Calibri" w:eastAsia="Aptos" w:hAnsi="Calibri" w:cs="Calibri"/>
                <w:sz w:val="20"/>
                <w:szCs w:val="20"/>
              </w:rPr>
              <w:t>I</w:t>
            </w:r>
            <w:r w:rsidR="00D46F89">
              <w:rPr>
                <w:rFonts w:ascii="Calibri" w:eastAsia="Aptos" w:hAnsi="Calibri" w:cs="Calibri"/>
                <w:sz w:val="20"/>
                <w:szCs w:val="20"/>
              </w:rPr>
              <w:t xml:space="preserve">stituzionali di </w:t>
            </w:r>
            <w:r w:rsidR="001B266D" w:rsidRPr="00837A6B">
              <w:rPr>
                <w:rFonts w:ascii="Calibri" w:eastAsia="Aptos" w:hAnsi="Calibri" w:cs="Calibri"/>
                <w:sz w:val="20"/>
                <w:szCs w:val="20"/>
              </w:rPr>
              <w:t>S</w:t>
            </w:r>
            <w:r w:rsidR="00D46F89">
              <w:rPr>
                <w:rFonts w:ascii="Calibri" w:eastAsia="Aptos" w:hAnsi="Calibri" w:cs="Calibri"/>
                <w:sz w:val="20"/>
                <w:szCs w:val="20"/>
              </w:rPr>
              <w:t>viluppo (CIS)</w:t>
            </w:r>
          </w:p>
        </w:tc>
      </w:tr>
    </w:tbl>
    <w:p w14:paraId="54777A71" w14:textId="7DDD6650" w:rsidR="00AF0E11" w:rsidRDefault="00AF0E11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7ADA12F7" w14:textId="77777777" w:rsidR="001B266D" w:rsidRDefault="001B266D" w:rsidP="006D718C">
      <w:pPr>
        <w:spacing w:after="0"/>
        <w:jc w:val="center"/>
        <w:rPr>
          <w:b/>
          <w:bCs/>
          <w:color w:val="00457D"/>
          <w:u w:color="00457D"/>
        </w:rPr>
      </w:pPr>
    </w:p>
    <w:p w14:paraId="47E8E2AE" w14:textId="77777777" w:rsidR="001B266D" w:rsidRDefault="001B266D" w:rsidP="006D718C">
      <w:pPr>
        <w:spacing w:after="0"/>
        <w:jc w:val="center"/>
        <w:rPr>
          <w:b/>
          <w:bCs/>
          <w:color w:val="00457D"/>
          <w:u w:color="00457D"/>
        </w:rPr>
      </w:pPr>
    </w:p>
    <w:p w14:paraId="7A904AB1" w14:textId="1B16773B" w:rsidR="006D718C" w:rsidRPr="006D718C" w:rsidRDefault="00AF0E11" w:rsidP="006D718C">
      <w:pPr>
        <w:spacing w:after="0"/>
        <w:jc w:val="center"/>
        <w:rPr>
          <w:color w:val="00457D"/>
          <w:u w:color="00457D"/>
        </w:rPr>
      </w:pPr>
      <w:r>
        <w:rPr>
          <w:b/>
          <w:bCs/>
          <w:color w:val="00457D"/>
          <w:u w:color="00457D"/>
        </w:rPr>
        <w:t xml:space="preserve">Figura </w:t>
      </w:r>
      <w:r w:rsidR="006B391E">
        <w:rPr>
          <w:b/>
          <w:bCs/>
          <w:color w:val="00457D"/>
          <w:u w:color="00457D"/>
        </w:rPr>
        <w:t>1</w:t>
      </w:r>
      <w:r>
        <w:rPr>
          <w:b/>
          <w:bCs/>
          <w:color w:val="00457D"/>
          <w:u w:color="00457D"/>
        </w:rPr>
        <w:t xml:space="preserve">. </w:t>
      </w:r>
      <w:r w:rsidR="00E770FC" w:rsidRPr="00E770FC">
        <w:rPr>
          <w:b/>
          <w:bCs/>
          <w:color w:val="00457D"/>
          <w:u w:color="00457D"/>
        </w:rPr>
        <w:t>Case della Comunità</w:t>
      </w:r>
      <w:r w:rsidR="00DB65E1">
        <w:rPr>
          <w:b/>
          <w:bCs/>
          <w:color w:val="00457D"/>
          <w:u w:color="00457D"/>
        </w:rPr>
        <w:t xml:space="preserve"> programmate</w:t>
      </w:r>
      <w:r w:rsidR="006D718C">
        <w:rPr>
          <w:b/>
          <w:bCs/>
          <w:color w:val="00457D"/>
          <w:u w:color="00457D"/>
        </w:rPr>
        <w:br/>
      </w:r>
      <w:r w:rsidR="006D718C" w:rsidRPr="006D718C">
        <w:rPr>
          <w:color w:val="00457D"/>
          <w:u w:color="00457D"/>
        </w:rPr>
        <w:t>(dati Agenas al 31 dicembre 2025)</w:t>
      </w:r>
    </w:p>
    <w:p w14:paraId="17DFE8B9" w14:textId="1C5435D1" w:rsidR="00AF0E11" w:rsidRDefault="00141DDB" w:rsidP="006D718C">
      <w:pPr>
        <w:spacing w:after="0"/>
        <w:jc w:val="center"/>
        <w:rPr>
          <w:b/>
          <w:bCs/>
          <w:color w:val="00457D"/>
          <w:u w:color="00457D"/>
        </w:rPr>
      </w:pPr>
      <w:r>
        <w:rPr>
          <w:b/>
          <w:bCs/>
          <w:noProof/>
          <w:color w:val="00457D"/>
          <w:u w:color="00457D"/>
          <w:lang w:eastAsia="it-IT"/>
        </w:rPr>
        <w:drawing>
          <wp:inline distT="0" distB="0" distL="0" distR="0" wp14:anchorId="26548DB2" wp14:editId="16715A0A">
            <wp:extent cx="5400000" cy="2834435"/>
            <wp:effectExtent l="0" t="0" r="0" b="4445"/>
            <wp:docPr id="23971738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3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0E11">
        <w:rPr>
          <w:b/>
          <w:bCs/>
          <w:color w:val="00457D"/>
          <w:u w:color="00457D"/>
        </w:rPr>
        <w:br w:type="page"/>
      </w:r>
    </w:p>
    <w:p w14:paraId="4847ADE8" w14:textId="77777777" w:rsidR="00C066EC" w:rsidRDefault="00C066EC" w:rsidP="006D718C">
      <w:pPr>
        <w:spacing w:after="0"/>
        <w:jc w:val="center"/>
        <w:rPr>
          <w:b/>
          <w:bCs/>
          <w:color w:val="00457D"/>
          <w:u w:color="00457D"/>
        </w:rPr>
      </w:pPr>
    </w:p>
    <w:p w14:paraId="16F4CC37" w14:textId="799445D3" w:rsidR="00997C38" w:rsidRDefault="00997C38" w:rsidP="006D718C">
      <w:pPr>
        <w:spacing w:after="0"/>
        <w:jc w:val="center"/>
        <w:rPr>
          <w:color w:val="00457D"/>
          <w:u w:color="00457D"/>
        </w:rPr>
      </w:pPr>
      <w:r>
        <w:rPr>
          <w:b/>
          <w:bCs/>
          <w:color w:val="00457D"/>
          <w:u w:color="00457D"/>
        </w:rPr>
        <w:t xml:space="preserve">Tabella </w:t>
      </w:r>
      <w:r w:rsidR="001B266D">
        <w:rPr>
          <w:b/>
          <w:bCs/>
          <w:color w:val="00457D"/>
          <w:u w:color="00457D"/>
        </w:rPr>
        <w:t>2</w:t>
      </w:r>
      <w:r>
        <w:rPr>
          <w:b/>
          <w:bCs/>
          <w:color w:val="00457D"/>
          <w:u w:color="00457D"/>
        </w:rPr>
        <w:t xml:space="preserve">. Case della </w:t>
      </w:r>
      <w:r w:rsidR="00E517EF">
        <w:rPr>
          <w:b/>
          <w:bCs/>
          <w:color w:val="00457D"/>
          <w:u w:color="00457D"/>
        </w:rPr>
        <w:t xml:space="preserve">Comunità </w:t>
      </w:r>
      <w:r w:rsidR="006D718C">
        <w:rPr>
          <w:b/>
          <w:bCs/>
          <w:color w:val="00457D"/>
          <w:u w:color="00457D"/>
        </w:rPr>
        <w:br/>
      </w:r>
      <w:r w:rsidR="006D718C" w:rsidRPr="006D718C">
        <w:rPr>
          <w:color w:val="00457D"/>
          <w:u w:color="00457D"/>
        </w:rPr>
        <w:t>(dati Agenas al 31 dicembre 2025)</w:t>
      </w:r>
    </w:p>
    <w:p w14:paraId="1A635C99" w14:textId="77777777" w:rsidR="006D718C" w:rsidRPr="006D718C" w:rsidRDefault="006D718C" w:rsidP="006D718C">
      <w:pPr>
        <w:spacing w:after="0"/>
        <w:jc w:val="center"/>
        <w:rPr>
          <w:color w:val="00457D"/>
          <w:u w:color="00457D"/>
        </w:rPr>
      </w:pPr>
    </w:p>
    <w:tbl>
      <w:tblPr>
        <w:tblW w:w="7626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284"/>
        <w:gridCol w:w="1267"/>
        <w:gridCol w:w="1520"/>
        <w:gridCol w:w="1580"/>
      </w:tblGrid>
      <w:tr w:rsidR="00997C38" w:rsidRPr="00997C38" w14:paraId="27C2BE82" w14:textId="77777777" w:rsidTr="00997C38">
        <w:trPr>
          <w:trHeight w:val="340"/>
          <w:jc w:val="center"/>
        </w:trPr>
        <w:tc>
          <w:tcPr>
            <w:tcW w:w="1975" w:type="dxa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</w:tcPr>
          <w:p w14:paraId="484B1027" w14:textId="77777777" w:rsidR="00997C38" w:rsidRPr="00997C38" w:rsidRDefault="00997C38" w:rsidP="00997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1284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02B78E86" w14:textId="77777777" w:rsidR="00997C38" w:rsidRPr="00997C38" w:rsidRDefault="00997C38" w:rsidP="00DF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Programmate</w:t>
            </w:r>
          </w:p>
        </w:tc>
        <w:tc>
          <w:tcPr>
            <w:tcW w:w="1267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56E362CD" w14:textId="1D5F118B" w:rsidR="00997C38" w:rsidRPr="00997C38" w:rsidRDefault="00997C38" w:rsidP="00DF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Con almeno un servizio </w:t>
            </w:r>
            <w:r w:rsidR="005751B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dichiarato </w:t>
            </w: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attivo</w:t>
            </w:r>
          </w:p>
        </w:tc>
        <w:tc>
          <w:tcPr>
            <w:tcW w:w="310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457D"/>
            <w:vAlign w:val="center"/>
          </w:tcPr>
          <w:p w14:paraId="6C522E2F" w14:textId="51291B5E" w:rsidR="00997C38" w:rsidRPr="00997C38" w:rsidRDefault="00997C38" w:rsidP="00DF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Con tutti i servizi obbligatori </w:t>
            </w:r>
            <w:r w:rsidR="005751B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dichiarati </w:t>
            </w: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attivi</w:t>
            </w:r>
          </w:p>
        </w:tc>
      </w:tr>
      <w:tr w:rsidR="00997C38" w:rsidRPr="00997C38" w14:paraId="047062BA" w14:textId="77777777" w:rsidTr="00997C38">
        <w:trPr>
          <w:trHeight w:val="567"/>
          <w:jc w:val="center"/>
        </w:trPr>
        <w:tc>
          <w:tcPr>
            <w:tcW w:w="1975" w:type="dxa"/>
            <w:vMerge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5133766" w14:textId="77777777" w:rsidR="00997C38" w:rsidRPr="00997C38" w:rsidRDefault="00997C38" w:rsidP="00997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28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7D412A67" w14:textId="77777777" w:rsidR="00997C38" w:rsidRPr="00997C38" w:rsidRDefault="00997C38" w:rsidP="00DF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267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4804B66A" w14:textId="77777777" w:rsidR="00997C38" w:rsidRPr="00997C38" w:rsidRDefault="00997C38" w:rsidP="00DF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</w:p>
        </w:tc>
        <w:tc>
          <w:tcPr>
            <w:tcW w:w="152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77D6EA3B" w14:textId="77777777" w:rsidR="00997C38" w:rsidRPr="00997C38" w:rsidRDefault="00997C38" w:rsidP="00DF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Senza presenza medica e infermieristica</w:t>
            </w:r>
          </w:p>
        </w:tc>
        <w:tc>
          <w:tcPr>
            <w:tcW w:w="1580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0AE4BE97" w14:textId="77777777" w:rsidR="00997C38" w:rsidRPr="00997C38" w:rsidRDefault="00997C38" w:rsidP="00DF7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Con presenza medica e infermieristica</w:t>
            </w:r>
          </w:p>
        </w:tc>
      </w:tr>
      <w:tr w:rsidR="00D73F71" w:rsidRPr="00997C38" w14:paraId="676DFBD8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66883210" w14:textId="46188F0C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Abruzzo</w:t>
            </w:r>
          </w:p>
        </w:tc>
        <w:tc>
          <w:tcPr>
            <w:tcW w:w="1284" w:type="dxa"/>
            <w:noWrap/>
            <w:vAlign w:val="center"/>
            <w:hideMark/>
          </w:tcPr>
          <w:p w14:paraId="11F58E5F" w14:textId="75708785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267" w:type="dxa"/>
            <w:noWrap/>
            <w:vAlign w:val="center"/>
            <w:hideMark/>
          </w:tcPr>
          <w:p w14:paraId="14637DF9" w14:textId="58A47557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20" w:type="dxa"/>
            <w:noWrap/>
            <w:vAlign w:val="center"/>
            <w:hideMark/>
          </w:tcPr>
          <w:p w14:paraId="47E47A6B" w14:textId="1A4DB45D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23394738" w14:textId="3B2C8C5F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3F71" w:rsidRPr="00997C38" w14:paraId="3A1ACB9D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016378C5" w14:textId="45BC41AE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Basilicata</w:t>
            </w:r>
          </w:p>
        </w:tc>
        <w:tc>
          <w:tcPr>
            <w:tcW w:w="1284" w:type="dxa"/>
            <w:noWrap/>
            <w:vAlign w:val="center"/>
            <w:hideMark/>
          </w:tcPr>
          <w:p w14:paraId="601CD53D" w14:textId="7994B8C1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267" w:type="dxa"/>
            <w:noWrap/>
            <w:vAlign w:val="center"/>
            <w:hideMark/>
          </w:tcPr>
          <w:p w14:paraId="4D2D5D6D" w14:textId="73C70090" w:rsidR="00D73F71" w:rsidRPr="00D73F71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520" w:type="dxa"/>
            <w:noWrap/>
            <w:vAlign w:val="center"/>
            <w:hideMark/>
          </w:tcPr>
          <w:p w14:paraId="606602DA" w14:textId="34341A2F" w:rsidR="00D73F71" w:rsidRPr="00D73F71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580" w:type="dxa"/>
            <w:noWrap/>
            <w:vAlign w:val="center"/>
            <w:hideMark/>
          </w:tcPr>
          <w:p w14:paraId="44884062" w14:textId="3EF4A556" w:rsidR="00D73F71" w:rsidRPr="00D73F71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</w:tr>
      <w:tr w:rsidR="00D73F71" w:rsidRPr="00997C38" w14:paraId="412B48C3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310221F9" w14:textId="6641C9AB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Calabria</w:t>
            </w:r>
          </w:p>
        </w:tc>
        <w:tc>
          <w:tcPr>
            <w:tcW w:w="1284" w:type="dxa"/>
            <w:noWrap/>
            <w:vAlign w:val="center"/>
            <w:hideMark/>
          </w:tcPr>
          <w:p w14:paraId="39DE226D" w14:textId="02A018DA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267" w:type="dxa"/>
            <w:noWrap/>
            <w:vAlign w:val="center"/>
            <w:hideMark/>
          </w:tcPr>
          <w:p w14:paraId="19DB88B1" w14:textId="5D88329C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20" w:type="dxa"/>
            <w:noWrap/>
            <w:vAlign w:val="center"/>
            <w:hideMark/>
          </w:tcPr>
          <w:p w14:paraId="1617A0A8" w14:textId="240398A6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237B02E8" w14:textId="6B8976DE" w:rsidR="00D73F71" w:rsidRPr="00D73F71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</w:tr>
      <w:tr w:rsidR="00D73F71" w:rsidRPr="00997C38" w14:paraId="2D24F3B0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34932972" w14:textId="5AF8BEB5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Campania</w:t>
            </w:r>
          </w:p>
        </w:tc>
        <w:tc>
          <w:tcPr>
            <w:tcW w:w="1284" w:type="dxa"/>
            <w:noWrap/>
            <w:vAlign w:val="center"/>
            <w:hideMark/>
          </w:tcPr>
          <w:p w14:paraId="0CA9D4A2" w14:textId="3F3A2D77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168</w:t>
            </w:r>
          </w:p>
        </w:tc>
        <w:tc>
          <w:tcPr>
            <w:tcW w:w="1267" w:type="dxa"/>
            <w:noWrap/>
            <w:vAlign w:val="center"/>
            <w:hideMark/>
          </w:tcPr>
          <w:p w14:paraId="6A4EF2A3" w14:textId="2AC5725D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520" w:type="dxa"/>
            <w:noWrap/>
            <w:vAlign w:val="center"/>
            <w:hideMark/>
          </w:tcPr>
          <w:p w14:paraId="71BF425C" w14:textId="540C0822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5161B9E2" w14:textId="4DC3DB14" w:rsidR="00D73F71" w:rsidRPr="00D73F71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</w:tr>
      <w:tr w:rsidR="00D73F71" w:rsidRPr="00997C38" w14:paraId="02BED9E4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7DA55F94" w14:textId="794570D7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Emilia-Romagna</w:t>
            </w:r>
          </w:p>
        </w:tc>
        <w:tc>
          <w:tcPr>
            <w:tcW w:w="1284" w:type="dxa"/>
            <w:noWrap/>
            <w:vAlign w:val="center"/>
            <w:hideMark/>
          </w:tcPr>
          <w:p w14:paraId="4C50BD41" w14:textId="3D4A022B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187</w:t>
            </w:r>
          </w:p>
        </w:tc>
        <w:tc>
          <w:tcPr>
            <w:tcW w:w="1267" w:type="dxa"/>
            <w:noWrap/>
            <w:vAlign w:val="center"/>
            <w:hideMark/>
          </w:tcPr>
          <w:p w14:paraId="507956A1" w14:textId="0B90F74E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143</w:t>
            </w:r>
          </w:p>
        </w:tc>
        <w:tc>
          <w:tcPr>
            <w:tcW w:w="1520" w:type="dxa"/>
            <w:noWrap/>
            <w:vAlign w:val="center"/>
            <w:hideMark/>
          </w:tcPr>
          <w:p w14:paraId="59FD4D88" w14:textId="77F20BB2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580" w:type="dxa"/>
            <w:noWrap/>
            <w:vAlign w:val="center"/>
            <w:hideMark/>
          </w:tcPr>
          <w:p w14:paraId="65943B96" w14:textId="6D0D5AA3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D73F71" w:rsidRPr="00997C38" w14:paraId="55889890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6EB99E9F" w14:textId="276F3695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Friuli Venezia Giulia</w:t>
            </w:r>
          </w:p>
        </w:tc>
        <w:tc>
          <w:tcPr>
            <w:tcW w:w="1284" w:type="dxa"/>
            <w:noWrap/>
            <w:vAlign w:val="center"/>
            <w:hideMark/>
          </w:tcPr>
          <w:p w14:paraId="62072CB4" w14:textId="07A37FA1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267" w:type="dxa"/>
            <w:noWrap/>
            <w:vAlign w:val="center"/>
            <w:hideMark/>
          </w:tcPr>
          <w:p w14:paraId="484AD85F" w14:textId="61C18D86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520" w:type="dxa"/>
            <w:noWrap/>
            <w:vAlign w:val="center"/>
            <w:hideMark/>
          </w:tcPr>
          <w:p w14:paraId="7A5B8C53" w14:textId="2015AB10" w:rsidR="00D73F71" w:rsidRPr="00D73F71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580" w:type="dxa"/>
            <w:noWrap/>
            <w:vAlign w:val="center"/>
            <w:hideMark/>
          </w:tcPr>
          <w:p w14:paraId="252347DC" w14:textId="59FC9D42" w:rsidR="00D73F71" w:rsidRPr="00D73F71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</w:tr>
      <w:tr w:rsidR="00D73F71" w:rsidRPr="00997C38" w14:paraId="5FE078BB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7451BDC0" w14:textId="297B3634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Lazio</w:t>
            </w:r>
          </w:p>
        </w:tc>
        <w:tc>
          <w:tcPr>
            <w:tcW w:w="1284" w:type="dxa"/>
            <w:noWrap/>
            <w:vAlign w:val="center"/>
            <w:hideMark/>
          </w:tcPr>
          <w:p w14:paraId="7EE96F19" w14:textId="50FE3B3F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145</w:t>
            </w:r>
          </w:p>
        </w:tc>
        <w:tc>
          <w:tcPr>
            <w:tcW w:w="1267" w:type="dxa"/>
            <w:noWrap/>
            <w:vAlign w:val="center"/>
            <w:hideMark/>
          </w:tcPr>
          <w:p w14:paraId="5C581821" w14:textId="12BBBFF7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520" w:type="dxa"/>
            <w:noWrap/>
            <w:vAlign w:val="center"/>
            <w:hideMark/>
          </w:tcPr>
          <w:p w14:paraId="3AA2822E" w14:textId="30D3E841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0768F089" w14:textId="2A4CDA82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D73F71" w:rsidRPr="00997C38" w14:paraId="5632CD33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41848A48" w14:textId="599EC0E7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Liguria</w:t>
            </w:r>
          </w:p>
        </w:tc>
        <w:tc>
          <w:tcPr>
            <w:tcW w:w="1284" w:type="dxa"/>
            <w:noWrap/>
            <w:vAlign w:val="center"/>
            <w:hideMark/>
          </w:tcPr>
          <w:p w14:paraId="14B9B8A9" w14:textId="5848E137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67" w:type="dxa"/>
            <w:noWrap/>
            <w:vAlign w:val="center"/>
            <w:hideMark/>
          </w:tcPr>
          <w:p w14:paraId="33EDF054" w14:textId="15A5DF26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20" w:type="dxa"/>
            <w:noWrap/>
            <w:vAlign w:val="center"/>
            <w:hideMark/>
          </w:tcPr>
          <w:p w14:paraId="4A29A48D" w14:textId="0238DD1B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3A9A8D7D" w14:textId="0BA5CF8E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D73F71" w:rsidRPr="00997C38" w14:paraId="4DC6FA9C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75F700BB" w14:textId="044F6F19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Lombardia</w:t>
            </w:r>
          </w:p>
        </w:tc>
        <w:tc>
          <w:tcPr>
            <w:tcW w:w="1284" w:type="dxa"/>
            <w:noWrap/>
            <w:vAlign w:val="center"/>
            <w:hideMark/>
          </w:tcPr>
          <w:p w14:paraId="1FE3F2A8" w14:textId="37E3216F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207</w:t>
            </w:r>
          </w:p>
        </w:tc>
        <w:tc>
          <w:tcPr>
            <w:tcW w:w="1267" w:type="dxa"/>
            <w:noWrap/>
            <w:vAlign w:val="center"/>
            <w:hideMark/>
          </w:tcPr>
          <w:p w14:paraId="06E0E017" w14:textId="049E150A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1520" w:type="dxa"/>
            <w:noWrap/>
            <w:vAlign w:val="center"/>
            <w:hideMark/>
          </w:tcPr>
          <w:p w14:paraId="7C0189A6" w14:textId="08ECE48F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580" w:type="dxa"/>
            <w:noWrap/>
            <w:vAlign w:val="center"/>
            <w:hideMark/>
          </w:tcPr>
          <w:p w14:paraId="620AA774" w14:textId="08CAB323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D73F71" w:rsidRPr="00997C38" w14:paraId="5B8F2F39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65891AF8" w14:textId="34E3F4B1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Marche</w:t>
            </w:r>
          </w:p>
        </w:tc>
        <w:tc>
          <w:tcPr>
            <w:tcW w:w="1284" w:type="dxa"/>
            <w:noWrap/>
            <w:vAlign w:val="center"/>
            <w:hideMark/>
          </w:tcPr>
          <w:p w14:paraId="57DC964D" w14:textId="2D125E05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267" w:type="dxa"/>
            <w:noWrap/>
            <w:vAlign w:val="center"/>
            <w:hideMark/>
          </w:tcPr>
          <w:p w14:paraId="447EEBA1" w14:textId="0895C218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520" w:type="dxa"/>
            <w:noWrap/>
            <w:vAlign w:val="center"/>
            <w:hideMark/>
          </w:tcPr>
          <w:p w14:paraId="5422494B" w14:textId="68E04945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426298DD" w14:textId="4DF5DAB0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3F71" w:rsidRPr="00997C38" w14:paraId="2F8FC7E8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1F138EDA" w14:textId="2873079F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Molise</w:t>
            </w:r>
          </w:p>
        </w:tc>
        <w:tc>
          <w:tcPr>
            <w:tcW w:w="1284" w:type="dxa"/>
            <w:noWrap/>
            <w:vAlign w:val="center"/>
            <w:hideMark/>
          </w:tcPr>
          <w:p w14:paraId="4C5BFF4F" w14:textId="4FD146EE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67" w:type="dxa"/>
            <w:noWrap/>
            <w:vAlign w:val="center"/>
            <w:hideMark/>
          </w:tcPr>
          <w:p w14:paraId="005E69CC" w14:textId="13B61803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20" w:type="dxa"/>
            <w:noWrap/>
            <w:vAlign w:val="center"/>
            <w:hideMark/>
          </w:tcPr>
          <w:p w14:paraId="410D6065" w14:textId="35A2A250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3937DFC1" w14:textId="2D5BB594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662B9C" w:rsidRPr="00662B9C" w14:paraId="439F384C" w14:textId="77777777" w:rsidTr="001A14B5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578D96F9" w14:textId="77777777" w:rsidR="00662B9C" w:rsidRPr="00662B9C" w:rsidRDefault="00662B9C" w:rsidP="001A14B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cstheme="minorHAnsi"/>
                <w:sz w:val="20"/>
                <w:szCs w:val="20"/>
              </w:rPr>
              <w:t xml:space="preserve">Piemonte </w:t>
            </w:r>
          </w:p>
        </w:tc>
        <w:tc>
          <w:tcPr>
            <w:tcW w:w="1284" w:type="dxa"/>
            <w:noWrap/>
            <w:vAlign w:val="center"/>
            <w:hideMark/>
          </w:tcPr>
          <w:p w14:paraId="6DE5A48C" w14:textId="77777777" w:rsidR="00662B9C" w:rsidRPr="00662B9C" w:rsidRDefault="00662B9C" w:rsidP="001A14B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267" w:type="dxa"/>
            <w:noWrap/>
            <w:vAlign w:val="center"/>
            <w:hideMark/>
          </w:tcPr>
          <w:p w14:paraId="1DE683C0" w14:textId="77777777" w:rsidR="00662B9C" w:rsidRPr="00662B9C" w:rsidRDefault="00662B9C" w:rsidP="001A14B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520" w:type="dxa"/>
            <w:noWrap/>
            <w:vAlign w:val="center"/>
            <w:hideMark/>
          </w:tcPr>
          <w:p w14:paraId="2F591E04" w14:textId="77777777" w:rsidR="00662B9C" w:rsidRPr="00662B9C" w:rsidRDefault="00662B9C" w:rsidP="001A14B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08E13AF3" w14:textId="77777777" w:rsidR="00662B9C" w:rsidRPr="00662B9C" w:rsidRDefault="00662B9C" w:rsidP="001A14B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2B9C" w:rsidRPr="00662B9C" w14:paraId="1C551991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39F4CC20" w14:textId="6DAC541A" w:rsidR="00D73F71" w:rsidRPr="00662B9C" w:rsidRDefault="00A150BB" w:rsidP="00A26E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cstheme="minorHAnsi"/>
                <w:sz w:val="20"/>
                <w:szCs w:val="20"/>
              </w:rPr>
              <w:t>Prov. Aut. di Bolzano</w:t>
            </w:r>
          </w:p>
        </w:tc>
        <w:tc>
          <w:tcPr>
            <w:tcW w:w="1284" w:type="dxa"/>
            <w:noWrap/>
            <w:vAlign w:val="center"/>
            <w:hideMark/>
          </w:tcPr>
          <w:p w14:paraId="7F47ADFB" w14:textId="5FC7F0C4" w:rsidR="00D73F71" w:rsidRPr="00662B9C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267" w:type="dxa"/>
            <w:noWrap/>
            <w:vAlign w:val="center"/>
            <w:hideMark/>
          </w:tcPr>
          <w:p w14:paraId="7BEA6586" w14:textId="1F5650EF" w:rsidR="00D73F71" w:rsidRPr="00662B9C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520" w:type="dxa"/>
            <w:noWrap/>
            <w:vAlign w:val="center"/>
            <w:hideMark/>
          </w:tcPr>
          <w:p w14:paraId="6A45C2E2" w14:textId="1B28226E" w:rsidR="00D73F71" w:rsidRPr="00662B9C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580" w:type="dxa"/>
            <w:noWrap/>
            <w:vAlign w:val="center"/>
            <w:hideMark/>
          </w:tcPr>
          <w:p w14:paraId="11524606" w14:textId="7269C21B" w:rsidR="00D73F71" w:rsidRPr="00662B9C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</w:tr>
      <w:tr w:rsidR="00662B9C" w:rsidRPr="00662B9C" w14:paraId="4900AC91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07C28ACC" w14:textId="3D6E23F3" w:rsidR="00D73F71" w:rsidRPr="00662B9C" w:rsidRDefault="00A150BB" w:rsidP="00A26E0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cstheme="minorHAnsi"/>
                <w:sz w:val="20"/>
                <w:szCs w:val="20"/>
              </w:rPr>
              <w:t xml:space="preserve">Prov. Aut. di Trento </w:t>
            </w:r>
          </w:p>
        </w:tc>
        <w:tc>
          <w:tcPr>
            <w:tcW w:w="1284" w:type="dxa"/>
            <w:noWrap/>
            <w:vAlign w:val="center"/>
            <w:hideMark/>
          </w:tcPr>
          <w:p w14:paraId="4D5373A6" w14:textId="6E68489B" w:rsidR="00D73F71" w:rsidRPr="00662B9C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267" w:type="dxa"/>
            <w:noWrap/>
            <w:vAlign w:val="center"/>
            <w:hideMark/>
          </w:tcPr>
          <w:p w14:paraId="15888258" w14:textId="38A6DEAF" w:rsidR="00D73F71" w:rsidRPr="00662B9C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20" w:type="dxa"/>
            <w:noWrap/>
            <w:vAlign w:val="center"/>
            <w:hideMark/>
          </w:tcPr>
          <w:p w14:paraId="30FD380C" w14:textId="15A5F6B0" w:rsidR="00D73F71" w:rsidRPr="00662B9C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7D5BE22C" w14:textId="3597C374" w:rsidR="00D73F71" w:rsidRPr="00662B9C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</w:tr>
      <w:tr w:rsidR="00D73F71" w:rsidRPr="00997C38" w14:paraId="20EC313C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5866D1FB" w14:textId="63857C6E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Puglia</w:t>
            </w:r>
          </w:p>
        </w:tc>
        <w:tc>
          <w:tcPr>
            <w:tcW w:w="1284" w:type="dxa"/>
            <w:noWrap/>
            <w:vAlign w:val="center"/>
            <w:hideMark/>
          </w:tcPr>
          <w:p w14:paraId="7B926BA9" w14:textId="08F04BEB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121</w:t>
            </w:r>
          </w:p>
        </w:tc>
        <w:tc>
          <w:tcPr>
            <w:tcW w:w="1267" w:type="dxa"/>
            <w:noWrap/>
            <w:vAlign w:val="center"/>
            <w:hideMark/>
          </w:tcPr>
          <w:p w14:paraId="3B393EA9" w14:textId="7824C978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20" w:type="dxa"/>
            <w:noWrap/>
            <w:vAlign w:val="center"/>
            <w:hideMark/>
          </w:tcPr>
          <w:p w14:paraId="1E25B46F" w14:textId="4D605BF5" w:rsidR="00D73F71" w:rsidRPr="00D73F71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580" w:type="dxa"/>
            <w:noWrap/>
            <w:vAlign w:val="center"/>
            <w:hideMark/>
          </w:tcPr>
          <w:p w14:paraId="2787D467" w14:textId="0B969550" w:rsidR="00D73F71" w:rsidRPr="00D73F71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</w:tr>
      <w:tr w:rsidR="00D73F71" w:rsidRPr="00997C38" w14:paraId="29324DB5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20299F05" w14:textId="5AFBB2FD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Sardegna</w:t>
            </w:r>
          </w:p>
        </w:tc>
        <w:tc>
          <w:tcPr>
            <w:tcW w:w="1284" w:type="dxa"/>
            <w:noWrap/>
            <w:vAlign w:val="center"/>
            <w:hideMark/>
          </w:tcPr>
          <w:p w14:paraId="77C63C95" w14:textId="1A40FAA0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267" w:type="dxa"/>
            <w:noWrap/>
            <w:vAlign w:val="center"/>
            <w:hideMark/>
          </w:tcPr>
          <w:p w14:paraId="0B0F220F" w14:textId="0675B4B4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1520" w:type="dxa"/>
            <w:noWrap/>
            <w:vAlign w:val="center"/>
            <w:hideMark/>
          </w:tcPr>
          <w:p w14:paraId="5E9A4BB9" w14:textId="22EE95EA" w:rsidR="00D73F71" w:rsidRPr="00D73F71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580" w:type="dxa"/>
            <w:noWrap/>
            <w:vAlign w:val="center"/>
            <w:hideMark/>
          </w:tcPr>
          <w:p w14:paraId="6057F3D6" w14:textId="0B47C5E6" w:rsidR="00D73F71" w:rsidRPr="00D73F71" w:rsidRDefault="00A150BB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0</w:t>
            </w:r>
          </w:p>
        </w:tc>
      </w:tr>
      <w:tr w:rsidR="00D73F71" w:rsidRPr="00997C38" w14:paraId="0993C0B7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09DBE0FD" w14:textId="4A58D19A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Sicilia</w:t>
            </w:r>
          </w:p>
        </w:tc>
        <w:tc>
          <w:tcPr>
            <w:tcW w:w="1284" w:type="dxa"/>
            <w:noWrap/>
            <w:vAlign w:val="center"/>
            <w:hideMark/>
          </w:tcPr>
          <w:p w14:paraId="53530148" w14:textId="2E3299E6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154</w:t>
            </w:r>
          </w:p>
        </w:tc>
        <w:tc>
          <w:tcPr>
            <w:tcW w:w="1267" w:type="dxa"/>
            <w:noWrap/>
            <w:vAlign w:val="center"/>
            <w:hideMark/>
          </w:tcPr>
          <w:p w14:paraId="326509EA" w14:textId="472FD750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20" w:type="dxa"/>
            <w:noWrap/>
            <w:vAlign w:val="center"/>
            <w:hideMark/>
          </w:tcPr>
          <w:p w14:paraId="693A18EB" w14:textId="4482E2BA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74DAD113" w14:textId="0B2115AB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3F71" w:rsidRPr="00997C38" w14:paraId="46CE88AB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0454D4DF" w14:textId="7E6ED125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Toscana</w:t>
            </w:r>
          </w:p>
        </w:tc>
        <w:tc>
          <w:tcPr>
            <w:tcW w:w="1284" w:type="dxa"/>
            <w:noWrap/>
            <w:vAlign w:val="center"/>
            <w:hideMark/>
          </w:tcPr>
          <w:p w14:paraId="45771ED1" w14:textId="3588670D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159</w:t>
            </w:r>
          </w:p>
        </w:tc>
        <w:tc>
          <w:tcPr>
            <w:tcW w:w="1267" w:type="dxa"/>
            <w:noWrap/>
            <w:vAlign w:val="center"/>
            <w:hideMark/>
          </w:tcPr>
          <w:p w14:paraId="05E60D6C" w14:textId="36BAA350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79</w:t>
            </w:r>
          </w:p>
        </w:tc>
        <w:tc>
          <w:tcPr>
            <w:tcW w:w="1520" w:type="dxa"/>
            <w:noWrap/>
            <w:vAlign w:val="center"/>
            <w:hideMark/>
          </w:tcPr>
          <w:p w14:paraId="659DA560" w14:textId="02672DC4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6BDE361B" w14:textId="5BFA7101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3F71" w:rsidRPr="00997C38" w14:paraId="5C063406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7C5DE075" w14:textId="48507BE6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Umbria</w:t>
            </w:r>
          </w:p>
        </w:tc>
        <w:tc>
          <w:tcPr>
            <w:tcW w:w="1284" w:type="dxa"/>
            <w:noWrap/>
            <w:vAlign w:val="center"/>
            <w:hideMark/>
          </w:tcPr>
          <w:p w14:paraId="3878EEA0" w14:textId="79C4C3AD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267" w:type="dxa"/>
            <w:noWrap/>
            <w:vAlign w:val="center"/>
            <w:hideMark/>
          </w:tcPr>
          <w:p w14:paraId="12674F5D" w14:textId="1C958FE2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20" w:type="dxa"/>
            <w:noWrap/>
            <w:vAlign w:val="center"/>
            <w:hideMark/>
          </w:tcPr>
          <w:p w14:paraId="205C5118" w14:textId="72770938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109FC2F0" w14:textId="13FD3283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D73F71" w:rsidRPr="00997C38" w14:paraId="40BF3CEB" w14:textId="77777777" w:rsidTr="00A26E03">
        <w:trPr>
          <w:trHeight w:val="340"/>
          <w:jc w:val="center"/>
        </w:trPr>
        <w:tc>
          <w:tcPr>
            <w:tcW w:w="1975" w:type="dxa"/>
            <w:noWrap/>
            <w:vAlign w:val="center"/>
            <w:hideMark/>
          </w:tcPr>
          <w:p w14:paraId="7506A4EA" w14:textId="325307A1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Valle d'Aosta</w:t>
            </w:r>
          </w:p>
        </w:tc>
        <w:tc>
          <w:tcPr>
            <w:tcW w:w="1284" w:type="dxa"/>
            <w:noWrap/>
            <w:vAlign w:val="center"/>
            <w:hideMark/>
          </w:tcPr>
          <w:p w14:paraId="1AF1A3F0" w14:textId="7D3EF657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67" w:type="dxa"/>
            <w:noWrap/>
            <w:vAlign w:val="center"/>
            <w:hideMark/>
          </w:tcPr>
          <w:p w14:paraId="432AFCA3" w14:textId="2ADC5AC7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20" w:type="dxa"/>
            <w:noWrap/>
            <w:vAlign w:val="center"/>
            <w:hideMark/>
          </w:tcPr>
          <w:p w14:paraId="632AD9DF" w14:textId="49641D79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7DF525FC" w14:textId="3B9E0D2D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D73F71" w:rsidRPr="00997C38" w14:paraId="28F0FFD5" w14:textId="77777777" w:rsidTr="00A26E03">
        <w:trPr>
          <w:trHeight w:val="340"/>
          <w:jc w:val="center"/>
        </w:trPr>
        <w:tc>
          <w:tcPr>
            <w:tcW w:w="1975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0390CD54" w14:textId="0C7BE437" w:rsidR="00D73F71" w:rsidRPr="00D73F71" w:rsidRDefault="00D73F71" w:rsidP="00A26E0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Veneto</w:t>
            </w:r>
          </w:p>
        </w:tc>
        <w:tc>
          <w:tcPr>
            <w:tcW w:w="1284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6521CDB4" w14:textId="6EB52431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99</w:t>
            </w:r>
          </w:p>
        </w:tc>
        <w:tc>
          <w:tcPr>
            <w:tcW w:w="1267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5CDD6973" w14:textId="75A269E8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520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352352AB" w14:textId="2CC93550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580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2727478F" w14:textId="5F747FDF" w:rsidR="00D73F71" w:rsidRPr="00D73F71" w:rsidRDefault="00D73F71" w:rsidP="00A26E0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73F71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997C38" w:rsidRPr="00997C38" w14:paraId="105880CA" w14:textId="77777777" w:rsidTr="00A26E03">
        <w:trPr>
          <w:trHeight w:val="340"/>
          <w:jc w:val="center"/>
        </w:trPr>
        <w:tc>
          <w:tcPr>
            <w:tcW w:w="1975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409361C6" w14:textId="77777777" w:rsidR="00997C38" w:rsidRPr="00997C38" w:rsidRDefault="00997C38" w:rsidP="00A26E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12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711AC923" w14:textId="322F517A" w:rsidR="00997C38" w:rsidRPr="00997C38" w:rsidRDefault="00997C38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.</w:t>
            </w:r>
            <w:r w:rsidR="00D73F7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715</w:t>
            </w:r>
          </w:p>
        </w:tc>
        <w:tc>
          <w:tcPr>
            <w:tcW w:w="12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BA3263F" w14:textId="3EE84CF8" w:rsidR="00997C38" w:rsidRPr="00997C38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781</w:t>
            </w:r>
          </w:p>
        </w:tc>
        <w:tc>
          <w:tcPr>
            <w:tcW w:w="152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CFF1355" w14:textId="74EC3781" w:rsidR="00997C38" w:rsidRPr="00997C38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219</w:t>
            </w:r>
          </w:p>
        </w:tc>
        <w:tc>
          <w:tcPr>
            <w:tcW w:w="1580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5095728E" w14:textId="6A660A47" w:rsidR="00997C38" w:rsidRPr="00997C38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6</w:t>
            </w:r>
            <w:r w:rsidR="00997C38"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6</w:t>
            </w:r>
          </w:p>
        </w:tc>
      </w:tr>
    </w:tbl>
    <w:p w14:paraId="2E5178A3" w14:textId="77777777" w:rsidR="00997C38" w:rsidRDefault="00997C38" w:rsidP="00997C38">
      <w:pPr>
        <w:spacing w:after="0"/>
        <w:jc w:val="center"/>
        <w:rPr>
          <w:b/>
          <w:bCs/>
          <w:color w:val="00457D"/>
          <w:u w:color="00457D"/>
        </w:rPr>
      </w:pPr>
    </w:p>
    <w:p w14:paraId="32453B7C" w14:textId="613A7A83" w:rsidR="00871758" w:rsidRDefault="00871758">
      <w:pPr>
        <w:rPr>
          <w:b/>
          <w:bCs/>
          <w:color w:val="00457D"/>
          <w:u w:color="00457D"/>
        </w:rPr>
      </w:pPr>
      <w:r>
        <w:rPr>
          <w:b/>
          <w:bCs/>
          <w:color w:val="00457D"/>
          <w:u w:color="00457D"/>
        </w:rPr>
        <w:br w:type="page"/>
      </w:r>
    </w:p>
    <w:p w14:paraId="37F858F3" w14:textId="77777777" w:rsidR="00AB649B" w:rsidRDefault="00AB649B" w:rsidP="00997C38">
      <w:pPr>
        <w:spacing w:after="0"/>
        <w:jc w:val="center"/>
        <w:rPr>
          <w:b/>
          <w:bCs/>
          <w:color w:val="00457D"/>
          <w:u w:color="00457D"/>
        </w:rPr>
      </w:pPr>
    </w:p>
    <w:p w14:paraId="2507C8FC" w14:textId="4D794675" w:rsidR="00997C38" w:rsidRDefault="00997C38" w:rsidP="00997C38">
      <w:pPr>
        <w:spacing w:after="0"/>
        <w:jc w:val="center"/>
        <w:rPr>
          <w:color w:val="00457D"/>
          <w:u w:color="00457D"/>
        </w:rPr>
      </w:pPr>
      <w:r>
        <w:rPr>
          <w:b/>
          <w:bCs/>
          <w:color w:val="00457D"/>
          <w:u w:color="00457D"/>
        </w:rPr>
        <w:t xml:space="preserve">Figura </w:t>
      </w:r>
      <w:r w:rsidR="006B391E">
        <w:rPr>
          <w:b/>
          <w:bCs/>
          <w:color w:val="00457D"/>
          <w:u w:color="00457D"/>
        </w:rPr>
        <w:t>2</w:t>
      </w:r>
      <w:r>
        <w:rPr>
          <w:b/>
          <w:bCs/>
          <w:color w:val="00457D"/>
          <w:u w:color="00457D"/>
        </w:rPr>
        <w:t xml:space="preserve">. </w:t>
      </w:r>
      <w:r w:rsidRPr="00E770FC">
        <w:rPr>
          <w:b/>
          <w:bCs/>
          <w:color w:val="00457D"/>
          <w:u w:color="00457D"/>
        </w:rPr>
        <w:t>Case della Comunità</w:t>
      </w:r>
      <w:r>
        <w:rPr>
          <w:b/>
          <w:bCs/>
          <w:color w:val="00457D"/>
          <w:u w:color="00457D"/>
        </w:rPr>
        <w:t xml:space="preserve"> con almeno un servizio </w:t>
      </w:r>
      <w:r w:rsidR="005751B1">
        <w:rPr>
          <w:b/>
          <w:bCs/>
          <w:color w:val="00457D"/>
          <w:u w:color="00457D"/>
        </w:rPr>
        <w:t xml:space="preserve">dichiarato </w:t>
      </w:r>
      <w:r w:rsidRPr="00E770FC">
        <w:rPr>
          <w:b/>
          <w:bCs/>
          <w:color w:val="00457D"/>
          <w:u w:color="00457D"/>
        </w:rPr>
        <w:t>attiv</w:t>
      </w:r>
      <w:r>
        <w:rPr>
          <w:b/>
          <w:bCs/>
          <w:color w:val="00457D"/>
          <w:u w:color="00457D"/>
        </w:rPr>
        <w:t xml:space="preserve">o </w:t>
      </w:r>
      <w:r w:rsidR="006D718C">
        <w:rPr>
          <w:b/>
          <w:bCs/>
          <w:color w:val="00457D"/>
          <w:u w:color="00457D"/>
        </w:rPr>
        <w:br/>
      </w:r>
      <w:r w:rsidRPr="006D718C">
        <w:rPr>
          <w:color w:val="00457D"/>
          <w:u w:color="00457D"/>
        </w:rPr>
        <w:t>(dati Agenas</w:t>
      </w:r>
      <w:r w:rsidR="00E517EF" w:rsidRPr="006D718C">
        <w:rPr>
          <w:color w:val="00457D"/>
          <w:u w:color="00457D"/>
        </w:rPr>
        <w:t xml:space="preserve"> al </w:t>
      </w:r>
      <w:r w:rsidR="006D718C" w:rsidRPr="006D718C">
        <w:rPr>
          <w:color w:val="00457D"/>
          <w:u w:color="00457D"/>
        </w:rPr>
        <w:t>31</w:t>
      </w:r>
      <w:r w:rsidR="00E517EF" w:rsidRPr="006D718C">
        <w:rPr>
          <w:color w:val="00457D"/>
          <w:u w:color="00457D"/>
        </w:rPr>
        <w:t xml:space="preserve"> dicembre 202</w:t>
      </w:r>
      <w:r w:rsidR="006D718C" w:rsidRPr="006D718C">
        <w:rPr>
          <w:color w:val="00457D"/>
          <w:u w:color="00457D"/>
        </w:rPr>
        <w:t>5</w:t>
      </w:r>
      <w:r w:rsidRPr="006D718C">
        <w:rPr>
          <w:color w:val="00457D"/>
          <w:u w:color="00457D"/>
        </w:rPr>
        <w:t>)</w:t>
      </w:r>
    </w:p>
    <w:p w14:paraId="4090CAB9" w14:textId="77777777" w:rsidR="00AB649B" w:rsidRPr="006D718C" w:rsidRDefault="00AB649B" w:rsidP="00997C38">
      <w:pPr>
        <w:spacing w:after="0"/>
        <w:jc w:val="center"/>
        <w:rPr>
          <w:color w:val="00457D"/>
          <w:u w:color="00457D"/>
        </w:rPr>
      </w:pPr>
    </w:p>
    <w:p w14:paraId="07579FF1" w14:textId="180F2968" w:rsidR="00997C38" w:rsidRDefault="00141DDB" w:rsidP="00997C38">
      <w:pPr>
        <w:jc w:val="center"/>
        <w:rPr>
          <w:b/>
          <w:bCs/>
          <w:color w:val="00457D"/>
          <w:u w:color="00457D"/>
        </w:rPr>
      </w:pPr>
      <w:r>
        <w:rPr>
          <w:b/>
          <w:bCs/>
          <w:noProof/>
          <w:color w:val="00457D"/>
          <w:u w:color="00457D"/>
          <w:lang w:eastAsia="it-IT"/>
        </w:rPr>
        <w:drawing>
          <wp:inline distT="0" distB="0" distL="0" distR="0" wp14:anchorId="1F37B667" wp14:editId="510F7A5D">
            <wp:extent cx="5400000" cy="4723641"/>
            <wp:effectExtent l="0" t="0" r="0" b="1270"/>
            <wp:docPr id="11925074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723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7C38">
        <w:rPr>
          <w:b/>
          <w:bCs/>
          <w:color w:val="00457D"/>
          <w:u w:color="00457D"/>
        </w:rPr>
        <w:br w:type="page"/>
      </w:r>
    </w:p>
    <w:p w14:paraId="4C60142B" w14:textId="77777777" w:rsidR="00AB649B" w:rsidRDefault="00AB649B" w:rsidP="006D718C">
      <w:pPr>
        <w:spacing w:after="0"/>
        <w:jc w:val="center"/>
        <w:rPr>
          <w:b/>
          <w:bCs/>
          <w:color w:val="00457D"/>
          <w:u w:color="00457D"/>
        </w:rPr>
      </w:pPr>
    </w:p>
    <w:p w14:paraId="5BD65AA2" w14:textId="1CF28E1D" w:rsidR="00CF3E49" w:rsidRDefault="00CF3E49" w:rsidP="006D718C">
      <w:pPr>
        <w:spacing w:after="0"/>
        <w:jc w:val="center"/>
        <w:rPr>
          <w:color w:val="00457D"/>
          <w:u w:color="00457D"/>
        </w:rPr>
      </w:pPr>
      <w:r>
        <w:rPr>
          <w:b/>
          <w:bCs/>
          <w:color w:val="00457D"/>
          <w:u w:color="00457D"/>
        </w:rPr>
        <w:t xml:space="preserve">Figura </w:t>
      </w:r>
      <w:r w:rsidR="006B391E">
        <w:rPr>
          <w:b/>
          <w:bCs/>
          <w:color w:val="00457D"/>
          <w:u w:color="00457D"/>
        </w:rPr>
        <w:t>3</w:t>
      </w:r>
      <w:r>
        <w:rPr>
          <w:b/>
          <w:bCs/>
          <w:color w:val="00457D"/>
          <w:u w:color="00457D"/>
        </w:rPr>
        <w:t xml:space="preserve">. </w:t>
      </w:r>
      <w:r w:rsidRPr="00E770FC">
        <w:rPr>
          <w:b/>
          <w:bCs/>
          <w:color w:val="00457D"/>
          <w:u w:color="00457D"/>
        </w:rPr>
        <w:t>Case della Comunità</w:t>
      </w:r>
      <w:r w:rsidR="00997C38">
        <w:rPr>
          <w:b/>
          <w:bCs/>
          <w:color w:val="00457D"/>
          <w:u w:color="00457D"/>
        </w:rPr>
        <w:t xml:space="preserve"> con tutti i </w:t>
      </w:r>
      <w:r w:rsidRPr="00E770FC">
        <w:rPr>
          <w:b/>
          <w:bCs/>
          <w:color w:val="00457D"/>
          <w:u w:color="00457D"/>
        </w:rPr>
        <w:t xml:space="preserve">servizi </w:t>
      </w:r>
      <w:r w:rsidR="00997C38">
        <w:rPr>
          <w:b/>
          <w:bCs/>
          <w:color w:val="00457D"/>
          <w:u w:color="00457D"/>
        </w:rPr>
        <w:t xml:space="preserve">obbligatori </w:t>
      </w:r>
      <w:r w:rsidR="005751B1">
        <w:rPr>
          <w:b/>
          <w:bCs/>
          <w:color w:val="00457D"/>
          <w:u w:color="00457D"/>
        </w:rPr>
        <w:t xml:space="preserve">dichiarati </w:t>
      </w:r>
      <w:r w:rsidRPr="00E770FC">
        <w:rPr>
          <w:b/>
          <w:bCs/>
          <w:color w:val="00457D"/>
          <w:u w:color="00457D"/>
        </w:rPr>
        <w:t xml:space="preserve">attivi </w:t>
      </w:r>
      <w:r w:rsidR="005751B1">
        <w:rPr>
          <w:b/>
          <w:bCs/>
          <w:color w:val="00457D"/>
          <w:u w:color="00457D"/>
        </w:rPr>
        <w:br/>
      </w:r>
      <w:r w:rsidR="006D718C" w:rsidRPr="006D718C">
        <w:rPr>
          <w:color w:val="00457D"/>
          <w:u w:color="00457D"/>
        </w:rPr>
        <w:t>(dati Agenas al 31 dicembre 2025)</w:t>
      </w:r>
    </w:p>
    <w:p w14:paraId="2042B5DF" w14:textId="77777777" w:rsidR="00AB649B" w:rsidRPr="006D718C" w:rsidRDefault="00AB649B" w:rsidP="006D718C">
      <w:pPr>
        <w:spacing w:after="0"/>
        <w:jc w:val="center"/>
        <w:rPr>
          <w:color w:val="00457D"/>
          <w:u w:color="00457D"/>
        </w:rPr>
      </w:pPr>
    </w:p>
    <w:p w14:paraId="082D27A9" w14:textId="051AB653" w:rsidR="00CF3E49" w:rsidRDefault="00D46F89" w:rsidP="001A2D1A">
      <w:pPr>
        <w:spacing w:after="0"/>
        <w:jc w:val="center"/>
        <w:rPr>
          <w:b/>
          <w:bCs/>
          <w:color w:val="00457D"/>
          <w:u w:color="00457D"/>
        </w:rPr>
      </w:pPr>
      <w:r>
        <w:rPr>
          <w:b/>
          <w:bCs/>
          <w:noProof/>
          <w:color w:val="00457D"/>
          <w:u w:color="00457D"/>
          <w:lang w:eastAsia="it-IT"/>
        </w:rPr>
        <w:drawing>
          <wp:inline distT="0" distB="0" distL="0" distR="0" wp14:anchorId="5A93C51F" wp14:editId="53ED41A7">
            <wp:extent cx="5400000" cy="4723641"/>
            <wp:effectExtent l="0" t="0" r="0" b="1270"/>
            <wp:docPr id="10770456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723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4C966" w14:textId="7F335D14" w:rsidR="00CF3E49" w:rsidRDefault="00CF3E49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49AE6B17" w14:textId="479F874A" w:rsidR="00997C38" w:rsidRDefault="00997C38">
      <w:pPr>
        <w:rPr>
          <w:b/>
          <w:bCs/>
          <w:color w:val="00457D"/>
          <w:u w:color="00457D"/>
        </w:rPr>
      </w:pPr>
    </w:p>
    <w:p w14:paraId="5A01BECB" w14:textId="1001467E" w:rsidR="00997C38" w:rsidRDefault="00997C38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1BFA13F6" w14:textId="77777777" w:rsidR="00997C38" w:rsidRDefault="00997C38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738C8261" w14:textId="77777777" w:rsidR="00997C38" w:rsidRDefault="00997C38">
      <w:pPr>
        <w:rPr>
          <w:b/>
          <w:bCs/>
          <w:color w:val="00457D"/>
          <w:u w:color="00457D"/>
        </w:rPr>
      </w:pPr>
      <w:r>
        <w:rPr>
          <w:b/>
          <w:bCs/>
          <w:color w:val="00457D"/>
          <w:u w:color="00457D"/>
        </w:rPr>
        <w:br w:type="page"/>
      </w:r>
    </w:p>
    <w:p w14:paraId="71E29541" w14:textId="77777777" w:rsidR="00AB649B" w:rsidRDefault="00AB649B" w:rsidP="00997C38">
      <w:pPr>
        <w:spacing w:after="0"/>
        <w:jc w:val="center"/>
        <w:rPr>
          <w:b/>
          <w:bCs/>
          <w:color w:val="00457D"/>
          <w:u w:color="00457D"/>
        </w:rPr>
      </w:pPr>
    </w:p>
    <w:p w14:paraId="36103CDE" w14:textId="3A47DC7E" w:rsidR="006D718C" w:rsidRDefault="00997C38" w:rsidP="00997C38">
      <w:pPr>
        <w:spacing w:after="0"/>
        <w:jc w:val="center"/>
        <w:rPr>
          <w:b/>
          <w:bCs/>
          <w:color w:val="00457D"/>
          <w:u w:color="00457D"/>
        </w:rPr>
      </w:pPr>
      <w:r>
        <w:rPr>
          <w:b/>
          <w:bCs/>
          <w:color w:val="00457D"/>
          <w:u w:color="00457D"/>
        </w:rPr>
        <w:t xml:space="preserve">Tabella </w:t>
      </w:r>
      <w:r w:rsidR="001B266D">
        <w:rPr>
          <w:b/>
          <w:bCs/>
          <w:color w:val="00457D"/>
          <w:u w:color="00457D"/>
        </w:rPr>
        <w:t>3</w:t>
      </w:r>
      <w:r>
        <w:rPr>
          <w:b/>
          <w:bCs/>
          <w:color w:val="00457D"/>
          <w:u w:color="00457D"/>
        </w:rPr>
        <w:t xml:space="preserve">. Ospedali di comunità </w:t>
      </w:r>
    </w:p>
    <w:p w14:paraId="27FBDD9A" w14:textId="77777777" w:rsidR="006D718C" w:rsidRPr="006D718C" w:rsidRDefault="006D718C" w:rsidP="006D718C">
      <w:pPr>
        <w:spacing w:after="0"/>
        <w:jc w:val="center"/>
        <w:rPr>
          <w:color w:val="00457D"/>
          <w:u w:color="00457D"/>
        </w:rPr>
      </w:pPr>
      <w:r w:rsidRPr="006D718C">
        <w:rPr>
          <w:color w:val="00457D"/>
          <w:u w:color="00457D"/>
        </w:rPr>
        <w:t>(dati Agenas al 31 dicembre 2025)</w:t>
      </w:r>
    </w:p>
    <w:p w14:paraId="5A2FE9EA" w14:textId="570B952A" w:rsidR="00997C38" w:rsidRDefault="00997C38" w:rsidP="006D718C">
      <w:pPr>
        <w:spacing w:after="0"/>
        <w:rPr>
          <w:b/>
          <w:bCs/>
          <w:color w:val="00457D"/>
          <w:u w:color="00457D"/>
        </w:rPr>
      </w:pPr>
    </w:p>
    <w:tbl>
      <w:tblPr>
        <w:tblW w:w="5844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564"/>
        <w:gridCol w:w="1880"/>
      </w:tblGrid>
      <w:tr w:rsidR="00997C38" w:rsidRPr="00997C38" w14:paraId="3D818A24" w14:textId="77777777" w:rsidTr="00DB65E1">
        <w:trPr>
          <w:trHeight w:val="567"/>
          <w:jc w:val="center"/>
        </w:trPr>
        <w:tc>
          <w:tcPr>
            <w:tcW w:w="2400" w:type="dxa"/>
            <w:tcBorders>
              <w:top w:val="single" w:sz="4" w:space="0" w:color="00457D"/>
              <w:left w:val="single" w:sz="4" w:space="0" w:color="00457D"/>
              <w:bottom w:val="single" w:sz="4" w:space="0" w:color="00457D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2336441A" w14:textId="77777777" w:rsidR="00997C38" w:rsidRPr="00997C38" w:rsidRDefault="00997C38" w:rsidP="00997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1564" w:type="dxa"/>
            <w:tcBorders>
              <w:top w:val="single" w:sz="4" w:space="0" w:color="00457D"/>
              <w:left w:val="single" w:sz="4" w:space="0" w:color="FFFFFF" w:themeColor="background1"/>
              <w:bottom w:val="single" w:sz="4" w:space="0" w:color="00457D"/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73DF5695" w14:textId="06C44DC0" w:rsidR="00997C38" w:rsidRPr="00997C38" w:rsidRDefault="00DB65E1" w:rsidP="00997C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Programmati</w:t>
            </w:r>
          </w:p>
        </w:tc>
        <w:tc>
          <w:tcPr>
            <w:tcW w:w="1880" w:type="dxa"/>
            <w:tcBorders>
              <w:top w:val="single" w:sz="4" w:space="0" w:color="00457D"/>
              <w:left w:val="single" w:sz="4" w:space="0" w:color="FFFFFF" w:themeColor="background1"/>
              <w:bottom w:val="single" w:sz="4" w:space="0" w:color="00457D"/>
              <w:right w:val="single" w:sz="4" w:space="0" w:color="00457D"/>
            </w:tcBorders>
            <w:shd w:val="clear" w:color="auto" w:fill="00457D"/>
            <w:vAlign w:val="center"/>
            <w:hideMark/>
          </w:tcPr>
          <w:p w14:paraId="5A099AB9" w14:textId="1BC9BB2C" w:rsidR="00997C38" w:rsidRPr="00997C38" w:rsidRDefault="00D73F71" w:rsidP="00D7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Dichiarati</w:t>
            </w:r>
            <w:r w:rsidR="00997C38"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 attiv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i</w:t>
            </w:r>
          </w:p>
        </w:tc>
      </w:tr>
      <w:tr w:rsidR="00D73F71" w:rsidRPr="00997C38" w14:paraId="7DD2F695" w14:textId="77777777" w:rsidTr="00DB65E1">
        <w:trPr>
          <w:trHeight w:val="340"/>
          <w:jc w:val="center"/>
        </w:trPr>
        <w:tc>
          <w:tcPr>
            <w:tcW w:w="2400" w:type="dxa"/>
            <w:tcBorders>
              <w:top w:val="single" w:sz="4" w:space="0" w:color="00457D"/>
            </w:tcBorders>
            <w:noWrap/>
            <w:vAlign w:val="center"/>
            <w:hideMark/>
          </w:tcPr>
          <w:p w14:paraId="2D9D663D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Abruzzo</w:t>
            </w:r>
          </w:p>
        </w:tc>
        <w:tc>
          <w:tcPr>
            <w:tcW w:w="1564" w:type="dxa"/>
            <w:tcBorders>
              <w:top w:val="single" w:sz="4" w:space="0" w:color="00457D"/>
            </w:tcBorders>
            <w:noWrap/>
            <w:vAlign w:val="center"/>
            <w:hideMark/>
          </w:tcPr>
          <w:p w14:paraId="0A67FFDD" w14:textId="2AB8115A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880" w:type="dxa"/>
            <w:tcBorders>
              <w:top w:val="single" w:sz="4" w:space="0" w:color="00457D"/>
            </w:tcBorders>
            <w:noWrap/>
            <w:vAlign w:val="center"/>
            <w:hideMark/>
          </w:tcPr>
          <w:p w14:paraId="52CF829F" w14:textId="78610945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</w:t>
            </w:r>
          </w:p>
        </w:tc>
      </w:tr>
      <w:tr w:rsidR="00D73F71" w:rsidRPr="00997C38" w14:paraId="6F276F01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214AB6C1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Basilicata</w:t>
            </w:r>
          </w:p>
        </w:tc>
        <w:tc>
          <w:tcPr>
            <w:tcW w:w="1564" w:type="dxa"/>
            <w:noWrap/>
            <w:vAlign w:val="center"/>
            <w:hideMark/>
          </w:tcPr>
          <w:p w14:paraId="4A51D112" w14:textId="461D6E29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880" w:type="dxa"/>
            <w:noWrap/>
            <w:vAlign w:val="center"/>
            <w:hideMark/>
          </w:tcPr>
          <w:p w14:paraId="3FCE79E7" w14:textId="16FFF066" w:rsidR="00D73F71" w:rsidRPr="00D73F71" w:rsidRDefault="00C9495D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</w:t>
            </w:r>
          </w:p>
        </w:tc>
      </w:tr>
      <w:tr w:rsidR="00D73F71" w:rsidRPr="00997C38" w14:paraId="2C5F6427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56DA5C44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Calabria</w:t>
            </w:r>
          </w:p>
        </w:tc>
        <w:tc>
          <w:tcPr>
            <w:tcW w:w="1564" w:type="dxa"/>
            <w:noWrap/>
            <w:vAlign w:val="center"/>
            <w:hideMark/>
          </w:tcPr>
          <w:p w14:paraId="121293EB" w14:textId="4A16CA76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880" w:type="dxa"/>
            <w:noWrap/>
            <w:vAlign w:val="center"/>
            <w:hideMark/>
          </w:tcPr>
          <w:p w14:paraId="6DC15178" w14:textId="3247F57F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</w:tr>
      <w:tr w:rsidR="00D73F71" w:rsidRPr="00997C38" w14:paraId="453B1892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6291F3DF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Campania</w:t>
            </w:r>
          </w:p>
        </w:tc>
        <w:tc>
          <w:tcPr>
            <w:tcW w:w="1564" w:type="dxa"/>
            <w:noWrap/>
            <w:vAlign w:val="center"/>
            <w:hideMark/>
          </w:tcPr>
          <w:p w14:paraId="1445ABB3" w14:textId="14DE35E5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51</w:t>
            </w:r>
          </w:p>
        </w:tc>
        <w:tc>
          <w:tcPr>
            <w:tcW w:w="1880" w:type="dxa"/>
            <w:noWrap/>
            <w:vAlign w:val="center"/>
            <w:hideMark/>
          </w:tcPr>
          <w:p w14:paraId="4FD8A4E7" w14:textId="7100FC11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</w:tr>
      <w:tr w:rsidR="00D73F71" w:rsidRPr="00997C38" w14:paraId="5DF3D22E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072A6D0A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Emilia-Romagna</w:t>
            </w:r>
          </w:p>
        </w:tc>
        <w:tc>
          <w:tcPr>
            <w:tcW w:w="1564" w:type="dxa"/>
            <w:noWrap/>
            <w:vAlign w:val="center"/>
            <w:hideMark/>
          </w:tcPr>
          <w:p w14:paraId="01A5BD80" w14:textId="32EB7A8F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52</w:t>
            </w:r>
          </w:p>
        </w:tc>
        <w:tc>
          <w:tcPr>
            <w:tcW w:w="1880" w:type="dxa"/>
            <w:noWrap/>
            <w:vAlign w:val="center"/>
            <w:hideMark/>
          </w:tcPr>
          <w:p w14:paraId="4E639910" w14:textId="675A0956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D73F71" w:rsidRPr="00997C38" w14:paraId="1D3727C2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6DD30C12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1564" w:type="dxa"/>
            <w:noWrap/>
            <w:vAlign w:val="center"/>
            <w:hideMark/>
          </w:tcPr>
          <w:p w14:paraId="5482F4D1" w14:textId="1F03A0CE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880" w:type="dxa"/>
            <w:noWrap/>
            <w:vAlign w:val="center"/>
            <w:hideMark/>
          </w:tcPr>
          <w:p w14:paraId="3EF6CD84" w14:textId="5C9F2A0C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</w:tr>
      <w:tr w:rsidR="00D73F71" w:rsidRPr="00997C38" w14:paraId="67AA6656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67FCF90B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Lazio</w:t>
            </w:r>
          </w:p>
        </w:tc>
        <w:tc>
          <w:tcPr>
            <w:tcW w:w="1564" w:type="dxa"/>
            <w:noWrap/>
            <w:vAlign w:val="center"/>
            <w:hideMark/>
          </w:tcPr>
          <w:p w14:paraId="6EEB0458" w14:textId="2E38505D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1880" w:type="dxa"/>
            <w:noWrap/>
            <w:vAlign w:val="center"/>
            <w:hideMark/>
          </w:tcPr>
          <w:p w14:paraId="49128CA5" w14:textId="7814224A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</w:tr>
      <w:tr w:rsidR="00D73F71" w:rsidRPr="00997C38" w14:paraId="2F49087D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0F24EDA0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Liguria</w:t>
            </w:r>
          </w:p>
        </w:tc>
        <w:tc>
          <w:tcPr>
            <w:tcW w:w="1564" w:type="dxa"/>
            <w:noWrap/>
            <w:vAlign w:val="center"/>
            <w:hideMark/>
          </w:tcPr>
          <w:p w14:paraId="16BCDAAF" w14:textId="080C575D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880" w:type="dxa"/>
            <w:noWrap/>
            <w:vAlign w:val="center"/>
            <w:hideMark/>
          </w:tcPr>
          <w:p w14:paraId="661E30F5" w14:textId="3D911125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  <w:tr w:rsidR="00D73F71" w:rsidRPr="00997C38" w14:paraId="055AB6AF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1FD762F4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1564" w:type="dxa"/>
            <w:noWrap/>
            <w:vAlign w:val="center"/>
            <w:hideMark/>
          </w:tcPr>
          <w:p w14:paraId="24FBDF51" w14:textId="48AB232F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66</w:t>
            </w:r>
          </w:p>
        </w:tc>
        <w:tc>
          <w:tcPr>
            <w:tcW w:w="1880" w:type="dxa"/>
            <w:noWrap/>
            <w:vAlign w:val="center"/>
            <w:hideMark/>
          </w:tcPr>
          <w:p w14:paraId="6DB2F480" w14:textId="6B9C4471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30</w:t>
            </w:r>
          </w:p>
        </w:tc>
      </w:tr>
      <w:tr w:rsidR="00D73F71" w:rsidRPr="00997C38" w14:paraId="6F126BD9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041F0582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Marche</w:t>
            </w:r>
          </w:p>
        </w:tc>
        <w:tc>
          <w:tcPr>
            <w:tcW w:w="1564" w:type="dxa"/>
            <w:noWrap/>
            <w:vAlign w:val="center"/>
            <w:hideMark/>
          </w:tcPr>
          <w:p w14:paraId="35230CF7" w14:textId="7A17373E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880" w:type="dxa"/>
            <w:noWrap/>
            <w:vAlign w:val="center"/>
            <w:hideMark/>
          </w:tcPr>
          <w:p w14:paraId="1CB5372D" w14:textId="325806BB" w:rsidR="00D73F71" w:rsidRPr="00D73F71" w:rsidRDefault="00C9495D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</w:t>
            </w:r>
          </w:p>
        </w:tc>
      </w:tr>
      <w:tr w:rsidR="00D73F71" w:rsidRPr="00997C38" w14:paraId="1C23860E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30C04E02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Molise</w:t>
            </w:r>
          </w:p>
        </w:tc>
        <w:tc>
          <w:tcPr>
            <w:tcW w:w="1564" w:type="dxa"/>
            <w:noWrap/>
            <w:vAlign w:val="center"/>
            <w:hideMark/>
          </w:tcPr>
          <w:p w14:paraId="5C7D6509" w14:textId="0018E0EB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80" w:type="dxa"/>
            <w:noWrap/>
            <w:vAlign w:val="center"/>
            <w:hideMark/>
          </w:tcPr>
          <w:p w14:paraId="519A00F5" w14:textId="2A500BF6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  <w:tr w:rsidR="00D73F71" w:rsidRPr="00997C38" w14:paraId="752B51E7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19DA92C4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Piemonte</w:t>
            </w:r>
          </w:p>
        </w:tc>
        <w:tc>
          <w:tcPr>
            <w:tcW w:w="1564" w:type="dxa"/>
            <w:noWrap/>
            <w:vAlign w:val="center"/>
            <w:hideMark/>
          </w:tcPr>
          <w:p w14:paraId="713D2E36" w14:textId="1AA63178" w:rsidR="00D73F71" w:rsidRPr="00D73F71" w:rsidRDefault="00D46F89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880" w:type="dxa"/>
            <w:noWrap/>
            <w:vAlign w:val="center"/>
            <w:hideMark/>
          </w:tcPr>
          <w:p w14:paraId="5322B29F" w14:textId="354ADD00" w:rsidR="00D73F71" w:rsidRPr="00D73F71" w:rsidRDefault="00D46F89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</w:t>
            </w:r>
          </w:p>
        </w:tc>
      </w:tr>
      <w:tr w:rsidR="00D46F89" w:rsidRPr="00997C38" w14:paraId="4E02AD50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19F20A73" w14:textId="77777777" w:rsidR="00D46F89" w:rsidRPr="00997C38" w:rsidRDefault="00D46F89" w:rsidP="00D4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Prov. Aut. di Bolzano</w:t>
            </w:r>
          </w:p>
        </w:tc>
        <w:tc>
          <w:tcPr>
            <w:tcW w:w="1564" w:type="dxa"/>
            <w:noWrap/>
            <w:vAlign w:val="center"/>
            <w:hideMark/>
          </w:tcPr>
          <w:p w14:paraId="7587973F" w14:textId="4A3848EC" w:rsidR="00D46F89" w:rsidRPr="00D73F71" w:rsidRDefault="00D46F89" w:rsidP="00D4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880" w:type="dxa"/>
            <w:noWrap/>
            <w:vAlign w:val="center"/>
            <w:hideMark/>
          </w:tcPr>
          <w:p w14:paraId="6DC231F0" w14:textId="309F0B43" w:rsidR="00D46F89" w:rsidRPr="00D73F71" w:rsidRDefault="00D46F89" w:rsidP="00D4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</w:t>
            </w:r>
          </w:p>
        </w:tc>
      </w:tr>
      <w:tr w:rsidR="00D46F89" w:rsidRPr="00997C38" w14:paraId="15E412F8" w14:textId="77777777" w:rsidTr="00D46F89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57BFA9E8" w14:textId="77777777" w:rsidR="00D46F89" w:rsidRPr="00997C38" w:rsidRDefault="00D46F89" w:rsidP="00D46F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Prov. Aut. di Trento</w:t>
            </w:r>
          </w:p>
        </w:tc>
        <w:tc>
          <w:tcPr>
            <w:tcW w:w="1564" w:type="dxa"/>
            <w:noWrap/>
            <w:vAlign w:val="center"/>
          </w:tcPr>
          <w:p w14:paraId="6EE60CEF" w14:textId="607FE414" w:rsidR="00D46F89" w:rsidRPr="00D73F71" w:rsidRDefault="00D46F89" w:rsidP="00D4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80" w:type="dxa"/>
            <w:noWrap/>
            <w:vAlign w:val="center"/>
          </w:tcPr>
          <w:p w14:paraId="0A8B1CFF" w14:textId="255DABD5" w:rsidR="00D46F89" w:rsidRPr="00D73F71" w:rsidRDefault="00D46F89" w:rsidP="00D46F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</w:t>
            </w:r>
          </w:p>
        </w:tc>
      </w:tr>
      <w:tr w:rsidR="00D73F71" w:rsidRPr="00997C38" w14:paraId="382CB1E0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69B86DA3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Puglia</w:t>
            </w:r>
          </w:p>
        </w:tc>
        <w:tc>
          <w:tcPr>
            <w:tcW w:w="1564" w:type="dxa"/>
            <w:noWrap/>
            <w:vAlign w:val="center"/>
            <w:hideMark/>
          </w:tcPr>
          <w:p w14:paraId="6352F33C" w14:textId="6A44A28B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49</w:t>
            </w:r>
          </w:p>
        </w:tc>
        <w:tc>
          <w:tcPr>
            <w:tcW w:w="1880" w:type="dxa"/>
            <w:noWrap/>
            <w:vAlign w:val="center"/>
            <w:hideMark/>
          </w:tcPr>
          <w:p w14:paraId="004A29A8" w14:textId="74B1C2D8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</w:t>
            </w:r>
          </w:p>
        </w:tc>
      </w:tr>
      <w:tr w:rsidR="00D73F71" w:rsidRPr="00997C38" w14:paraId="0DCBDC2A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25B0BFC9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Sardegna</w:t>
            </w:r>
          </w:p>
        </w:tc>
        <w:tc>
          <w:tcPr>
            <w:tcW w:w="1564" w:type="dxa"/>
            <w:noWrap/>
            <w:vAlign w:val="center"/>
            <w:hideMark/>
          </w:tcPr>
          <w:p w14:paraId="08BA48FB" w14:textId="4EF9C079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33</w:t>
            </w:r>
          </w:p>
        </w:tc>
        <w:tc>
          <w:tcPr>
            <w:tcW w:w="1880" w:type="dxa"/>
            <w:noWrap/>
            <w:vAlign w:val="center"/>
            <w:hideMark/>
          </w:tcPr>
          <w:p w14:paraId="6D8E792E" w14:textId="32418165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</w:tr>
      <w:tr w:rsidR="00D73F71" w:rsidRPr="00997C38" w14:paraId="54D3EA02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60C9F3E0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Sicilia</w:t>
            </w:r>
          </w:p>
        </w:tc>
        <w:tc>
          <w:tcPr>
            <w:tcW w:w="1564" w:type="dxa"/>
            <w:noWrap/>
            <w:vAlign w:val="center"/>
            <w:hideMark/>
          </w:tcPr>
          <w:p w14:paraId="3E9DB031" w14:textId="2D19DFAC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46</w:t>
            </w:r>
          </w:p>
        </w:tc>
        <w:tc>
          <w:tcPr>
            <w:tcW w:w="1880" w:type="dxa"/>
            <w:noWrap/>
            <w:vAlign w:val="center"/>
            <w:hideMark/>
          </w:tcPr>
          <w:p w14:paraId="427D1D25" w14:textId="17DD1870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</w:t>
            </w:r>
          </w:p>
        </w:tc>
      </w:tr>
      <w:tr w:rsidR="00D73F71" w:rsidRPr="00997C38" w14:paraId="5968DB72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60C53933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Toscana</w:t>
            </w:r>
          </w:p>
        </w:tc>
        <w:tc>
          <w:tcPr>
            <w:tcW w:w="1564" w:type="dxa"/>
            <w:noWrap/>
            <w:vAlign w:val="center"/>
            <w:hideMark/>
          </w:tcPr>
          <w:p w14:paraId="093037A4" w14:textId="385534D5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37</w:t>
            </w:r>
          </w:p>
        </w:tc>
        <w:tc>
          <w:tcPr>
            <w:tcW w:w="1880" w:type="dxa"/>
            <w:noWrap/>
            <w:vAlign w:val="center"/>
            <w:hideMark/>
          </w:tcPr>
          <w:p w14:paraId="19D34774" w14:textId="0A2EE591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17</w:t>
            </w:r>
          </w:p>
        </w:tc>
      </w:tr>
      <w:tr w:rsidR="00D73F71" w:rsidRPr="00997C38" w14:paraId="3AB9353B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26B787FF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1564" w:type="dxa"/>
            <w:noWrap/>
            <w:vAlign w:val="center"/>
            <w:hideMark/>
          </w:tcPr>
          <w:p w14:paraId="69E90478" w14:textId="0DB136FD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1880" w:type="dxa"/>
            <w:noWrap/>
            <w:vAlign w:val="center"/>
            <w:hideMark/>
          </w:tcPr>
          <w:p w14:paraId="2B5D70B2" w14:textId="5DD9C1A1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</w:t>
            </w:r>
          </w:p>
        </w:tc>
      </w:tr>
      <w:tr w:rsidR="00D73F71" w:rsidRPr="00997C38" w14:paraId="4E6967BE" w14:textId="77777777" w:rsidTr="00DB65E1">
        <w:trPr>
          <w:trHeight w:val="340"/>
          <w:jc w:val="center"/>
        </w:trPr>
        <w:tc>
          <w:tcPr>
            <w:tcW w:w="2400" w:type="dxa"/>
            <w:noWrap/>
            <w:vAlign w:val="center"/>
            <w:hideMark/>
          </w:tcPr>
          <w:p w14:paraId="6E3BE6BB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Valle d'Aosta</w:t>
            </w:r>
          </w:p>
        </w:tc>
        <w:tc>
          <w:tcPr>
            <w:tcW w:w="1564" w:type="dxa"/>
            <w:noWrap/>
            <w:vAlign w:val="center"/>
            <w:hideMark/>
          </w:tcPr>
          <w:p w14:paraId="0B0F8D05" w14:textId="67C91B4C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80" w:type="dxa"/>
            <w:noWrap/>
            <w:vAlign w:val="center"/>
            <w:hideMark/>
          </w:tcPr>
          <w:p w14:paraId="6EA1C0AC" w14:textId="5566F9DE" w:rsidR="00D73F71" w:rsidRPr="00D73F71" w:rsidRDefault="00C9495D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</w:t>
            </w:r>
          </w:p>
        </w:tc>
      </w:tr>
      <w:tr w:rsidR="00D73F71" w:rsidRPr="00997C38" w14:paraId="1CC94166" w14:textId="77777777" w:rsidTr="00DB65E1">
        <w:trPr>
          <w:trHeight w:val="340"/>
          <w:jc w:val="center"/>
        </w:trPr>
        <w:tc>
          <w:tcPr>
            <w:tcW w:w="2400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3CBDB52C" w14:textId="77777777" w:rsidR="00D73F71" w:rsidRPr="00997C38" w:rsidRDefault="00D73F71" w:rsidP="00D7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Veneto</w:t>
            </w:r>
          </w:p>
        </w:tc>
        <w:tc>
          <w:tcPr>
            <w:tcW w:w="1564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54DC27F5" w14:textId="3BF72F10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73</w:t>
            </w:r>
          </w:p>
        </w:tc>
        <w:tc>
          <w:tcPr>
            <w:tcW w:w="1880" w:type="dxa"/>
            <w:tcBorders>
              <w:bottom w:val="single" w:sz="4" w:space="0" w:color="00457D"/>
            </w:tcBorders>
            <w:noWrap/>
            <w:vAlign w:val="center"/>
            <w:hideMark/>
          </w:tcPr>
          <w:p w14:paraId="1CF5CD14" w14:textId="57BF379B" w:rsidR="00D73F71" w:rsidRPr="00D73F71" w:rsidRDefault="00D73F71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D73F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47</w:t>
            </w:r>
          </w:p>
        </w:tc>
      </w:tr>
      <w:tr w:rsidR="00997C38" w:rsidRPr="00997C38" w14:paraId="33835832" w14:textId="77777777" w:rsidTr="00DB65E1">
        <w:trPr>
          <w:trHeight w:val="340"/>
          <w:jc w:val="center"/>
        </w:trPr>
        <w:tc>
          <w:tcPr>
            <w:tcW w:w="2400" w:type="dxa"/>
            <w:tcBorders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6FDEA451" w14:textId="77777777" w:rsidR="00997C38" w:rsidRPr="00997C38" w:rsidRDefault="00997C38" w:rsidP="00997C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156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4B52B574" w14:textId="514C1942" w:rsidR="00997C38" w:rsidRPr="00997C38" w:rsidRDefault="00997C38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5</w:t>
            </w:r>
            <w:r w:rsidR="00D73F7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94</w:t>
            </w:r>
          </w:p>
        </w:tc>
        <w:tc>
          <w:tcPr>
            <w:tcW w:w="1880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3F081110" w14:textId="29C88EA1" w:rsidR="00997C38" w:rsidRPr="00997C38" w:rsidRDefault="00997C38" w:rsidP="00A26E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997C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1</w:t>
            </w:r>
            <w:r w:rsidR="00D73F7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63</w:t>
            </w:r>
          </w:p>
        </w:tc>
      </w:tr>
    </w:tbl>
    <w:p w14:paraId="531794FC" w14:textId="4ABB5E63" w:rsidR="00997C38" w:rsidRDefault="00997C38">
      <w:pPr>
        <w:rPr>
          <w:b/>
          <w:bCs/>
          <w:color w:val="00457D"/>
          <w:u w:color="00457D"/>
        </w:rPr>
      </w:pPr>
      <w:r>
        <w:rPr>
          <w:b/>
          <w:bCs/>
          <w:color w:val="00457D"/>
          <w:u w:color="00457D"/>
        </w:rPr>
        <w:br w:type="page"/>
      </w:r>
    </w:p>
    <w:p w14:paraId="2E1FB2CA" w14:textId="77777777" w:rsidR="00C9495D" w:rsidRDefault="00C9495D" w:rsidP="006D718C">
      <w:pPr>
        <w:spacing w:after="0"/>
        <w:jc w:val="center"/>
        <w:rPr>
          <w:b/>
          <w:bCs/>
          <w:color w:val="00457D"/>
          <w:u w:color="00457D"/>
        </w:rPr>
      </w:pPr>
    </w:p>
    <w:p w14:paraId="6403F2AC" w14:textId="1C84C365" w:rsidR="00AF0E11" w:rsidRDefault="00AF0E11" w:rsidP="006D718C">
      <w:pPr>
        <w:spacing w:after="0"/>
        <w:jc w:val="center"/>
        <w:rPr>
          <w:color w:val="00457D"/>
          <w:u w:color="00457D"/>
        </w:rPr>
      </w:pPr>
      <w:r>
        <w:rPr>
          <w:b/>
          <w:bCs/>
          <w:color w:val="00457D"/>
          <w:u w:color="00457D"/>
        </w:rPr>
        <w:t xml:space="preserve">Figura </w:t>
      </w:r>
      <w:r w:rsidR="006B391E">
        <w:rPr>
          <w:b/>
          <w:bCs/>
          <w:color w:val="00457D"/>
          <w:u w:color="00457D"/>
        </w:rPr>
        <w:t>4.</w:t>
      </w:r>
      <w:r>
        <w:rPr>
          <w:b/>
          <w:bCs/>
          <w:color w:val="00457D"/>
          <w:u w:color="00457D"/>
        </w:rPr>
        <w:t xml:space="preserve"> </w:t>
      </w:r>
      <w:r w:rsidRPr="00AF0E11">
        <w:rPr>
          <w:b/>
          <w:bCs/>
          <w:color w:val="00457D"/>
          <w:u w:color="00457D"/>
        </w:rPr>
        <w:t>O</w:t>
      </w:r>
      <w:r>
        <w:rPr>
          <w:b/>
          <w:bCs/>
          <w:color w:val="00457D"/>
          <w:u w:color="00457D"/>
        </w:rPr>
        <w:t xml:space="preserve">spedali </w:t>
      </w:r>
      <w:r w:rsidRPr="00AF0E11">
        <w:rPr>
          <w:b/>
          <w:bCs/>
          <w:color w:val="00457D"/>
          <w:u w:color="00457D"/>
        </w:rPr>
        <w:t>d</w:t>
      </w:r>
      <w:r>
        <w:rPr>
          <w:b/>
          <w:bCs/>
          <w:color w:val="00457D"/>
          <w:u w:color="00457D"/>
        </w:rPr>
        <w:t xml:space="preserve">i </w:t>
      </w:r>
      <w:r w:rsidRPr="00AF0E11">
        <w:rPr>
          <w:b/>
          <w:bCs/>
          <w:color w:val="00457D"/>
          <w:u w:color="00457D"/>
        </w:rPr>
        <w:t>C</w:t>
      </w:r>
      <w:r>
        <w:rPr>
          <w:b/>
          <w:bCs/>
          <w:color w:val="00457D"/>
          <w:u w:color="00457D"/>
        </w:rPr>
        <w:t xml:space="preserve">omunità </w:t>
      </w:r>
      <w:r w:rsidRPr="00AF0E11">
        <w:rPr>
          <w:b/>
          <w:bCs/>
          <w:color w:val="00457D"/>
          <w:u w:color="00457D"/>
        </w:rPr>
        <w:t xml:space="preserve">con almeno un servizio dichiarato attivo </w:t>
      </w:r>
      <w:r>
        <w:rPr>
          <w:b/>
          <w:bCs/>
          <w:color w:val="00457D"/>
          <w:u w:color="00457D"/>
        </w:rPr>
        <w:br/>
      </w:r>
      <w:r w:rsidR="006D718C" w:rsidRPr="006D718C">
        <w:rPr>
          <w:color w:val="00457D"/>
          <w:u w:color="00457D"/>
        </w:rPr>
        <w:t>(dati Agenas al 31 dicembre 2025)</w:t>
      </w:r>
    </w:p>
    <w:p w14:paraId="4110CA0D" w14:textId="77777777" w:rsidR="00AB649B" w:rsidRPr="006D718C" w:rsidRDefault="00AB649B" w:rsidP="006D718C">
      <w:pPr>
        <w:spacing w:after="0"/>
        <w:jc w:val="center"/>
        <w:rPr>
          <w:color w:val="00457D"/>
          <w:u w:color="00457D"/>
        </w:rPr>
      </w:pPr>
    </w:p>
    <w:p w14:paraId="2FB5CE7C" w14:textId="11EBB700" w:rsidR="00AF0E11" w:rsidRDefault="000F313A" w:rsidP="001A2D1A">
      <w:pPr>
        <w:spacing w:after="0"/>
        <w:jc w:val="center"/>
        <w:rPr>
          <w:b/>
          <w:bCs/>
          <w:color w:val="00457D"/>
          <w:u w:color="00457D"/>
        </w:rPr>
      </w:pPr>
      <w:r>
        <w:rPr>
          <w:b/>
          <w:bCs/>
          <w:noProof/>
          <w:color w:val="00457D"/>
          <w:u w:color="00457D"/>
          <w:lang w:eastAsia="it-IT"/>
        </w:rPr>
        <w:drawing>
          <wp:inline distT="0" distB="0" distL="0" distR="0" wp14:anchorId="4036BDDB" wp14:editId="0D32707A">
            <wp:extent cx="5400000" cy="4723641"/>
            <wp:effectExtent l="0" t="0" r="0" b="1270"/>
            <wp:docPr id="22518548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723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1C65AE" w14:textId="01A34789" w:rsidR="00AF0E11" w:rsidRDefault="00AF0E11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548B0B6E" w14:textId="77777777" w:rsidR="00AB649B" w:rsidRDefault="00871758" w:rsidP="002D2826">
      <w:pPr>
        <w:spacing w:after="0"/>
        <w:jc w:val="center"/>
        <w:rPr>
          <w:b/>
          <w:bCs/>
          <w:color w:val="00457D"/>
          <w:u w:color="00457D"/>
        </w:rPr>
      </w:pPr>
      <w:r>
        <w:rPr>
          <w:b/>
          <w:bCs/>
          <w:color w:val="00457D"/>
          <w:u w:color="00457D"/>
        </w:rPr>
        <w:br w:type="page"/>
      </w:r>
    </w:p>
    <w:p w14:paraId="0E1ABE5F" w14:textId="77777777" w:rsidR="00AB649B" w:rsidRDefault="00AB649B" w:rsidP="002D2826">
      <w:pPr>
        <w:spacing w:after="0"/>
        <w:jc w:val="center"/>
        <w:rPr>
          <w:b/>
          <w:bCs/>
          <w:color w:val="00457D"/>
          <w:u w:color="00457D"/>
        </w:rPr>
      </w:pPr>
    </w:p>
    <w:p w14:paraId="33EF89D0" w14:textId="75425DF0" w:rsidR="002D2826" w:rsidRDefault="002D2826" w:rsidP="002D2826">
      <w:pPr>
        <w:spacing w:after="0"/>
        <w:jc w:val="center"/>
        <w:rPr>
          <w:color w:val="00457D"/>
          <w:u w:color="00457D"/>
        </w:rPr>
      </w:pPr>
      <w:r>
        <w:rPr>
          <w:b/>
          <w:bCs/>
          <w:color w:val="00457D"/>
          <w:u w:color="00457D"/>
        </w:rPr>
        <w:t xml:space="preserve">Tabella </w:t>
      </w:r>
      <w:r w:rsidR="001B266D">
        <w:rPr>
          <w:b/>
          <w:bCs/>
          <w:color w:val="00457D"/>
          <w:u w:color="00457D"/>
        </w:rPr>
        <w:t>4</w:t>
      </w:r>
      <w:r>
        <w:rPr>
          <w:b/>
          <w:bCs/>
          <w:color w:val="00457D"/>
          <w:u w:color="00457D"/>
        </w:rPr>
        <w:t xml:space="preserve">. Case della Comunità: </w:t>
      </w:r>
      <w:r w:rsidRPr="00AB649B">
        <w:rPr>
          <w:b/>
          <w:bCs/>
          <w:color w:val="00457D"/>
          <w:u w:color="00457D"/>
        </w:rPr>
        <w:t>variazione 31 dicembre 2025 vs 30 giugno 2025</w:t>
      </w:r>
      <w:r>
        <w:rPr>
          <w:b/>
          <w:bCs/>
          <w:color w:val="00457D"/>
          <w:u w:color="00457D"/>
        </w:rPr>
        <w:br/>
      </w:r>
      <w:r w:rsidRPr="006D718C">
        <w:rPr>
          <w:color w:val="00457D"/>
          <w:u w:color="00457D"/>
        </w:rPr>
        <w:t>(dati Agenas al 31 dicembre 2025)</w:t>
      </w:r>
    </w:p>
    <w:p w14:paraId="0786CD67" w14:textId="77777777" w:rsidR="002D2826" w:rsidRPr="00871758" w:rsidRDefault="002D2826" w:rsidP="002D2826">
      <w:pPr>
        <w:spacing w:after="0"/>
        <w:jc w:val="center"/>
        <w:rPr>
          <w:color w:val="00457D"/>
          <w:u w:color="00457D"/>
        </w:rPr>
      </w:pPr>
    </w:p>
    <w:tbl>
      <w:tblPr>
        <w:tblW w:w="7792" w:type="dxa"/>
        <w:jc w:val="center"/>
        <w:tblBorders>
          <w:top w:val="single" w:sz="4" w:space="0" w:color="00457D"/>
          <w:left w:val="single" w:sz="4" w:space="0" w:color="00457D"/>
          <w:bottom w:val="single" w:sz="4" w:space="0" w:color="00457D"/>
          <w:right w:val="single" w:sz="4" w:space="0" w:color="00457D"/>
          <w:insideH w:val="single" w:sz="4" w:space="0" w:color="00457D"/>
          <w:insideV w:val="single" w:sz="4" w:space="0" w:color="0045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686"/>
        <w:gridCol w:w="1843"/>
        <w:gridCol w:w="1843"/>
      </w:tblGrid>
      <w:tr w:rsidR="002D2826" w:rsidRPr="00871758" w14:paraId="3250A48D" w14:textId="77777777" w:rsidTr="00EC7B0A">
        <w:trPr>
          <w:trHeight w:val="567"/>
          <w:jc w:val="center"/>
        </w:trPr>
        <w:tc>
          <w:tcPr>
            <w:tcW w:w="2420" w:type="dxa"/>
            <w:vMerge w:val="restart"/>
            <w:tcBorders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59829DEA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Regione</w:t>
            </w:r>
          </w:p>
        </w:tc>
        <w:tc>
          <w:tcPr>
            <w:tcW w:w="1686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02F10E60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Con almeno un servizio dichiarato attivo</w:t>
            </w:r>
          </w:p>
        </w:tc>
        <w:tc>
          <w:tcPr>
            <w:tcW w:w="3686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457D"/>
            <w:vAlign w:val="center"/>
          </w:tcPr>
          <w:p w14:paraId="74C12FB8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 xml:space="preserve">Con tutti i servizi obbligatori </w:t>
            </w: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br/>
            </w:r>
            <w:r w:rsidRPr="0087175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dichiarati attivi</w:t>
            </w:r>
          </w:p>
        </w:tc>
      </w:tr>
      <w:tr w:rsidR="002D2826" w:rsidRPr="00871758" w14:paraId="5F038A44" w14:textId="77777777" w:rsidTr="00EC7B0A">
        <w:trPr>
          <w:trHeight w:val="850"/>
          <w:jc w:val="center"/>
        </w:trPr>
        <w:tc>
          <w:tcPr>
            <w:tcW w:w="2420" w:type="dxa"/>
            <w:vMerge/>
            <w:tcBorders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5AC5859F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686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66A3FAC7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vAlign w:val="center"/>
          </w:tcPr>
          <w:p w14:paraId="3BD89237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Senza presenza medica e infermieristica</w:t>
            </w: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457D"/>
            <w:vAlign w:val="center"/>
          </w:tcPr>
          <w:p w14:paraId="7E6E0D5C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Con presenza medica e infermieristica</w:t>
            </w:r>
          </w:p>
        </w:tc>
      </w:tr>
      <w:tr w:rsidR="002D2826" w:rsidRPr="00871758" w14:paraId="2FA8E2F5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25DC38AF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Abruzzo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0C774D38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57DA274C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67227329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</w:t>
            </w:r>
          </w:p>
        </w:tc>
      </w:tr>
      <w:tr w:rsidR="002D2826" w:rsidRPr="00871758" w14:paraId="49A96B9B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7D179C87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Basilicata</w:t>
            </w:r>
          </w:p>
        </w:tc>
        <w:tc>
          <w:tcPr>
            <w:tcW w:w="1686" w:type="dxa"/>
            <w:shd w:val="clear" w:color="auto" w:fill="D9D9D9" w:themeFill="background1" w:themeFillShade="D9"/>
            <w:noWrap/>
            <w:vAlign w:val="center"/>
            <w:hideMark/>
          </w:tcPr>
          <w:p w14:paraId="0DDCEAD8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6F2A276C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3F375AF6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7C43A413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0391E3CB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Calabria</w:t>
            </w:r>
          </w:p>
        </w:tc>
        <w:tc>
          <w:tcPr>
            <w:tcW w:w="1686" w:type="dxa"/>
            <w:shd w:val="clear" w:color="auto" w:fill="D9D9D9" w:themeFill="background1" w:themeFillShade="D9"/>
            <w:noWrap/>
            <w:vAlign w:val="center"/>
            <w:hideMark/>
          </w:tcPr>
          <w:p w14:paraId="0EDC84FE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3CE6B820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7A3271C6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336DDFB7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49FA6383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Campania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25C8871C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39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18F413F1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66ADC510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9C57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300D4BCE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192C2E59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Emilia-Romagna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4EFACF05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06E4BF9F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1097F136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7</w:t>
            </w:r>
          </w:p>
        </w:tc>
      </w:tr>
      <w:tr w:rsidR="002D2826" w:rsidRPr="00871758" w14:paraId="3D354691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0921F79B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Friuli Venezia Giulia</w:t>
            </w:r>
          </w:p>
        </w:tc>
        <w:tc>
          <w:tcPr>
            <w:tcW w:w="1686" w:type="dxa"/>
            <w:shd w:val="clear" w:color="auto" w:fill="D9D9D9" w:themeFill="background1" w:themeFillShade="D9"/>
            <w:noWrap/>
            <w:vAlign w:val="center"/>
            <w:hideMark/>
          </w:tcPr>
          <w:p w14:paraId="772499A5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522752D0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49A0E9C7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16162FAD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3FE10942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Lazio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372D07FD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559834AC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4B299A6D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</w:t>
            </w:r>
          </w:p>
        </w:tc>
      </w:tr>
      <w:tr w:rsidR="002D2826" w:rsidRPr="00871758" w14:paraId="64B61BAD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6C2FBEC9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Liguria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7EB71509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50AEE963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613C6330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2</w:t>
            </w:r>
          </w:p>
        </w:tc>
      </w:tr>
      <w:tr w:rsidR="002D2826" w:rsidRPr="00871758" w14:paraId="3634CE05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3950A3A0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Lombardia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65A1FA8E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1215F3BA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6F33EDC0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10</w:t>
            </w:r>
          </w:p>
        </w:tc>
      </w:tr>
      <w:tr w:rsidR="002D2826" w:rsidRPr="00871758" w14:paraId="7A3B538E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22D0659E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Marche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2FD72309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6B67D26E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0900AEB7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34C0B84C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51016DD0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Molise</w:t>
            </w:r>
          </w:p>
        </w:tc>
        <w:tc>
          <w:tcPr>
            <w:tcW w:w="1686" w:type="dxa"/>
            <w:shd w:val="clear" w:color="auto" w:fill="D9D9D9" w:themeFill="background1" w:themeFillShade="D9"/>
            <w:noWrap/>
            <w:vAlign w:val="center"/>
            <w:hideMark/>
          </w:tcPr>
          <w:p w14:paraId="3EDEAEE3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7FE80AA2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03ECF6B2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C9495D" w:rsidRPr="00871758" w14:paraId="06EEF727" w14:textId="77777777" w:rsidTr="001A14B5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44C125FD" w14:textId="77777777" w:rsidR="00C9495D" w:rsidRPr="00662B9C" w:rsidRDefault="00C9495D" w:rsidP="001A14B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eastAsia="Times New Roman" w:cstheme="minorHAnsi"/>
                <w:sz w:val="20"/>
                <w:szCs w:val="20"/>
                <w:lang w:eastAsia="it-IT"/>
              </w:rPr>
              <w:t>Piemonte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40DB246A" w14:textId="77777777" w:rsidR="00C9495D" w:rsidRPr="00871758" w:rsidRDefault="00C9495D" w:rsidP="001A14B5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3210D79E" w14:textId="77777777" w:rsidR="00C9495D" w:rsidRPr="00871758" w:rsidRDefault="00C9495D" w:rsidP="001A14B5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4B2C8B75" w14:textId="77777777" w:rsidR="00C9495D" w:rsidRPr="00871758" w:rsidRDefault="00C9495D" w:rsidP="001A14B5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4</w:t>
            </w:r>
          </w:p>
        </w:tc>
      </w:tr>
      <w:tr w:rsidR="002D2826" w:rsidRPr="00871758" w14:paraId="10BE09A2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606B06D6" w14:textId="77777777" w:rsidR="002D2826" w:rsidRPr="00662B9C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eastAsia="Times New Roman" w:cstheme="minorHAnsi"/>
                <w:sz w:val="20"/>
                <w:szCs w:val="20"/>
                <w:lang w:eastAsia="it-IT"/>
              </w:rPr>
              <w:t>Prov. Aut. di Bolzano</w:t>
            </w:r>
          </w:p>
        </w:tc>
        <w:tc>
          <w:tcPr>
            <w:tcW w:w="1686" w:type="dxa"/>
            <w:shd w:val="clear" w:color="auto" w:fill="D9D9D9" w:themeFill="background1" w:themeFillShade="D9"/>
            <w:noWrap/>
            <w:vAlign w:val="center"/>
            <w:hideMark/>
          </w:tcPr>
          <w:p w14:paraId="04F227AC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58E8A27C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6FAE674E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23E85520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65844DB6" w14:textId="77777777" w:rsidR="002D2826" w:rsidRPr="00662B9C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662B9C">
              <w:rPr>
                <w:rFonts w:eastAsia="Times New Roman" w:cstheme="minorHAnsi"/>
                <w:sz w:val="20"/>
                <w:szCs w:val="20"/>
                <w:lang w:eastAsia="it-IT"/>
              </w:rPr>
              <w:t>Prov. Aut. di Trento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1FA6325C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45E6B4D6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3EB43F2C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6E87C28D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1460C179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Puglia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5EEAF368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43" w:type="dxa"/>
            <w:shd w:val="clear" w:color="000000" w:fill="FFC7CE"/>
            <w:noWrap/>
            <w:vAlign w:val="center"/>
            <w:hideMark/>
          </w:tcPr>
          <w:p w14:paraId="7688BC50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9C0006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9C0006"/>
                <w:sz w:val="20"/>
                <w:szCs w:val="20"/>
                <w:lang w:eastAsia="it-IT"/>
              </w:rPr>
              <w:t>-1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76AD399A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6D633D10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693F93EE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Sardegna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471B0347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72599142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9C57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71268257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43B961A2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132A7997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Sicilia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5F87432F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43" w:type="dxa"/>
            <w:shd w:val="clear" w:color="000000" w:fill="FFC7CE"/>
            <w:noWrap/>
            <w:vAlign w:val="center"/>
            <w:hideMark/>
          </w:tcPr>
          <w:p w14:paraId="63295E27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9C0006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9C0006"/>
                <w:sz w:val="20"/>
                <w:szCs w:val="20"/>
                <w:lang w:eastAsia="it-IT"/>
              </w:rPr>
              <w:t>-1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450DF694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23CAFF76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39E363D6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Toscana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6379D65E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5421B4E1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43" w:type="dxa"/>
            <w:shd w:val="clear" w:color="000000" w:fill="FFC7CE"/>
            <w:noWrap/>
            <w:vAlign w:val="center"/>
            <w:hideMark/>
          </w:tcPr>
          <w:p w14:paraId="2C2508B0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9C0006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9C0006"/>
                <w:sz w:val="20"/>
                <w:szCs w:val="20"/>
                <w:lang w:eastAsia="it-IT"/>
              </w:rPr>
              <w:t>-5</w:t>
            </w:r>
          </w:p>
        </w:tc>
      </w:tr>
      <w:tr w:rsidR="002D2826" w:rsidRPr="00871758" w14:paraId="2286AB17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3DB71C32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Umbria</w:t>
            </w:r>
          </w:p>
        </w:tc>
        <w:tc>
          <w:tcPr>
            <w:tcW w:w="1686" w:type="dxa"/>
            <w:shd w:val="clear" w:color="000000" w:fill="C6EFCE"/>
            <w:noWrap/>
            <w:vAlign w:val="center"/>
            <w:hideMark/>
          </w:tcPr>
          <w:p w14:paraId="34C18B32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43" w:type="dxa"/>
            <w:shd w:val="clear" w:color="000000" w:fill="C6EFCE"/>
            <w:noWrap/>
            <w:vAlign w:val="center"/>
            <w:hideMark/>
          </w:tcPr>
          <w:p w14:paraId="0005DFA0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7C60A429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5A2E2826" w14:textId="77777777" w:rsidTr="00EC7B0A">
        <w:trPr>
          <w:trHeight w:val="340"/>
          <w:jc w:val="center"/>
        </w:trPr>
        <w:tc>
          <w:tcPr>
            <w:tcW w:w="2420" w:type="dxa"/>
            <w:vAlign w:val="center"/>
            <w:hideMark/>
          </w:tcPr>
          <w:p w14:paraId="235E4BE0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Valle d'Aosta</w:t>
            </w:r>
          </w:p>
        </w:tc>
        <w:tc>
          <w:tcPr>
            <w:tcW w:w="1686" w:type="dxa"/>
            <w:shd w:val="clear" w:color="auto" w:fill="D9D9D9" w:themeFill="background1" w:themeFillShade="D9"/>
            <w:noWrap/>
            <w:vAlign w:val="center"/>
            <w:hideMark/>
          </w:tcPr>
          <w:p w14:paraId="7391A4E4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356FBAD6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1A5F6EE6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13B81D79" w14:textId="77777777" w:rsidTr="00EC7B0A">
        <w:trPr>
          <w:trHeight w:val="340"/>
          <w:jc w:val="center"/>
        </w:trPr>
        <w:tc>
          <w:tcPr>
            <w:tcW w:w="2420" w:type="dxa"/>
            <w:tcBorders>
              <w:bottom w:val="single" w:sz="4" w:space="0" w:color="00457D"/>
            </w:tcBorders>
            <w:vAlign w:val="center"/>
            <w:hideMark/>
          </w:tcPr>
          <w:p w14:paraId="37C7154B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sz w:val="20"/>
                <w:szCs w:val="20"/>
                <w:lang w:eastAsia="it-IT"/>
              </w:rPr>
              <w:t>Veneto</w:t>
            </w:r>
          </w:p>
        </w:tc>
        <w:tc>
          <w:tcPr>
            <w:tcW w:w="1686" w:type="dxa"/>
            <w:tcBorders>
              <w:bottom w:val="single" w:sz="4" w:space="0" w:color="00457D"/>
            </w:tcBorders>
            <w:shd w:val="clear" w:color="000000" w:fill="C6EFCE"/>
            <w:noWrap/>
            <w:vAlign w:val="center"/>
            <w:hideMark/>
          </w:tcPr>
          <w:p w14:paraId="6B88AFC4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457D"/>
            </w:tcBorders>
            <w:shd w:val="clear" w:color="000000" w:fill="C6EFCE"/>
            <w:noWrap/>
            <w:vAlign w:val="center"/>
            <w:hideMark/>
          </w:tcPr>
          <w:p w14:paraId="75CBE404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0061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457D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F76A5C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color w:val="7F7F7F" w:themeColor="text1" w:themeTint="80"/>
                <w:sz w:val="20"/>
                <w:szCs w:val="20"/>
                <w:lang w:eastAsia="it-IT"/>
              </w:rPr>
              <w:t>0</w:t>
            </w:r>
          </w:p>
        </w:tc>
      </w:tr>
      <w:tr w:rsidR="002D2826" w:rsidRPr="00871758" w14:paraId="473279C3" w14:textId="77777777" w:rsidTr="00EC7B0A">
        <w:trPr>
          <w:trHeight w:val="340"/>
          <w:jc w:val="center"/>
        </w:trPr>
        <w:tc>
          <w:tcPr>
            <w:tcW w:w="2420" w:type="dxa"/>
            <w:tcBorders>
              <w:right w:val="single" w:sz="4" w:space="0" w:color="FFFFFF" w:themeColor="background1"/>
            </w:tcBorders>
            <w:shd w:val="clear" w:color="auto" w:fill="00457D"/>
            <w:vAlign w:val="center"/>
            <w:hideMark/>
          </w:tcPr>
          <w:p w14:paraId="194F5A77" w14:textId="77777777" w:rsidR="002D2826" w:rsidRPr="00871758" w:rsidRDefault="002D2826" w:rsidP="00EC7B0A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ITALIA</w:t>
            </w:r>
          </w:p>
        </w:tc>
        <w:tc>
          <w:tcPr>
            <w:tcW w:w="16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44E40DA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121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191AB8D3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51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shd w:val="clear" w:color="auto" w:fill="00457D"/>
            <w:noWrap/>
            <w:vAlign w:val="center"/>
            <w:hideMark/>
          </w:tcPr>
          <w:p w14:paraId="31313106" w14:textId="77777777" w:rsidR="002D2826" w:rsidRPr="00871758" w:rsidRDefault="002D2826" w:rsidP="00EC7B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</w:pPr>
            <w:r w:rsidRPr="00871758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it-IT"/>
              </w:rPr>
              <w:t>20</w:t>
            </w:r>
          </w:p>
        </w:tc>
      </w:tr>
      <w:tr w:rsidR="002D2826" w:rsidRPr="00871758" w14:paraId="29ACA8E7" w14:textId="77777777" w:rsidTr="00662B9C">
        <w:trPr>
          <w:trHeight w:val="624"/>
          <w:jc w:val="center"/>
        </w:trPr>
        <w:tc>
          <w:tcPr>
            <w:tcW w:w="7792" w:type="dxa"/>
            <w:gridSpan w:val="4"/>
            <w:vAlign w:val="center"/>
            <w:hideMark/>
          </w:tcPr>
          <w:p w14:paraId="76760BB9" w14:textId="4F4EEB48" w:rsidR="002D2826" w:rsidRPr="00871758" w:rsidRDefault="00C9495D" w:rsidP="00EC7B0A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C9495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 numeri negativi </w:t>
            </w:r>
            <w:r w:rsidR="002D2826" w:rsidRPr="00C9495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sono riconducibili a rettific</w:t>
            </w:r>
            <w:r w:rsidRPr="00C9495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he </w:t>
            </w:r>
            <w:r w:rsidR="002D2826" w:rsidRPr="00C9495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da parte delle Regioni</w:t>
            </w:r>
            <w:r w:rsidRPr="00C9495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, a seguito della </w:t>
            </w:r>
            <w:r w:rsidR="002D2826" w:rsidRPr="00C9495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verifica degli standard attesi e/o a temporanee disattivazioni correlate all’avanzamento delle lavorazioni edili.</w:t>
            </w:r>
          </w:p>
        </w:tc>
      </w:tr>
    </w:tbl>
    <w:p w14:paraId="5D4378B5" w14:textId="058F303E" w:rsidR="00871758" w:rsidRDefault="00871758">
      <w:pPr>
        <w:rPr>
          <w:b/>
          <w:bCs/>
          <w:color w:val="00457D"/>
          <w:u w:color="00457D"/>
        </w:rPr>
      </w:pPr>
    </w:p>
    <w:p w14:paraId="03747AFB" w14:textId="77777777" w:rsidR="00EC032D" w:rsidRDefault="00EC032D">
      <w:pPr>
        <w:rPr>
          <w:b/>
          <w:bCs/>
          <w:color w:val="00457D"/>
          <w:u w:color="00457D"/>
        </w:rPr>
      </w:pPr>
      <w:r>
        <w:rPr>
          <w:b/>
          <w:bCs/>
          <w:color w:val="00457D"/>
          <w:u w:color="00457D"/>
        </w:rPr>
        <w:br w:type="page"/>
      </w:r>
    </w:p>
    <w:p w14:paraId="531CE560" w14:textId="77777777" w:rsidR="00AB649B" w:rsidRDefault="00AB649B" w:rsidP="00A114BF">
      <w:pPr>
        <w:spacing w:after="0"/>
        <w:jc w:val="center"/>
        <w:rPr>
          <w:b/>
          <w:bCs/>
          <w:color w:val="00457D"/>
          <w:u w:color="00457D"/>
        </w:rPr>
      </w:pPr>
    </w:p>
    <w:p w14:paraId="3124249D" w14:textId="1DDD2CBF" w:rsidR="000943C0" w:rsidRDefault="000943C0" w:rsidP="000943C0">
      <w:pPr>
        <w:spacing w:after="0"/>
        <w:jc w:val="center"/>
        <w:rPr>
          <w:bCs/>
          <w:color w:val="00457D"/>
          <w:u w:color="00457D"/>
        </w:rPr>
      </w:pPr>
      <w:bookmarkStart w:id="4" w:name="_Hlk225663357"/>
      <w:r>
        <w:rPr>
          <w:b/>
          <w:bCs/>
          <w:color w:val="00457D"/>
          <w:u w:color="00457D"/>
        </w:rPr>
        <w:t>Figura 5. Documenti disponibili nel FSE per Regione (max n. 20)</w:t>
      </w:r>
      <w:r>
        <w:rPr>
          <w:b/>
          <w:bCs/>
          <w:color w:val="00457D"/>
          <w:u w:color="00457D"/>
        </w:rPr>
        <w:br/>
      </w:r>
      <w:r w:rsidRPr="006D718C">
        <w:rPr>
          <w:bCs/>
          <w:color w:val="00457D"/>
          <w:u w:color="00457D"/>
        </w:rPr>
        <w:t xml:space="preserve">(dati Ministero della Salute e Dipartimento per la Trasformazione Digitale al </w:t>
      </w:r>
      <w:r w:rsidRPr="008912E4">
        <w:rPr>
          <w:bCs/>
          <w:color w:val="00457D"/>
          <w:u w:color="00457D"/>
        </w:rPr>
        <w:t>30 settembre 2025</w:t>
      </w:r>
      <w:r w:rsidRPr="006D718C">
        <w:rPr>
          <w:bCs/>
          <w:color w:val="00457D"/>
          <w:u w:color="00457D"/>
        </w:rPr>
        <w:t>)</w:t>
      </w:r>
    </w:p>
    <w:p w14:paraId="2A238EA5" w14:textId="77777777" w:rsidR="000943C0" w:rsidRDefault="000943C0" w:rsidP="000943C0">
      <w:pPr>
        <w:spacing w:after="0"/>
        <w:rPr>
          <w:b/>
          <w:bCs/>
          <w:color w:val="00457D"/>
          <w:u w:color="00457D"/>
        </w:rPr>
      </w:pPr>
    </w:p>
    <w:p w14:paraId="0533D484" w14:textId="2E93B843" w:rsidR="000943C0" w:rsidRPr="00C62779" w:rsidRDefault="000943C0" w:rsidP="00A114BF">
      <w:pPr>
        <w:spacing w:after="0"/>
        <w:jc w:val="center"/>
        <w:rPr>
          <w:b/>
          <w:bCs/>
          <w:color w:val="00457D"/>
          <w:u w:color="00457D"/>
        </w:rPr>
      </w:pPr>
      <w:r>
        <w:rPr>
          <w:b/>
          <w:bCs/>
          <w:noProof/>
          <w:color w:val="00457D"/>
          <w:u w:color="00457D"/>
          <w:lang w:eastAsia="it-IT"/>
        </w:rPr>
        <w:drawing>
          <wp:inline distT="0" distB="0" distL="0" distR="0" wp14:anchorId="7A7DEECE" wp14:editId="0B52778A">
            <wp:extent cx="5400000" cy="4600295"/>
            <wp:effectExtent l="0" t="0" r="0" b="0"/>
            <wp:docPr id="132659626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60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4"/>
    <w:p w14:paraId="61D64ABB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49F8B9CE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340B8DF3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637336FB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6D34613D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03100BFC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70BB9F38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463B8593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73C3F553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132ADF09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1BEA2672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05D560A3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39B2021B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256558EE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04FFF17A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407001B2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5BCEB766" w14:textId="77777777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5F93CC91" w14:textId="58627C39" w:rsidR="00A114BF" w:rsidRDefault="00A114BF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55446EAC" w14:textId="77777777" w:rsidR="008912E4" w:rsidRDefault="008912E4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22FCF0AA" w14:textId="77777777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69536DFE" w14:textId="2DD592BC" w:rsidR="0022021C" w:rsidRDefault="00894C0F" w:rsidP="00A26E03">
      <w:pPr>
        <w:spacing w:after="0"/>
        <w:jc w:val="center"/>
        <w:rPr>
          <w:bCs/>
          <w:color w:val="00457D"/>
          <w:u w:color="00457D"/>
        </w:rPr>
      </w:pPr>
      <w:r>
        <w:rPr>
          <w:b/>
          <w:bCs/>
          <w:color w:val="00457D"/>
          <w:u w:color="00457D"/>
        </w:rPr>
        <w:t xml:space="preserve">Figura </w:t>
      </w:r>
      <w:r w:rsidR="006B391E">
        <w:rPr>
          <w:b/>
          <w:bCs/>
          <w:color w:val="00457D"/>
          <w:u w:color="00457D"/>
        </w:rPr>
        <w:t>6</w:t>
      </w:r>
      <w:r>
        <w:rPr>
          <w:b/>
          <w:bCs/>
          <w:color w:val="00457D"/>
          <w:u w:color="00457D"/>
        </w:rPr>
        <w:t xml:space="preserve">. </w:t>
      </w:r>
      <w:r w:rsidR="00902050" w:rsidRPr="00902050">
        <w:rPr>
          <w:b/>
          <w:bCs/>
          <w:color w:val="00457D"/>
          <w:u w:color="00457D"/>
        </w:rPr>
        <w:t>Cittadini che hanno espresso il consenso alla consultazione dei propri documenti</w:t>
      </w:r>
      <w:r>
        <w:rPr>
          <w:b/>
          <w:bCs/>
          <w:color w:val="00457D"/>
          <w:u w:color="00457D"/>
        </w:rPr>
        <w:br/>
      </w:r>
      <w:r w:rsidRPr="006D718C">
        <w:rPr>
          <w:bCs/>
          <w:color w:val="00457D"/>
          <w:u w:color="00457D"/>
        </w:rPr>
        <w:t xml:space="preserve">(dati Ministero della Salute e Dipartimento per la Trasformazione Digitale </w:t>
      </w:r>
      <w:r w:rsidRPr="008912E4">
        <w:rPr>
          <w:bCs/>
          <w:color w:val="00457D"/>
          <w:u w:color="00457D"/>
        </w:rPr>
        <w:t xml:space="preserve">al </w:t>
      </w:r>
      <w:r w:rsidR="008912E4" w:rsidRPr="008912E4">
        <w:rPr>
          <w:bCs/>
          <w:color w:val="00457D"/>
          <w:u w:color="00457D"/>
        </w:rPr>
        <w:t>30</w:t>
      </w:r>
      <w:r w:rsidR="00A26E03">
        <w:rPr>
          <w:bCs/>
          <w:color w:val="00457D"/>
          <w:u w:color="00457D"/>
        </w:rPr>
        <w:t xml:space="preserve"> </w:t>
      </w:r>
      <w:r w:rsidR="008912E4" w:rsidRPr="008912E4">
        <w:rPr>
          <w:bCs/>
          <w:color w:val="00457D"/>
          <w:u w:color="00457D"/>
        </w:rPr>
        <w:t>settembre 2025</w:t>
      </w:r>
      <w:r w:rsidRPr="006D718C">
        <w:rPr>
          <w:bCs/>
          <w:color w:val="00457D"/>
          <w:u w:color="00457D"/>
        </w:rPr>
        <w:t>)</w:t>
      </w:r>
    </w:p>
    <w:p w14:paraId="756AFAB4" w14:textId="77777777" w:rsidR="00EC032D" w:rsidRPr="00A26E03" w:rsidRDefault="00EC032D" w:rsidP="00A26E03">
      <w:pPr>
        <w:spacing w:after="0"/>
        <w:jc w:val="center"/>
        <w:rPr>
          <w:bCs/>
          <w:color w:val="00457D"/>
          <w:u w:color="00457D"/>
        </w:rPr>
      </w:pPr>
    </w:p>
    <w:p w14:paraId="31900E1A" w14:textId="296F65CA" w:rsidR="0022021C" w:rsidRDefault="008912E4" w:rsidP="001A2D1A">
      <w:pPr>
        <w:spacing w:after="0"/>
        <w:jc w:val="center"/>
        <w:rPr>
          <w:b/>
          <w:bCs/>
          <w:color w:val="00457D"/>
          <w:u w:color="00457D"/>
        </w:rPr>
      </w:pPr>
      <w:r>
        <w:rPr>
          <w:b/>
          <w:bCs/>
          <w:noProof/>
          <w:color w:val="00457D"/>
          <w:u w:color="00457D"/>
          <w:lang w:eastAsia="it-IT"/>
        </w:rPr>
        <w:drawing>
          <wp:inline distT="0" distB="0" distL="0" distR="0" wp14:anchorId="7C36D3BC" wp14:editId="4889DD9E">
            <wp:extent cx="5400000" cy="495993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959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4C2D7C" w14:textId="6EF4D834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1FF74B8B" w14:textId="6D19D25C" w:rsidR="0022021C" w:rsidRDefault="0022021C" w:rsidP="00AD5401">
      <w:pPr>
        <w:spacing w:after="0"/>
        <w:rPr>
          <w:b/>
          <w:bCs/>
          <w:color w:val="00457D"/>
          <w:u w:color="00457D"/>
        </w:rPr>
      </w:pPr>
    </w:p>
    <w:p w14:paraId="12A7FC79" w14:textId="518D7AE8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3BB10507" w14:textId="111AA2DB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45E65FB5" w14:textId="31F28CC7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410F88F5" w14:textId="0C05F09B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5AEC165D" w14:textId="2E22E67F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0BF16185" w14:textId="4636D474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40813544" w14:textId="37E5445A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717BF195" w14:textId="3AEFC682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1B9F39ED" w14:textId="467E04A0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6B844B8F" w14:textId="4D539A32" w:rsidR="0022021C" w:rsidRDefault="0022021C" w:rsidP="001A2D1A">
      <w:pPr>
        <w:spacing w:after="0"/>
        <w:jc w:val="center"/>
        <w:rPr>
          <w:b/>
          <w:bCs/>
          <w:color w:val="00457D"/>
          <w:u w:color="00457D"/>
        </w:rPr>
      </w:pPr>
    </w:p>
    <w:p w14:paraId="45EF7DBD" w14:textId="46524A3D" w:rsidR="00AF0E11" w:rsidRDefault="00AF0E11" w:rsidP="00894C0F">
      <w:pPr>
        <w:spacing w:after="0"/>
        <w:rPr>
          <w:b/>
          <w:bCs/>
          <w:color w:val="00457D"/>
          <w:u w:color="00457D"/>
        </w:rPr>
      </w:pPr>
    </w:p>
    <w:p w14:paraId="73930381" w14:textId="5F856DFB" w:rsidR="00AF0E11" w:rsidRDefault="00AF0E11" w:rsidP="001A2D1A">
      <w:pPr>
        <w:spacing w:after="0"/>
        <w:jc w:val="center"/>
        <w:rPr>
          <w:b/>
          <w:bCs/>
          <w:color w:val="00457D"/>
          <w:u w:color="00457D"/>
        </w:rPr>
      </w:pPr>
    </w:p>
    <w:sectPr w:rsidR="00AF0E11" w:rsidSect="00E13656">
      <w:head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1CD05" w14:textId="77777777" w:rsidR="004A3FD7" w:rsidRDefault="004A3FD7" w:rsidP="00ED0CFD">
      <w:pPr>
        <w:spacing w:after="0" w:line="240" w:lineRule="auto"/>
      </w:pPr>
      <w:r>
        <w:separator/>
      </w:r>
    </w:p>
  </w:endnote>
  <w:endnote w:type="continuationSeparator" w:id="0">
    <w:p w14:paraId="79D06AC1" w14:textId="77777777" w:rsidR="004A3FD7" w:rsidRDefault="004A3FD7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36CFD" w14:textId="77777777" w:rsidR="004A3FD7" w:rsidRDefault="004A3FD7" w:rsidP="00ED0CFD">
      <w:pPr>
        <w:spacing w:after="0" w:line="240" w:lineRule="auto"/>
      </w:pPr>
      <w:r>
        <w:separator/>
      </w:r>
    </w:p>
  </w:footnote>
  <w:footnote w:type="continuationSeparator" w:id="0">
    <w:p w14:paraId="65B3C44E" w14:textId="77777777" w:rsidR="004A3FD7" w:rsidRDefault="004A3FD7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2CFED" w14:textId="77777777" w:rsidR="001A14B5" w:rsidRPr="00AD5401" w:rsidRDefault="001A14B5" w:rsidP="001E063C">
    <w:pPr>
      <w:pStyle w:val="Intestazione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694"/>
    <w:multiLevelType w:val="hybridMultilevel"/>
    <w:tmpl w:val="78F034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A6F10"/>
    <w:multiLevelType w:val="hybridMultilevel"/>
    <w:tmpl w:val="1180DD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96166"/>
    <w:multiLevelType w:val="hybridMultilevel"/>
    <w:tmpl w:val="86E232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A3F0B"/>
    <w:multiLevelType w:val="multilevel"/>
    <w:tmpl w:val="A4642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457D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03867"/>
    <w:multiLevelType w:val="hybridMultilevel"/>
    <w:tmpl w:val="017AE8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D3B04"/>
    <w:multiLevelType w:val="hybridMultilevel"/>
    <w:tmpl w:val="9884A6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C64119"/>
    <w:multiLevelType w:val="hybridMultilevel"/>
    <w:tmpl w:val="64D6E2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EC557F"/>
    <w:multiLevelType w:val="hybridMultilevel"/>
    <w:tmpl w:val="426C76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31A9A"/>
    <w:multiLevelType w:val="hybridMultilevel"/>
    <w:tmpl w:val="7AC435C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1B37F2"/>
    <w:multiLevelType w:val="hybridMultilevel"/>
    <w:tmpl w:val="ED0C6784"/>
    <w:lvl w:ilvl="0" w:tplc="B0AA17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92829"/>
    <w:multiLevelType w:val="hybridMultilevel"/>
    <w:tmpl w:val="A9CA43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D84521"/>
    <w:multiLevelType w:val="hybridMultilevel"/>
    <w:tmpl w:val="ACC6C2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46490B"/>
    <w:multiLevelType w:val="hybridMultilevel"/>
    <w:tmpl w:val="889C551A"/>
    <w:lvl w:ilvl="0" w:tplc="307C4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E34CBC"/>
    <w:multiLevelType w:val="hybridMultilevel"/>
    <w:tmpl w:val="F7168F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C09CE"/>
    <w:multiLevelType w:val="hybridMultilevel"/>
    <w:tmpl w:val="989C4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D1426"/>
    <w:multiLevelType w:val="hybridMultilevel"/>
    <w:tmpl w:val="4CA0E6EA"/>
    <w:lvl w:ilvl="0" w:tplc="51663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9E43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1502A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99426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E40A3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F2646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DF46E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698ED2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78AA42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659F4"/>
    <w:multiLevelType w:val="hybridMultilevel"/>
    <w:tmpl w:val="3A8A0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4F6FED"/>
    <w:multiLevelType w:val="hybridMultilevel"/>
    <w:tmpl w:val="3CEEFA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303CF9"/>
    <w:multiLevelType w:val="hybridMultilevel"/>
    <w:tmpl w:val="76B8F694"/>
    <w:lvl w:ilvl="0" w:tplc="49F6B3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98684C"/>
    <w:multiLevelType w:val="hybridMultilevel"/>
    <w:tmpl w:val="E14CD5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D05463"/>
    <w:multiLevelType w:val="hybridMultilevel"/>
    <w:tmpl w:val="60E0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132C9"/>
    <w:multiLevelType w:val="hybridMultilevel"/>
    <w:tmpl w:val="31CE2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0600FA"/>
    <w:multiLevelType w:val="hybridMultilevel"/>
    <w:tmpl w:val="8DEC3E5A"/>
    <w:lvl w:ilvl="0" w:tplc="4EF8FB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A4102E"/>
    <w:multiLevelType w:val="hybridMultilevel"/>
    <w:tmpl w:val="BA2E0D1E"/>
    <w:lvl w:ilvl="0" w:tplc="96549F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57D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523CF"/>
    <w:multiLevelType w:val="hybridMultilevel"/>
    <w:tmpl w:val="F2787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5"/>
  </w:num>
  <w:num w:numId="3">
    <w:abstractNumId w:val="21"/>
  </w:num>
  <w:num w:numId="4">
    <w:abstractNumId w:val="36"/>
  </w:num>
  <w:num w:numId="5">
    <w:abstractNumId w:val="23"/>
  </w:num>
  <w:num w:numId="6">
    <w:abstractNumId w:val="19"/>
  </w:num>
  <w:num w:numId="7">
    <w:abstractNumId w:val="30"/>
  </w:num>
  <w:num w:numId="8">
    <w:abstractNumId w:val="28"/>
  </w:num>
  <w:num w:numId="9">
    <w:abstractNumId w:val="5"/>
  </w:num>
  <w:num w:numId="10">
    <w:abstractNumId w:val="6"/>
  </w:num>
  <w:num w:numId="11">
    <w:abstractNumId w:val="12"/>
  </w:num>
  <w:num w:numId="12">
    <w:abstractNumId w:val="13"/>
  </w:num>
  <w:num w:numId="13">
    <w:abstractNumId w:val="25"/>
  </w:num>
  <w:num w:numId="14">
    <w:abstractNumId w:val="9"/>
  </w:num>
  <w:num w:numId="15">
    <w:abstractNumId w:val="24"/>
  </w:num>
  <w:num w:numId="16">
    <w:abstractNumId w:val="38"/>
  </w:num>
  <w:num w:numId="17">
    <w:abstractNumId w:val="22"/>
  </w:num>
  <w:num w:numId="18">
    <w:abstractNumId w:val="17"/>
  </w:num>
  <w:num w:numId="19">
    <w:abstractNumId w:val="34"/>
  </w:num>
  <w:num w:numId="20">
    <w:abstractNumId w:val="29"/>
  </w:num>
  <w:num w:numId="21">
    <w:abstractNumId w:val="8"/>
  </w:num>
  <w:num w:numId="22">
    <w:abstractNumId w:val="26"/>
  </w:num>
  <w:num w:numId="23">
    <w:abstractNumId w:val="18"/>
  </w:num>
  <w:num w:numId="24">
    <w:abstractNumId w:val="11"/>
  </w:num>
  <w:num w:numId="25">
    <w:abstractNumId w:val="4"/>
  </w:num>
  <w:num w:numId="26">
    <w:abstractNumId w:val="14"/>
  </w:num>
  <w:num w:numId="27">
    <w:abstractNumId w:val="37"/>
  </w:num>
  <w:num w:numId="28">
    <w:abstractNumId w:val="27"/>
  </w:num>
  <w:num w:numId="29">
    <w:abstractNumId w:val="0"/>
  </w:num>
  <w:num w:numId="30">
    <w:abstractNumId w:val="10"/>
  </w:num>
  <w:num w:numId="31">
    <w:abstractNumId w:val="39"/>
  </w:num>
  <w:num w:numId="32">
    <w:abstractNumId w:val="16"/>
  </w:num>
  <w:num w:numId="33">
    <w:abstractNumId w:val="3"/>
  </w:num>
  <w:num w:numId="34">
    <w:abstractNumId w:val="33"/>
  </w:num>
  <w:num w:numId="35">
    <w:abstractNumId w:val="32"/>
  </w:num>
  <w:num w:numId="36">
    <w:abstractNumId w:val="15"/>
  </w:num>
  <w:num w:numId="37">
    <w:abstractNumId w:val="31"/>
  </w:num>
  <w:num w:numId="38">
    <w:abstractNumId w:val="1"/>
  </w:num>
  <w:num w:numId="39">
    <w:abstractNumId w:val="20"/>
  </w:num>
  <w:num w:numId="40">
    <w:abstractNumId w:val="2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1"/>
    <w:rsid w:val="000007FC"/>
    <w:rsid w:val="0000149C"/>
    <w:rsid w:val="000017A8"/>
    <w:rsid w:val="00001AEF"/>
    <w:rsid w:val="00002AAC"/>
    <w:rsid w:val="00002C1B"/>
    <w:rsid w:val="00003744"/>
    <w:rsid w:val="00003F78"/>
    <w:rsid w:val="00004B0A"/>
    <w:rsid w:val="000054AA"/>
    <w:rsid w:val="00005B25"/>
    <w:rsid w:val="000064FE"/>
    <w:rsid w:val="00006555"/>
    <w:rsid w:val="0000695A"/>
    <w:rsid w:val="000073CA"/>
    <w:rsid w:val="000075AE"/>
    <w:rsid w:val="0001035C"/>
    <w:rsid w:val="00010498"/>
    <w:rsid w:val="000104C4"/>
    <w:rsid w:val="0001114E"/>
    <w:rsid w:val="00011D92"/>
    <w:rsid w:val="00011DB9"/>
    <w:rsid w:val="000123C4"/>
    <w:rsid w:val="000131FB"/>
    <w:rsid w:val="0001384A"/>
    <w:rsid w:val="000138E2"/>
    <w:rsid w:val="00013DFA"/>
    <w:rsid w:val="0001439D"/>
    <w:rsid w:val="00015D8E"/>
    <w:rsid w:val="00016F94"/>
    <w:rsid w:val="000170A8"/>
    <w:rsid w:val="00017968"/>
    <w:rsid w:val="00017FB4"/>
    <w:rsid w:val="0002141B"/>
    <w:rsid w:val="00021D7F"/>
    <w:rsid w:val="00023A72"/>
    <w:rsid w:val="00023D8A"/>
    <w:rsid w:val="00024126"/>
    <w:rsid w:val="000252D2"/>
    <w:rsid w:val="00025B9B"/>
    <w:rsid w:val="00026DA8"/>
    <w:rsid w:val="00027762"/>
    <w:rsid w:val="00032FB7"/>
    <w:rsid w:val="00033D6A"/>
    <w:rsid w:val="00034188"/>
    <w:rsid w:val="000346D7"/>
    <w:rsid w:val="00035404"/>
    <w:rsid w:val="00035C47"/>
    <w:rsid w:val="00036089"/>
    <w:rsid w:val="0003724E"/>
    <w:rsid w:val="0004091F"/>
    <w:rsid w:val="00042A09"/>
    <w:rsid w:val="00042B09"/>
    <w:rsid w:val="000435A8"/>
    <w:rsid w:val="0004410A"/>
    <w:rsid w:val="00044197"/>
    <w:rsid w:val="00051F7A"/>
    <w:rsid w:val="0005402C"/>
    <w:rsid w:val="00054250"/>
    <w:rsid w:val="00055180"/>
    <w:rsid w:val="00055471"/>
    <w:rsid w:val="00055AE9"/>
    <w:rsid w:val="00055D27"/>
    <w:rsid w:val="000602AA"/>
    <w:rsid w:val="00061033"/>
    <w:rsid w:val="000615B8"/>
    <w:rsid w:val="0006218B"/>
    <w:rsid w:val="0006440E"/>
    <w:rsid w:val="000657A8"/>
    <w:rsid w:val="000662E3"/>
    <w:rsid w:val="000666C6"/>
    <w:rsid w:val="00067ACA"/>
    <w:rsid w:val="00067B8F"/>
    <w:rsid w:val="000707B3"/>
    <w:rsid w:val="00070C28"/>
    <w:rsid w:val="00070D04"/>
    <w:rsid w:val="000715A9"/>
    <w:rsid w:val="00071F0A"/>
    <w:rsid w:val="000720DE"/>
    <w:rsid w:val="00073870"/>
    <w:rsid w:val="00074788"/>
    <w:rsid w:val="000751C3"/>
    <w:rsid w:val="0007546B"/>
    <w:rsid w:val="00075BA4"/>
    <w:rsid w:val="00075FE6"/>
    <w:rsid w:val="000767AE"/>
    <w:rsid w:val="00076A48"/>
    <w:rsid w:val="00076C59"/>
    <w:rsid w:val="000771A4"/>
    <w:rsid w:val="000815B7"/>
    <w:rsid w:val="00081788"/>
    <w:rsid w:val="000835E0"/>
    <w:rsid w:val="00085590"/>
    <w:rsid w:val="000863FA"/>
    <w:rsid w:val="000875D1"/>
    <w:rsid w:val="00090499"/>
    <w:rsid w:val="00090A39"/>
    <w:rsid w:val="00090B7E"/>
    <w:rsid w:val="00090CF8"/>
    <w:rsid w:val="000910E1"/>
    <w:rsid w:val="000927C7"/>
    <w:rsid w:val="000935F1"/>
    <w:rsid w:val="00093756"/>
    <w:rsid w:val="000941D8"/>
    <w:rsid w:val="000943C0"/>
    <w:rsid w:val="00095589"/>
    <w:rsid w:val="000A0FC3"/>
    <w:rsid w:val="000A1367"/>
    <w:rsid w:val="000A145D"/>
    <w:rsid w:val="000A15DB"/>
    <w:rsid w:val="000A2084"/>
    <w:rsid w:val="000A226B"/>
    <w:rsid w:val="000A47FF"/>
    <w:rsid w:val="000A5363"/>
    <w:rsid w:val="000A55FA"/>
    <w:rsid w:val="000A5608"/>
    <w:rsid w:val="000A58EB"/>
    <w:rsid w:val="000A62A9"/>
    <w:rsid w:val="000A74DB"/>
    <w:rsid w:val="000A78E3"/>
    <w:rsid w:val="000A7B66"/>
    <w:rsid w:val="000A7EA1"/>
    <w:rsid w:val="000B02A9"/>
    <w:rsid w:val="000B07B0"/>
    <w:rsid w:val="000B10CE"/>
    <w:rsid w:val="000B15C0"/>
    <w:rsid w:val="000B185F"/>
    <w:rsid w:val="000B1C52"/>
    <w:rsid w:val="000B2168"/>
    <w:rsid w:val="000B2EBC"/>
    <w:rsid w:val="000B5026"/>
    <w:rsid w:val="000B50CD"/>
    <w:rsid w:val="000B7985"/>
    <w:rsid w:val="000C098C"/>
    <w:rsid w:val="000C0B04"/>
    <w:rsid w:val="000C344B"/>
    <w:rsid w:val="000C544C"/>
    <w:rsid w:val="000C5D19"/>
    <w:rsid w:val="000C6130"/>
    <w:rsid w:val="000C6F74"/>
    <w:rsid w:val="000D027D"/>
    <w:rsid w:val="000D02E4"/>
    <w:rsid w:val="000D1377"/>
    <w:rsid w:val="000D1780"/>
    <w:rsid w:val="000D17FB"/>
    <w:rsid w:val="000D25AC"/>
    <w:rsid w:val="000D28D8"/>
    <w:rsid w:val="000D3C58"/>
    <w:rsid w:val="000D44D4"/>
    <w:rsid w:val="000D5771"/>
    <w:rsid w:val="000D5893"/>
    <w:rsid w:val="000D7252"/>
    <w:rsid w:val="000D7A72"/>
    <w:rsid w:val="000E1176"/>
    <w:rsid w:val="000E27C9"/>
    <w:rsid w:val="000E2E4F"/>
    <w:rsid w:val="000E3DF6"/>
    <w:rsid w:val="000E3E10"/>
    <w:rsid w:val="000E45D2"/>
    <w:rsid w:val="000E45E5"/>
    <w:rsid w:val="000E4A4B"/>
    <w:rsid w:val="000E5ABF"/>
    <w:rsid w:val="000E64D7"/>
    <w:rsid w:val="000E6B01"/>
    <w:rsid w:val="000E7CC2"/>
    <w:rsid w:val="000F0BBD"/>
    <w:rsid w:val="000F10F8"/>
    <w:rsid w:val="000F1B54"/>
    <w:rsid w:val="000F1DE1"/>
    <w:rsid w:val="000F2AE1"/>
    <w:rsid w:val="000F313A"/>
    <w:rsid w:val="000F39EF"/>
    <w:rsid w:val="000F5C0F"/>
    <w:rsid w:val="000F607E"/>
    <w:rsid w:val="000F662C"/>
    <w:rsid w:val="000F756B"/>
    <w:rsid w:val="0010059E"/>
    <w:rsid w:val="00100BD1"/>
    <w:rsid w:val="001020FC"/>
    <w:rsid w:val="00102701"/>
    <w:rsid w:val="001035E4"/>
    <w:rsid w:val="001043DB"/>
    <w:rsid w:val="00104A66"/>
    <w:rsid w:val="001056AE"/>
    <w:rsid w:val="0010685E"/>
    <w:rsid w:val="00107096"/>
    <w:rsid w:val="00107293"/>
    <w:rsid w:val="00107984"/>
    <w:rsid w:val="001106B1"/>
    <w:rsid w:val="0011205F"/>
    <w:rsid w:val="00112B52"/>
    <w:rsid w:val="00113646"/>
    <w:rsid w:val="001139A6"/>
    <w:rsid w:val="00113D4A"/>
    <w:rsid w:val="00113F3C"/>
    <w:rsid w:val="00114F21"/>
    <w:rsid w:val="0011544D"/>
    <w:rsid w:val="001167D9"/>
    <w:rsid w:val="0011796A"/>
    <w:rsid w:val="00117F68"/>
    <w:rsid w:val="00120E4A"/>
    <w:rsid w:val="00121DE9"/>
    <w:rsid w:val="00122425"/>
    <w:rsid w:val="00122BEB"/>
    <w:rsid w:val="00125838"/>
    <w:rsid w:val="0012584B"/>
    <w:rsid w:val="00125C6A"/>
    <w:rsid w:val="00126025"/>
    <w:rsid w:val="001262A5"/>
    <w:rsid w:val="00126E63"/>
    <w:rsid w:val="00127A78"/>
    <w:rsid w:val="00130CEF"/>
    <w:rsid w:val="001317CF"/>
    <w:rsid w:val="00132082"/>
    <w:rsid w:val="0013346D"/>
    <w:rsid w:val="001346BE"/>
    <w:rsid w:val="00134C8C"/>
    <w:rsid w:val="001352A1"/>
    <w:rsid w:val="00135A2A"/>
    <w:rsid w:val="00136F1C"/>
    <w:rsid w:val="001371BB"/>
    <w:rsid w:val="001374E5"/>
    <w:rsid w:val="00140E6B"/>
    <w:rsid w:val="00141180"/>
    <w:rsid w:val="001412DC"/>
    <w:rsid w:val="00141DDB"/>
    <w:rsid w:val="0014311F"/>
    <w:rsid w:val="0014334C"/>
    <w:rsid w:val="00143689"/>
    <w:rsid w:val="00143B8D"/>
    <w:rsid w:val="00144F94"/>
    <w:rsid w:val="001450B8"/>
    <w:rsid w:val="001453D6"/>
    <w:rsid w:val="001458FE"/>
    <w:rsid w:val="001471AF"/>
    <w:rsid w:val="001476E9"/>
    <w:rsid w:val="001504F4"/>
    <w:rsid w:val="00150EF3"/>
    <w:rsid w:val="00151D12"/>
    <w:rsid w:val="0015229D"/>
    <w:rsid w:val="00154DE0"/>
    <w:rsid w:val="001560D3"/>
    <w:rsid w:val="00156B6C"/>
    <w:rsid w:val="00157B0F"/>
    <w:rsid w:val="00157C9C"/>
    <w:rsid w:val="0016000A"/>
    <w:rsid w:val="00160151"/>
    <w:rsid w:val="00160DEB"/>
    <w:rsid w:val="00161B06"/>
    <w:rsid w:val="00162FBC"/>
    <w:rsid w:val="0016375C"/>
    <w:rsid w:val="00163D48"/>
    <w:rsid w:val="00163DB0"/>
    <w:rsid w:val="001644BA"/>
    <w:rsid w:val="001654A5"/>
    <w:rsid w:val="0016576E"/>
    <w:rsid w:val="00166FDA"/>
    <w:rsid w:val="00170760"/>
    <w:rsid w:val="00170A89"/>
    <w:rsid w:val="00170B46"/>
    <w:rsid w:val="00170EAC"/>
    <w:rsid w:val="0017107F"/>
    <w:rsid w:val="00171767"/>
    <w:rsid w:val="00173764"/>
    <w:rsid w:val="0017405D"/>
    <w:rsid w:val="0017470D"/>
    <w:rsid w:val="001748BA"/>
    <w:rsid w:val="00175360"/>
    <w:rsid w:val="001764B0"/>
    <w:rsid w:val="0018031C"/>
    <w:rsid w:val="00181CE6"/>
    <w:rsid w:val="00181DF1"/>
    <w:rsid w:val="00185966"/>
    <w:rsid w:val="00185BF4"/>
    <w:rsid w:val="001905C9"/>
    <w:rsid w:val="00191727"/>
    <w:rsid w:val="001918DF"/>
    <w:rsid w:val="00192B35"/>
    <w:rsid w:val="00192DAD"/>
    <w:rsid w:val="00192F75"/>
    <w:rsid w:val="00193C55"/>
    <w:rsid w:val="00193F19"/>
    <w:rsid w:val="0019431D"/>
    <w:rsid w:val="00194C03"/>
    <w:rsid w:val="001A14B5"/>
    <w:rsid w:val="001A1CFC"/>
    <w:rsid w:val="001A1E5B"/>
    <w:rsid w:val="001A1EBA"/>
    <w:rsid w:val="001A2449"/>
    <w:rsid w:val="001A2D1A"/>
    <w:rsid w:val="001A2EBF"/>
    <w:rsid w:val="001A2F98"/>
    <w:rsid w:val="001A3E0D"/>
    <w:rsid w:val="001A3E96"/>
    <w:rsid w:val="001A6181"/>
    <w:rsid w:val="001A7017"/>
    <w:rsid w:val="001A73CD"/>
    <w:rsid w:val="001A76F9"/>
    <w:rsid w:val="001B1850"/>
    <w:rsid w:val="001B266D"/>
    <w:rsid w:val="001B46A1"/>
    <w:rsid w:val="001B59E3"/>
    <w:rsid w:val="001B715B"/>
    <w:rsid w:val="001C0B2D"/>
    <w:rsid w:val="001C0EFC"/>
    <w:rsid w:val="001C138F"/>
    <w:rsid w:val="001C3129"/>
    <w:rsid w:val="001C427A"/>
    <w:rsid w:val="001C44CB"/>
    <w:rsid w:val="001C51E2"/>
    <w:rsid w:val="001C5A38"/>
    <w:rsid w:val="001C5A39"/>
    <w:rsid w:val="001C5CF4"/>
    <w:rsid w:val="001C7324"/>
    <w:rsid w:val="001D0114"/>
    <w:rsid w:val="001D0698"/>
    <w:rsid w:val="001D0E41"/>
    <w:rsid w:val="001D153D"/>
    <w:rsid w:val="001D19F1"/>
    <w:rsid w:val="001D240E"/>
    <w:rsid w:val="001D2DF2"/>
    <w:rsid w:val="001D2E25"/>
    <w:rsid w:val="001D38B9"/>
    <w:rsid w:val="001D3F96"/>
    <w:rsid w:val="001D433E"/>
    <w:rsid w:val="001D4CE8"/>
    <w:rsid w:val="001D5972"/>
    <w:rsid w:val="001D7259"/>
    <w:rsid w:val="001E0630"/>
    <w:rsid w:val="001E063C"/>
    <w:rsid w:val="001E0D38"/>
    <w:rsid w:val="001E206E"/>
    <w:rsid w:val="001E42B9"/>
    <w:rsid w:val="001E53AB"/>
    <w:rsid w:val="001E5654"/>
    <w:rsid w:val="001E6902"/>
    <w:rsid w:val="001E7855"/>
    <w:rsid w:val="001F1C35"/>
    <w:rsid w:val="001F20B8"/>
    <w:rsid w:val="001F6403"/>
    <w:rsid w:val="001F7276"/>
    <w:rsid w:val="0020092D"/>
    <w:rsid w:val="002020DB"/>
    <w:rsid w:val="00202A01"/>
    <w:rsid w:val="0020319A"/>
    <w:rsid w:val="0020435A"/>
    <w:rsid w:val="00204462"/>
    <w:rsid w:val="00206047"/>
    <w:rsid w:val="0020636A"/>
    <w:rsid w:val="002073BD"/>
    <w:rsid w:val="002076DB"/>
    <w:rsid w:val="00207B90"/>
    <w:rsid w:val="00207BDE"/>
    <w:rsid w:val="00210158"/>
    <w:rsid w:val="00210584"/>
    <w:rsid w:val="0021155E"/>
    <w:rsid w:val="0021408F"/>
    <w:rsid w:val="0022021C"/>
    <w:rsid w:val="00220A26"/>
    <w:rsid w:val="00220D5F"/>
    <w:rsid w:val="0022389A"/>
    <w:rsid w:val="00223C03"/>
    <w:rsid w:val="00223F01"/>
    <w:rsid w:val="00223F25"/>
    <w:rsid w:val="00224E88"/>
    <w:rsid w:val="0022532C"/>
    <w:rsid w:val="00226140"/>
    <w:rsid w:val="002261B3"/>
    <w:rsid w:val="0023017D"/>
    <w:rsid w:val="00231000"/>
    <w:rsid w:val="00231196"/>
    <w:rsid w:val="00231540"/>
    <w:rsid w:val="002319C0"/>
    <w:rsid w:val="00231ECC"/>
    <w:rsid w:val="00231F4A"/>
    <w:rsid w:val="00233A2C"/>
    <w:rsid w:val="00233EF5"/>
    <w:rsid w:val="002349C3"/>
    <w:rsid w:val="00234FBF"/>
    <w:rsid w:val="002357E8"/>
    <w:rsid w:val="00235FC2"/>
    <w:rsid w:val="0023767D"/>
    <w:rsid w:val="0023771D"/>
    <w:rsid w:val="0024135E"/>
    <w:rsid w:val="00241828"/>
    <w:rsid w:val="00241E9C"/>
    <w:rsid w:val="00242077"/>
    <w:rsid w:val="00243836"/>
    <w:rsid w:val="00243B76"/>
    <w:rsid w:val="00243F05"/>
    <w:rsid w:val="00244AF6"/>
    <w:rsid w:val="0024623B"/>
    <w:rsid w:val="00247D33"/>
    <w:rsid w:val="0025100A"/>
    <w:rsid w:val="00251386"/>
    <w:rsid w:val="00251A17"/>
    <w:rsid w:val="00251AC2"/>
    <w:rsid w:val="00251D02"/>
    <w:rsid w:val="00252B1C"/>
    <w:rsid w:val="00252E47"/>
    <w:rsid w:val="002534BD"/>
    <w:rsid w:val="002544AA"/>
    <w:rsid w:val="002551A1"/>
    <w:rsid w:val="00255DB8"/>
    <w:rsid w:val="002576D2"/>
    <w:rsid w:val="00260A01"/>
    <w:rsid w:val="00261479"/>
    <w:rsid w:val="00261EC6"/>
    <w:rsid w:val="00262274"/>
    <w:rsid w:val="00264F8C"/>
    <w:rsid w:val="00265B05"/>
    <w:rsid w:val="00266561"/>
    <w:rsid w:val="00266E0C"/>
    <w:rsid w:val="00266E1A"/>
    <w:rsid w:val="0026703C"/>
    <w:rsid w:val="00270DED"/>
    <w:rsid w:val="00271ADD"/>
    <w:rsid w:val="00271F42"/>
    <w:rsid w:val="002723FC"/>
    <w:rsid w:val="00273946"/>
    <w:rsid w:val="0027468B"/>
    <w:rsid w:val="002759CD"/>
    <w:rsid w:val="00277B9D"/>
    <w:rsid w:val="00277F16"/>
    <w:rsid w:val="00280CBE"/>
    <w:rsid w:val="00280EA3"/>
    <w:rsid w:val="00281644"/>
    <w:rsid w:val="00281907"/>
    <w:rsid w:val="00282655"/>
    <w:rsid w:val="00282DAE"/>
    <w:rsid w:val="00282E85"/>
    <w:rsid w:val="00284792"/>
    <w:rsid w:val="00286283"/>
    <w:rsid w:val="00287105"/>
    <w:rsid w:val="00287452"/>
    <w:rsid w:val="00290CC2"/>
    <w:rsid w:val="00291602"/>
    <w:rsid w:val="00293854"/>
    <w:rsid w:val="0029392F"/>
    <w:rsid w:val="00293D0A"/>
    <w:rsid w:val="0029425C"/>
    <w:rsid w:val="00295866"/>
    <w:rsid w:val="00296F33"/>
    <w:rsid w:val="00297583"/>
    <w:rsid w:val="002A2034"/>
    <w:rsid w:val="002A3232"/>
    <w:rsid w:val="002A3622"/>
    <w:rsid w:val="002A41A8"/>
    <w:rsid w:val="002A5A93"/>
    <w:rsid w:val="002A6885"/>
    <w:rsid w:val="002A69C2"/>
    <w:rsid w:val="002B043D"/>
    <w:rsid w:val="002B04B9"/>
    <w:rsid w:val="002B0FB4"/>
    <w:rsid w:val="002B12E6"/>
    <w:rsid w:val="002B1329"/>
    <w:rsid w:val="002B2105"/>
    <w:rsid w:val="002B57EE"/>
    <w:rsid w:val="002B63E5"/>
    <w:rsid w:val="002B7295"/>
    <w:rsid w:val="002B7483"/>
    <w:rsid w:val="002B753A"/>
    <w:rsid w:val="002B7C26"/>
    <w:rsid w:val="002B7F03"/>
    <w:rsid w:val="002C0B56"/>
    <w:rsid w:val="002C0B93"/>
    <w:rsid w:val="002C0D67"/>
    <w:rsid w:val="002C0D78"/>
    <w:rsid w:val="002C0F1B"/>
    <w:rsid w:val="002C11E2"/>
    <w:rsid w:val="002C22CC"/>
    <w:rsid w:val="002C2FB0"/>
    <w:rsid w:val="002C4190"/>
    <w:rsid w:val="002C433C"/>
    <w:rsid w:val="002C4460"/>
    <w:rsid w:val="002C5187"/>
    <w:rsid w:val="002C5517"/>
    <w:rsid w:val="002C58CC"/>
    <w:rsid w:val="002C6092"/>
    <w:rsid w:val="002C6CDA"/>
    <w:rsid w:val="002D0078"/>
    <w:rsid w:val="002D1354"/>
    <w:rsid w:val="002D1A9D"/>
    <w:rsid w:val="002D1CBC"/>
    <w:rsid w:val="002D2826"/>
    <w:rsid w:val="002D2C39"/>
    <w:rsid w:val="002D390F"/>
    <w:rsid w:val="002D4273"/>
    <w:rsid w:val="002D4CBE"/>
    <w:rsid w:val="002D4D2D"/>
    <w:rsid w:val="002D513D"/>
    <w:rsid w:val="002D61E1"/>
    <w:rsid w:val="002D62AC"/>
    <w:rsid w:val="002D71AE"/>
    <w:rsid w:val="002D7409"/>
    <w:rsid w:val="002E0878"/>
    <w:rsid w:val="002E237A"/>
    <w:rsid w:val="002E2D66"/>
    <w:rsid w:val="002E33A2"/>
    <w:rsid w:val="002E3609"/>
    <w:rsid w:val="002E384A"/>
    <w:rsid w:val="002E3D4B"/>
    <w:rsid w:val="002E431F"/>
    <w:rsid w:val="002E5382"/>
    <w:rsid w:val="002E5E3C"/>
    <w:rsid w:val="002E6992"/>
    <w:rsid w:val="002E7DB6"/>
    <w:rsid w:val="002E7DFB"/>
    <w:rsid w:val="002F07F4"/>
    <w:rsid w:val="002F0FD0"/>
    <w:rsid w:val="002F2E6A"/>
    <w:rsid w:val="002F323D"/>
    <w:rsid w:val="002F4070"/>
    <w:rsid w:val="002F4228"/>
    <w:rsid w:val="002F570C"/>
    <w:rsid w:val="002F600C"/>
    <w:rsid w:val="002F605D"/>
    <w:rsid w:val="002F673A"/>
    <w:rsid w:val="00300100"/>
    <w:rsid w:val="00300EF7"/>
    <w:rsid w:val="0030187D"/>
    <w:rsid w:val="00301A08"/>
    <w:rsid w:val="003029E5"/>
    <w:rsid w:val="00302F87"/>
    <w:rsid w:val="00303650"/>
    <w:rsid w:val="0030437B"/>
    <w:rsid w:val="00305113"/>
    <w:rsid w:val="003073E7"/>
    <w:rsid w:val="00310511"/>
    <w:rsid w:val="00310654"/>
    <w:rsid w:val="003116B6"/>
    <w:rsid w:val="00311888"/>
    <w:rsid w:val="00311E5C"/>
    <w:rsid w:val="003121F3"/>
    <w:rsid w:val="00312580"/>
    <w:rsid w:val="00312D4F"/>
    <w:rsid w:val="00313AD1"/>
    <w:rsid w:val="00315407"/>
    <w:rsid w:val="00315734"/>
    <w:rsid w:val="00315C21"/>
    <w:rsid w:val="0031648A"/>
    <w:rsid w:val="0031755E"/>
    <w:rsid w:val="003210E2"/>
    <w:rsid w:val="00321C3D"/>
    <w:rsid w:val="00322567"/>
    <w:rsid w:val="00323333"/>
    <w:rsid w:val="00323798"/>
    <w:rsid w:val="00323A55"/>
    <w:rsid w:val="00324D49"/>
    <w:rsid w:val="00325E98"/>
    <w:rsid w:val="003268D1"/>
    <w:rsid w:val="00326ABC"/>
    <w:rsid w:val="00326DCF"/>
    <w:rsid w:val="00327726"/>
    <w:rsid w:val="00327AF0"/>
    <w:rsid w:val="00327D9D"/>
    <w:rsid w:val="00330694"/>
    <w:rsid w:val="00330753"/>
    <w:rsid w:val="00330A9B"/>
    <w:rsid w:val="00331B49"/>
    <w:rsid w:val="00331E85"/>
    <w:rsid w:val="00331F29"/>
    <w:rsid w:val="003331B5"/>
    <w:rsid w:val="00333A1D"/>
    <w:rsid w:val="0033460B"/>
    <w:rsid w:val="00334F92"/>
    <w:rsid w:val="00335E0B"/>
    <w:rsid w:val="003369A2"/>
    <w:rsid w:val="0033752D"/>
    <w:rsid w:val="00341267"/>
    <w:rsid w:val="0034210D"/>
    <w:rsid w:val="0034291E"/>
    <w:rsid w:val="0034373E"/>
    <w:rsid w:val="003456F8"/>
    <w:rsid w:val="00345BE3"/>
    <w:rsid w:val="00346324"/>
    <w:rsid w:val="0034676D"/>
    <w:rsid w:val="0034685B"/>
    <w:rsid w:val="00347675"/>
    <w:rsid w:val="00347BD4"/>
    <w:rsid w:val="00347CD5"/>
    <w:rsid w:val="00350B80"/>
    <w:rsid w:val="00351462"/>
    <w:rsid w:val="003525B9"/>
    <w:rsid w:val="00353AC9"/>
    <w:rsid w:val="00353E36"/>
    <w:rsid w:val="00354809"/>
    <w:rsid w:val="00354ACD"/>
    <w:rsid w:val="00354FE6"/>
    <w:rsid w:val="003554E0"/>
    <w:rsid w:val="00355DBF"/>
    <w:rsid w:val="003564AC"/>
    <w:rsid w:val="003576FF"/>
    <w:rsid w:val="00357F80"/>
    <w:rsid w:val="00357FE6"/>
    <w:rsid w:val="00361A34"/>
    <w:rsid w:val="0036304D"/>
    <w:rsid w:val="003631B2"/>
    <w:rsid w:val="00363764"/>
    <w:rsid w:val="00363A22"/>
    <w:rsid w:val="00363BEB"/>
    <w:rsid w:val="0036462F"/>
    <w:rsid w:val="00364A2E"/>
    <w:rsid w:val="00367A4B"/>
    <w:rsid w:val="00370AC5"/>
    <w:rsid w:val="0037110C"/>
    <w:rsid w:val="00372887"/>
    <w:rsid w:val="00373EDC"/>
    <w:rsid w:val="00374009"/>
    <w:rsid w:val="00374152"/>
    <w:rsid w:val="00374404"/>
    <w:rsid w:val="00375A29"/>
    <w:rsid w:val="00375C4D"/>
    <w:rsid w:val="00377841"/>
    <w:rsid w:val="00380A73"/>
    <w:rsid w:val="00382D34"/>
    <w:rsid w:val="00382F29"/>
    <w:rsid w:val="00384AF1"/>
    <w:rsid w:val="00385A79"/>
    <w:rsid w:val="00386385"/>
    <w:rsid w:val="00386AB6"/>
    <w:rsid w:val="00387555"/>
    <w:rsid w:val="00387B85"/>
    <w:rsid w:val="0039006E"/>
    <w:rsid w:val="0039018B"/>
    <w:rsid w:val="00391AD2"/>
    <w:rsid w:val="003930FC"/>
    <w:rsid w:val="00393B9D"/>
    <w:rsid w:val="00394823"/>
    <w:rsid w:val="003955A0"/>
    <w:rsid w:val="00395AE5"/>
    <w:rsid w:val="003978DA"/>
    <w:rsid w:val="0039792C"/>
    <w:rsid w:val="003A0FA4"/>
    <w:rsid w:val="003A13B4"/>
    <w:rsid w:val="003A35AF"/>
    <w:rsid w:val="003A47A3"/>
    <w:rsid w:val="003A4C83"/>
    <w:rsid w:val="003A72AE"/>
    <w:rsid w:val="003A7751"/>
    <w:rsid w:val="003B022A"/>
    <w:rsid w:val="003B0DFB"/>
    <w:rsid w:val="003B1262"/>
    <w:rsid w:val="003B4A8D"/>
    <w:rsid w:val="003B4EE9"/>
    <w:rsid w:val="003B5D7A"/>
    <w:rsid w:val="003B6249"/>
    <w:rsid w:val="003B72C4"/>
    <w:rsid w:val="003B7DEC"/>
    <w:rsid w:val="003C0E1C"/>
    <w:rsid w:val="003C1D40"/>
    <w:rsid w:val="003C276B"/>
    <w:rsid w:val="003C3908"/>
    <w:rsid w:val="003C3A13"/>
    <w:rsid w:val="003C48B6"/>
    <w:rsid w:val="003C5DE1"/>
    <w:rsid w:val="003C6A47"/>
    <w:rsid w:val="003C7C89"/>
    <w:rsid w:val="003C7FD9"/>
    <w:rsid w:val="003D1B7D"/>
    <w:rsid w:val="003D3C41"/>
    <w:rsid w:val="003D4318"/>
    <w:rsid w:val="003D46C1"/>
    <w:rsid w:val="003D4D70"/>
    <w:rsid w:val="003D542E"/>
    <w:rsid w:val="003D6140"/>
    <w:rsid w:val="003D6197"/>
    <w:rsid w:val="003D6200"/>
    <w:rsid w:val="003D66C8"/>
    <w:rsid w:val="003D6B2B"/>
    <w:rsid w:val="003D7709"/>
    <w:rsid w:val="003D79C2"/>
    <w:rsid w:val="003D7CD3"/>
    <w:rsid w:val="003D7D5D"/>
    <w:rsid w:val="003E0375"/>
    <w:rsid w:val="003E1CA7"/>
    <w:rsid w:val="003E1D84"/>
    <w:rsid w:val="003E2B21"/>
    <w:rsid w:val="003E4422"/>
    <w:rsid w:val="003E4FF7"/>
    <w:rsid w:val="003E7278"/>
    <w:rsid w:val="003F0B7E"/>
    <w:rsid w:val="003F1131"/>
    <w:rsid w:val="003F1AAC"/>
    <w:rsid w:val="003F35EF"/>
    <w:rsid w:val="003F3B35"/>
    <w:rsid w:val="003F470F"/>
    <w:rsid w:val="003F6562"/>
    <w:rsid w:val="0040121C"/>
    <w:rsid w:val="00401805"/>
    <w:rsid w:val="004032D5"/>
    <w:rsid w:val="004052B2"/>
    <w:rsid w:val="00405C0C"/>
    <w:rsid w:val="00405E87"/>
    <w:rsid w:val="00405FC1"/>
    <w:rsid w:val="00406F3A"/>
    <w:rsid w:val="00407296"/>
    <w:rsid w:val="00407626"/>
    <w:rsid w:val="00410B6F"/>
    <w:rsid w:val="004120E8"/>
    <w:rsid w:val="00412253"/>
    <w:rsid w:val="00413ABB"/>
    <w:rsid w:val="004141BE"/>
    <w:rsid w:val="0041478D"/>
    <w:rsid w:val="00415770"/>
    <w:rsid w:val="00415FC6"/>
    <w:rsid w:val="00416528"/>
    <w:rsid w:val="004179EB"/>
    <w:rsid w:val="00417D4C"/>
    <w:rsid w:val="00421292"/>
    <w:rsid w:val="00422A54"/>
    <w:rsid w:val="00422C62"/>
    <w:rsid w:val="0042339B"/>
    <w:rsid w:val="00425B8D"/>
    <w:rsid w:val="00426075"/>
    <w:rsid w:val="004261F6"/>
    <w:rsid w:val="00426711"/>
    <w:rsid w:val="00430270"/>
    <w:rsid w:val="004303BA"/>
    <w:rsid w:val="004310BA"/>
    <w:rsid w:val="00432270"/>
    <w:rsid w:val="00434060"/>
    <w:rsid w:val="00434D32"/>
    <w:rsid w:val="00435342"/>
    <w:rsid w:val="00435A75"/>
    <w:rsid w:val="00436E44"/>
    <w:rsid w:val="00437173"/>
    <w:rsid w:val="0044012A"/>
    <w:rsid w:val="004409EE"/>
    <w:rsid w:val="00441D52"/>
    <w:rsid w:val="00442312"/>
    <w:rsid w:val="004424DA"/>
    <w:rsid w:val="004432F6"/>
    <w:rsid w:val="004446C5"/>
    <w:rsid w:val="00445219"/>
    <w:rsid w:val="004452B6"/>
    <w:rsid w:val="004469F9"/>
    <w:rsid w:val="00446B2D"/>
    <w:rsid w:val="00446F85"/>
    <w:rsid w:val="004479EA"/>
    <w:rsid w:val="00450840"/>
    <w:rsid w:val="00450B02"/>
    <w:rsid w:val="00451586"/>
    <w:rsid w:val="00451615"/>
    <w:rsid w:val="004520DA"/>
    <w:rsid w:val="004522B4"/>
    <w:rsid w:val="00452891"/>
    <w:rsid w:val="00452900"/>
    <w:rsid w:val="00452A5B"/>
    <w:rsid w:val="00452CED"/>
    <w:rsid w:val="00452FE4"/>
    <w:rsid w:val="00453087"/>
    <w:rsid w:val="00453189"/>
    <w:rsid w:val="00454813"/>
    <w:rsid w:val="004569A2"/>
    <w:rsid w:val="00456AC9"/>
    <w:rsid w:val="00457BFC"/>
    <w:rsid w:val="004619D4"/>
    <w:rsid w:val="00461BFF"/>
    <w:rsid w:val="00461C20"/>
    <w:rsid w:val="00461DF8"/>
    <w:rsid w:val="0046257E"/>
    <w:rsid w:val="004642C0"/>
    <w:rsid w:val="0046775E"/>
    <w:rsid w:val="004677F7"/>
    <w:rsid w:val="004708E3"/>
    <w:rsid w:val="00470D92"/>
    <w:rsid w:val="00471EC0"/>
    <w:rsid w:val="00472492"/>
    <w:rsid w:val="00473A8D"/>
    <w:rsid w:val="004746D8"/>
    <w:rsid w:val="004749FA"/>
    <w:rsid w:val="00475510"/>
    <w:rsid w:val="0047586E"/>
    <w:rsid w:val="00475D67"/>
    <w:rsid w:val="00477A2F"/>
    <w:rsid w:val="00477CEA"/>
    <w:rsid w:val="00480E9D"/>
    <w:rsid w:val="00481867"/>
    <w:rsid w:val="0048509B"/>
    <w:rsid w:val="00485168"/>
    <w:rsid w:val="004851ED"/>
    <w:rsid w:val="0048530A"/>
    <w:rsid w:val="0048588A"/>
    <w:rsid w:val="004859D0"/>
    <w:rsid w:val="0048763C"/>
    <w:rsid w:val="00487ED9"/>
    <w:rsid w:val="00490397"/>
    <w:rsid w:val="00490692"/>
    <w:rsid w:val="00492663"/>
    <w:rsid w:val="00492BF1"/>
    <w:rsid w:val="0049307B"/>
    <w:rsid w:val="00494894"/>
    <w:rsid w:val="004948F3"/>
    <w:rsid w:val="00495276"/>
    <w:rsid w:val="004952D7"/>
    <w:rsid w:val="00495F6A"/>
    <w:rsid w:val="00496108"/>
    <w:rsid w:val="00496192"/>
    <w:rsid w:val="00496EAF"/>
    <w:rsid w:val="00497373"/>
    <w:rsid w:val="00497B08"/>
    <w:rsid w:val="00497F41"/>
    <w:rsid w:val="004A0830"/>
    <w:rsid w:val="004A0E05"/>
    <w:rsid w:val="004A11C7"/>
    <w:rsid w:val="004A18D7"/>
    <w:rsid w:val="004A1B26"/>
    <w:rsid w:val="004A3FD7"/>
    <w:rsid w:val="004A4A80"/>
    <w:rsid w:val="004A4DC0"/>
    <w:rsid w:val="004A5489"/>
    <w:rsid w:val="004A7690"/>
    <w:rsid w:val="004B0132"/>
    <w:rsid w:val="004B0720"/>
    <w:rsid w:val="004B367B"/>
    <w:rsid w:val="004B36CE"/>
    <w:rsid w:val="004B4DAA"/>
    <w:rsid w:val="004B6616"/>
    <w:rsid w:val="004B7AD5"/>
    <w:rsid w:val="004B7B53"/>
    <w:rsid w:val="004C045C"/>
    <w:rsid w:val="004C07D6"/>
    <w:rsid w:val="004C0F3F"/>
    <w:rsid w:val="004C17CB"/>
    <w:rsid w:val="004C1A68"/>
    <w:rsid w:val="004C420E"/>
    <w:rsid w:val="004C4385"/>
    <w:rsid w:val="004C6910"/>
    <w:rsid w:val="004C73A9"/>
    <w:rsid w:val="004C7929"/>
    <w:rsid w:val="004D0248"/>
    <w:rsid w:val="004D0B47"/>
    <w:rsid w:val="004D0BDF"/>
    <w:rsid w:val="004D2424"/>
    <w:rsid w:val="004D2C12"/>
    <w:rsid w:val="004D3A0B"/>
    <w:rsid w:val="004D469E"/>
    <w:rsid w:val="004D4B67"/>
    <w:rsid w:val="004D5182"/>
    <w:rsid w:val="004D7948"/>
    <w:rsid w:val="004E1BE7"/>
    <w:rsid w:val="004E23F3"/>
    <w:rsid w:val="004E2A6E"/>
    <w:rsid w:val="004E3405"/>
    <w:rsid w:val="004E3A57"/>
    <w:rsid w:val="004E4378"/>
    <w:rsid w:val="004E4975"/>
    <w:rsid w:val="004E4BBD"/>
    <w:rsid w:val="004E5018"/>
    <w:rsid w:val="004E5200"/>
    <w:rsid w:val="004E5635"/>
    <w:rsid w:val="004E5EFE"/>
    <w:rsid w:val="004E6B64"/>
    <w:rsid w:val="004F064A"/>
    <w:rsid w:val="004F0FD3"/>
    <w:rsid w:val="004F1222"/>
    <w:rsid w:val="004F30F4"/>
    <w:rsid w:val="004F33C5"/>
    <w:rsid w:val="004F3422"/>
    <w:rsid w:val="004F3FEB"/>
    <w:rsid w:val="004F4ABE"/>
    <w:rsid w:val="004F4B68"/>
    <w:rsid w:val="004F5602"/>
    <w:rsid w:val="004F5BB4"/>
    <w:rsid w:val="004F6AEC"/>
    <w:rsid w:val="004F7933"/>
    <w:rsid w:val="005014CD"/>
    <w:rsid w:val="00501793"/>
    <w:rsid w:val="005028C8"/>
    <w:rsid w:val="00504A30"/>
    <w:rsid w:val="00505BFD"/>
    <w:rsid w:val="005074D5"/>
    <w:rsid w:val="00510AA1"/>
    <w:rsid w:val="00511E6F"/>
    <w:rsid w:val="005127CE"/>
    <w:rsid w:val="00512879"/>
    <w:rsid w:val="00513282"/>
    <w:rsid w:val="00515056"/>
    <w:rsid w:val="005158CD"/>
    <w:rsid w:val="00516FC0"/>
    <w:rsid w:val="005204CB"/>
    <w:rsid w:val="0052211A"/>
    <w:rsid w:val="00522208"/>
    <w:rsid w:val="00523DAE"/>
    <w:rsid w:val="005240BD"/>
    <w:rsid w:val="00524BCF"/>
    <w:rsid w:val="00524F37"/>
    <w:rsid w:val="00525AEA"/>
    <w:rsid w:val="00525FA8"/>
    <w:rsid w:val="005272D8"/>
    <w:rsid w:val="00530B7D"/>
    <w:rsid w:val="00531EA2"/>
    <w:rsid w:val="00532D2D"/>
    <w:rsid w:val="00532D90"/>
    <w:rsid w:val="00533D48"/>
    <w:rsid w:val="00534130"/>
    <w:rsid w:val="005342FE"/>
    <w:rsid w:val="00534CEA"/>
    <w:rsid w:val="00535518"/>
    <w:rsid w:val="00535887"/>
    <w:rsid w:val="005359DB"/>
    <w:rsid w:val="00535A6B"/>
    <w:rsid w:val="00535B80"/>
    <w:rsid w:val="005369E8"/>
    <w:rsid w:val="00536B4D"/>
    <w:rsid w:val="0054139F"/>
    <w:rsid w:val="005418F5"/>
    <w:rsid w:val="005419E9"/>
    <w:rsid w:val="00541DC9"/>
    <w:rsid w:val="00542475"/>
    <w:rsid w:val="00542EDF"/>
    <w:rsid w:val="005440CF"/>
    <w:rsid w:val="00546397"/>
    <w:rsid w:val="00550C9C"/>
    <w:rsid w:val="00551444"/>
    <w:rsid w:val="005515FA"/>
    <w:rsid w:val="005516A8"/>
    <w:rsid w:val="0055173D"/>
    <w:rsid w:val="005532B7"/>
    <w:rsid w:val="005533C4"/>
    <w:rsid w:val="00560346"/>
    <w:rsid w:val="00560786"/>
    <w:rsid w:val="005618FA"/>
    <w:rsid w:val="00561D1F"/>
    <w:rsid w:val="00562598"/>
    <w:rsid w:val="0056268F"/>
    <w:rsid w:val="00562BE0"/>
    <w:rsid w:val="00564B56"/>
    <w:rsid w:val="00565AC5"/>
    <w:rsid w:val="00565C3C"/>
    <w:rsid w:val="00566963"/>
    <w:rsid w:val="00566974"/>
    <w:rsid w:val="005673CC"/>
    <w:rsid w:val="005674B3"/>
    <w:rsid w:val="00567623"/>
    <w:rsid w:val="0057085B"/>
    <w:rsid w:val="00570C6B"/>
    <w:rsid w:val="005718F6"/>
    <w:rsid w:val="0057243E"/>
    <w:rsid w:val="00572DF6"/>
    <w:rsid w:val="00573388"/>
    <w:rsid w:val="00573AB6"/>
    <w:rsid w:val="00574973"/>
    <w:rsid w:val="005751B1"/>
    <w:rsid w:val="00577D77"/>
    <w:rsid w:val="00580725"/>
    <w:rsid w:val="005807CD"/>
    <w:rsid w:val="00581465"/>
    <w:rsid w:val="005835E1"/>
    <w:rsid w:val="00584471"/>
    <w:rsid w:val="00584C9B"/>
    <w:rsid w:val="00586657"/>
    <w:rsid w:val="00586FDE"/>
    <w:rsid w:val="0058725A"/>
    <w:rsid w:val="00587B6A"/>
    <w:rsid w:val="00587C9B"/>
    <w:rsid w:val="00587F5D"/>
    <w:rsid w:val="005909A3"/>
    <w:rsid w:val="00590E5A"/>
    <w:rsid w:val="005939D9"/>
    <w:rsid w:val="00593E65"/>
    <w:rsid w:val="005940D1"/>
    <w:rsid w:val="00594E34"/>
    <w:rsid w:val="00596B3D"/>
    <w:rsid w:val="00597D55"/>
    <w:rsid w:val="005A00A1"/>
    <w:rsid w:val="005A00F1"/>
    <w:rsid w:val="005A0473"/>
    <w:rsid w:val="005A2279"/>
    <w:rsid w:val="005A2BB7"/>
    <w:rsid w:val="005A32A6"/>
    <w:rsid w:val="005A3A8D"/>
    <w:rsid w:val="005A483E"/>
    <w:rsid w:val="005A4ADA"/>
    <w:rsid w:val="005A6A75"/>
    <w:rsid w:val="005A6F2F"/>
    <w:rsid w:val="005B03DD"/>
    <w:rsid w:val="005B058E"/>
    <w:rsid w:val="005B24AF"/>
    <w:rsid w:val="005B283E"/>
    <w:rsid w:val="005B2BE8"/>
    <w:rsid w:val="005B3A18"/>
    <w:rsid w:val="005B41AA"/>
    <w:rsid w:val="005B4F61"/>
    <w:rsid w:val="005B50EF"/>
    <w:rsid w:val="005B57EF"/>
    <w:rsid w:val="005B69CF"/>
    <w:rsid w:val="005B6DF8"/>
    <w:rsid w:val="005C0524"/>
    <w:rsid w:val="005C087B"/>
    <w:rsid w:val="005C0C5C"/>
    <w:rsid w:val="005C2A99"/>
    <w:rsid w:val="005C3056"/>
    <w:rsid w:val="005C3812"/>
    <w:rsid w:val="005C5968"/>
    <w:rsid w:val="005C709D"/>
    <w:rsid w:val="005C7707"/>
    <w:rsid w:val="005C78A1"/>
    <w:rsid w:val="005D0BFE"/>
    <w:rsid w:val="005D133C"/>
    <w:rsid w:val="005D14A0"/>
    <w:rsid w:val="005D2474"/>
    <w:rsid w:val="005D26A2"/>
    <w:rsid w:val="005D2F33"/>
    <w:rsid w:val="005D33D4"/>
    <w:rsid w:val="005D5CF2"/>
    <w:rsid w:val="005D7FCA"/>
    <w:rsid w:val="005E1232"/>
    <w:rsid w:val="005E37DA"/>
    <w:rsid w:val="005E3D9B"/>
    <w:rsid w:val="005E40BB"/>
    <w:rsid w:val="005E4185"/>
    <w:rsid w:val="005E485F"/>
    <w:rsid w:val="005E4C64"/>
    <w:rsid w:val="005E51D7"/>
    <w:rsid w:val="005E7E0A"/>
    <w:rsid w:val="005F0FD7"/>
    <w:rsid w:val="005F1EC4"/>
    <w:rsid w:val="005F2604"/>
    <w:rsid w:val="005F2D68"/>
    <w:rsid w:val="005F3758"/>
    <w:rsid w:val="005F3E41"/>
    <w:rsid w:val="005F400F"/>
    <w:rsid w:val="005F437B"/>
    <w:rsid w:val="005F71F9"/>
    <w:rsid w:val="006002AA"/>
    <w:rsid w:val="00604D37"/>
    <w:rsid w:val="006051D7"/>
    <w:rsid w:val="00605367"/>
    <w:rsid w:val="006100D2"/>
    <w:rsid w:val="006107BB"/>
    <w:rsid w:val="00611A35"/>
    <w:rsid w:val="00611C67"/>
    <w:rsid w:val="0061308C"/>
    <w:rsid w:val="00614076"/>
    <w:rsid w:val="00614368"/>
    <w:rsid w:val="00614E5A"/>
    <w:rsid w:val="00616235"/>
    <w:rsid w:val="0061690D"/>
    <w:rsid w:val="00620244"/>
    <w:rsid w:val="00620B8A"/>
    <w:rsid w:val="00621642"/>
    <w:rsid w:val="006226EB"/>
    <w:rsid w:val="0062275E"/>
    <w:rsid w:val="0062395A"/>
    <w:rsid w:val="00623F97"/>
    <w:rsid w:val="0062499E"/>
    <w:rsid w:val="00624F00"/>
    <w:rsid w:val="0062554E"/>
    <w:rsid w:val="00625F38"/>
    <w:rsid w:val="00630057"/>
    <w:rsid w:val="00630230"/>
    <w:rsid w:val="00631233"/>
    <w:rsid w:val="00631404"/>
    <w:rsid w:val="0063197E"/>
    <w:rsid w:val="00632DC1"/>
    <w:rsid w:val="00634686"/>
    <w:rsid w:val="00635809"/>
    <w:rsid w:val="00635F83"/>
    <w:rsid w:val="006365E5"/>
    <w:rsid w:val="00636D54"/>
    <w:rsid w:val="00636EB6"/>
    <w:rsid w:val="00637A6B"/>
    <w:rsid w:val="006402B1"/>
    <w:rsid w:val="00640B8B"/>
    <w:rsid w:val="00640E83"/>
    <w:rsid w:val="00640FE7"/>
    <w:rsid w:val="00641090"/>
    <w:rsid w:val="00643AB4"/>
    <w:rsid w:val="00643E28"/>
    <w:rsid w:val="00643E5C"/>
    <w:rsid w:val="00645153"/>
    <w:rsid w:val="006455B8"/>
    <w:rsid w:val="00645F79"/>
    <w:rsid w:val="00646223"/>
    <w:rsid w:val="006468BA"/>
    <w:rsid w:val="006470A6"/>
    <w:rsid w:val="00647993"/>
    <w:rsid w:val="00650191"/>
    <w:rsid w:val="00650304"/>
    <w:rsid w:val="0065103C"/>
    <w:rsid w:val="006529FA"/>
    <w:rsid w:val="006535F8"/>
    <w:rsid w:val="00653B45"/>
    <w:rsid w:val="006566AB"/>
    <w:rsid w:val="00657376"/>
    <w:rsid w:val="006600BA"/>
    <w:rsid w:val="0066012F"/>
    <w:rsid w:val="0066093C"/>
    <w:rsid w:val="00662B9C"/>
    <w:rsid w:val="00663B7B"/>
    <w:rsid w:val="006640FF"/>
    <w:rsid w:val="00667145"/>
    <w:rsid w:val="006673BB"/>
    <w:rsid w:val="006674A4"/>
    <w:rsid w:val="006707F5"/>
    <w:rsid w:val="00670AD9"/>
    <w:rsid w:val="006713C2"/>
    <w:rsid w:val="00671713"/>
    <w:rsid w:val="0067287B"/>
    <w:rsid w:val="00672EDC"/>
    <w:rsid w:val="006735A6"/>
    <w:rsid w:val="006735E6"/>
    <w:rsid w:val="00673AE4"/>
    <w:rsid w:val="0067402D"/>
    <w:rsid w:val="006750E2"/>
    <w:rsid w:val="00675E56"/>
    <w:rsid w:val="0067632C"/>
    <w:rsid w:val="006768B0"/>
    <w:rsid w:val="00677934"/>
    <w:rsid w:val="00677A85"/>
    <w:rsid w:val="006805A5"/>
    <w:rsid w:val="00680B51"/>
    <w:rsid w:val="00680CBC"/>
    <w:rsid w:val="00680E3F"/>
    <w:rsid w:val="00681FE9"/>
    <w:rsid w:val="00682166"/>
    <w:rsid w:val="006821E3"/>
    <w:rsid w:val="0068279F"/>
    <w:rsid w:val="0068286F"/>
    <w:rsid w:val="00682E8F"/>
    <w:rsid w:val="00684761"/>
    <w:rsid w:val="00684CB6"/>
    <w:rsid w:val="00685CE2"/>
    <w:rsid w:val="00685DB6"/>
    <w:rsid w:val="006862EF"/>
    <w:rsid w:val="0069299B"/>
    <w:rsid w:val="00693137"/>
    <w:rsid w:val="00693518"/>
    <w:rsid w:val="00694C51"/>
    <w:rsid w:val="006955E7"/>
    <w:rsid w:val="0069567C"/>
    <w:rsid w:val="00695FCF"/>
    <w:rsid w:val="00696965"/>
    <w:rsid w:val="00696DDA"/>
    <w:rsid w:val="006970D5"/>
    <w:rsid w:val="0069775C"/>
    <w:rsid w:val="006A013E"/>
    <w:rsid w:val="006A135C"/>
    <w:rsid w:val="006A13C2"/>
    <w:rsid w:val="006A1639"/>
    <w:rsid w:val="006A19D8"/>
    <w:rsid w:val="006A3B3E"/>
    <w:rsid w:val="006A4CFB"/>
    <w:rsid w:val="006A71A2"/>
    <w:rsid w:val="006A7AE1"/>
    <w:rsid w:val="006B0DD2"/>
    <w:rsid w:val="006B1E9E"/>
    <w:rsid w:val="006B2505"/>
    <w:rsid w:val="006B2578"/>
    <w:rsid w:val="006B391E"/>
    <w:rsid w:val="006B4075"/>
    <w:rsid w:val="006B5E7A"/>
    <w:rsid w:val="006B620D"/>
    <w:rsid w:val="006B6956"/>
    <w:rsid w:val="006B707F"/>
    <w:rsid w:val="006B764C"/>
    <w:rsid w:val="006C09E3"/>
    <w:rsid w:val="006C0A34"/>
    <w:rsid w:val="006C0DA3"/>
    <w:rsid w:val="006C2667"/>
    <w:rsid w:val="006C3B4B"/>
    <w:rsid w:val="006C41FF"/>
    <w:rsid w:val="006C4E62"/>
    <w:rsid w:val="006C5B37"/>
    <w:rsid w:val="006C697A"/>
    <w:rsid w:val="006C7B8B"/>
    <w:rsid w:val="006D0F95"/>
    <w:rsid w:val="006D1496"/>
    <w:rsid w:val="006D30E8"/>
    <w:rsid w:val="006D3960"/>
    <w:rsid w:val="006D4561"/>
    <w:rsid w:val="006D502F"/>
    <w:rsid w:val="006D5067"/>
    <w:rsid w:val="006D5713"/>
    <w:rsid w:val="006D6DE6"/>
    <w:rsid w:val="006D718C"/>
    <w:rsid w:val="006E1EA3"/>
    <w:rsid w:val="006E265E"/>
    <w:rsid w:val="006E27FD"/>
    <w:rsid w:val="006E2EEA"/>
    <w:rsid w:val="006E4DAD"/>
    <w:rsid w:val="006E5398"/>
    <w:rsid w:val="006E6CC2"/>
    <w:rsid w:val="006E77BB"/>
    <w:rsid w:val="006F5C05"/>
    <w:rsid w:val="006F5E1D"/>
    <w:rsid w:val="006F6ADA"/>
    <w:rsid w:val="006F6B4E"/>
    <w:rsid w:val="006F7069"/>
    <w:rsid w:val="006F707F"/>
    <w:rsid w:val="00701214"/>
    <w:rsid w:val="00701873"/>
    <w:rsid w:val="0070382E"/>
    <w:rsid w:val="00703A23"/>
    <w:rsid w:val="00703A2E"/>
    <w:rsid w:val="007050A0"/>
    <w:rsid w:val="0070621C"/>
    <w:rsid w:val="00706682"/>
    <w:rsid w:val="00707993"/>
    <w:rsid w:val="00707F1D"/>
    <w:rsid w:val="0071123A"/>
    <w:rsid w:val="00711E25"/>
    <w:rsid w:val="00711FB5"/>
    <w:rsid w:val="00712AC4"/>
    <w:rsid w:val="00712FB7"/>
    <w:rsid w:val="007138CC"/>
    <w:rsid w:val="00713AD7"/>
    <w:rsid w:val="00713CA3"/>
    <w:rsid w:val="0071425A"/>
    <w:rsid w:val="0071439B"/>
    <w:rsid w:val="00714C27"/>
    <w:rsid w:val="0072122E"/>
    <w:rsid w:val="00723214"/>
    <w:rsid w:val="00723B85"/>
    <w:rsid w:val="00724F81"/>
    <w:rsid w:val="00725232"/>
    <w:rsid w:val="007254CF"/>
    <w:rsid w:val="007257B8"/>
    <w:rsid w:val="007265A4"/>
    <w:rsid w:val="0072698A"/>
    <w:rsid w:val="00727A83"/>
    <w:rsid w:val="0073042B"/>
    <w:rsid w:val="00730A03"/>
    <w:rsid w:val="0073174A"/>
    <w:rsid w:val="007333BE"/>
    <w:rsid w:val="0073343B"/>
    <w:rsid w:val="007335A8"/>
    <w:rsid w:val="00734EC9"/>
    <w:rsid w:val="00735079"/>
    <w:rsid w:val="0073593C"/>
    <w:rsid w:val="00736425"/>
    <w:rsid w:val="00736A14"/>
    <w:rsid w:val="00736FC8"/>
    <w:rsid w:val="00737013"/>
    <w:rsid w:val="0073764E"/>
    <w:rsid w:val="00737DDD"/>
    <w:rsid w:val="007434D5"/>
    <w:rsid w:val="007452BC"/>
    <w:rsid w:val="00745AA0"/>
    <w:rsid w:val="007478BB"/>
    <w:rsid w:val="00747908"/>
    <w:rsid w:val="0075099D"/>
    <w:rsid w:val="00751089"/>
    <w:rsid w:val="00752052"/>
    <w:rsid w:val="00753C3F"/>
    <w:rsid w:val="00754324"/>
    <w:rsid w:val="00754EA3"/>
    <w:rsid w:val="00756B84"/>
    <w:rsid w:val="00757A75"/>
    <w:rsid w:val="00760136"/>
    <w:rsid w:val="00760496"/>
    <w:rsid w:val="0076053B"/>
    <w:rsid w:val="00761553"/>
    <w:rsid w:val="007617A9"/>
    <w:rsid w:val="0076189A"/>
    <w:rsid w:val="00762D76"/>
    <w:rsid w:val="00763A17"/>
    <w:rsid w:val="00763FB0"/>
    <w:rsid w:val="007644E5"/>
    <w:rsid w:val="00765150"/>
    <w:rsid w:val="007655C0"/>
    <w:rsid w:val="00766121"/>
    <w:rsid w:val="00770D2D"/>
    <w:rsid w:val="00770D5D"/>
    <w:rsid w:val="00771112"/>
    <w:rsid w:val="0077164C"/>
    <w:rsid w:val="0077294F"/>
    <w:rsid w:val="00772C0B"/>
    <w:rsid w:val="0077338A"/>
    <w:rsid w:val="007738D0"/>
    <w:rsid w:val="00773EC0"/>
    <w:rsid w:val="0077409B"/>
    <w:rsid w:val="00774DA4"/>
    <w:rsid w:val="00774E33"/>
    <w:rsid w:val="00775121"/>
    <w:rsid w:val="0077567A"/>
    <w:rsid w:val="00775B12"/>
    <w:rsid w:val="00775DA1"/>
    <w:rsid w:val="00777045"/>
    <w:rsid w:val="00777690"/>
    <w:rsid w:val="007777BD"/>
    <w:rsid w:val="00777FA9"/>
    <w:rsid w:val="00780533"/>
    <w:rsid w:val="00782061"/>
    <w:rsid w:val="00782C25"/>
    <w:rsid w:val="00783140"/>
    <w:rsid w:val="00783A0B"/>
    <w:rsid w:val="00783C15"/>
    <w:rsid w:val="00783E8C"/>
    <w:rsid w:val="00784DD0"/>
    <w:rsid w:val="00785290"/>
    <w:rsid w:val="007862F7"/>
    <w:rsid w:val="00786ACB"/>
    <w:rsid w:val="00786EC7"/>
    <w:rsid w:val="0078737D"/>
    <w:rsid w:val="00790464"/>
    <w:rsid w:val="007912F9"/>
    <w:rsid w:val="00791D81"/>
    <w:rsid w:val="007929C0"/>
    <w:rsid w:val="007939B6"/>
    <w:rsid w:val="00793D62"/>
    <w:rsid w:val="00793DB9"/>
    <w:rsid w:val="0079427C"/>
    <w:rsid w:val="00794F09"/>
    <w:rsid w:val="00795C3B"/>
    <w:rsid w:val="00795D57"/>
    <w:rsid w:val="007964C7"/>
    <w:rsid w:val="007977C0"/>
    <w:rsid w:val="007A1B7F"/>
    <w:rsid w:val="007A1BDA"/>
    <w:rsid w:val="007A2AC4"/>
    <w:rsid w:val="007A35B4"/>
    <w:rsid w:val="007A4846"/>
    <w:rsid w:val="007A4969"/>
    <w:rsid w:val="007A603F"/>
    <w:rsid w:val="007A62AA"/>
    <w:rsid w:val="007A66DF"/>
    <w:rsid w:val="007A6D9A"/>
    <w:rsid w:val="007A6FD9"/>
    <w:rsid w:val="007A7711"/>
    <w:rsid w:val="007A7C15"/>
    <w:rsid w:val="007B01D2"/>
    <w:rsid w:val="007B05F7"/>
    <w:rsid w:val="007B1924"/>
    <w:rsid w:val="007B199A"/>
    <w:rsid w:val="007B1BA6"/>
    <w:rsid w:val="007B3152"/>
    <w:rsid w:val="007B3604"/>
    <w:rsid w:val="007B48F8"/>
    <w:rsid w:val="007B51E6"/>
    <w:rsid w:val="007B55B5"/>
    <w:rsid w:val="007B5624"/>
    <w:rsid w:val="007B682E"/>
    <w:rsid w:val="007C28B7"/>
    <w:rsid w:val="007C34EA"/>
    <w:rsid w:val="007C3D92"/>
    <w:rsid w:val="007C4733"/>
    <w:rsid w:val="007C4D63"/>
    <w:rsid w:val="007C5420"/>
    <w:rsid w:val="007C582F"/>
    <w:rsid w:val="007C607D"/>
    <w:rsid w:val="007C6E19"/>
    <w:rsid w:val="007C7F7B"/>
    <w:rsid w:val="007D0BC0"/>
    <w:rsid w:val="007D1008"/>
    <w:rsid w:val="007D1B67"/>
    <w:rsid w:val="007D2672"/>
    <w:rsid w:val="007D31B0"/>
    <w:rsid w:val="007D394D"/>
    <w:rsid w:val="007D3B7E"/>
    <w:rsid w:val="007D4B6B"/>
    <w:rsid w:val="007D62DC"/>
    <w:rsid w:val="007D6CFD"/>
    <w:rsid w:val="007D6DE0"/>
    <w:rsid w:val="007D787A"/>
    <w:rsid w:val="007D7930"/>
    <w:rsid w:val="007D7CCF"/>
    <w:rsid w:val="007E0965"/>
    <w:rsid w:val="007E2425"/>
    <w:rsid w:val="007E565C"/>
    <w:rsid w:val="007E58BF"/>
    <w:rsid w:val="007E5D98"/>
    <w:rsid w:val="007E6B04"/>
    <w:rsid w:val="007E6D5A"/>
    <w:rsid w:val="007E728E"/>
    <w:rsid w:val="007E784C"/>
    <w:rsid w:val="007E79F5"/>
    <w:rsid w:val="007E7C6D"/>
    <w:rsid w:val="007F03B2"/>
    <w:rsid w:val="007F083D"/>
    <w:rsid w:val="007F130A"/>
    <w:rsid w:val="007F2D03"/>
    <w:rsid w:val="007F3B58"/>
    <w:rsid w:val="007F3D4F"/>
    <w:rsid w:val="007F46C8"/>
    <w:rsid w:val="007F51D5"/>
    <w:rsid w:val="007F5D18"/>
    <w:rsid w:val="007F6798"/>
    <w:rsid w:val="00801420"/>
    <w:rsid w:val="00802069"/>
    <w:rsid w:val="008025DC"/>
    <w:rsid w:val="00802652"/>
    <w:rsid w:val="008027A4"/>
    <w:rsid w:val="00803C62"/>
    <w:rsid w:val="00805573"/>
    <w:rsid w:val="00806EC8"/>
    <w:rsid w:val="008078A0"/>
    <w:rsid w:val="00807BF1"/>
    <w:rsid w:val="008115C4"/>
    <w:rsid w:val="00814CE9"/>
    <w:rsid w:val="0081502D"/>
    <w:rsid w:val="00815161"/>
    <w:rsid w:val="00815170"/>
    <w:rsid w:val="00815D21"/>
    <w:rsid w:val="00815D37"/>
    <w:rsid w:val="00815D73"/>
    <w:rsid w:val="00816CFE"/>
    <w:rsid w:val="00816F1F"/>
    <w:rsid w:val="008172F5"/>
    <w:rsid w:val="008173C9"/>
    <w:rsid w:val="008176D9"/>
    <w:rsid w:val="00820BE1"/>
    <w:rsid w:val="008218B7"/>
    <w:rsid w:val="00822919"/>
    <w:rsid w:val="00825BCB"/>
    <w:rsid w:val="00825CE6"/>
    <w:rsid w:val="0082609D"/>
    <w:rsid w:val="00826910"/>
    <w:rsid w:val="00826F53"/>
    <w:rsid w:val="008270A6"/>
    <w:rsid w:val="008275B2"/>
    <w:rsid w:val="00827BB7"/>
    <w:rsid w:val="008307CF"/>
    <w:rsid w:val="008310C2"/>
    <w:rsid w:val="00831662"/>
    <w:rsid w:val="00831988"/>
    <w:rsid w:val="008319E1"/>
    <w:rsid w:val="00832233"/>
    <w:rsid w:val="00832428"/>
    <w:rsid w:val="00832BDC"/>
    <w:rsid w:val="008335D7"/>
    <w:rsid w:val="0083364D"/>
    <w:rsid w:val="00833796"/>
    <w:rsid w:val="008340F1"/>
    <w:rsid w:val="00834A4A"/>
    <w:rsid w:val="0083539A"/>
    <w:rsid w:val="0083564F"/>
    <w:rsid w:val="008356C6"/>
    <w:rsid w:val="0083673F"/>
    <w:rsid w:val="00837A6B"/>
    <w:rsid w:val="00837B9C"/>
    <w:rsid w:val="008409F8"/>
    <w:rsid w:val="00843208"/>
    <w:rsid w:val="00843951"/>
    <w:rsid w:val="00844028"/>
    <w:rsid w:val="0084493B"/>
    <w:rsid w:val="00844B59"/>
    <w:rsid w:val="00844F82"/>
    <w:rsid w:val="00845D51"/>
    <w:rsid w:val="008462E6"/>
    <w:rsid w:val="00846331"/>
    <w:rsid w:val="008469EE"/>
    <w:rsid w:val="008475FC"/>
    <w:rsid w:val="008513F9"/>
    <w:rsid w:val="008521CA"/>
    <w:rsid w:val="008522E6"/>
    <w:rsid w:val="00852876"/>
    <w:rsid w:val="00853EBF"/>
    <w:rsid w:val="00853F5B"/>
    <w:rsid w:val="00854009"/>
    <w:rsid w:val="008557A9"/>
    <w:rsid w:val="00855B80"/>
    <w:rsid w:val="0085624B"/>
    <w:rsid w:val="008566B3"/>
    <w:rsid w:val="00856765"/>
    <w:rsid w:val="0085760A"/>
    <w:rsid w:val="008610D3"/>
    <w:rsid w:val="00861853"/>
    <w:rsid w:val="00862613"/>
    <w:rsid w:val="00862746"/>
    <w:rsid w:val="008628DB"/>
    <w:rsid w:val="008638C5"/>
    <w:rsid w:val="008642A0"/>
    <w:rsid w:val="00864335"/>
    <w:rsid w:val="0086701C"/>
    <w:rsid w:val="00867AEB"/>
    <w:rsid w:val="00871758"/>
    <w:rsid w:val="00871FE1"/>
    <w:rsid w:val="00873530"/>
    <w:rsid w:val="0087467A"/>
    <w:rsid w:val="00874ECF"/>
    <w:rsid w:val="00876C2C"/>
    <w:rsid w:val="00876D26"/>
    <w:rsid w:val="008775A4"/>
    <w:rsid w:val="0087761C"/>
    <w:rsid w:val="008809B6"/>
    <w:rsid w:val="00881122"/>
    <w:rsid w:val="008812D5"/>
    <w:rsid w:val="008814D0"/>
    <w:rsid w:val="00881AF4"/>
    <w:rsid w:val="0088216D"/>
    <w:rsid w:val="00882B98"/>
    <w:rsid w:val="008831D9"/>
    <w:rsid w:val="008834FE"/>
    <w:rsid w:val="00883BC1"/>
    <w:rsid w:val="00884973"/>
    <w:rsid w:val="00884AE7"/>
    <w:rsid w:val="00884CBF"/>
    <w:rsid w:val="00884F48"/>
    <w:rsid w:val="00886263"/>
    <w:rsid w:val="00890070"/>
    <w:rsid w:val="00890208"/>
    <w:rsid w:val="00890405"/>
    <w:rsid w:val="008907F0"/>
    <w:rsid w:val="00890B27"/>
    <w:rsid w:val="00890D36"/>
    <w:rsid w:val="008912E4"/>
    <w:rsid w:val="008920DC"/>
    <w:rsid w:val="008922AD"/>
    <w:rsid w:val="008927EA"/>
    <w:rsid w:val="008927EE"/>
    <w:rsid w:val="00892826"/>
    <w:rsid w:val="00893367"/>
    <w:rsid w:val="00894C0F"/>
    <w:rsid w:val="008956D1"/>
    <w:rsid w:val="008957EF"/>
    <w:rsid w:val="00895BB6"/>
    <w:rsid w:val="00896134"/>
    <w:rsid w:val="0089700B"/>
    <w:rsid w:val="00897087"/>
    <w:rsid w:val="008972B2"/>
    <w:rsid w:val="008976A1"/>
    <w:rsid w:val="00897B0F"/>
    <w:rsid w:val="00897CA1"/>
    <w:rsid w:val="008A0E25"/>
    <w:rsid w:val="008A1766"/>
    <w:rsid w:val="008A1D53"/>
    <w:rsid w:val="008A20C7"/>
    <w:rsid w:val="008A284D"/>
    <w:rsid w:val="008A3F9F"/>
    <w:rsid w:val="008A7911"/>
    <w:rsid w:val="008A7A9B"/>
    <w:rsid w:val="008A7CDD"/>
    <w:rsid w:val="008B1750"/>
    <w:rsid w:val="008B2BA7"/>
    <w:rsid w:val="008B2BDC"/>
    <w:rsid w:val="008B3494"/>
    <w:rsid w:val="008B4A35"/>
    <w:rsid w:val="008B5F3A"/>
    <w:rsid w:val="008B5FC3"/>
    <w:rsid w:val="008B60AF"/>
    <w:rsid w:val="008B7022"/>
    <w:rsid w:val="008C0A82"/>
    <w:rsid w:val="008C117C"/>
    <w:rsid w:val="008C1649"/>
    <w:rsid w:val="008C483F"/>
    <w:rsid w:val="008C4980"/>
    <w:rsid w:val="008C52BA"/>
    <w:rsid w:val="008C5798"/>
    <w:rsid w:val="008C61D8"/>
    <w:rsid w:val="008D0A24"/>
    <w:rsid w:val="008D257B"/>
    <w:rsid w:val="008D2BDD"/>
    <w:rsid w:val="008D33F8"/>
    <w:rsid w:val="008D40A7"/>
    <w:rsid w:val="008D4BC6"/>
    <w:rsid w:val="008D67E6"/>
    <w:rsid w:val="008D6AAD"/>
    <w:rsid w:val="008E190A"/>
    <w:rsid w:val="008E1A89"/>
    <w:rsid w:val="008E1C25"/>
    <w:rsid w:val="008E2DB0"/>
    <w:rsid w:val="008E4AD4"/>
    <w:rsid w:val="008E70BF"/>
    <w:rsid w:val="008F1906"/>
    <w:rsid w:val="008F1CC5"/>
    <w:rsid w:val="008F1F12"/>
    <w:rsid w:val="008F2550"/>
    <w:rsid w:val="008F2E54"/>
    <w:rsid w:val="008F43E5"/>
    <w:rsid w:val="008F5923"/>
    <w:rsid w:val="008F5A3B"/>
    <w:rsid w:val="008F6975"/>
    <w:rsid w:val="008F72C4"/>
    <w:rsid w:val="008F7EF5"/>
    <w:rsid w:val="00900A5F"/>
    <w:rsid w:val="00901861"/>
    <w:rsid w:val="00902050"/>
    <w:rsid w:val="00902108"/>
    <w:rsid w:val="00902865"/>
    <w:rsid w:val="009030D3"/>
    <w:rsid w:val="00903510"/>
    <w:rsid w:val="0090415F"/>
    <w:rsid w:val="00905756"/>
    <w:rsid w:val="00906DD1"/>
    <w:rsid w:val="009118BE"/>
    <w:rsid w:val="00911902"/>
    <w:rsid w:val="00916D38"/>
    <w:rsid w:val="009171F5"/>
    <w:rsid w:val="00917BA0"/>
    <w:rsid w:val="00917D94"/>
    <w:rsid w:val="00920E58"/>
    <w:rsid w:val="00921057"/>
    <w:rsid w:val="00921E42"/>
    <w:rsid w:val="009221E2"/>
    <w:rsid w:val="00922ACE"/>
    <w:rsid w:val="0092355F"/>
    <w:rsid w:val="00924122"/>
    <w:rsid w:val="00924169"/>
    <w:rsid w:val="009241E0"/>
    <w:rsid w:val="00924D7D"/>
    <w:rsid w:val="00927747"/>
    <w:rsid w:val="00927D6F"/>
    <w:rsid w:val="00927F62"/>
    <w:rsid w:val="00930CCE"/>
    <w:rsid w:val="00931A17"/>
    <w:rsid w:val="00934178"/>
    <w:rsid w:val="00934D88"/>
    <w:rsid w:val="009353AC"/>
    <w:rsid w:val="00935E1A"/>
    <w:rsid w:val="009360C0"/>
    <w:rsid w:val="0093639F"/>
    <w:rsid w:val="0093653B"/>
    <w:rsid w:val="00936FF7"/>
    <w:rsid w:val="00937550"/>
    <w:rsid w:val="0094028A"/>
    <w:rsid w:val="00940E82"/>
    <w:rsid w:val="0094183B"/>
    <w:rsid w:val="0094398C"/>
    <w:rsid w:val="00943ACC"/>
    <w:rsid w:val="00944643"/>
    <w:rsid w:val="00944C8D"/>
    <w:rsid w:val="00944E22"/>
    <w:rsid w:val="009461CD"/>
    <w:rsid w:val="00947084"/>
    <w:rsid w:val="00947FBD"/>
    <w:rsid w:val="009504BB"/>
    <w:rsid w:val="00950F90"/>
    <w:rsid w:val="0095138D"/>
    <w:rsid w:val="00951D00"/>
    <w:rsid w:val="00953E98"/>
    <w:rsid w:val="009543D1"/>
    <w:rsid w:val="00954A08"/>
    <w:rsid w:val="00955403"/>
    <w:rsid w:val="00955813"/>
    <w:rsid w:val="009570CA"/>
    <w:rsid w:val="00957526"/>
    <w:rsid w:val="00957C85"/>
    <w:rsid w:val="00957D24"/>
    <w:rsid w:val="00961FD4"/>
    <w:rsid w:val="009627FC"/>
    <w:rsid w:val="00962A95"/>
    <w:rsid w:val="00962B91"/>
    <w:rsid w:val="009630B4"/>
    <w:rsid w:val="00963735"/>
    <w:rsid w:val="00963A49"/>
    <w:rsid w:val="009650B3"/>
    <w:rsid w:val="00965964"/>
    <w:rsid w:val="00965BA7"/>
    <w:rsid w:val="00967B7A"/>
    <w:rsid w:val="00967D7E"/>
    <w:rsid w:val="009701EE"/>
    <w:rsid w:val="00970D44"/>
    <w:rsid w:val="00970F32"/>
    <w:rsid w:val="0097162D"/>
    <w:rsid w:val="009721C4"/>
    <w:rsid w:val="009722DB"/>
    <w:rsid w:val="0097272E"/>
    <w:rsid w:val="009732CE"/>
    <w:rsid w:val="00973AF6"/>
    <w:rsid w:val="00973B94"/>
    <w:rsid w:val="00975FAD"/>
    <w:rsid w:val="00976F80"/>
    <w:rsid w:val="00977B89"/>
    <w:rsid w:val="009805F2"/>
    <w:rsid w:val="00983548"/>
    <w:rsid w:val="00984C33"/>
    <w:rsid w:val="00984E46"/>
    <w:rsid w:val="00985060"/>
    <w:rsid w:val="00986052"/>
    <w:rsid w:val="00987C74"/>
    <w:rsid w:val="00990397"/>
    <w:rsid w:val="00991B11"/>
    <w:rsid w:val="00991EDB"/>
    <w:rsid w:val="009937F7"/>
    <w:rsid w:val="00994D0A"/>
    <w:rsid w:val="00994D71"/>
    <w:rsid w:val="00996C28"/>
    <w:rsid w:val="00996FA7"/>
    <w:rsid w:val="009977C9"/>
    <w:rsid w:val="00997C38"/>
    <w:rsid w:val="009A2117"/>
    <w:rsid w:val="009A2DA3"/>
    <w:rsid w:val="009A37EB"/>
    <w:rsid w:val="009A3ADF"/>
    <w:rsid w:val="009A4477"/>
    <w:rsid w:val="009A662A"/>
    <w:rsid w:val="009A6C03"/>
    <w:rsid w:val="009A76B2"/>
    <w:rsid w:val="009A7F06"/>
    <w:rsid w:val="009A7F2E"/>
    <w:rsid w:val="009B0C1D"/>
    <w:rsid w:val="009B1F97"/>
    <w:rsid w:val="009B2E68"/>
    <w:rsid w:val="009B2F4F"/>
    <w:rsid w:val="009B3995"/>
    <w:rsid w:val="009B4114"/>
    <w:rsid w:val="009B5639"/>
    <w:rsid w:val="009B702D"/>
    <w:rsid w:val="009B7FE4"/>
    <w:rsid w:val="009C005C"/>
    <w:rsid w:val="009C17E6"/>
    <w:rsid w:val="009C1828"/>
    <w:rsid w:val="009C1A22"/>
    <w:rsid w:val="009C2C3C"/>
    <w:rsid w:val="009C40A9"/>
    <w:rsid w:val="009C4156"/>
    <w:rsid w:val="009C4513"/>
    <w:rsid w:val="009C5B5F"/>
    <w:rsid w:val="009C60D3"/>
    <w:rsid w:val="009C6982"/>
    <w:rsid w:val="009C6AFA"/>
    <w:rsid w:val="009C7037"/>
    <w:rsid w:val="009C7943"/>
    <w:rsid w:val="009D0AFE"/>
    <w:rsid w:val="009D0D30"/>
    <w:rsid w:val="009D1A5C"/>
    <w:rsid w:val="009D2EAC"/>
    <w:rsid w:val="009D3894"/>
    <w:rsid w:val="009D4F4F"/>
    <w:rsid w:val="009D5F58"/>
    <w:rsid w:val="009D6E1C"/>
    <w:rsid w:val="009D746D"/>
    <w:rsid w:val="009D75DE"/>
    <w:rsid w:val="009D7945"/>
    <w:rsid w:val="009E04E4"/>
    <w:rsid w:val="009E0C18"/>
    <w:rsid w:val="009E2D21"/>
    <w:rsid w:val="009E2EFA"/>
    <w:rsid w:val="009E30A5"/>
    <w:rsid w:val="009E317A"/>
    <w:rsid w:val="009E3CEE"/>
    <w:rsid w:val="009E3EAC"/>
    <w:rsid w:val="009E3F63"/>
    <w:rsid w:val="009E4342"/>
    <w:rsid w:val="009E52B3"/>
    <w:rsid w:val="009E76CC"/>
    <w:rsid w:val="009F03B6"/>
    <w:rsid w:val="009F0432"/>
    <w:rsid w:val="009F0ADE"/>
    <w:rsid w:val="009F1FB2"/>
    <w:rsid w:val="009F2842"/>
    <w:rsid w:val="009F2CAA"/>
    <w:rsid w:val="009F40ED"/>
    <w:rsid w:val="009F451C"/>
    <w:rsid w:val="009F5F7B"/>
    <w:rsid w:val="009F691A"/>
    <w:rsid w:val="00A004B0"/>
    <w:rsid w:val="00A01376"/>
    <w:rsid w:val="00A0234F"/>
    <w:rsid w:val="00A0298A"/>
    <w:rsid w:val="00A02B53"/>
    <w:rsid w:val="00A03C51"/>
    <w:rsid w:val="00A04007"/>
    <w:rsid w:val="00A04E54"/>
    <w:rsid w:val="00A061EB"/>
    <w:rsid w:val="00A06334"/>
    <w:rsid w:val="00A0698F"/>
    <w:rsid w:val="00A10DFC"/>
    <w:rsid w:val="00A113DF"/>
    <w:rsid w:val="00A114BF"/>
    <w:rsid w:val="00A12A38"/>
    <w:rsid w:val="00A12E53"/>
    <w:rsid w:val="00A13DFC"/>
    <w:rsid w:val="00A150BB"/>
    <w:rsid w:val="00A157D7"/>
    <w:rsid w:val="00A16B16"/>
    <w:rsid w:val="00A1724F"/>
    <w:rsid w:val="00A17979"/>
    <w:rsid w:val="00A17BBB"/>
    <w:rsid w:val="00A22325"/>
    <w:rsid w:val="00A223B1"/>
    <w:rsid w:val="00A229E4"/>
    <w:rsid w:val="00A23478"/>
    <w:rsid w:val="00A23E03"/>
    <w:rsid w:val="00A24493"/>
    <w:rsid w:val="00A25176"/>
    <w:rsid w:val="00A26267"/>
    <w:rsid w:val="00A26761"/>
    <w:rsid w:val="00A269CF"/>
    <w:rsid w:val="00A26E03"/>
    <w:rsid w:val="00A30AE9"/>
    <w:rsid w:val="00A311C5"/>
    <w:rsid w:val="00A31C2C"/>
    <w:rsid w:val="00A31C66"/>
    <w:rsid w:val="00A33F8E"/>
    <w:rsid w:val="00A356B3"/>
    <w:rsid w:val="00A35813"/>
    <w:rsid w:val="00A364A1"/>
    <w:rsid w:val="00A36649"/>
    <w:rsid w:val="00A36D32"/>
    <w:rsid w:val="00A36E5F"/>
    <w:rsid w:val="00A401BC"/>
    <w:rsid w:val="00A40F25"/>
    <w:rsid w:val="00A412A3"/>
    <w:rsid w:val="00A423A7"/>
    <w:rsid w:val="00A430EB"/>
    <w:rsid w:val="00A43962"/>
    <w:rsid w:val="00A44F7D"/>
    <w:rsid w:val="00A47ED5"/>
    <w:rsid w:val="00A52C49"/>
    <w:rsid w:val="00A54C2F"/>
    <w:rsid w:val="00A54DBF"/>
    <w:rsid w:val="00A5534E"/>
    <w:rsid w:val="00A57022"/>
    <w:rsid w:val="00A608FD"/>
    <w:rsid w:val="00A60FC8"/>
    <w:rsid w:val="00A6177F"/>
    <w:rsid w:val="00A61A79"/>
    <w:rsid w:val="00A6315B"/>
    <w:rsid w:val="00A63606"/>
    <w:rsid w:val="00A64AD2"/>
    <w:rsid w:val="00A64D76"/>
    <w:rsid w:val="00A650B3"/>
    <w:rsid w:val="00A6573B"/>
    <w:rsid w:val="00A65B9D"/>
    <w:rsid w:val="00A66062"/>
    <w:rsid w:val="00A66317"/>
    <w:rsid w:val="00A66328"/>
    <w:rsid w:val="00A66E9E"/>
    <w:rsid w:val="00A675E8"/>
    <w:rsid w:val="00A70AB3"/>
    <w:rsid w:val="00A710F1"/>
    <w:rsid w:val="00A71D3F"/>
    <w:rsid w:val="00A71FF1"/>
    <w:rsid w:val="00A720CC"/>
    <w:rsid w:val="00A7213D"/>
    <w:rsid w:val="00A75F7E"/>
    <w:rsid w:val="00A76386"/>
    <w:rsid w:val="00A76AA3"/>
    <w:rsid w:val="00A77016"/>
    <w:rsid w:val="00A77136"/>
    <w:rsid w:val="00A7781C"/>
    <w:rsid w:val="00A77A43"/>
    <w:rsid w:val="00A8493F"/>
    <w:rsid w:val="00A84F3D"/>
    <w:rsid w:val="00A86DA7"/>
    <w:rsid w:val="00A90AD0"/>
    <w:rsid w:val="00A91DC0"/>
    <w:rsid w:val="00A91E49"/>
    <w:rsid w:val="00A9205A"/>
    <w:rsid w:val="00A953B4"/>
    <w:rsid w:val="00A9781D"/>
    <w:rsid w:val="00AA0FE4"/>
    <w:rsid w:val="00AA10CE"/>
    <w:rsid w:val="00AA2A57"/>
    <w:rsid w:val="00AA2C9B"/>
    <w:rsid w:val="00AA5738"/>
    <w:rsid w:val="00AA5FE0"/>
    <w:rsid w:val="00AA6191"/>
    <w:rsid w:val="00AA65EF"/>
    <w:rsid w:val="00AA787F"/>
    <w:rsid w:val="00AB07C4"/>
    <w:rsid w:val="00AB0FBF"/>
    <w:rsid w:val="00AB3272"/>
    <w:rsid w:val="00AB5A9E"/>
    <w:rsid w:val="00AB5BA1"/>
    <w:rsid w:val="00AB649B"/>
    <w:rsid w:val="00AB6942"/>
    <w:rsid w:val="00AB7331"/>
    <w:rsid w:val="00AC056B"/>
    <w:rsid w:val="00AC0C82"/>
    <w:rsid w:val="00AC18D7"/>
    <w:rsid w:val="00AC2611"/>
    <w:rsid w:val="00AC2E6A"/>
    <w:rsid w:val="00AC3E12"/>
    <w:rsid w:val="00AC44EB"/>
    <w:rsid w:val="00AC5A81"/>
    <w:rsid w:val="00AC5D57"/>
    <w:rsid w:val="00AC71A6"/>
    <w:rsid w:val="00AD02EC"/>
    <w:rsid w:val="00AD05A6"/>
    <w:rsid w:val="00AD3292"/>
    <w:rsid w:val="00AD388F"/>
    <w:rsid w:val="00AD436F"/>
    <w:rsid w:val="00AD503E"/>
    <w:rsid w:val="00AD5401"/>
    <w:rsid w:val="00AD7473"/>
    <w:rsid w:val="00AE0854"/>
    <w:rsid w:val="00AE0F77"/>
    <w:rsid w:val="00AE1EFF"/>
    <w:rsid w:val="00AE2657"/>
    <w:rsid w:val="00AE2D5E"/>
    <w:rsid w:val="00AE4C5E"/>
    <w:rsid w:val="00AE52B8"/>
    <w:rsid w:val="00AE53E8"/>
    <w:rsid w:val="00AE547C"/>
    <w:rsid w:val="00AE643F"/>
    <w:rsid w:val="00AE7805"/>
    <w:rsid w:val="00AE7BCB"/>
    <w:rsid w:val="00AE7C72"/>
    <w:rsid w:val="00AF0726"/>
    <w:rsid w:val="00AF0E11"/>
    <w:rsid w:val="00AF1125"/>
    <w:rsid w:val="00AF214C"/>
    <w:rsid w:val="00AF24B2"/>
    <w:rsid w:val="00AF3254"/>
    <w:rsid w:val="00AF3D5F"/>
    <w:rsid w:val="00AF4E13"/>
    <w:rsid w:val="00AF529C"/>
    <w:rsid w:val="00AF5345"/>
    <w:rsid w:val="00AF5B03"/>
    <w:rsid w:val="00AF5EB2"/>
    <w:rsid w:val="00AF60B7"/>
    <w:rsid w:val="00AF6AD7"/>
    <w:rsid w:val="00AF751E"/>
    <w:rsid w:val="00AF7F4A"/>
    <w:rsid w:val="00B00626"/>
    <w:rsid w:val="00B00632"/>
    <w:rsid w:val="00B01528"/>
    <w:rsid w:val="00B01A0B"/>
    <w:rsid w:val="00B03791"/>
    <w:rsid w:val="00B03D33"/>
    <w:rsid w:val="00B03F2D"/>
    <w:rsid w:val="00B040C8"/>
    <w:rsid w:val="00B047F1"/>
    <w:rsid w:val="00B051CC"/>
    <w:rsid w:val="00B05237"/>
    <w:rsid w:val="00B0532A"/>
    <w:rsid w:val="00B05878"/>
    <w:rsid w:val="00B129B5"/>
    <w:rsid w:val="00B173DF"/>
    <w:rsid w:val="00B17B31"/>
    <w:rsid w:val="00B17CC3"/>
    <w:rsid w:val="00B17FF8"/>
    <w:rsid w:val="00B20DA5"/>
    <w:rsid w:val="00B22D3D"/>
    <w:rsid w:val="00B235F7"/>
    <w:rsid w:val="00B242B8"/>
    <w:rsid w:val="00B24831"/>
    <w:rsid w:val="00B254D8"/>
    <w:rsid w:val="00B265A5"/>
    <w:rsid w:val="00B30840"/>
    <w:rsid w:val="00B30A72"/>
    <w:rsid w:val="00B30CF7"/>
    <w:rsid w:val="00B30F3E"/>
    <w:rsid w:val="00B3280B"/>
    <w:rsid w:val="00B34570"/>
    <w:rsid w:val="00B34708"/>
    <w:rsid w:val="00B34F7E"/>
    <w:rsid w:val="00B35085"/>
    <w:rsid w:val="00B353DE"/>
    <w:rsid w:val="00B365C9"/>
    <w:rsid w:val="00B37346"/>
    <w:rsid w:val="00B3783E"/>
    <w:rsid w:val="00B406F1"/>
    <w:rsid w:val="00B41CF1"/>
    <w:rsid w:val="00B43BAA"/>
    <w:rsid w:val="00B44A32"/>
    <w:rsid w:val="00B457AA"/>
    <w:rsid w:val="00B45C22"/>
    <w:rsid w:val="00B46F5D"/>
    <w:rsid w:val="00B5035C"/>
    <w:rsid w:val="00B510D1"/>
    <w:rsid w:val="00B51190"/>
    <w:rsid w:val="00B516F4"/>
    <w:rsid w:val="00B53695"/>
    <w:rsid w:val="00B552F4"/>
    <w:rsid w:val="00B56122"/>
    <w:rsid w:val="00B563EF"/>
    <w:rsid w:val="00B6021A"/>
    <w:rsid w:val="00B618FA"/>
    <w:rsid w:val="00B61CD8"/>
    <w:rsid w:val="00B61DDE"/>
    <w:rsid w:val="00B622BA"/>
    <w:rsid w:val="00B62739"/>
    <w:rsid w:val="00B62F8B"/>
    <w:rsid w:val="00B63DCC"/>
    <w:rsid w:val="00B63F07"/>
    <w:rsid w:val="00B64FD7"/>
    <w:rsid w:val="00B6546E"/>
    <w:rsid w:val="00B65FD9"/>
    <w:rsid w:val="00B66028"/>
    <w:rsid w:val="00B6616E"/>
    <w:rsid w:val="00B6634F"/>
    <w:rsid w:val="00B67FDC"/>
    <w:rsid w:val="00B708CF"/>
    <w:rsid w:val="00B71697"/>
    <w:rsid w:val="00B71781"/>
    <w:rsid w:val="00B71D07"/>
    <w:rsid w:val="00B7222E"/>
    <w:rsid w:val="00B73196"/>
    <w:rsid w:val="00B7336C"/>
    <w:rsid w:val="00B74218"/>
    <w:rsid w:val="00B7548C"/>
    <w:rsid w:val="00B76C6A"/>
    <w:rsid w:val="00B76CDD"/>
    <w:rsid w:val="00B7748F"/>
    <w:rsid w:val="00B77794"/>
    <w:rsid w:val="00B80677"/>
    <w:rsid w:val="00B81482"/>
    <w:rsid w:val="00B81FBF"/>
    <w:rsid w:val="00B82437"/>
    <w:rsid w:val="00B829A8"/>
    <w:rsid w:val="00B829B3"/>
    <w:rsid w:val="00B83749"/>
    <w:rsid w:val="00B860BD"/>
    <w:rsid w:val="00B860F7"/>
    <w:rsid w:val="00B86579"/>
    <w:rsid w:val="00B873C9"/>
    <w:rsid w:val="00B87617"/>
    <w:rsid w:val="00B912EC"/>
    <w:rsid w:val="00B9203C"/>
    <w:rsid w:val="00B92684"/>
    <w:rsid w:val="00B93167"/>
    <w:rsid w:val="00B95065"/>
    <w:rsid w:val="00B957B7"/>
    <w:rsid w:val="00B95FF0"/>
    <w:rsid w:val="00B96028"/>
    <w:rsid w:val="00B96704"/>
    <w:rsid w:val="00B96CEA"/>
    <w:rsid w:val="00B96E93"/>
    <w:rsid w:val="00B971AE"/>
    <w:rsid w:val="00B97AE8"/>
    <w:rsid w:val="00BA2289"/>
    <w:rsid w:val="00BA3745"/>
    <w:rsid w:val="00BA6970"/>
    <w:rsid w:val="00BA783E"/>
    <w:rsid w:val="00BB01C4"/>
    <w:rsid w:val="00BB1DDF"/>
    <w:rsid w:val="00BB1F05"/>
    <w:rsid w:val="00BB211A"/>
    <w:rsid w:val="00BB4665"/>
    <w:rsid w:val="00BB473F"/>
    <w:rsid w:val="00BB48DA"/>
    <w:rsid w:val="00BB4A4E"/>
    <w:rsid w:val="00BC0DB9"/>
    <w:rsid w:val="00BC1CC8"/>
    <w:rsid w:val="00BC2D7C"/>
    <w:rsid w:val="00BC5B5E"/>
    <w:rsid w:val="00BC5E6B"/>
    <w:rsid w:val="00BC6124"/>
    <w:rsid w:val="00BC76D0"/>
    <w:rsid w:val="00BC7D03"/>
    <w:rsid w:val="00BD02E5"/>
    <w:rsid w:val="00BD2989"/>
    <w:rsid w:val="00BD2C2E"/>
    <w:rsid w:val="00BD3529"/>
    <w:rsid w:val="00BD35F9"/>
    <w:rsid w:val="00BD6FBD"/>
    <w:rsid w:val="00BE0E8D"/>
    <w:rsid w:val="00BE134F"/>
    <w:rsid w:val="00BE2396"/>
    <w:rsid w:val="00BE3538"/>
    <w:rsid w:val="00BE4EA8"/>
    <w:rsid w:val="00BE5195"/>
    <w:rsid w:val="00BE56ED"/>
    <w:rsid w:val="00BE67E4"/>
    <w:rsid w:val="00BE77A5"/>
    <w:rsid w:val="00BF10F5"/>
    <w:rsid w:val="00BF158F"/>
    <w:rsid w:val="00BF1A77"/>
    <w:rsid w:val="00BF1A98"/>
    <w:rsid w:val="00BF2576"/>
    <w:rsid w:val="00BF3F2C"/>
    <w:rsid w:val="00BF5106"/>
    <w:rsid w:val="00BF5720"/>
    <w:rsid w:val="00BF583E"/>
    <w:rsid w:val="00BF5D19"/>
    <w:rsid w:val="00BF5DF9"/>
    <w:rsid w:val="00BF7031"/>
    <w:rsid w:val="00C00153"/>
    <w:rsid w:val="00C00321"/>
    <w:rsid w:val="00C0043D"/>
    <w:rsid w:val="00C013C1"/>
    <w:rsid w:val="00C023AC"/>
    <w:rsid w:val="00C024B1"/>
    <w:rsid w:val="00C032E9"/>
    <w:rsid w:val="00C033A9"/>
    <w:rsid w:val="00C03529"/>
    <w:rsid w:val="00C03950"/>
    <w:rsid w:val="00C04C39"/>
    <w:rsid w:val="00C04E50"/>
    <w:rsid w:val="00C053AA"/>
    <w:rsid w:val="00C05572"/>
    <w:rsid w:val="00C055DB"/>
    <w:rsid w:val="00C066EC"/>
    <w:rsid w:val="00C06758"/>
    <w:rsid w:val="00C10CA2"/>
    <w:rsid w:val="00C10E6A"/>
    <w:rsid w:val="00C1154C"/>
    <w:rsid w:val="00C11950"/>
    <w:rsid w:val="00C11CA8"/>
    <w:rsid w:val="00C1279D"/>
    <w:rsid w:val="00C14274"/>
    <w:rsid w:val="00C16581"/>
    <w:rsid w:val="00C17B97"/>
    <w:rsid w:val="00C200B3"/>
    <w:rsid w:val="00C20338"/>
    <w:rsid w:val="00C207C9"/>
    <w:rsid w:val="00C2114D"/>
    <w:rsid w:val="00C214E5"/>
    <w:rsid w:val="00C21884"/>
    <w:rsid w:val="00C2487C"/>
    <w:rsid w:val="00C24B34"/>
    <w:rsid w:val="00C24F8E"/>
    <w:rsid w:val="00C26F79"/>
    <w:rsid w:val="00C27666"/>
    <w:rsid w:val="00C276B1"/>
    <w:rsid w:val="00C308AD"/>
    <w:rsid w:val="00C31091"/>
    <w:rsid w:val="00C31C0D"/>
    <w:rsid w:val="00C32280"/>
    <w:rsid w:val="00C33673"/>
    <w:rsid w:val="00C342E0"/>
    <w:rsid w:val="00C343BD"/>
    <w:rsid w:val="00C3561A"/>
    <w:rsid w:val="00C36730"/>
    <w:rsid w:val="00C36B4C"/>
    <w:rsid w:val="00C3716E"/>
    <w:rsid w:val="00C37244"/>
    <w:rsid w:val="00C374D4"/>
    <w:rsid w:val="00C37A43"/>
    <w:rsid w:val="00C4141D"/>
    <w:rsid w:val="00C43DAF"/>
    <w:rsid w:val="00C44CBA"/>
    <w:rsid w:val="00C44D5D"/>
    <w:rsid w:val="00C4572D"/>
    <w:rsid w:val="00C45AAA"/>
    <w:rsid w:val="00C46721"/>
    <w:rsid w:val="00C46EC8"/>
    <w:rsid w:val="00C470B7"/>
    <w:rsid w:val="00C47E65"/>
    <w:rsid w:val="00C50096"/>
    <w:rsid w:val="00C52FF7"/>
    <w:rsid w:val="00C536FD"/>
    <w:rsid w:val="00C53F11"/>
    <w:rsid w:val="00C546FF"/>
    <w:rsid w:val="00C54A1E"/>
    <w:rsid w:val="00C54B84"/>
    <w:rsid w:val="00C54C86"/>
    <w:rsid w:val="00C55185"/>
    <w:rsid w:val="00C56178"/>
    <w:rsid w:val="00C56318"/>
    <w:rsid w:val="00C56687"/>
    <w:rsid w:val="00C56F97"/>
    <w:rsid w:val="00C571FB"/>
    <w:rsid w:val="00C573C6"/>
    <w:rsid w:val="00C577A9"/>
    <w:rsid w:val="00C60D99"/>
    <w:rsid w:val="00C62779"/>
    <w:rsid w:val="00C6593C"/>
    <w:rsid w:val="00C674B4"/>
    <w:rsid w:val="00C6787B"/>
    <w:rsid w:val="00C678B1"/>
    <w:rsid w:val="00C717FC"/>
    <w:rsid w:val="00C72455"/>
    <w:rsid w:val="00C7249B"/>
    <w:rsid w:val="00C733C6"/>
    <w:rsid w:val="00C73546"/>
    <w:rsid w:val="00C74392"/>
    <w:rsid w:val="00C74422"/>
    <w:rsid w:val="00C7490A"/>
    <w:rsid w:val="00C74C93"/>
    <w:rsid w:val="00C75948"/>
    <w:rsid w:val="00C76D3F"/>
    <w:rsid w:val="00C77D0F"/>
    <w:rsid w:val="00C80B09"/>
    <w:rsid w:val="00C80BD3"/>
    <w:rsid w:val="00C8171E"/>
    <w:rsid w:val="00C83061"/>
    <w:rsid w:val="00C8337E"/>
    <w:rsid w:val="00C83CDE"/>
    <w:rsid w:val="00C854A1"/>
    <w:rsid w:val="00C85EEF"/>
    <w:rsid w:val="00C85FD8"/>
    <w:rsid w:val="00C8624C"/>
    <w:rsid w:val="00C86D33"/>
    <w:rsid w:val="00C8715C"/>
    <w:rsid w:val="00C928B6"/>
    <w:rsid w:val="00C92B2B"/>
    <w:rsid w:val="00C93F32"/>
    <w:rsid w:val="00C94428"/>
    <w:rsid w:val="00C94775"/>
    <w:rsid w:val="00C947A9"/>
    <w:rsid w:val="00C9495D"/>
    <w:rsid w:val="00C949D0"/>
    <w:rsid w:val="00C94BD0"/>
    <w:rsid w:val="00C94D3F"/>
    <w:rsid w:val="00C95D73"/>
    <w:rsid w:val="00C96A92"/>
    <w:rsid w:val="00C972C8"/>
    <w:rsid w:val="00C97A89"/>
    <w:rsid w:val="00CA04B4"/>
    <w:rsid w:val="00CA0858"/>
    <w:rsid w:val="00CA2735"/>
    <w:rsid w:val="00CA41E6"/>
    <w:rsid w:val="00CA492E"/>
    <w:rsid w:val="00CA4C09"/>
    <w:rsid w:val="00CA4FA9"/>
    <w:rsid w:val="00CA5DBC"/>
    <w:rsid w:val="00CA61C6"/>
    <w:rsid w:val="00CA664F"/>
    <w:rsid w:val="00CA6716"/>
    <w:rsid w:val="00CA6DEF"/>
    <w:rsid w:val="00CA6FAC"/>
    <w:rsid w:val="00CA74CA"/>
    <w:rsid w:val="00CB0908"/>
    <w:rsid w:val="00CB09A1"/>
    <w:rsid w:val="00CB0E59"/>
    <w:rsid w:val="00CB146D"/>
    <w:rsid w:val="00CB1F57"/>
    <w:rsid w:val="00CB2567"/>
    <w:rsid w:val="00CB3138"/>
    <w:rsid w:val="00CB37BC"/>
    <w:rsid w:val="00CB3F35"/>
    <w:rsid w:val="00CB4D1B"/>
    <w:rsid w:val="00CB5505"/>
    <w:rsid w:val="00CB79A7"/>
    <w:rsid w:val="00CB7F8C"/>
    <w:rsid w:val="00CC1780"/>
    <w:rsid w:val="00CC31F4"/>
    <w:rsid w:val="00CC3536"/>
    <w:rsid w:val="00CC37C1"/>
    <w:rsid w:val="00CC4A07"/>
    <w:rsid w:val="00CC4E9E"/>
    <w:rsid w:val="00CC4F1D"/>
    <w:rsid w:val="00CC6E1E"/>
    <w:rsid w:val="00CC7338"/>
    <w:rsid w:val="00CC7BDF"/>
    <w:rsid w:val="00CD13C5"/>
    <w:rsid w:val="00CD15A8"/>
    <w:rsid w:val="00CD1A5F"/>
    <w:rsid w:val="00CD2317"/>
    <w:rsid w:val="00CD2B0E"/>
    <w:rsid w:val="00CD332E"/>
    <w:rsid w:val="00CD3D6F"/>
    <w:rsid w:val="00CD413B"/>
    <w:rsid w:val="00CD4895"/>
    <w:rsid w:val="00CD671E"/>
    <w:rsid w:val="00CD683F"/>
    <w:rsid w:val="00CD6B90"/>
    <w:rsid w:val="00CD6DFA"/>
    <w:rsid w:val="00CD782D"/>
    <w:rsid w:val="00CD7ACC"/>
    <w:rsid w:val="00CE1760"/>
    <w:rsid w:val="00CE1E5E"/>
    <w:rsid w:val="00CE202C"/>
    <w:rsid w:val="00CE35C1"/>
    <w:rsid w:val="00CE5CEA"/>
    <w:rsid w:val="00CE60BB"/>
    <w:rsid w:val="00CE6691"/>
    <w:rsid w:val="00CE688C"/>
    <w:rsid w:val="00CE6911"/>
    <w:rsid w:val="00CE71E5"/>
    <w:rsid w:val="00CE7BA9"/>
    <w:rsid w:val="00CF01F7"/>
    <w:rsid w:val="00CF0F26"/>
    <w:rsid w:val="00CF17C0"/>
    <w:rsid w:val="00CF1C62"/>
    <w:rsid w:val="00CF2659"/>
    <w:rsid w:val="00CF3E49"/>
    <w:rsid w:val="00CF4348"/>
    <w:rsid w:val="00CF540D"/>
    <w:rsid w:val="00CF559C"/>
    <w:rsid w:val="00CF661C"/>
    <w:rsid w:val="00CF6E6C"/>
    <w:rsid w:val="00CF7404"/>
    <w:rsid w:val="00CF77DC"/>
    <w:rsid w:val="00CF7D0F"/>
    <w:rsid w:val="00D0086F"/>
    <w:rsid w:val="00D01B22"/>
    <w:rsid w:val="00D02682"/>
    <w:rsid w:val="00D03794"/>
    <w:rsid w:val="00D03E15"/>
    <w:rsid w:val="00D04C48"/>
    <w:rsid w:val="00D05C60"/>
    <w:rsid w:val="00D069EF"/>
    <w:rsid w:val="00D06F63"/>
    <w:rsid w:val="00D074F7"/>
    <w:rsid w:val="00D07B4A"/>
    <w:rsid w:val="00D07DF0"/>
    <w:rsid w:val="00D13147"/>
    <w:rsid w:val="00D14046"/>
    <w:rsid w:val="00D14818"/>
    <w:rsid w:val="00D15111"/>
    <w:rsid w:val="00D15DD3"/>
    <w:rsid w:val="00D167ED"/>
    <w:rsid w:val="00D16D7B"/>
    <w:rsid w:val="00D20341"/>
    <w:rsid w:val="00D204CD"/>
    <w:rsid w:val="00D2134B"/>
    <w:rsid w:val="00D214BD"/>
    <w:rsid w:val="00D21751"/>
    <w:rsid w:val="00D21F6E"/>
    <w:rsid w:val="00D22CFE"/>
    <w:rsid w:val="00D23A72"/>
    <w:rsid w:val="00D23AB2"/>
    <w:rsid w:val="00D25135"/>
    <w:rsid w:val="00D258D8"/>
    <w:rsid w:val="00D26331"/>
    <w:rsid w:val="00D2652D"/>
    <w:rsid w:val="00D27104"/>
    <w:rsid w:val="00D301D2"/>
    <w:rsid w:val="00D30CEF"/>
    <w:rsid w:val="00D31C1B"/>
    <w:rsid w:val="00D325C2"/>
    <w:rsid w:val="00D33A1A"/>
    <w:rsid w:val="00D34A01"/>
    <w:rsid w:val="00D353A8"/>
    <w:rsid w:val="00D37BBE"/>
    <w:rsid w:val="00D40E17"/>
    <w:rsid w:val="00D42242"/>
    <w:rsid w:val="00D422B5"/>
    <w:rsid w:val="00D42832"/>
    <w:rsid w:val="00D43662"/>
    <w:rsid w:val="00D437C5"/>
    <w:rsid w:val="00D45208"/>
    <w:rsid w:val="00D45568"/>
    <w:rsid w:val="00D46F89"/>
    <w:rsid w:val="00D51C6E"/>
    <w:rsid w:val="00D51D87"/>
    <w:rsid w:val="00D52DAF"/>
    <w:rsid w:val="00D53CE2"/>
    <w:rsid w:val="00D543F3"/>
    <w:rsid w:val="00D609E5"/>
    <w:rsid w:val="00D62C5C"/>
    <w:rsid w:val="00D636FC"/>
    <w:rsid w:val="00D651BC"/>
    <w:rsid w:val="00D66971"/>
    <w:rsid w:val="00D6718C"/>
    <w:rsid w:val="00D67577"/>
    <w:rsid w:val="00D67E83"/>
    <w:rsid w:val="00D704D6"/>
    <w:rsid w:val="00D70666"/>
    <w:rsid w:val="00D708A9"/>
    <w:rsid w:val="00D708B7"/>
    <w:rsid w:val="00D7147A"/>
    <w:rsid w:val="00D71896"/>
    <w:rsid w:val="00D73F71"/>
    <w:rsid w:val="00D748E1"/>
    <w:rsid w:val="00D74DBB"/>
    <w:rsid w:val="00D75048"/>
    <w:rsid w:val="00D755A7"/>
    <w:rsid w:val="00D75ECC"/>
    <w:rsid w:val="00D77B37"/>
    <w:rsid w:val="00D80173"/>
    <w:rsid w:val="00D80B32"/>
    <w:rsid w:val="00D81357"/>
    <w:rsid w:val="00D81BE4"/>
    <w:rsid w:val="00D81D4D"/>
    <w:rsid w:val="00D823A9"/>
    <w:rsid w:val="00D8304C"/>
    <w:rsid w:val="00D83E51"/>
    <w:rsid w:val="00D83FB6"/>
    <w:rsid w:val="00D84CF8"/>
    <w:rsid w:val="00D85D3C"/>
    <w:rsid w:val="00D864D9"/>
    <w:rsid w:val="00D90217"/>
    <w:rsid w:val="00D9048E"/>
    <w:rsid w:val="00D91F7D"/>
    <w:rsid w:val="00D92A5F"/>
    <w:rsid w:val="00D92ED6"/>
    <w:rsid w:val="00D931DB"/>
    <w:rsid w:val="00D95224"/>
    <w:rsid w:val="00D95989"/>
    <w:rsid w:val="00D96184"/>
    <w:rsid w:val="00D96C89"/>
    <w:rsid w:val="00D97320"/>
    <w:rsid w:val="00DA1D51"/>
    <w:rsid w:val="00DA26D7"/>
    <w:rsid w:val="00DA50AA"/>
    <w:rsid w:val="00DA52E8"/>
    <w:rsid w:val="00DA6836"/>
    <w:rsid w:val="00DA6C57"/>
    <w:rsid w:val="00DB4817"/>
    <w:rsid w:val="00DB4CF9"/>
    <w:rsid w:val="00DB5B78"/>
    <w:rsid w:val="00DB60E3"/>
    <w:rsid w:val="00DB627A"/>
    <w:rsid w:val="00DB65E1"/>
    <w:rsid w:val="00DB77F0"/>
    <w:rsid w:val="00DB7BF0"/>
    <w:rsid w:val="00DC2A0C"/>
    <w:rsid w:val="00DC3260"/>
    <w:rsid w:val="00DC38E4"/>
    <w:rsid w:val="00DC4618"/>
    <w:rsid w:val="00DC54A4"/>
    <w:rsid w:val="00DC7DAF"/>
    <w:rsid w:val="00DD2C65"/>
    <w:rsid w:val="00DD3A76"/>
    <w:rsid w:val="00DD491D"/>
    <w:rsid w:val="00DD593A"/>
    <w:rsid w:val="00DD7BB6"/>
    <w:rsid w:val="00DD7E1C"/>
    <w:rsid w:val="00DE1923"/>
    <w:rsid w:val="00DE1FE9"/>
    <w:rsid w:val="00DE23F2"/>
    <w:rsid w:val="00DE3558"/>
    <w:rsid w:val="00DE38A1"/>
    <w:rsid w:val="00DE4521"/>
    <w:rsid w:val="00DE4B32"/>
    <w:rsid w:val="00DE4ED2"/>
    <w:rsid w:val="00DE5012"/>
    <w:rsid w:val="00DE591C"/>
    <w:rsid w:val="00DE65E0"/>
    <w:rsid w:val="00DE6612"/>
    <w:rsid w:val="00DE68E0"/>
    <w:rsid w:val="00DE6AEA"/>
    <w:rsid w:val="00DF20F8"/>
    <w:rsid w:val="00DF274C"/>
    <w:rsid w:val="00DF2811"/>
    <w:rsid w:val="00DF2AF5"/>
    <w:rsid w:val="00DF2C8F"/>
    <w:rsid w:val="00DF3C21"/>
    <w:rsid w:val="00DF42DB"/>
    <w:rsid w:val="00DF6487"/>
    <w:rsid w:val="00DF677E"/>
    <w:rsid w:val="00DF6901"/>
    <w:rsid w:val="00DF78AE"/>
    <w:rsid w:val="00E0010B"/>
    <w:rsid w:val="00E00E5A"/>
    <w:rsid w:val="00E0144B"/>
    <w:rsid w:val="00E01976"/>
    <w:rsid w:val="00E0203D"/>
    <w:rsid w:val="00E022A7"/>
    <w:rsid w:val="00E03AF1"/>
    <w:rsid w:val="00E03F63"/>
    <w:rsid w:val="00E04BEC"/>
    <w:rsid w:val="00E06001"/>
    <w:rsid w:val="00E07E4C"/>
    <w:rsid w:val="00E102BB"/>
    <w:rsid w:val="00E10349"/>
    <w:rsid w:val="00E10E15"/>
    <w:rsid w:val="00E116BB"/>
    <w:rsid w:val="00E118ED"/>
    <w:rsid w:val="00E11BAC"/>
    <w:rsid w:val="00E126E0"/>
    <w:rsid w:val="00E13114"/>
    <w:rsid w:val="00E1351B"/>
    <w:rsid w:val="00E13656"/>
    <w:rsid w:val="00E14771"/>
    <w:rsid w:val="00E152A4"/>
    <w:rsid w:val="00E1642A"/>
    <w:rsid w:val="00E1651B"/>
    <w:rsid w:val="00E1655E"/>
    <w:rsid w:val="00E17D68"/>
    <w:rsid w:val="00E20BD3"/>
    <w:rsid w:val="00E21CDF"/>
    <w:rsid w:val="00E21DED"/>
    <w:rsid w:val="00E22F11"/>
    <w:rsid w:val="00E2554C"/>
    <w:rsid w:val="00E25A5E"/>
    <w:rsid w:val="00E25D31"/>
    <w:rsid w:val="00E25FA6"/>
    <w:rsid w:val="00E26128"/>
    <w:rsid w:val="00E263F2"/>
    <w:rsid w:val="00E27E4C"/>
    <w:rsid w:val="00E301EE"/>
    <w:rsid w:val="00E30818"/>
    <w:rsid w:val="00E30BEB"/>
    <w:rsid w:val="00E30C69"/>
    <w:rsid w:val="00E31542"/>
    <w:rsid w:val="00E318B5"/>
    <w:rsid w:val="00E32472"/>
    <w:rsid w:val="00E32E47"/>
    <w:rsid w:val="00E33DBD"/>
    <w:rsid w:val="00E34AAD"/>
    <w:rsid w:val="00E34C91"/>
    <w:rsid w:val="00E356CB"/>
    <w:rsid w:val="00E364D8"/>
    <w:rsid w:val="00E366DA"/>
    <w:rsid w:val="00E36BE2"/>
    <w:rsid w:val="00E36CCB"/>
    <w:rsid w:val="00E3755B"/>
    <w:rsid w:val="00E37CC9"/>
    <w:rsid w:val="00E40A03"/>
    <w:rsid w:val="00E42270"/>
    <w:rsid w:val="00E43930"/>
    <w:rsid w:val="00E44E3C"/>
    <w:rsid w:val="00E45CD7"/>
    <w:rsid w:val="00E46DBD"/>
    <w:rsid w:val="00E4759B"/>
    <w:rsid w:val="00E47B17"/>
    <w:rsid w:val="00E5079A"/>
    <w:rsid w:val="00E50B8E"/>
    <w:rsid w:val="00E50FBC"/>
    <w:rsid w:val="00E5160A"/>
    <w:rsid w:val="00E517EF"/>
    <w:rsid w:val="00E52BE0"/>
    <w:rsid w:val="00E52FAD"/>
    <w:rsid w:val="00E544CF"/>
    <w:rsid w:val="00E5485A"/>
    <w:rsid w:val="00E562B4"/>
    <w:rsid w:val="00E568E1"/>
    <w:rsid w:val="00E56CE6"/>
    <w:rsid w:val="00E574FC"/>
    <w:rsid w:val="00E60629"/>
    <w:rsid w:val="00E60695"/>
    <w:rsid w:val="00E61043"/>
    <w:rsid w:val="00E61CF3"/>
    <w:rsid w:val="00E61E4D"/>
    <w:rsid w:val="00E63263"/>
    <w:rsid w:val="00E63E75"/>
    <w:rsid w:val="00E63FD5"/>
    <w:rsid w:val="00E6515F"/>
    <w:rsid w:val="00E65AAE"/>
    <w:rsid w:val="00E65BF2"/>
    <w:rsid w:val="00E65CDD"/>
    <w:rsid w:val="00E6611C"/>
    <w:rsid w:val="00E669A9"/>
    <w:rsid w:val="00E672C7"/>
    <w:rsid w:val="00E674FB"/>
    <w:rsid w:val="00E676FF"/>
    <w:rsid w:val="00E70586"/>
    <w:rsid w:val="00E70A43"/>
    <w:rsid w:val="00E70AEE"/>
    <w:rsid w:val="00E73406"/>
    <w:rsid w:val="00E74B8C"/>
    <w:rsid w:val="00E74DD3"/>
    <w:rsid w:val="00E75B91"/>
    <w:rsid w:val="00E7625C"/>
    <w:rsid w:val="00E76BC5"/>
    <w:rsid w:val="00E770FC"/>
    <w:rsid w:val="00E7781F"/>
    <w:rsid w:val="00E77FF7"/>
    <w:rsid w:val="00E810FE"/>
    <w:rsid w:val="00E824FD"/>
    <w:rsid w:val="00E83879"/>
    <w:rsid w:val="00E851CE"/>
    <w:rsid w:val="00E8596C"/>
    <w:rsid w:val="00E8644B"/>
    <w:rsid w:val="00E864A9"/>
    <w:rsid w:val="00E865C0"/>
    <w:rsid w:val="00E86BFD"/>
    <w:rsid w:val="00E86CB1"/>
    <w:rsid w:val="00E87B01"/>
    <w:rsid w:val="00E87D67"/>
    <w:rsid w:val="00E900AF"/>
    <w:rsid w:val="00E9176C"/>
    <w:rsid w:val="00E91CC1"/>
    <w:rsid w:val="00E91F29"/>
    <w:rsid w:val="00E930DD"/>
    <w:rsid w:val="00E93FCD"/>
    <w:rsid w:val="00E94FC2"/>
    <w:rsid w:val="00E95C92"/>
    <w:rsid w:val="00E95E66"/>
    <w:rsid w:val="00E97CC8"/>
    <w:rsid w:val="00EA0984"/>
    <w:rsid w:val="00EA2B6D"/>
    <w:rsid w:val="00EA3C71"/>
    <w:rsid w:val="00EA5051"/>
    <w:rsid w:val="00EA50DE"/>
    <w:rsid w:val="00EA5A8D"/>
    <w:rsid w:val="00EA5DD7"/>
    <w:rsid w:val="00EA61A2"/>
    <w:rsid w:val="00EA689F"/>
    <w:rsid w:val="00EA6FC9"/>
    <w:rsid w:val="00EB0134"/>
    <w:rsid w:val="00EB050A"/>
    <w:rsid w:val="00EB116F"/>
    <w:rsid w:val="00EB14C9"/>
    <w:rsid w:val="00EB1B36"/>
    <w:rsid w:val="00EB1CAB"/>
    <w:rsid w:val="00EB1D29"/>
    <w:rsid w:val="00EB20D1"/>
    <w:rsid w:val="00EB22BF"/>
    <w:rsid w:val="00EB2C5F"/>
    <w:rsid w:val="00EB2CB1"/>
    <w:rsid w:val="00EB33E2"/>
    <w:rsid w:val="00EB403E"/>
    <w:rsid w:val="00EB5AFB"/>
    <w:rsid w:val="00EB7531"/>
    <w:rsid w:val="00EB7589"/>
    <w:rsid w:val="00EC032D"/>
    <w:rsid w:val="00EC0D2E"/>
    <w:rsid w:val="00EC1E91"/>
    <w:rsid w:val="00EC327F"/>
    <w:rsid w:val="00EC3A18"/>
    <w:rsid w:val="00EC3DF3"/>
    <w:rsid w:val="00EC520A"/>
    <w:rsid w:val="00EC5217"/>
    <w:rsid w:val="00EC55CB"/>
    <w:rsid w:val="00EC5C09"/>
    <w:rsid w:val="00EC7A99"/>
    <w:rsid w:val="00EC7B0A"/>
    <w:rsid w:val="00ED073D"/>
    <w:rsid w:val="00ED0CFD"/>
    <w:rsid w:val="00ED0ED7"/>
    <w:rsid w:val="00ED12E2"/>
    <w:rsid w:val="00ED1700"/>
    <w:rsid w:val="00ED1E4A"/>
    <w:rsid w:val="00ED1E58"/>
    <w:rsid w:val="00ED26C2"/>
    <w:rsid w:val="00ED28E0"/>
    <w:rsid w:val="00ED4EE5"/>
    <w:rsid w:val="00ED53B6"/>
    <w:rsid w:val="00ED6B08"/>
    <w:rsid w:val="00ED6E07"/>
    <w:rsid w:val="00ED7EDF"/>
    <w:rsid w:val="00EE0DDE"/>
    <w:rsid w:val="00EE1A11"/>
    <w:rsid w:val="00EE298B"/>
    <w:rsid w:val="00EE47A2"/>
    <w:rsid w:val="00EE4FA0"/>
    <w:rsid w:val="00EE622A"/>
    <w:rsid w:val="00EE647C"/>
    <w:rsid w:val="00EE6DB9"/>
    <w:rsid w:val="00EF202E"/>
    <w:rsid w:val="00EF21E1"/>
    <w:rsid w:val="00EF25DD"/>
    <w:rsid w:val="00EF3039"/>
    <w:rsid w:val="00EF3D97"/>
    <w:rsid w:val="00EF462D"/>
    <w:rsid w:val="00EF4908"/>
    <w:rsid w:val="00EF5B96"/>
    <w:rsid w:val="00EF67C4"/>
    <w:rsid w:val="00EF6BB6"/>
    <w:rsid w:val="00EF6C5A"/>
    <w:rsid w:val="00EF6C78"/>
    <w:rsid w:val="00EF7576"/>
    <w:rsid w:val="00F00618"/>
    <w:rsid w:val="00F00669"/>
    <w:rsid w:val="00F00C15"/>
    <w:rsid w:val="00F018B7"/>
    <w:rsid w:val="00F01ED5"/>
    <w:rsid w:val="00F06C54"/>
    <w:rsid w:val="00F1028E"/>
    <w:rsid w:val="00F11047"/>
    <w:rsid w:val="00F11576"/>
    <w:rsid w:val="00F115AA"/>
    <w:rsid w:val="00F117D2"/>
    <w:rsid w:val="00F11C52"/>
    <w:rsid w:val="00F12BB1"/>
    <w:rsid w:val="00F12BCE"/>
    <w:rsid w:val="00F13704"/>
    <w:rsid w:val="00F137A4"/>
    <w:rsid w:val="00F13D85"/>
    <w:rsid w:val="00F15568"/>
    <w:rsid w:val="00F15F6A"/>
    <w:rsid w:val="00F16B41"/>
    <w:rsid w:val="00F16DA2"/>
    <w:rsid w:val="00F171ED"/>
    <w:rsid w:val="00F17700"/>
    <w:rsid w:val="00F17C5A"/>
    <w:rsid w:val="00F20788"/>
    <w:rsid w:val="00F214DB"/>
    <w:rsid w:val="00F22502"/>
    <w:rsid w:val="00F230A4"/>
    <w:rsid w:val="00F23466"/>
    <w:rsid w:val="00F24261"/>
    <w:rsid w:val="00F2429D"/>
    <w:rsid w:val="00F24571"/>
    <w:rsid w:val="00F245C8"/>
    <w:rsid w:val="00F24746"/>
    <w:rsid w:val="00F275D7"/>
    <w:rsid w:val="00F276D0"/>
    <w:rsid w:val="00F27B66"/>
    <w:rsid w:val="00F306A2"/>
    <w:rsid w:val="00F31F11"/>
    <w:rsid w:val="00F320EE"/>
    <w:rsid w:val="00F32CFE"/>
    <w:rsid w:val="00F32EF9"/>
    <w:rsid w:val="00F33B5B"/>
    <w:rsid w:val="00F34ACA"/>
    <w:rsid w:val="00F365A2"/>
    <w:rsid w:val="00F36DEA"/>
    <w:rsid w:val="00F400FA"/>
    <w:rsid w:val="00F4050E"/>
    <w:rsid w:val="00F4071A"/>
    <w:rsid w:val="00F416C6"/>
    <w:rsid w:val="00F4217C"/>
    <w:rsid w:val="00F4406F"/>
    <w:rsid w:val="00F4561D"/>
    <w:rsid w:val="00F46D61"/>
    <w:rsid w:val="00F47111"/>
    <w:rsid w:val="00F47905"/>
    <w:rsid w:val="00F47C9B"/>
    <w:rsid w:val="00F5033A"/>
    <w:rsid w:val="00F5105D"/>
    <w:rsid w:val="00F520A4"/>
    <w:rsid w:val="00F52257"/>
    <w:rsid w:val="00F557E9"/>
    <w:rsid w:val="00F57772"/>
    <w:rsid w:val="00F57BF9"/>
    <w:rsid w:val="00F57E33"/>
    <w:rsid w:val="00F57EB0"/>
    <w:rsid w:val="00F60B0A"/>
    <w:rsid w:val="00F61E47"/>
    <w:rsid w:val="00F61E7A"/>
    <w:rsid w:val="00F6436F"/>
    <w:rsid w:val="00F64AB5"/>
    <w:rsid w:val="00F6596E"/>
    <w:rsid w:val="00F6679F"/>
    <w:rsid w:val="00F66D15"/>
    <w:rsid w:val="00F67151"/>
    <w:rsid w:val="00F67152"/>
    <w:rsid w:val="00F6780E"/>
    <w:rsid w:val="00F67CAA"/>
    <w:rsid w:val="00F7051C"/>
    <w:rsid w:val="00F71994"/>
    <w:rsid w:val="00F71E30"/>
    <w:rsid w:val="00F71EC0"/>
    <w:rsid w:val="00F72F47"/>
    <w:rsid w:val="00F75472"/>
    <w:rsid w:val="00F81CAF"/>
    <w:rsid w:val="00F82346"/>
    <w:rsid w:val="00F82796"/>
    <w:rsid w:val="00F82BB3"/>
    <w:rsid w:val="00F83A61"/>
    <w:rsid w:val="00F83C27"/>
    <w:rsid w:val="00F86243"/>
    <w:rsid w:val="00F86839"/>
    <w:rsid w:val="00F8782A"/>
    <w:rsid w:val="00F87942"/>
    <w:rsid w:val="00F87BD2"/>
    <w:rsid w:val="00F90904"/>
    <w:rsid w:val="00F90CCE"/>
    <w:rsid w:val="00F9162E"/>
    <w:rsid w:val="00F92332"/>
    <w:rsid w:val="00F9236A"/>
    <w:rsid w:val="00F929D1"/>
    <w:rsid w:val="00F92FC6"/>
    <w:rsid w:val="00F9424D"/>
    <w:rsid w:val="00F948AD"/>
    <w:rsid w:val="00F9748F"/>
    <w:rsid w:val="00F979A8"/>
    <w:rsid w:val="00F97E31"/>
    <w:rsid w:val="00FA028D"/>
    <w:rsid w:val="00FA078D"/>
    <w:rsid w:val="00FA1442"/>
    <w:rsid w:val="00FA1696"/>
    <w:rsid w:val="00FA1D06"/>
    <w:rsid w:val="00FA3783"/>
    <w:rsid w:val="00FA4086"/>
    <w:rsid w:val="00FA68F1"/>
    <w:rsid w:val="00FA6B98"/>
    <w:rsid w:val="00FA6CD2"/>
    <w:rsid w:val="00FB028A"/>
    <w:rsid w:val="00FB049F"/>
    <w:rsid w:val="00FB18B5"/>
    <w:rsid w:val="00FB1C7E"/>
    <w:rsid w:val="00FB31E1"/>
    <w:rsid w:val="00FB3B24"/>
    <w:rsid w:val="00FB3E48"/>
    <w:rsid w:val="00FB41F7"/>
    <w:rsid w:val="00FB4811"/>
    <w:rsid w:val="00FB5FD1"/>
    <w:rsid w:val="00FB6E64"/>
    <w:rsid w:val="00FC01D2"/>
    <w:rsid w:val="00FC094C"/>
    <w:rsid w:val="00FC1338"/>
    <w:rsid w:val="00FC183E"/>
    <w:rsid w:val="00FC3BAE"/>
    <w:rsid w:val="00FC4419"/>
    <w:rsid w:val="00FC4E8E"/>
    <w:rsid w:val="00FC6102"/>
    <w:rsid w:val="00FC7004"/>
    <w:rsid w:val="00FC7166"/>
    <w:rsid w:val="00FC7D26"/>
    <w:rsid w:val="00FD06B6"/>
    <w:rsid w:val="00FD0D5E"/>
    <w:rsid w:val="00FD1399"/>
    <w:rsid w:val="00FD146A"/>
    <w:rsid w:val="00FD1594"/>
    <w:rsid w:val="00FD1B57"/>
    <w:rsid w:val="00FD1DDA"/>
    <w:rsid w:val="00FD2F25"/>
    <w:rsid w:val="00FD45BD"/>
    <w:rsid w:val="00FD47E8"/>
    <w:rsid w:val="00FD4B4C"/>
    <w:rsid w:val="00FD5352"/>
    <w:rsid w:val="00FD5432"/>
    <w:rsid w:val="00FD63E4"/>
    <w:rsid w:val="00FD710E"/>
    <w:rsid w:val="00FE00CB"/>
    <w:rsid w:val="00FE09E6"/>
    <w:rsid w:val="00FE24BA"/>
    <w:rsid w:val="00FE277E"/>
    <w:rsid w:val="00FE2E17"/>
    <w:rsid w:val="00FE2F6C"/>
    <w:rsid w:val="00FE38BE"/>
    <w:rsid w:val="00FE45A3"/>
    <w:rsid w:val="00FE5453"/>
    <w:rsid w:val="00FE5B99"/>
    <w:rsid w:val="00FE60DD"/>
    <w:rsid w:val="00FE63F6"/>
    <w:rsid w:val="00FE7C89"/>
    <w:rsid w:val="00FF4296"/>
    <w:rsid w:val="00FF4DD0"/>
    <w:rsid w:val="00FF5229"/>
    <w:rsid w:val="00FF59C8"/>
    <w:rsid w:val="00FF6705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B05CF"/>
  <w15:docId w15:val="{0F37ABE2-4DF4-4957-BAA1-B8125A82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3D85"/>
  </w:style>
  <w:style w:type="paragraph" w:styleId="Titolo1">
    <w:name w:val="heading 1"/>
    <w:basedOn w:val="Normale"/>
    <w:next w:val="Normale"/>
    <w:link w:val="Titolo1Carattere"/>
    <w:uiPriority w:val="9"/>
    <w:qFormat/>
    <w:rsid w:val="004926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uiPriority w:val="39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03BA"/>
    <w:rPr>
      <w:color w:val="800080" w:themeColor="followedHyperlink"/>
      <w:u w:val="single"/>
    </w:rPr>
  </w:style>
  <w:style w:type="character" w:styleId="Rimandonotaapidipagina">
    <w:name w:val="footnote reference"/>
    <w:uiPriority w:val="99"/>
    <w:semiHidden/>
    <w:rsid w:val="008F43E5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8F43E5"/>
    <w:rPr>
      <w:rFonts w:eastAsiaTheme="minorEastAsia"/>
      <w:lang w:val="en-US"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F43E5"/>
    <w:rPr>
      <w:rFonts w:eastAsiaTheme="minorEastAsia"/>
      <w:lang w:val="en-US" w:eastAsia="zh-CN"/>
    </w:rPr>
  </w:style>
  <w:style w:type="paragraph" w:styleId="Testonormale">
    <w:name w:val="Plain Text"/>
    <w:basedOn w:val="Normale"/>
    <w:link w:val="TestonormaleCarattere"/>
    <w:uiPriority w:val="99"/>
    <w:unhideWhenUsed/>
    <w:rsid w:val="00151D12"/>
    <w:pPr>
      <w:spacing w:after="0" w:line="240" w:lineRule="auto"/>
    </w:pPr>
    <w:rPr>
      <w:rFonts w:ascii="Calibri" w:hAnsi="Calibri"/>
      <w:color w:val="1F497D" w:themeColor="text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51D12"/>
    <w:rPr>
      <w:rFonts w:ascii="Calibri" w:hAnsi="Calibri"/>
      <w:color w:val="1F497D" w:themeColor="text2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2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F2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AE1"/>
  </w:style>
  <w:style w:type="paragraph" w:styleId="Pidipagina">
    <w:name w:val="footer"/>
    <w:basedOn w:val="Normale"/>
    <w:link w:val="PidipaginaCarattere"/>
    <w:uiPriority w:val="99"/>
    <w:unhideWhenUsed/>
    <w:rsid w:val="000F2A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AE1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75DE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C470B7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750E2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9282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AB07C4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0073CA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C44CB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2B043D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16576E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6D0F95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F7547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2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42EDF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536B4D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990397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882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as.gov.it/images/Report_Nazionale_DM77_II_semestre_2025_-_200326.pdf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ficio.stampa@gimbe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monitopen.fse.salute.gov.i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enato.it/leggi-e-documenti/disegni-di-legge/scheda-ddl?did=59958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F1DF-2D26-4C61-B261-0ACFBD76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13</Pages>
  <Words>2435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</dc:creator>
  <cp:lastModifiedBy>Roberto Luceri</cp:lastModifiedBy>
  <cp:revision>134</cp:revision>
  <cp:lastPrinted>2024-04-29T14:18:00Z</cp:lastPrinted>
  <dcterms:created xsi:type="dcterms:W3CDTF">2026-03-26T10:23:00Z</dcterms:created>
  <dcterms:modified xsi:type="dcterms:W3CDTF">2026-03-30T13:55:00Z</dcterms:modified>
</cp:coreProperties>
</file>