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59" w:rsidRDefault="00C15859" w:rsidP="00C158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COMUNICATO STAMPA</w:t>
      </w:r>
    </w:p>
    <w:p w:rsidR="00401CBC" w:rsidRDefault="00401CBC" w:rsidP="00F43D1A">
      <w:pPr>
        <w:jc w:val="center"/>
        <w:rPr>
          <w:rFonts w:cs="Calibri"/>
          <w:b/>
          <w:bCs/>
          <w:sz w:val="32"/>
          <w:szCs w:val="32"/>
        </w:rPr>
      </w:pPr>
      <w:r w:rsidRPr="00401CBC">
        <w:rPr>
          <w:rFonts w:cs="Calibri"/>
          <w:b/>
          <w:bCs/>
          <w:sz w:val="32"/>
          <w:szCs w:val="32"/>
        </w:rPr>
        <w:t>SCUOLE</w:t>
      </w:r>
      <w:r w:rsidR="006052A9">
        <w:rPr>
          <w:rFonts w:cs="Calibri"/>
          <w:b/>
          <w:bCs/>
          <w:sz w:val="32"/>
          <w:szCs w:val="32"/>
        </w:rPr>
        <w:t xml:space="preserve">: NEMMENO UNA DOSE </w:t>
      </w:r>
      <w:r w:rsidR="00F43D1A">
        <w:rPr>
          <w:rFonts w:cs="Calibri"/>
          <w:b/>
          <w:bCs/>
          <w:sz w:val="32"/>
          <w:szCs w:val="32"/>
        </w:rPr>
        <w:t xml:space="preserve">DI VACCINO </w:t>
      </w:r>
      <w:r w:rsidR="006052A9">
        <w:rPr>
          <w:rFonts w:cs="Calibri"/>
          <w:b/>
          <w:bCs/>
          <w:sz w:val="32"/>
          <w:szCs w:val="32"/>
        </w:rPr>
        <w:t xml:space="preserve">PER </w:t>
      </w:r>
      <w:r>
        <w:rPr>
          <w:rFonts w:cs="Calibri"/>
          <w:b/>
          <w:bCs/>
          <w:sz w:val="32"/>
          <w:szCs w:val="32"/>
        </w:rPr>
        <w:t>OLTRE 1,2 MILIONI DI RAGAZZI</w:t>
      </w:r>
      <w:r w:rsidR="00C554ED">
        <w:rPr>
          <w:rFonts w:cs="Calibri"/>
          <w:b/>
          <w:bCs/>
          <w:sz w:val="32"/>
          <w:szCs w:val="32"/>
        </w:rPr>
        <w:t>,</w:t>
      </w:r>
      <w:r w:rsidR="006052A9">
        <w:rPr>
          <w:rFonts w:cs="Calibri"/>
          <w:b/>
          <w:bCs/>
          <w:sz w:val="32"/>
          <w:szCs w:val="32"/>
        </w:rPr>
        <w:t xml:space="preserve"> PRIME DOSI IN FRENATA. </w:t>
      </w:r>
      <w:r w:rsidR="00F43D1A">
        <w:rPr>
          <w:rFonts w:cs="Calibri"/>
          <w:b/>
          <w:bCs/>
          <w:sz w:val="32"/>
          <w:szCs w:val="32"/>
        </w:rPr>
        <w:br/>
        <w:t>PER ORA NESSUN “EFFETTO SCUOLE”</w:t>
      </w:r>
      <w:r w:rsidR="0090296A">
        <w:rPr>
          <w:rFonts w:cs="Calibri"/>
          <w:b/>
          <w:bCs/>
          <w:sz w:val="32"/>
          <w:szCs w:val="32"/>
        </w:rPr>
        <w:t>,</w:t>
      </w:r>
      <w:r w:rsidR="00603CD9">
        <w:rPr>
          <w:rFonts w:cs="Calibri"/>
          <w:b/>
          <w:bCs/>
          <w:sz w:val="32"/>
          <w:szCs w:val="32"/>
        </w:rPr>
        <w:t xml:space="preserve"> MA </w:t>
      </w:r>
      <w:r w:rsidR="00883DF6" w:rsidRPr="00883DF6">
        <w:rPr>
          <w:rFonts w:cs="Calibri"/>
          <w:b/>
          <w:bCs/>
          <w:sz w:val="32"/>
          <w:szCs w:val="32"/>
        </w:rPr>
        <w:t>I</w:t>
      </w:r>
      <w:r w:rsidR="00883DF6">
        <w:rPr>
          <w:rFonts w:cs="Calibri"/>
          <w:b/>
          <w:bCs/>
          <w:color w:val="FF0000"/>
          <w:sz w:val="32"/>
          <w:szCs w:val="32"/>
        </w:rPr>
        <w:t xml:space="preserve"> </w:t>
      </w:r>
      <w:r w:rsidR="0090296A">
        <w:rPr>
          <w:rFonts w:cs="Calibri"/>
          <w:b/>
          <w:bCs/>
          <w:sz w:val="32"/>
          <w:szCs w:val="32"/>
        </w:rPr>
        <w:t xml:space="preserve">FOCOLAI </w:t>
      </w:r>
      <w:r w:rsidR="00747069">
        <w:rPr>
          <w:rFonts w:cs="Calibri"/>
          <w:b/>
          <w:bCs/>
          <w:sz w:val="32"/>
          <w:szCs w:val="32"/>
        </w:rPr>
        <w:t xml:space="preserve">SEGNALATI </w:t>
      </w:r>
      <w:r w:rsidR="0090296A">
        <w:rPr>
          <w:rFonts w:cs="Calibri"/>
          <w:b/>
          <w:bCs/>
          <w:sz w:val="32"/>
          <w:szCs w:val="32"/>
        </w:rPr>
        <w:t xml:space="preserve">INVITANO A </w:t>
      </w:r>
      <w:r w:rsidR="00D205C1">
        <w:rPr>
          <w:rFonts w:cs="Calibri"/>
          <w:b/>
          <w:bCs/>
          <w:sz w:val="32"/>
          <w:szCs w:val="32"/>
        </w:rPr>
        <w:t xml:space="preserve">TENERE ALTA LA GUARDIA: </w:t>
      </w:r>
      <w:r w:rsidR="002F7E99">
        <w:rPr>
          <w:rFonts w:cs="Calibri"/>
          <w:b/>
          <w:bCs/>
          <w:sz w:val="32"/>
          <w:szCs w:val="32"/>
        </w:rPr>
        <w:t xml:space="preserve">AUMENTARE COPERTURE VACCINALI, </w:t>
      </w:r>
      <w:r w:rsidR="00D205C1">
        <w:rPr>
          <w:rFonts w:cs="Calibri"/>
          <w:b/>
          <w:bCs/>
          <w:sz w:val="32"/>
          <w:szCs w:val="32"/>
        </w:rPr>
        <w:t xml:space="preserve">NON ABBANDONARE </w:t>
      </w:r>
      <w:r w:rsidR="00745027">
        <w:rPr>
          <w:rFonts w:cs="Calibri"/>
          <w:b/>
          <w:bCs/>
          <w:sz w:val="32"/>
          <w:szCs w:val="32"/>
        </w:rPr>
        <w:t xml:space="preserve">LA MASCHERINA, POTENZIARE SCREENING </w:t>
      </w:r>
      <w:r w:rsidR="006052A9">
        <w:rPr>
          <w:rFonts w:cs="Calibri"/>
          <w:b/>
          <w:bCs/>
          <w:sz w:val="32"/>
          <w:szCs w:val="32"/>
        </w:rPr>
        <w:t xml:space="preserve">E INVESTIRE SU </w:t>
      </w:r>
      <w:r w:rsidR="006052A9" w:rsidRPr="006052A9">
        <w:rPr>
          <w:rFonts w:cs="Calibri"/>
          <w:b/>
          <w:bCs/>
          <w:sz w:val="32"/>
          <w:szCs w:val="32"/>
        </w:rPr>
        <w:t>AERAZIONE E VENTILAZIONE</w:t>
      </w:r>
      <w:r w:rsidR="006052A9">
        <w:rPr>
          <w:rFonts w:cs="Calibri"/>
          <w:b/>
          <w:bCs/>
          <w:sz w:val="32"/>
          <w:szCs w:val="32"/>
        </w:rPr>
        <w:t>.</w:t>
      </w:r>
    </w:p>
    <w:p w:rsidR="006052A9" w:rsidRDefault="006052A9" w:rsidP="006052A9">
      <w:pPr>
        <w:jc w:val="both"/>
        <w:rPr>
          <w:rStyle w:val="Enfasigrassetto"/>
        </w:rPr>
      </w:pPr>
      <w:r>
        <w:rPr>
          <w:rStyle w:val="Enfasigrassetto"/>
        </w:rPr>
        <w:t xml:space="preserve">LA FONDAZIONE GIMBE PUBBLICA IL </w:t>
      </w:r>
      <w:r w:rsidRPr="006052A9">
        <w:rPr>
          <w:rStyle w:val="Enfasigrassetto"/>
        </w:rPr>
        <w:t>REPORT “SICUREZZA COVID-19 NELLE SCUOLE: DALLE EVIDENZE SCIENTIFICHE AL REAL WORLD”</w:t>
      </w:r>
      <w:r w:rsidR="005E6C21">
        <w:rPr>
          <w:rStyle w:val="Enfasigrassetto"/>
        </w:rPr>
        <w:t xml:space="preserve"> DA CUI EMERGONO DIVERSE CRITICITÀ</w:t>
      </w:r>
      <w:r w:rsidR="00DB77CC">
        <w:rPr>
          <w:rStyle w:val="Enfasigrassetto"/>
        </w:rPr>
        <w:t>:</w:t>
      </w:r>
      <w:r w:rsidR="005E6C21">
        <w:rPr>
          <w:rStyle w:val="Enfasigrassetto"/>
        </w:rPr>
        <w:t xml:space="preserve"> O</w:t>
      </w:r>
      <w:r w:rsidR="00F85C6F">
        <w:rPr>
          <w:rStyle w:val="Enfasigrassetto"/>
        </w:rPr>
        <w:t>LTRE IL 27%</w:t>
      </w:r>
      <w:r w:rsidR="00F85C6F" w:rsidRPr="006052A9">
        <w:rPr>
          <w:rStyle w:val="Enfasigrassetto"/>
        </w:rPr>
        <w:t xml:space="preserve"> DELLA POPOLAZIONE 12-19 ANNI </w:t>
      </w:r>
      <w:r w:rsidR="00F85C6F">
        <w:rPr>
          <w:rStyle w:val="Enfasigrassetto"/>
        </w:rPr>
        <w:t xml:space="preserve">NON HA </w:t>
      </w:r>
      <w:r w:rsidR="005E6C21">
        <w:rPr>
          <w:rStyle w:val="Enfasigrassetto"/>
        </w:rPr>
        <w:t xml:space="preserve">RICEVUTO NEMMENO UNA DOSE DI VACCINO </w:t>
      </w:r>
      <w:r w:rsidR="00F85C6F">
        <w:rPr>
          <w:rStyle w:val="Enfasigrassetto"/>
        </w:rPr>
        <w:t>E</w:t>
      </w:r>
      <w:r w:rsidR="00F85C6F" w:rsidRPr="006052A9">
        <w:rPr>
          <w:rStyle w:val="Enfasigrassetto"/>
        </w:rPr>
        <w:t xml:space="preserve"> IL 5,5% HA EFFETTUATO</w:t>
      </w:r>
      <w:r w:rsidR="00F85C6F">
        <w:rPr>
          <w:rStyle w:val="Enfasigrassetto"/>
        </w:rPr>
        <w:t xml:space="preserve"> SOL</w:t>
      </w:r>
      <w:r w:rsidR="005E6C21">
        <w:rPr>
          <w:rStyle w:val="Enfasigrassetto"/>
        </w:rPr>
        <w:t xml:space="preserve">O </w:t>
      </w:r>
      <w:r w:rsidR="00F85C6F" w:rsidRPr="006052A9">
        <w:rPr>
          <w:rStyle w:val="Enfasigrassetto"/>
        </w:rPr>
        <w:t>LA PRIMA DOSE</w:t>
      </w:r>
      <w:r w:rsidR="00F85C6F">
        <w:rPr>
          <w:rStyle w:val="Enfasigrassetto"/>
        </w:rPr>
        <w:t xml:space="preserve">; </w:t>
      </w:r>
      <w:r w:rsidR="00DB77CC">
        <w:rPr>
          <w:rStyle w:val="Enfasigrassetto"/>
        </w:rPr>
        <w:t>LO</w:t>
      </w:r>
      <w:r w:rsidR="00F85C6F">
        <w:rPr>
          <w:rStyle w:val="Enfasigrassetto"/>
        </w:rPr>
        <w:t xml:space="preserve"> ZOCCOLO DURO DI PERSONALE </w:t>
      </w:r>
      <w:r w:rsidR="00745027">
        <w:rPr>
          <w:rStyle w:val="Enfasigrassetto"/>
        </w:rPr>
        <w:t>SCOLASTICO</w:t>
      </w:r>
      <w:r w:rsidR="00F85C6F">
        <w:rPr>
          <w:rStyle w:val="Enfasigrassetto"/>
        </w:rPr>
        <w:t xml:space="preserve"> </w:t>
      </w:r>
      <w:r w:rsidR="005E6C21">
        <w:rPr>
          <w:rStyle w:val="Enfasigrassetto"/>
        </w:rPr>
        <w:t>NON VACCINATO</w:t>
      </w:r>
      <w:r w:rsidR="00DB77CC">
        <w:rPr>
          <w:rStyle w:val="Enfasigrassetto"/>
        </w:rPr>
        <w:t xml:space="preserve"> SFIORA QUOTA 6%</w:t>
      </w:r>
      <w:r w:rsidR="00F85C6F">
        <w:rPr>
          <w:rStyle w:val="Enfasigrassetto"/>
        </w:rPr>
        <w:t xml:space="preserve">; </w:t>
      </w:r>
      <w:r w:rsidR="005E6C21">
        <w:rPr>
          <w:rStyle w:val="Enfasigrassetto"/>
        </w:rPr>
        <w:t xml:space="preserve">NON </w:t>
      </w:r>
      <w:r w:rsidR="00DB77CC">
        <w:rPr>
          <w:rStyle w:val="Enfasigrassetto"/>
        </w:rPr>
        <w:t>È PREVISTO UNO</w:t>
      </w:r>
      <w:r w:rsidR="005E6C21">
        <w:rPr>
          <w:rStyle w:val="Enfasigrassetto"/>
        </w:rPr>
        <w:t xml:space="preserve"> SCREENING PERIODICO SISTEMATICO </w:t>
      </w:r>
      <w:r w:rsidR="000B0DFB">
        <w:rPr>
          <w:rStyle w:val="Enfasigrassetto"/>
        </w:rPr>
        <w:t xml:space="preserve">SE NON </w:t>
      </w:r>
      <w:r w:rsidR="005E6C21">
        <w:rPr>
          <w:rStyle w:val="Enfasigrassetto"/>
        </w:rPr>
        <w:t xml:space="preserve">NELLE SCUOLE SENTINELLA, DI CUI </w:t>
      </w:r>
      <w:r w:rsidR="001866B1">
        <w:rPr>
          <w:rStyle w:val="Enfasigrassetto"/>
        </w:rPr>
        <w:t xml:space="preserve">MANCANO I DATI PUBBLICI; </w:t>
      </w:r>
      <w:r w:rsidR="005E6C21">
        <w:rPr>
          <w:rStyle w:val="Enfasigrassetto"/>
        </w:rPr>
        <w:t xml:space="preserve">IL DISTANZIAMENTO </w:t>
      </w:r>
      <w:r w:rsidR="002F7E99">
        <w:rPr>
          <w:rStyle w:val="Enfasigrassetto"/>
        </w:rPr>
        <w:t xml:space="preserve">INTERPERSONALE DI UN METRO </w:t>
      </w:r>
      <w:r w:rsidR="005E6C21">
        <w:rPr>
          <w:rStyle w:val="Enfasigrassetto"/>
        </w:rPr>
        <w:t xml:space="preserve">È REGOLAMENTATO DA </w:t>
      </w:r>
      <w:r w:rsidR="001866B1">
        <w:rPr>
          <w:rStyle w:val="Enfasigrassetto"/>
        </w:rPr>
        <w:t xml:space="preserve">UN “OBBLIGO FLESSIBILE” </w:t>
      </w:r>
      <w:r w:rsidR="002F7E99">
        <w:rPr>
          <w:rStyle w:val="Enfasigrassetto"/>
        </w:rPr>
        <w:t>CHE LO RENDE INAPPLICABILE NE</w:t>
      </w:r>
      <w:r w:rsidR="001866B1">
        <w:rPr>
          <w:rStyle w:val="Enfasigrassetto"/>
        </w:rPr>
        <w:t xml:space="preserve">LLE “CLASSI POLLAIO”; </w:t>
      </w:r>
      <w:r w:rsidR="001866B1" w:rsidRPr="001866B1">
        <w:rPr>
          <w:rStyle w:val="Enfasigrassetto"/>
        </w:rPr>
        <w:t xml:space="preserve">TROPPE RISORSE </w:t>
      </w:r>
      <w:r w:rsidR="00F63483">
        <w:rPr>
          <w:rStyle w:val="Enfasigrassetto"/>
        </w:rPr>
        <w:t>PER LA</w:t>
      </w:r>
      <w:r w:rsidR="00F63483" w:rsidRPr="001866B1">
        <w:rPr>
          <w:rStyle w:val="Enfasigrassetto"/>
        </w:rPr>
        <w:t xml:space="preserve"> </w:t>
      </w:r>
      <w:r w:rsidR="001866B1" w:rsidRPr="001866B1">
        <w:rPr>
          <w:rStyle w:val="Enfasigrassetto"/>
        </w:rPr>
        <w:t xml:space="preserve">DISINFEZIONE DELLE SUPERFICI E </w:t>
      </w:r>
      <w:r w:rsidR="005E6C21">
        <w:rPr>
          <w:rStyle w:val="Enfasigrassetto"/>
        </w:rPr>
        <w:t xml:space="preserve">POCHISSIME </w:t>
      </w:r>
      <w:r w:rsidR="00F63483">
        <w:rPr>
          <w:rStyle w:val="Enfasigrassetto"/>
        </w:rPr>
        <w:t>PER</w:t>
      </w:r>
      <w:r w:rsidR="00F63483" w:rsidRPr="001866B1">
        <w:rPr>
          <w:rStyle w:val="Enfasigrassetto"/>
        </w:rPr>
        <w:t xml:space="preserve"> </w:t>
      </w:r>
      <w:r w:rsidR="001866B1" w:rsidRPr="001866B1">
        <w:rPr>
          <w:rStyle w:val="Enfasigrassetto"/>
        </w:rPr>
        <w:t>SISTEMI DI AERAZIONE E VENTILAZIONE</w:t>
      </w:r>
      <w:r w:rsidR="001866B1">
        <w:rPr>
          <w:rStyle w:val="Enfasigrassetto"/>
        </w:rPr>
        <w:t>.</w:t>
      </w:r>
      <w:r w:rsidR="005E6C21">
        <w:rPr>
          <w:rStyle w:val="Enfasigrassetto"/>
        </w:rPr>
        <w:t xml:space="preserve"> </w:t>
      </w:r>
      <w:r w:rsidR="000303FC">
        <w:rPr>
          <w:rStyle w:val="Enfasigrassetto"/>
        </w:rPr>
        <w:t xml:space="preserve">IN QUESTO CONTESTO, CON LA STAGIONE INVERNALE ALLE PORTE E L’AUMENTO DEI NUOVI CASI </w:t>
      </w:r>
      <w:r w:rsidR="007756C2">
        <w:rPr>
          <w:rStyle w:val="Enfasigrassetto"/>
        </w:rPr>
        <w:t xml:space="preserve">NON CI SONO LE CONDIZIONI DI SICUREZZA </w:t>
      </w:r>
      <w:r w:rsidR="005E6C21">
        <w:rPr>
          <w:rStyle w:val="Enfasigrassetto"/>
        </w:rPr>
        <w:t>PER ABBANDONARE LA</w:t>
      </w:r>
      <w:r w:rsidR="005E6C21" w:rsidRPr="00F85C6F">
        <w:rPr>
          <w:rStyle w:val="Enfasigrassetto"/>
        </w:rPr>
        <w:t xml:space="preserve"> MASCHERINA</w:t>
      </w:r>
      <w:r w:rsidR="007756C2">
        <w:rPr>
          <w:rStyle w:val="Enfasigrassetto"/>
        </w:rPr>
        <w:t xml:space="preserve"> IN AULA.</w:t>
      </w:r>
    </w:p>
    <w:p w:rsidR="00424ADF" w:rsidRPr="00234B97" w:rsidRDefault="00424ADF" w:rsidP="00424ADF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 ottobre</w:t>
      </w:r>
      <w:r w:rsidRPr="00234B97">
        <w:rPr>
          <w:b/>
          <w:bCs/>
          <w:sz w:val="24"/>
          <w:szCs w:val="24"/>
        </w:rPr>
        <w:t xml:space="preserve"> 2021 - Fondazione GIMBE, Bologna</w:t>
      </w:r>
    </w:p>
    <w:p w:rsidR="00E03270" w:rsidRDefault="007756C2" w:rsidP="00AE1FBE">
      <w:pPr>
        <w:jc w:val="both"/>
      </w:pPr>
      <w:r>
        <w:t>La</w:t>
      </w:r>
      <w:r w:rsidR="00D64F99">
        <w:t xml:space="preserve"> Fondazione GIMBE </w:t>
      </w:r>
      <w:r>
        <w:t xml:space="preserve">pubblica </w:t>
      </w:r>
      <w:r w:rsidR="00D64F99">
        <w:t xml:space="preserve">un report </w:t>
      </w:r>
      <w:r w:rsidR="00DA1BEE">
        <w:t>che fornisce</w:t>
      </w:r>
      <w:r w:rsidR="00D64F99">
        <w:t xml:space="preserve"> una sintesi delle evidenze scientifiche sull’efficacia de</w:t>
      </w:r>
      <w:r>
        <w:t xml:space="preserve">gli interventi </w:t>
      </w:r>
      <w:r w:rsidR="00DA1BEE">
        <w:t xml:space="preserve">atti a </w:t>
      </w:r>
      <w:r w:rsidR="00D64F99">
        <w:t xml:space="preserve">migliorare la </w:t>
      </w:r>
      <w:r>
        <w:t xml:space="preserve">sicurezza COVID-19 nelle scuole </w:t>
      </w:r>
      <w:r w:rsidR="00D64F99">
        <w:t xml:space="preserve">e </w:t>
      </w:r>
      <w:r w:rsidR="00DA1BEE">
        <w:t>rileva</w:t>
      </w:r>
      <w:r w:rsidR="00D64F99">
        <w:t xml:space="preserve"> le criticità normative, strutturali e organizzative per implementare tali evidenze nei contesti scolastici nazionali.</w:t>
      </w:r>
      <w:r w:rsidR="002E209B">
        <w:t xml:space="preserve"> </w:t>
      </w:r>
      <w:r w:rsidR="00D1055D">
        <w:t>«</w:t>
      </w:r>
      <w:r w:rsidR="000B0DFB">
        <w:t>L</w:t>
      </w:r>
      <w:r w:rsidR="00AE1FBE">
        <w:t xml:space="preserve">e evidenze scientifiche </w:t>
      </w:r>
      <w:r w:rsidR="000B0DFB">
        <w:t xml:space="preserve">– dichiara Nino Cartabellotta, Presidente della Fondazione GIMBE – </w:t>
      </w:r>
      <w:r w:rsidR="00AE1FBE">
        <w:t xml:space="preserve">da un lato dimostrano che nelle scuole non esiste il rischio zero di contagio, dall’altro suggeriscono che è possibile minimizzarlo tramite un approccio multifattoriale </w:t>
      </w:r>
      <w:r>
        <w:t>integran</w:t>
      </w:r>
      <w:bookmarkStart w:id="0" w:name="_GoBack"/>
      <w:bookmarkEnd w:id="0"/>
      <w:r>
        <w:t>do</w:t>
      </w:r>
      <w:r w:rsidR="00AE1FBE">
        <w:t xml:space="preserve"> differenti interventi di prevenzione individuale e ambientale».</w:t>
      </w:r>
      <w:r w:rsidR="004B357C">
        <w:t xml:space="preserve"> </w:t>
      </w:r>
    </w:p>
    <w:p w:rsidR="006C4ABD" w:rsidRDefault="00AB6250" w:rsidP="00AE1FBE">
      <w:pPr>
        <w:jc w:val="both"/>
      </w:pPr>
      <w:r w:rsidRPr="00AB6250">
        <w:t xml:space="preserve">Secondo i dati </w:t>
      </w:r>
      <w:r w:rsidR="00880402">
        <w:t>del</w:t>
      </w:r>
      <w:r w:rsidRPr="00AB6250">
        <w:t xml:space="preserve"> report settimanale dell’Istituto Superiore di Sanità</w:t>
      </w:r>
      <w:r w:rsidR="00210D5B">
        <w:t xml:space="preserve"> (ISS)</w:t>
      </w:r>
      <w:r>
        <w:t xml:space="preserve">, </w:t>
      </w:r>
      <w:r w:rsidR="00D64F99">
        <w:t>n</w:t>
      </w:r>
      <w:r w:rsidR="00E03270">
        <w:t xml:space="preserve">el periodo 4-17 ottobre 2021, </w:t>
      </w:r>
      <w:r w:rsidR="004B357C" w:rsidRPr="004B357C">
        <w:t xml:space="preserve">sono stati diagnosticati </w:t>
      </w:r>
      <w:r w:rsidR="00E03270">
        <w:t>nella</w:t>
      </w:r>
      <w:r w:rsidR="00E03270" w:rsidRPr="004B357C">
        <w:t xml:space="preserve"> fascia d’età</w:t>
      </w:r>
      <w:r w:rsidR="00E03270">
        <w:t xml:space="preserve"> </w:t>
      </w:r>
      <w:r w:rsidR="00DA1BEE">
        <w:t>0</w:t>
      </w:r>
      <w:r w:rsidR="00E03270">
        <w:t>-19 anni</w:t>
      </w:r>
      <w:r w:rsidR="00013F97">
        <w:t xml:space="preserve"> </w:t>
      </w:r>
      <w:r w:rsidR="004B357C" w:rsidRPr="004B357C">
        <w:t>8.857 casi, di cui 99 ospedalizzati, 3 ricoveri in terapia intensiva e nessun decesso</w:t>
      </w:r>
      <w:r w:rsidR="00CA6829">
        <w:t>, con una progressiva riduzione –</w:t>
      </w:r>
      <w:r w:rsidR="00D64F99">
        <w:t xml:space="preserve"> </w:t>
      </w:r>
      <w:r>
        <w:t>nelle ultime 4 settimane</w:t>
      </w:r>
      <w:r w:rsidR="002E209B">
        <w:t xml:space="preserve"> considerate dal report ISS</w:t>
      </w:r>
      <w:r w:rsidR="00CA6829">
        <w:t xml:space="preserve"> –</w:t>
      </w:r>
      <w:r w:rsidRPr="00AB6250">
        <w:t>dell’incidenza dei casi di C</w:t>
      </w:r>
      <w:r w:rsidR="00AA3F0F">
        <w:t>OVID-19</w:t>
      </w:r>
      <w:r w:rsidR="00D1055D">
        <w:t xml:space="preserve"> e delle ospedalizzazioni</w:t>
      </w:r>
      <w:r w:rsidR="00AA3F0F">
        <w:t>.</w:t>
      </w:r>
    </w:p>
    <w:p w:rsidR="009479A9" w:rsidRDefault="00883DF6" w:rsidP="00883DF6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28275F4" wp14:editId="71F3F165">
            <wp:extent cx="5400000" cy="1917509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91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A9" w:rsidRDefault="009479A9" w:rsidP="00AE1FBE">
      <w:pPr>
        <w:jc w:val="both"/>
      </w:pPr>
    </w:p>
    <w:p w:rsidR="00D15694" w:rsidRDefault="00D15694" w:rsidP="00AE1FBE">
      <w:pPr>
        <w:jc w:val="both"/>
      </w:pPr>
    </w:p>
    <w:p w:rsidR="00991B55" w:rsidRDefault="00E03270" w:rsidP="00991B55">
      <w:pPr>
        <w:spacing w:before="240"/>
        <w:jc w:val="both"/>
      </w:pPr>
      <w:r>
        <w:lastRenderedPageBreak/>
        <w:t>«</w:t>
      </w:r>
      <w:r w:rsidR="006C4ABD">
        <w:t xml:space="preserve">Questi dati </w:t>
      </w:r>
      <w:r w:rsidR="00D64F99">
        <w:t xml:space="preserve">– afferma Renata Gili, responsabile GIMBE della Ricerca sui Servizi Sanitari – </w:t>
      </w:r>
      <w:r>
        <w:t xml:space="preserve">dimostrano che </w:t>
      </w:r>
      <w:r w:rsidR="000303FC">
        <w:t xml:space="preserve">sinora </w:t>
      </w:r>
      <w:r>
        <w:t>non si è verificato il temuto “effetto scuole”</w:t>
      </w:r>
      <w:r w:rsidR="00577128">
        <w:t xml:space="preserve">, sia </w:t>
      </w:r>
      <w:r w:rsidR="00880402">
        <w:t>grazie alla</w:t>
      </w:r>
      <w:r w:rsidR="00577128">
        <w:t xml:space="preserve"> vaccinazione di studenti e personale scolastico, sia per </w:t>
      </w:r>
      <w:r w:rsidR="007756C2">
        <w:t>l</w:t>
      </w:r>
      <w:r>
        <w:t xml:space="preserve">a </w:t>
      </w:r>
      <w:r w:rsidR="006C4ABD">
        <w:t xml:space="preserve">progressiva </w:t>
      </w:r>
      <w:r>
        <w:t xml:space="preserve">copertura vaccinale della </w:t>
      </w:r>
      <w:r w:rsidR="004B357C" w:rsidRPr="004B357C">
        <w:t>popolazione generale</w:t>
      </w:r>
      <w:r w:rsidR="006F025F">
        <w:t>:</w:t>
      </w:r>
      <w:r w:rsidR="00577128">
        <w:t xml:space="preserve"> </w:t>
      </w:r>
      <w:r w:rsidR="006F025F">
        <w:t>la conseguente riduzione del</w:t>
      </w:r>
      <w:r w:rsidR="004B357C" w:rsidRPr="004B357C">
        <w:t xml:space="preserve">la circolazione virale </w:t>
      </w:r>
      <w:r w:rsidR="006F025F">
        <w:t xml:space="preserve">si riflette </w:t>
      </w:r>
      <w:r w:rsidR="004B357C" w:rsidRPr="004B357C">
        <w:t>in ambito scolastico</w:t>
      </w:r>
      <w:r w:rsidR="006F025F">
        <w:t>, anche</w:t>
      </w:r>
      <w:r w:rsidR="00883DF6">
        <w:t xml:space="preserve"> neg</w:t>
      </w:r>
      <w:r w:rsidR="000303FC">
        <w:t>l</w:t>
      </w:r>
      <w:r w:rsidR="00577128">
        <w:t>i</w:t>
      </w:r>
      <w:r w:rsidR="006F025F">
        <w:t xml:space="preserve"> alunni</w:t>
      </w:r>
      <w:r w:rsidR="00577128">
        <w:t xml:space="preserve"> under 12</w:t>
      </w:r>
      <w:r w:rsidR="006F025F">
        <w:t xml:space="preserve"> per i quali non ci sono ancora vaccini autorizzati</w:t>
      </w:r>
      <w:r w:rsidR="0090296A">
        <w:t xml:space="preserve">. Un motivo in più per raggiungere il </w:t>
      </w:r>
      <w:r w:rsidR="006F025F">
        <w:t>maggior</w:t>
      </w:r>
      <w:r w:rsidR="0090296A">
        <w:t xml:space="preserve"> numero possibile di persone non vaccinate e accelerare la somministrazione delle terze dosi</w:t>
      </w:r>
      <w:r w:rsidR="006C4ABD">
        <w:t>».</w:t>
      </w:r>
    </w:p>
    <w:p w:rsidR="006C4ABD" w:rsidRDefault="0090296A" w:rsidP="00991B55">
      <w:pPr>
        <w:spacing w:before="240"/>
        <w:jc w:val="both"/>
      </w:pPr>
      <w:r>
        <w:t>Il</w:t>
      </w:r>
      <w:r w:rsidR="006C4ABD">
        <w:t xml:space="preserve"> report della Fondazione GIMBE “</w:t>
      </w:r>
      <w:r w:rsidR="006C4ABD" w:rsidRPr="00E94996">
        <w:t xml:space="preserve">Sicurezza COVID-19 nelle scuole: dalle evidenze scientifiche al </w:t>
      </w:r>
      <w:r w:rsidR="006C4ABD" w:rsidRPr="00E94996">
        <w:rPr>
          <w:i/>
        </w:rPr>
        <w:t>real world</w:t>
      </w:r>
      <w:r w:rsidR="006C4ABD">
        <w:t>”</w:t>
      </w:r>
      <w:r w:rsidR="00D1055D">
        <w:t xml:space="preserve"> </w:t>
      </w:r>
      <w:r w:rsidR="00754914">
        <w:t xml:space="preserve">sintetizza </w:t>
      </w:r>
      <w:r>
        <w:t xml:space="preserve">dati ed evidenze, rilevando le </w:t>
      </w:r>
      <w:r w:rsidR="00D1055D">
        <w:t>criticità</w:t>
      </w:r>
      <w:r>
        <w:t xml:space="preserve"> attuali</w:t>
      </w:r>
      <w:r w:rsidR="00D1055D">
        <w:t>:</w:t>
      </w:r>
      <w:r w:rsidR="006C4ABD">
        <w:t xml:space="preserve"> </w:t>
      </w:r>
    </w:p>
    <w:p w:rsidR="0060336A" w:rsidRDefault="00AE1FBE" w:rsidP="00E77C5C">
      <w:pPr>
        <w:pStyle w:val="Paragrafoelenco"/>
        <w:numPr>
          <w:ilvl w:val="0"/>
          <w:numId w:val="1"/>
        </w:numPr>
        <w:jc w:val="both"/>
      </w:pPr>
      <w:r w:rsidRPr="0060336A">
        <w:rPr>
          <w:b/>
        </w:rPr>
        <w:t>Vaccinazione studenti</w:t>
      </w:r>
      <w:r>
        <w:t xml:space="preserve">. </w:t>
      </w:r>
      <w:r w:rsidR="00BA208C">
        <w:t xml:space="preserve">Al </w:t>
      </w:r>
      <w:r w:rsidR="00BA208C" w:rsidRPr="00BA208C">
        <w:t xml:space="preserve">25 </w:t>
      </w:r>
      <w:r w:rsidR="00BA208C" w:rsidRPr="00E77C5C">
        <w:t>ottobre 2021 il 67,2% della popolazione 12-19 anni (</w:t>
      </w:r>
      <w:r w:rsidR="00E33F80" w:rsidRPr="00E77C5C">
        <w:t>3.064.055</w:t>
      </w:r>
      <w:r w:rsidRPr="00E77C5C">
        <w:t>) ha completato il ciclo vaccinale e</w:t>
      </w:r>
      <w:r w:rsidR="00BA208C" w:rsidRPr="00E77C5C">
        <w:t xml:space="preserve"> il 5,5% (249.401)</w:t>
      </w:r>
      <w:r w:rsidRPr="00E77C5C">
        <w:t xml:space="preserve"> ha effettuato la prima dose</w:t>
      </w:r>
      <w:r w:rsidR="00745027">
        <w:t xml:space="preserve"> (</w:t>
      </w:r>
      <w:r w:rsidR="00745027" w:rsidRPr="00E77C5C">
        <w:rPr>
          <w:highlight w:val="yellow"/>
        </w:rPr>
        <w:t xml:space="preserve">figura </w:t>
      </w:r>
      <w:r w:rsidR="00745027">
        <w:rPr>
          <w:highlight w:val="yellow"/>
        </w:rPr>
        <w:t>1</w:t>
      </w:r>
      <w:r w:rsidR="00745027">
        <w:t>)</w:t>
      </w:r>
      <w:r w:rsidRPr="00E77C5C">
        <w:t xml:space="preserve">. </w:t>
      </w:r>
      <w:r w:rsidR="006F025F">
        <w:t xml:space="preserve">I ragazzi che non hanno ricevuto nemmeno una </w:t>
      </w:r>
      <w:r w:rsidR="00E77C5C" w:rsidRPr="00E77C5C">
        <w:t xml:space="preserve">dose di vaccino </w:t>
      </w:r>
      <w:r w:rsidR="006F025F">
        <w:t xml:space="preserve">sono </w:t>
      </w:r>
      <w:r w:rsidR="00E77C5C" w:rsidRPr="00E77C5C">
        <w:t xml:space="preserve">1.243.466 </w:t>
      </w:r>
      <w:r w:rsidRPr="00E77C5C">
        <w:t>(</w:t>
      </w:r>
      <w:r w:rsidR="00E77C5C" w:rsidRPr="00E77C5C">
        <w:t>27,3</w:t>
      </w:r>
      <w:r w:rsidRPr="00E77C5C">
        <w:t xml:space="preserve">%), </w:t>
      </w:r>
      <w:r w:rsidR="0018489F" w:rsidRPr="0018489F">
        <w:t xml:space="preserve">con percentuali di non vaccinati che vanno </w:t>
      </w:r>
      <w:r w:rsidR="0090296A">
        <w:t xml:space="preserve">dal </w:t>
      </w:r>
      <w:r w:rsidR="0018489F" w:rsidRPr="0018489F">
        <w:t>19,6% della Regione Sardegna</w:t>
      </w:r>
      <w:r w:rsidR="0090296A">
        <w:t xml:space="preserve"> </w:t>
      </w:r>
      <w:r w:rsidR="0090296A" w:rsidRPr="0018489F">
        <w:t xml:space="preserve">al 43,8% della Provincia autonoma di Bolzano </w:t>
      </w:r>
      <w:r w:rsidR="00745027">
        <w:t>(</w:t>
      </w:r>
      <w:r w:rsidR="00745027" w:rsidRPr="00E77C5C">
        <w:rPr>
          <w:highlight w:val="yellow"/>
        </w:rPr>
        <w:t>figura</w:t>
      </w:r>
      <w:r w:rsidR="00745027" w:rsidRPr="00745027">
        <w:rPr>
          <w:highlight w:val="yellow"/>
        </w:rPr>
        <w:t xml:space="preserve"> 2</w:t>
      </w:r>
      <w:r w:rsidR="00745027">
        <w:t>)</w:t>
      </w:r>
      <w:r>
        <w:t>.</w:t>
      </w:r>
      <w:r w:rsidR="004903DB">
        <w:t xml:space="preserve"> Peraltro, i</w:t>
      </w:r>
      <w:r w:rsidR="004903DB" w:rsidRPr="004903DB">
        <w:t xml:space="preserve">l trend della copertura vaccinale con almeno una dose nella </w:t>
      </w:r>
      <w:r w:rsidR="00104AD5">
        <w:t xml:space="preserve">fascia </w:t>
      </w:r>
      <w:r w:rsidR="004903DB" w:rsidRPr="004903DB">
        <w:t>12-19 anni</w:t>
      </w:r>
      <w:r w:rsidR="004903DB">
        <w:t xml:space="preserve">, dopo il netto aumento </w:t>
      </w:r>
      <w:r w:rsidR="004903DB" w:rsidRPr="004903DB">
        <w:t>a</w:t>
      </w:r>
      <w:r w:rsidR="00104AD5">
        <w:t xml:space="preserve"> </w:t>
      </w:r>
      <w:r w:rsidR="004903DB" w:rsidRPr="004903DB">
        <w:t xml:space="preserve">inizio giugno, </w:t>
      </w:r>
      <w:r w:rsidR="004903DB">
        <w:t>ha</w:t>
      </w:r>
      <w:r w:rsidR="004903DB" w:rsidRPr="004903DB">
        <w:t xml:space="preserve"> progressivamente</w:t>
      </w:r>
      <w:r w:rsidR="004903DB">
        <w:t xml:space="preserve"> rallentato</w:t>
      </w:r>
      <w:r w:rsidR="004903DB" w:rsidRPr="004903DB">
        <w:t xml:space="preserve"> a partire dal mese di settembre, quando </w:t>
      </w:r>
      <w:r w:rsidR="00F54FDB">
        <w:t>il valore</w:t>
      </w:r>
      <w:r w:rsidR="004903DB" w:rsidRPr="004903DB">
        <w:t xml:space="preserve"> era</w:t>
      </w:r>
      <w:r w:rsidR="00F54FDB">
        <w:t xml:space="preserve"> ancora</w:t>
      </w:r>
      <w:r w:rsidR="004903DB" w:rsidRPr="004903DB">
        <w:t xml:space="preserve"> inferiore al 70%</w:t>
      </w:r>
      <w:r w:rsidR="004903DB">
        <w:t xml:space="preserve"> (</w:t>
      </w:r>
      <w:r w:rsidR="004903DB" w:rsidRPr="004903DB">
        <w:rPr>
          <w:highlight w:val="yellow"/>
        </w:rPr>
        <w:t xml:space="preserve">figura </w:t>
      </w:r>
      <w:r w:rsidR="00745027">
        <w:rPr>
          <w:highlight w:val="yellow"/>
        </w:rPr>
        <w:t>3</w:t>
      </w:r>
      <w:r w:rsidR="004903DB">
        <w:t>)</w:t>
      </w:r>
      <w:r w:rsidR="000B0DFB">
        <w:t>.</w:t>
      </w:r>
    </w:p>
    <w:p w:rsidR="0060336A" w:rsidRDefault="00AE1FBE" w:rsidP="00AE1FBE">
      <w:pPr>
        <w:pStyle w:val="Paragrafoelenco"/>
        <w:numPr>
          <w:ilvl w:val="0"/>
          <w:numId w:val="1"/>
        </w:numPr>
        <w:jc w:val="both"/>
      </w:pPr>
      <w:r w:rsidRPr="0060336A">
        <w:rPr>
          <w:b/>
        </w:rPr>
        <w:t>Vaccinazione personale</w:t>
      </w:r>
      <w:r>
        <w:t xml:space="preserve">. </w:t>
      </w:r>
      <w:r w:rsidR="00745027">
        <w:t>Il</w:t>
      </w:r>
      <w:r w:rsidR="00E77C5C">
        <w:t xml:space="preserve"> 91,2% del personale scolastico ha</w:t>
      </w:r>
      <w:r>
        <w:t xml:space="preserve"> completato il ciclo vaccinale e </w:t>
      </w:r>
      <w:r w:rsidR="00E77C5C">
        <w:t>il 3% (</w:t>
      </w:r>
      <w:r w:rsidR="00E77C5C" w:rsidRPr="00E77C5C">
        <w:t>45.945</w:t>
      </w:r>
      <w:r w:rsidR="00E77C5C">
        <w:t>) ha ricevuto la prima dose di vaccino</w:t>
      </w:r>
      <w:r>
        <w:t xml:space="preserve">; </w:t>
      </w:r>
      <w:r w:rsidR="00F54FDB">
        <w:t xml:space="preserve">sono in </w:t>
      </w:r>
      <w:r w:rsidR="00E77C5C" w:rsidRPr="00E77C5C">
        <w:t>90.002</w:t>
      </w:r>
      <w:r w:rsidR="00E77C5C">
        <w:t xml:space="preserve"> (5,8%) </w:t>
      </w:r>
      <w:r w:rsidR="00F54FDB">
        <w:t xml:space="preserve">a </w:t>
      </w:r>
      <w:r>
        <w:t xml:space="preserve">non </w:t>
      </w:r>
      <w:r w:rsidR="00F54FDB">
        <w:t xml:space="preserve">aver ancora </w:t>
      </w:r>
      <w:r>
        <w:t xml:space="preserve">ricevuto </w:t>
      </w:r>
      <w:r w:rsidR="00031906">
        <w:t>nemmeno una</w:t>
      </w:r>
      <w:r>
        <w:t xml:space="preserve"> dose</w:t>
      </w:r>
      <w:r w:rsidR="00745027">
        <w:t xml:space="preserve"> (</w:t>
      </w:r>
      <w:r w:rsidR="00745027" w:rsidRPr="00C24620">
        <w:rPr>
          <w:highlight w:val="yellow"/>
        </w:rPr>
        <w:t>figura</w:t>
      </w:r>
      <w:r w:rsidR="00745027" w:rsidRPr="00745027">
        <w:rPr>
          <w:highlight w:val="yellow"/>
        </w:rPr>
        <w:t xml:space="preserve"> 4</w:t>
      </w:r>
      <w:r w:rsidR="00745027">
        <w:t>)</w:t>
      </w:r>
      <w:r>
        <w:t>, con rileva</w:t>
      </w:r>
      <w:r w:rsidR="00E77C5C">
        <w:t>n</w:t>
      </w:r>
      <w:r w:rsidR="00745027">
        <w:t xml:space="preserve">ti differenze regionali: </w:t>
      </w:r>
      <w:r w:rsidR="0018489F" w:rsidRPr="0018489F">
        <w:t xml:space="preserve">dal </w:t>
      </w:r>
      <w:r w:rsidR="0090296A" w:rsidRPr="0018489F">
        <w:t xml:space="preserve">3% del Veneto </w:t>
      </w:r>
      <w:r w:rsidR="0090296A">
        <w:t xml:space="preserve">al </w:t>
      </w:r>
      <w:r w:rsidR="0018489F" w:rsidRPr="0018489F">
        <w:t>21,1% della Provincia autonoma di Bolzano</w:t>
      </w:r>
      <w:r w:rsidR="00745027">
        <w:t>. (</w:t>
      </w:r>
      <w:r w:rsidR="00745027" w:rsidRPr="00745027">
        <w:rPr>
          <w:highlight w:val="yellow"/>
        </w:rPr>
        <w:t xml:space="preserve">figura </w:t>
      </w:r>
      <w:r w:rsidR="00745027">
        <w:rPr>
          <w:highlight w:val="yellow"/>
        </w:rPr>
        <w:t>5</w:t>
      </w:r>
      <w:r w:rsidR="00745027">
        <w:t>). Da rilevare che il dato non viene aggiornato dal 1 ottobre 2021</w:t>
      </w:r>
      <w:r w:rsidR="0018489F">
        <w:t>.</w:t>
      </w:r>
    </w:p>
    <w:p w:rsidR="0060336A" w:rsidRDefault="0060336A" w:rsidP="00D13F83">
      <w:pPr>
        <w:pStyle w:val="Paragrafoelenco"/>
        <w:numPr>
          <w:ilvl w:val="0"/>
          <w:numId w:val="1"/>
        </w:numPr>
        <w:jc w:val="both"/>
      </w:pPr>
      <w:r>
        <w:rPr>
          <w:b/>
        </w:rPr>
        <w:t>Utilizzo delle mascherine</w:t>
      </w:r>
      <w:r w:rsidR="00AE1FBE">
        <w:t xml:space="preserve">. Un rigoroso </w:t>
      </w:r>
      <w:hyperlink r:id="rId9" w:history="1">
        <w:r w:rsidR="00AE1FBE" w:rsidRPr="00074D04">
          <w:rPr>
            <w:rStyle w:val="Collegamentoipertestuale"/>
          </w:rPr>
          <w:t>studio di simulazione</w:t>
        </w:r>
      </w:hyperlink>
      <w:r w:rsidR="00AE1FBE">
        <w:t xml:space="preserve"> </w:t>
      </w:r>
      <w:r w:rsidR="00D13F83" w:rsidRPr="00D13F83">
        <w:t xml:space="preserve">dei </w:t>
      </w:r>
      <w:r w:rsidR="00D13F83" w:rsidRPr="00D13F83">
        <w:rPr>
          <w:i/>
        </w:rPr>
        <w:t>Centers for Disease Control and Prevention</w:t>
      </w:r>
      <w:r w:rsidR="00D13F83" w:rsidRPr="00D13F83">
        <w:t xml:space="preserve"> </w:t>
      </w:r>
      <w:r w:rsidR="00AE1FBE">
        <w:t>ha dimostrato che a scuola,</w:t>
      </w:r>
      <w:r w:rsidR="006906C4">
        <w:t xml:space="preserve"> anche</w:t>
      </w:r>
      <w:r w:rsidR="00AE1FBE">
        <w:t xml:space="preserve"> in condizioni di </w:t>
      </w:r>
      <w:r w:rsidR="00271EFB">
        <w:t xml:space="preserve">elevata </w:t>
      </w:r>
      <w:r w:rsidR="00AE1FBE">
        <w:t>immunità, l’uso della mascherina chirurgica riduce il rischio di trasmissione</w:t>
      </w:r>
      <w:r w:rsidR="00D13F83">
        <w:t xml:space="preserve"> (</w:t>
      </w:r>
      <w:r w:rsidR="00D13F83" w:rsidRPr="00B96E65">
        <w:rPr>
          <w:highlight w:val="yellow"/>
        </w:rPr>
        <w:t xml:space="preserve">figura </w:t>
      </w:r>
      <w:r w:rsidR="00745027">
        <w:rPr>
          <w:highlight w:val="yellow"/>
        </w:rPr>
        <w:t>6</w:t>
      </w:r>
      <w:r w:rsidR="00D13F83">
        <w:t>)</w:t>
      </w:r>
      <w:r w:rsidR="006906C4">
        <w:t>.</w:t>
      </w:r>
      <w:r w:rsidR="00F34CD4">
        <w:t xml:space="preserve"> </w:t>
      </w:r>
      <w:r w:rsidR="00271EFB" w:rsidRPr="008A5778">
        <w:t>«</w:t>
      </w:r>
      <w:r w:rsidR="003E3EE1">
        <w:t>F</w:t>
      </w:r>
      <w:r w:rsidR="00D4050E">
        <w:t>i</w:t>
      </w:r>
      <w:r w:rsidR="003E3EE1" w:rsidRPr="00F34CD4">
        <w:t xml:space="preserve">no a quando il tasso di copertura vaccinale fra studenti, personale scolastico e popolazione generale non avrà raggiunto percentuali </w:t>
      </w:r>
      <w:r w:rsidR="00013F97">
        <w:t>più elevate</w:t>
      </w:r>
      <w:r w:rsidR="003E3EE1" w:rsidRPr="00F34CD4">
        <w:t xml:space="preserve"> </w:t>
      </w:r>
      <w:r w:rsidR="003E3EE1">
        <w:t>– spiega Cartabellotta –</w:t>
      </w:r>
      <w:r w:rsidR="003E3EE1" w:rsidDel="003E3EE1">
        <w:t xml:space="preserve"> </w:t>
      </w:r>
      <w:r w:rsidR="00D1055D">
        <w:t xml:space="preserve">anche considerando che </w:t>
      </w:r>
      <w:r w:rsidR="003721D9">
        <w:t xml:space="preserve">nelle ultime due settimane il 60% dei casi diagnosticati nella fascia d’età 0-19 anni si è verificato negli under 12, </w:t>
      </w:r>
      <w:r w:rsidR="00AB6250" w:rsidRPr="00F34CD4">
        <w:t xml:space="preserve">l’ipotesi di abbandonare le mascherine nelle classi con tutti gli studenti </w:t>
      </w:r>
      <w:r w:rsidR="00AB6250">
        <w:t>immunizzat</w:t>
      </w:r>
      <w:r w:rsidR="00AB6250" w:rsidRPr="00F34CD4">
        <w:t>i</w:t>
      </w:r>
      <w:r w:rsidR="003E3EE1">
        <w:t xml:space="preserve"> </w:t>
      </w:r>
      <w:r w:rsidR="00880402">
        <w:t>è troppo rischiosa</w:t>
      </w:r>
      <w:r w:rsidR="00AB6250" w:rsidRPr="00F34CD4">
        <w:t>, oltre a porre problemi di privacy sul controllo dello status vaccinale e generar</w:t>
      </w:r>
      <w:r w:rsidR="00AB6250">
        <w:t>e</w:t>
      </w:r>
      <w:r w:rsidR="00104AD5">
        <w:t>, potenzialmente,</w:t>
      </w:r>
      <w:r w:rsidR="00AB6250">
        <w:t xml:space="preserve"> il rischio di discriminazioni</w:t>
      </w:r>
      <w:r w:rsidR="00271EFB" w:rsidRPr="008A5778">
        <w:t>»</w:t>
      </w:r>
      <w:r w:rsidR="00031906">
        <w:t xml:space="preserve">. </w:t>
      </w:r>
    </w:p>
    <w:p w:rsidR="00AB6250" w:rsidRDefault="00AB6250" w:rsidP="00AB6250">
      <w:pPr>
        <w:pStyle w:val="Paragrafoelenco"/>
        <w:numPr>
          <w:ilvl w:val="0"/>
          <w:numId w:val="1"/>
        </w:numPr>
        <w:jc w:val="both"/>
      </w:pPr>
      <w:r w:rsidRPr="0060336A">
        <w:rPr>
          <w:b/>
        </w:rPr>
        <w:t>Screening periodico</w:t>
      </w:r>
      <w:r>
        <w:t xml:space="preserve">. Il </w:t>
      </w:r>
      <w:hyperlink r:id="rId10" w:history="1">
        <w:r w:rsidRPr="002E7F23">
          <w:rPr>
            <w:rStyle w:val="Collegamentoipertestuale"/>
          </w:rPr>
          <w:t>Piano di monitoraggio della circolazione di SARS-CoV-2 nelle scuole dell’Istituto Superiore di Sanità</w:t>
        </w:r>
      </w:hyperlink>
      <w:r>
        <w:t xml:space="preserve"> non prevede </w:t>
      </w:r>
      <w:r w:rsidR="00754914">
        <w:t xml:space="preserve">uno </w:t>
      </w:r>
      <w:r>
        <w:t xml:space="preserve">screening periodico e sistematico, ma solo una campagna di testing a campione che coinvolge circa 110mila studenti delle cosiddette “scuole sentinella” primarie e secondarie di primo grado, utilizzando test molecolare su campione salivare. Un test di facile utilizzo e non invasivo, ma – come rilevato dal </w:t>
      </w:r>
      <w:hyperlink r:id="rId11" w:history="1">
        <w:r w:rsidRPr="00FC00CC">
          <w:rPr>
            <w:rStyle w:val="Collegamentoipertestuale"/>
          </w:rPr>
          <w:t xml:space="preserve">report </w:t>
        </w:r>
        <w:r w:rsidRPr="00FC00CC">
          <w:rPr>
            <w:rStyle w:val="Collegamentoipertestuale"/>
            <w:i/>
          </w:rPr>
          <w:t>dell’European Centre for Disease Control and Prevention</w:t>
        </w:r>
      </w:hyperlink>
      <w:r w:rsidR="00FC00CC">
        <w:t xml:space="preserve"> </w:t>
      </w:r>
      <w:r>
        <w:t>– con una bassa sensibilità (53-73%)</w:t>
      </w:r>
      <w:r w:rsidR="00013F97">
        <w:t xml:space="preserve"> in età pediatrica</w:t>
      </w:r>
      <w:r>
        <w:t>, peraltro condizionata dal metodo di raccolta del campione, a seconda che sia effettuata da operatori sanitari o tramite auto-raccolta. «</w:t>
      </w:r>
      <w:r w:rsidR="00754914">
        <w:t>Al</w:t>
      </w:r>
      <w:r w:rsidR="00754914" w:rsidRPr="00754914">
        <w:t xml:space="preserve"> </w:t>
      </w:r>
      <w:r w:rsidR="00754914">
        <w:t>fine di monitorare e valutare l’efficacia delle strategie attuate</w:t>
      </w:r>
      <w:r w:rsidR="002E7398">
        <w:t xml:space="preserve"> </w:t>
      </w:r>
      <w:r>
        <w:t xml:space="preserve">– sottolinea </w:t>
      </w:r>
      <w:r w:rsidR="00104AD5">
        <w:t>Gili</w:t>
      </w:r>
      <w:r>
        <w:t xml:space="preserve"> – è </w:t>
      </w:r>
      <w:r w:rsidR="00754914">
        <w:t xml:space="preserve">indispensabile </w:t>
      </w:r>
      <w:r w:rsidR="00071C72">
        <w:t>che vengano resi pubblici i dati</w:t>
      </w:r>
      <w:r>
        <w:t xml:space="preserve"> provenienti da</w:t>
      </w:r>
      <w:r w:rsidR="00754914">
        <w:t xml:space="preserve"> questi</w:t>
      </w:r>
      <w:r>
        <w:t xml:space="preserve"> test di screening, oltre che </w:t>
      </w:r>
      <w:r w:rsidR="00071C72">
        <w:t xml:space="preserve">il </w:t>
      </w:r>
      <w:r>
        <w:t xml:space="preserve">numero di studenti e classi progressivamente </w:t>
      </w:r>
      <w:r w:rsidR="002E7398">
        <w:t xml:space="preserve">messi </w:t>
      </w:r>
      <w:r>
        <w:t xml:space="preserve">in quarantena». </w:t>
      </w:r>
    </w:p>
    <w:p w:rsidR="0060336A" w:rsidRDefault="006C4ABD" w:rsidP="00AE1FBE">
      <w:pPr>
        <w:pStyle w:val="Paragrafoelenco"/>
        <w:numPr>
          <w:ilvl w:val="0"/>
          <w:numId w:val="1"/>
        </w:numPr>
        <w:jc w:val="both"/>
      </w:pPr>
      <w:r>
        <w:rPr>
          <w:b/>
        </w:rPr>
        <w:t>D</w:t>
      </w:r>
      <w:r w:rsidR="00AE1FBE" w:rsidRPr="0060336A">
        <w:rPr>
          <w:b/>
        </w:rPr>
        <w:t>istanziamento</w:t>
      </w:r>
      <w:r w:rsidR="0060336A" w:rsidRPr="0060336A">
        <w:rPr>
          <w:b/>
        </w:rPr>
        <w:t xml:space="preserve"> sociale</w:t>
      </w:r>
      <w:r w:rsidR="00AE1FBE">
        <w:t xml:space="preserve">. Il </w:t>
      </w:r>
      <w:hyperlink r:id="rId12" w:history="1">
        <w:r w:rsidR="00AE1FBE" w:rsidRPr="00D13F83">
          <w:rPr>
            <w:rStyle w:val="Collegamentoipertestuale"/>
          </w:rPr>
          <w:t>Protocollo di Intesa del Ministero dell’Istruzione</w:t>
        </w:r>
      </w:hyperlink>
      <w:r w:rsidR="00AE1FBE">
        <w:t xml:space="preserve"> prevede una “distanza interpersonale di almeno un metro, sia in posizione statica che dinamica, qualora logisticamente possibile”, ovvero definisce un obbligo flessibile, derogabile in presenza di limiti strutturali</w:t>
      </w:r>
      <w:r>
        <w:t xml:space="preserve">. </w:t>
      </w:r>
      <w:r w:rsidR="00AB6250">
        <w:t>Questo si verifica, i</w:t>
      </w:r>
      <w:r>
        <w:t xml:space="preserve">n particolare, nelle </w:t>
      </w:r>
      <w:r w:rsidR="00074D04" w:rsidRPr="00074D04">
        <w:t>classi molto numerose (</w:t>
      </w:r>
      <w:r>
        <w:t>cd</w:t>
      </w:r>
      <w:r w:rsidR="009868CF">
        <w:t>.</w:t>
      </w:r>
      <w:r>
        <w:t xml:space="preserve"> </w:t>
      </w:r>
      <w:r w:rsidR="00074D04" w:rsidRPr="00074D04">
        <w:t xml:space="preserve">“classi pollaio”) </w:t>
      </w:r>
      <w:r w:rsidR="00AB6250">
        <w:t>dove</w:t>
      </w:r>
      <w:r w:rsidR="00074D04">
        <w:t xml:space="preserve"> </w:t>
      </w:r>
      <w:r w:rsidR="00074D04" w:rsidRPr="00074D04">
        <w:t xml:space="preserve">mantenere il distanziamento sociale </w:t>
      </w:r>
      <w:r w:rsidR="002E7F23">
        <w:t xml:space="preserve">può </w:t>
      </w:r>
      <w:r w:rsidR="00AB6250">
        <w:t>risulta</w:t>
      </w:r>
      <w:r w:rsidR="002E7F23">
        <w:t>re</w:t>
      </w:r>
      <w:r w:rsidR="00074D04" w:rsidRPr="00074D04">
        <w:t xml:space="preserve"> </w:t>
      </w:r>
      <w:r w:rsidR="008F1236">
        <w:t xml:space="preserve">sostanzialmente </w:t>
      </w:r>
      <w:r w:rsidR="0090296A">
        <w:t>impossibile</w:t>
      </w:r>
      <w:r w:rsidR="00074D04">
        <w:t>.</w:t>
      </w:r>
    </w:p>
    <w:p w:rsidR="00AE1FBE" w:rsidRDefault="00AE1FBE" w:rsidP="00424D9B">
      <w:pPr>
        <w:pStyle w:val="Paragrafoelenco"/>
        <w:numPr>
          <w:ilvl w:val="0"/>
          <w:numId w:val="1"/>
        </w:numPr>
        <w:jc w:val="both"/>
      </w:pPr>
      <w:r w:rsidRPr="0060336A">
        <w:rPr>
          <w:b/>
        </w:rPr>
        <w:t>Aerazione e ventilazione</w:t>
      </w:r>
      <w:r w:rsidR="0060336A" w:rsidRPr="0060336A">
        <w:rPr>
          <w:b/>
        </w:rPr>
        <w:t xml:space="preserve"> dei locali chiusi</w:t>
      </w:r>
      <w:r>
        <w:t xml:space="preserve">. </w:t>
      </w:r>
      <w:r w:rsidR="006C4ABD">
        <w:t xml:space="preserve">Nonostante le evidenze </w:t>
      </w:r>
      <w:r w:rsidR="009868CF">
        <w:t xml:space="preserve">dimostrino </w:t>
      </w:r>
      <w:r w:rsidR="006C4ABD">
        <w:t xml:space="preserve">che la trasmissione del SARS-CoV-2 </w:t>
      </w:r>
      <w:r w:rsidR="009868CF">
        <w:t xml:space="preserve">avviene </w:t>
      </w:r>
      <w:r w:rsidR="006C4ABD">
        <w:t>prevalentemente per aerosol</w:t>
      </w:r>
      <w:r w:rsidR="00AB6250">
        <w:t xml:space="preserve">, si </w:t>
      </w:r>
      <w:r w:rsidR="00FC00CC">
        <w:t xml:space="preserve">continuano a investire troppe risorse </w:t>
      </w:r>
      <w:r w:rsidR="00AB6250">
        <w:t>nelle procedure di disin</w:t>
      </w:r>
      <w:r w:rsidR="00FC00CC">
        <w:t xml:space="preserve">fezione delle </w:t>
      </w:r>
      <w:r w:rsidR="009868CF">
        <w:t xml:space="preserve">superfici </w:t>
      </w:r>
      <w:r w:rsidR="00FC00CC">
        <w:t xml:space="preserve">e pochissime nei sistemi di aerazione e ventilazione. </w:t>
      </w:r>
      <w:r>
        <w:t xml:space="preserve">Il </w:t>
      </w:r>
      <w:hyperlink r:id="rId13" w:history="1">
        <w:r w:rsidRPr="00424D9B">
          <w:rPr>
            <w:rStyle w:val="Collegamentoipertestuale"/>
          </w:rPr>
          <w:t>Decreto Ripartizione</w:t>
        </w:r>
      </w:hyperlink>
      <w:r>
        <w:t xml:space="preserve"> </w:t>
      </w:r>
      <w:r w:rsidR="00104AD5">
        <w:t xml:space="preserve">che </w:t>
      </w:r>
      <w:r>
        <w:t xml:space="preserve">ha assegnato 350 milioni di euro alle scuole prevedeva l’acquisto di “strumenti per </w:t>
      </w:r>
      <w:r>
        <w:lastRenderedPageBreak/>
        <w:t xml:space="preserve">l’aerazione”, ma tale destinazione d’uso non è specificata nel DL 73/2021 che fa riferimento solo a interventi di piccola manutenzione. Di conseguenza, areazione e ventilazione sono affidate al </w:t>
      </w:r>
      <w:r w:rsidR="008D037D">
        <w:t>mantenimento delle</w:t>
      </w:r>
      <w:r>
        <w:t xml:space="preserve"> finestre aperte, la cui efficacia dipende dalla sensibilizzazione del personale scolastico e dalla ventilazione continuativa degli ambienti durante le attività, </w:t>
      </w:r>
      <w:r w:rsidR="00074D04">
        <w:t xml:space="preserve">che non può non essere </w:t>
      </w:r>
      <w:r w:rsidR="00104AD5">
        <w:t>condizionata</w:t>
      </w:r>
      <w:r>
        <w:t xml:space="preserve"> dalle condizioni metereologiche.</w:t>
      </w:r>
    </w:p>
    <w:p w:rsidR="00AE1FBE" w:rsidRPr="00991B55" w:rsidRDefault="000F21C3" w:rsidP="00AE1FBE">
      <w:pPr>
        <w:pStyle w:val="Paragrafoelenco"/>
        <w:numPr>
          <w:ilvl w:val="0"/>
          <w:numId w:val="1"/>
        </w:numPr>
        <w:jc w:val="both"/>
      </w:pPr>
      <w:r w:rsidRPr="00991B55">
        <w:rPr>
          <w:b/>
        </w:rPr>
        <w:t>Trasporti pubblici</w:t>
      </w:r>
      <w:r w:rsidRPr="00991B55">
        <w:t xml:space="preserve">. </w:t>
      </w:r>
      <w:r w:rsidR="008F1236">
        <w:t>La gestione dei mezzi pubblici non è stata inclusa</w:t>
      </w:r>
      <w:r w:rsidRPr="00991B55">
        <w:t xml:space="preserve"> </w:t>
      </w:r>
      <w:r w:rsidR="0060336A" w:rsidRPr="00991B55">
        <w:t xml:space="preserve">nell’analisi sia perché non </w:t>
      </w:r>
      <w:r w:rsidR="008F1236">
        <w:t>di competenza</w:t>
      </w:r>
      <w:r w:rsidR="0060336A" w:rsidRPr="00991B55">
        <w:t xml:space="preserve"> delle scuole, sia perché interessa quasi esclusivamente gli studenti della scuola secondaria di secondo grado</w:t>
      </w:r>
      <w:r w:rsidR="00AE1FBE" w:rsidRPr="00991B55">
        <w:t>.</w:t>
      </w:r>
    </w:p>
    <w:p w:rsidR="00424D9B" w:rsidRDefault="00424D9B" w:rsidP="00AE1FBE">
      <w:pPr>
        <w:jc w:val="both"/>
      </w:pPr>
      <w:r>
        <w:t xml:space="preserve">Il report </w:t>
      </w:r>
      <w:r w:rsidR="00104AD5">
        <w:t xml:space="preserve">GIMBE </w:t>
      </w:r>
      <w:r>
        <w:t xml:space="preserve">ribadisce che </w:t>
      </w:r>
      <w:r w:rsidRPr="00424D9B">
        <w:t>i vari interventi per minimizzare la circolazione del virus non possono essere applicati in tutt</w:t>
      </w:r>
      <w:r w:rsidR="009868CF">
        <w:t xml:space="preserve">i i gradi </w:t>
      </w:r>
      <w:r w:rsidRPr="00424D9B">
        <w:t xml:space="preserve">di </w:t>
      </w:r>
      <w:r w:rsidR="009868CF" w:rsidRPr="00424D9B">
        <w:t>scuol</w:t>
      </w:r>
      <w:r w:rsidR="009868CF">
        <w:t>a</w:t>
      </w:r>
      <w:r w:rsidRPr="00424D9B">
        <w:t xml:space="preserve">, </w:t>
      </w:r>
      <w:r w:rsidR="009868CF" w:rsidRPr="00424D9B">
        <w:t>ciascun</w:t>
      </w:r>
      <w:r w:rsidR="009868CF">
        <w:t>o</w:t>
      </w:r>
      <w:r w:rsidR="009868CF" w:rsidRPr="00424D9B">
        <w:t xml:space="preserve"> </w:t>
      </w:r>
      <w:r w:rsidR="009868CF">
        <w:t>dei</w:t>
      </w:r>
      <w:r w:rsidR="009868CF" w:rsidRPr="00424D9B">
        <w:t xml:space="preserve"> </w:t>
      </w:r>
      <w:r w:rsidR="00104AD5">
        <w:t xml:space="preserve">quali </w:t>
      </w:r>
      <w:r w:rsidRPr="00424D9B">
        <w:t>richiede</w:t>
      </w:r>
      <w:r>
        <w:t xml:space="preserve"> </w:t>
      </w:r>
      <w:r w:rsidRPr="00424D9B">
        <w:t>un piano di prevenzione su misura, considerando soprattutto la maggiore contagiosità della variante delta.</w:t>
      </w:r>
    </w:p>
    <w:p w:rsidR="003D55AE" w:rsidRDefault="009479A9" w:rsidP="00AE1FBE">
      <w:pPr>
        <w:jc w:val="both"/>
      </w:pPr>
      <w:r>
        <w:rPr>
          <w:noProof/>
          <w:lang w:eastAsia="it-IT"/>
        </w:rPr>
        <w:drawing>
          <wp:inline distT="0" distB="0" distL="0" distR="0" wp14:anchorId="3680B524" wp14:editId="02B1ECE4">
            <wp:extent cx="6120130" cy="2449402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65" w:rsidRDefault="009702AC" w:rsidP="00AE1FBE">
      <w:pPr>
        <w:jc w:val="both"/>
      </w:pPr>
      <w:r>
        <w:t>«</w:t>
      </w:r>
      <w:r w:rsidR="00390C01">
        <w:t>Con la st</w:t>
      </w:r>
      <w:r w:rsidR="000303FC">
        <w:t xml:space="preserve">agione invernale alle porte e l’evidente </w:t>
      </w:r>
      <w:r w:rsidR="00390C01">
        <w:t xml:space="preserve">risalita dei nuovi casi </w:t>
      </w:r>
      <w:r w:rsidR="000303FC">
        <w:t xml:space="preserve">nell’ultima settimana </w:t>
      </w:r>
      <w:r w:rsidR="00390C01">
        <w:t xml:space="preserve">– conclude il Presidente – è indispensabile mantenere alta l’attenzione sulle scuole </w:t>
      </w:r>
      <w:r w:rsidR="00104AD5">
        <w:t>dove</w:t>
      </w:r>
      <w:r w:rsidR="00390C01">
        <w:t xml:space="preserve">, per le numerose criticità rilevate, </w:t>
      </w:r>
      <w:r w:rsidR="00104AD5">
        <w:t xml:space="preserve">i focolai </w:t>
      </w:r>
      <w:r w:rsidR="002518E9">
        <w:t xml:space="preserve">segnalati </w:t>
      </w:r>
      <w:r w:rsidR="00104AD5">
        <w:t xml:space="preserve">dimostrano </w:t>
      </w:r>
      <w:r w:rsidR="000303FC">
        <w:t>che l’</w:t>
      </w:r>
      <w:r w:rsidR="00390C01">
        <w:t xml:space="preserve">equilibrio </w:t>
      </w:r>
      <w:r w:rsidR="000303FC">
        <w:t xml:space="preserve">è </w:t>
      </w:r>
      <w:r w:rsidR="00390C01">
        <w:t xml:space="preserve">instabile. </w:t>
      </w:r>
      <w:r w:rsidR="009868CF">
        <w:t>O</w:t>
      </w:r>
      <w:r w:rsidRPr="009702AC">
        <w:t>ltre a puntare a</w:t>
      </w:r>
      <w:r w:rsidR="00BF153F">
        <w:t>l</w:t>
      </w:r>
      <w:r w:rsidRPr="009702AC">
        <w:t xml:space="preserve">le massime coperture vaccinali </w:t>
      </w:r>
      <w:r w:rsidR="00BF153F">
        <w:t xml:space="preserve">sia </w:t>
      </w:r>
      <w:r w:rsidRPr="009702AC">
        <w:t>di personale scolas</w:t>
      </w:r>
      <w:r w:rsidR="00BF153F">
        <w:t>tico e studenti di età &gt;12 anni, sia di popolazione</w:t>
      </w:r>
      <w:r w:rsidR="003B1D75">
        <w:t xml:space="preserve"> generale</w:t>
      </w:r>
      <w:r w:rsidR="00BF153F">
        <w:t xml:space="preserve">, </w:t>
      </w:r>
      <w:r w:rsidRPr="009702AC">
        <w:t xml:space="preserve">occorre parallelamente </w:t>
      </w:r>
      <w:r w:rsidR="00390C01">
        <w:t xml:space="preserve">potenziare gli </w:t>
      </w:r>
      <w:r w:rsidRPr="009702AC">
        <w:t xml:space="preserve">screening periodici sistematici e implementare interventi di sistema che garantiscano </w:t>
      </w:r>
      <w:r w:rsidR="003B1D75" w:rsidRPr="009702AC">
        <w:t>un</w:t>
      </w:r>
      <w:r w:rsidR="003B1D75">
        <w:t>’</w:t>
      </w:r>
      <w:r w:rsidRPr="009702AC">
        <w:t>adeguata aerazione e ventilazione dei locali scolastici</w:t>
      </w:r>
      <w:r w:rsidR="00893135">
        <w:t>: i</w:t>
      </w:r>
      <w:r w:rsidR="00BF153F">
        <w:t>n particolare</w:t>
      </w:r>
      <w:r w:rsidR="00424D9B">
        <w:t xml:space="preserve"> nella fascia under 12 dove non sono disponibili i vaccini e in quella under 6 dove non sono utilizzabili nemmeno le mascherine e il distanziamento è sostanzialmente inapplicabile</w:t>
      </w:r>
      <w:r w:rsidR="00AE1FBE">
        <w:t>».</w:t>
      </w:r>
    </w:p>
    <w:p w:rsidR="000F21C3" w:rsidRPr="000F21C3" w:rsidRDefault="000F21C3" w:rsidP="00AE1FBE">
      <w:pPr>
        <w:jc w:val="both"/>
        <w:rPr>
          <w:i/>
        </w:rPr>
      </w:pPr>
      <w:r w:rsidRPr="000F21C3">
        <w:rPr>
          <w:i/>
        </w:rPr>
        <w:t>Il Report “Sicurezza COVID-19 nelle scuole: dalle evidenze scientifiche al real world” è disponibile a: www.gimbe.org/sicurezza-covid19-scuole.</w:t>
      </w:r>
    </w:p>
    <w:p w:rsidR="000F21C3" w:rsidRPr="00613848" w:rsidRDefault="000F21C3" w:rsidP="000F21C3">
      <w:pPr>
        <w:spacing w:after="120"/>
        <w:rPr>
          <w:rFonts w:eastAsia="Calibri" w:cs="Calibri"/>
          <w:color w:val="0563C1"/>
          <w:sz w:val="20"/>
          <w:szCs w:val="20"/>
          <w:u w:val="single" w:color="0563C1"/>
        </w:rPr>
      </w:pPr>
      <w:r w:rsidRPr="00234B97">
        <w:rPr>
          <w:b/>
          <w:bCs/>
        </w:rPr>
        <w:t>CONTATTI</w:t>
      </w:r>
      <w:r w:rsidRPr="00234B97">
        <w:rPr>
          <w:i/>
          <w:iCs/>
        </w:rPr>
        <w:br/>
      </w:r>
      <w:r w:rsidRPr="00234B97">
        <w:rPr>
          <w:b/>
          <w:bCs/>
        </w:rPr>
        <w:t>Fondazione GIMBE</w:t>
      </w:r>
      <w:r w:rsidRPr="00234B97">
        <w:rPr>
          <w:i/>
          <w:iCs/>
          <w:color w:val="0563C1"/>
          <w:u w:val="single" w:color="0563C1"/>
        </w:rPr>
        <w:br/>
      </w:r>
      <w:r w:rsidRPr="00234B97">
        <w:rPr>
          <w:sz w:val="20"/>
          <w:szCs w:val="20"/>
        </w:rPr>
        <w:t>Via Amendola 2 - 40121 Bologna</w:t>
      </w:r>
      <w:r w:rsidRPr="00234B97">
        <w:rPr>
          <w:sz w:val="20"/>
          <w:szCs w:val="20"/>
        </w:rPr>
        <w:br/>
        <w:t>Tel. 051 5883920 - Fax 051 4075774</w:t>
      </w:r>
      <w:r w:rsidRPr="00234B97">
        <w:rPr>
          <w:sz w:val="20"/>
          <w:szCs w:val="20"/>
        </w:rPr>
        <w:br/>
        <w:t xml:space="preserve">E-mail: </w:t>
      </w:r>
      <w:hyperlink r:id="rId15" w:history="1">
        <w:r w:rsidRPr="00234B97">
          <w:rPr>
            <w:rStyle w:val="Hyperlink1"/>
          </w:rPr>
          <w:t>ufficio.stampa@gimbe.org</w:t>
        </w:r>
      </w:hyperlink>
    </w:p>
    <w:p w:rsidR="000F21C3" w:rsidRDefault="000F21C3" w:rsidP="00AE1FBE">
      <w:pPr>
        <w:jc w:val="both"/>
      </w:pPr>
    </w:p>
    <w:p w:rsidR="00232D27" w:rsidRDefault="00232D27" w:rsidP="00AE1FBE">
      <w:pPr>
        <w:jc w:val="both"/>
      </w:pPr>
    </w:p>
    <w:p w:rsidR="00232D27" w:rsidRDefault="00232D27" w:rsidP="00AE1FBE">
      <w:pPr>
        <w:jc w:val="both"/>
      </w:pPr>
    </w:p>
    <w:p w:rsidR="00232D27" w:rsidRDefault="00232D27" w:rsidP="00AE1FBE">
      <w:pPr>
        <w:jc w:val="both"/>
      </w:pPr>
    </w:p>
    <w:p w:rsidR="00E03444" w:rsidRDefault="00E03444" w:rsidP="00E03444">
      <w:pPr>
        <w:jc w:val="center"/>
      </w:pPr>
      <w:r w:rsidRPr="00542585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>
        <w:rPr>
          <w:b/>
          <w:bCs/>
          <w:color w:val="00457D"/>
          <w:sz w:val="24"/>
          <w:szCs w:val="24"/>
          <w:u w:color="00457D"/>
        </w:rPr>
        <w:t>1</w:t>
      </w:r>
    </w:p>
    <w:p w:rsidR="003721D9" w:rsidRDefault="003721D9" w:rsidP="00E03444">
      <w:pPr>
        <w:jc w:val="center"/>
      </w:pPr>
      <w:r>
        <w:rPr>
          <w:rFonts w:ascii="Cambria" w:hAnsi="Cambria"/>
          <w:b/>
          <w:noProof/>
          <w:color w:val="00457D"/>
          <w:sz w:val="18"/>
          <w:lang w:eastAsia="it-IT"/>
        </w:rPr>
        <w:drawing>
          <wp:inline distT="0" distB="0" distL="0" distR="0" wp14:anchorId="7ED98CE3" wp14:editId="7AFEEB28">
            <wp:extent cx="5760000" cy="360362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03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DBD" w:rsidRPr="00224DBD" w:rsidRDefault="00224DBD" w:rsidP="00E03444">
      <w:pPr>
        <w:jc w:val="center"/>
        <w:rPr>
          <w:b/>
          <w:bCs/>
          <w:color w:val="00457D"/>
          <w:sz w:val="24"/>
          <w:szCs w:val="24"/>
          <w:u w:color="00457D"/>
        </w:rPr>
      </w:pPr>
      <w:r w:rsidRPr="00224DBD">
        <w:rPr>
          <w:b/>
          <w:bCs/>
          <w:color w:val="00457D"/>
          <w:sz w:val="24"/>
          <w:szCs w:val="24"/>
          <w:u w:color="00457D"/>
        </w:rPr>
        <w:t>Figura 2</w:t>
      </w:r>
    </w:p>
    <w:p w:rsidR="00224DBD" w:rsidRDefault="00224DBD" w:rsidP="00E03444">
      <w:pPr>
        <w:jc w:val="center"/>
      </w:pPr>
      <w:r>
        <w:rPr>
          <w:rFonts w:ascii="Cambria" w:hAnsi="Cambria"/>
          <w:noProof/>
          <w:lang w:eastAsia="it-IT"/>
        </w:rPr>
        <w:drawing>
          <wp:inline distT="0" distB="0" distL="0" distR="0" wp14:anchorId="209056B1" wp14:editId="5C5A9333">
            <wp:extent cx="5760000" cy="4433382"/>
            <wp:effectExtent l="0" t="0" r="0" b="571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433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F0F" w:rsidRDefault="00B97F0F" w:rsidP="00E03444">
      <w:pPr>
        <w:jc w:val="center"/>
        <w:rPr>
          <w:b/>
          <w:bCs/>
          <w:color w:val="00457D"/>
          <w:sz w:val="24"/>
          <w:szCs w:val="24"/>
          <w:u w:color="00457D"/>
        </w:rPr>
      </w:pPr>
    </w:p>
    <w:p w:rsidR="004903DB" w:rsidRDefault="004903DB" w:rsidP="00E03444">
      <w:pPr>
        <w:jc w:val="center"/>
        <w:rPr>
          <w:b/>
          <w:bCs/>
          <w:color w:val="00457D"/>
          <w:sz w:val="24"/>
          <w:szCs w:val="24"/>
          <w:u w:color="00457D"/>
        </w:rPr>
      </w:pPr>
      <w:r w:rsidRPr="00542585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224DBD">
        <w:rPr>
          <w:b/>
          <w:bCs/>
          <w:color w:val="00457D"/>
          <w:sz w:val="24"/>
          <w:szCs w:val="24"/>
          <w:u w:color="00457D"/>
        </w:rPr>
        <w:t>3</w:t>
      </w:r>
    </w:p>
    <w:p w:rsidR="004903DB" w:rsidRDefault="004903DB" w:rsidP="00E03444">
      <w:pPr>
        <w:jc w:val="center"/>
      </w:pPr>
      <w:r>
        <w:rPr>
          <w:rFonts w:ascii="Cambria" w:hAnsi="Cambria"/>
          <w:noProof/>
          <w:lang w:eastAsia="it-IT"/>
        </w:rPr>
        <w:drawing>
          <wp:inline distT="0" distB="0" distL="0" distR="0" wp14:anchorId="19CDEFA2" wp14:editId="0C6EE71B">
            <wp:extent cx="5760000" cy="3364932"/>
            <wp:effectExtent l="0" t="0" r="0" b="698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6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F0F" w:rsidRDefault="00B97F0F" w:rsidP="00E03444">
      <w:pPr>
        <w:jc w:val="center"/>
        <w:rPr>
          <w:b/>
          <w:bCs/>
          <w:color w:val="00457D"/>
          <w:sz w:val="24"/>
          <w:szCs w:val="24"/>
          <w:u w:color="00457D"/>
        </w:rPr>
      </w:pPr>
    </w:p>
    <w:p w:rsidR="00E03444" w:rsidRDefault="00E03444" w:rsidP="00E03444">
      <w:pPr>
        <w:jc w:val="center"/>
      </w:pPr>
      <w:r w:rsidRPr="00542585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224DBD">
        <w:rPr>
          <w:b/>
          <w:bCs/>
          <w:color w:val="00457D"/>
          <w:sz w:val="24"/>
          <w:szCs w:val="24"/>
          <w:u w:color="00457D"/>
        </w:rPr>
        <w:t>4</w:t>
      </w:r>
    </w:p>
    <w:p w:rsidR="00E03444" w:rsidRDefault="00125EAC" w:rsidP="00E03444">
      <w:pPr>
        <w:jc w:val="center"/>
      </w:pPr>
      <w:r>
        <w:rPr>
          <w:rFonts w:ascii="Cambria" w:hAnsi="Cambria"/>
          <w:noProof/>
          <w:lang w:eastAsia="it-IT"/>
        </w:rPr>
        <w:drawing>
          <wp:inline distT="0" distB="0" distL="0" distR="0" wp14:anchorId="15A4B4B4" wp14:editId="6AB51236">
            <wp:extent cx="5760000" cy="3513921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513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96A" w:rsidRDefault="0090296A" w:rsidP="00E03444">
      <w:pPr>
        <w:jc w:val="center"/>
        <w:rPr>
          <w:b/>
          <w:bCs/>
          <w:color w:val="00457D"/>
          <w:sz w:val="24"/>
          <w:szCs w:val="24"/>
          <w:u w:color="00457D"/>
        </w:rPr>
      </w:pPr>
    </w:p>
    <w:p w:rsidR="0090296A" w:rsidRDefault="0090296A" w:rsidP="00E03444">
      <w:pPr>
        <w:jc w:val="center"/>
        <w:rPr>
          <w:b/>
          <w:bCs/>
          <w:color w:val="00457D"/>
          <w:sz w:val="24"/>
          <w:szCs w:val="24"/>
          <w:u w:color="00457D"/>
        </w:rPr>
      </w:pPr>
    </w:p>
    <w:p w:rsidR="0090296A" w:rsidRDefault="0090296A" w:rsidP="00E03444">
      <w:pPr>
        <w:jc w:val="center"/>
        <w:rPr>
          <w:b/>
          <w:bCs/>
          <w:color w:val="00457D"/>
          <w:sz w:val="24"/>
          <w:szCs w:val="24"/>
          <w:u w:color="00457D"/>
        </w:rPr>
      </w:pPr>
    </w:p>
    <w:p w:rsidR="00E03444" w:rsidRDefault="00E03444" w:rsidP="00E03444">
      <w:pPr>
        <w:jc w:val="center"/>
        <w:rPr>
          <w:b/>
          <w:bCs/>
          <w:color w:val="00457D"/>
          <w:sz w:val="24"/>
          <w:szCs w:val="24"/>
          <w:u w:color="00457D"/>
        </w:rPr>
      </w:pPr>
      <w:r w:rsidRPr="00542585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224DBD">
        <w:rPr>
          <w:b/>
          <w:bCs/>
          <w:color w:val="00457D"/>
          <w:sz w:val="24"/>
          <w:szCs w:val="24"/>
          <w:u w:color="00457D"/>
        </w:rPr>
        <w:t>5</w:t>
      </w:r>
    </w:p>
    <w:p w:rsidR="00224DBD" w:rsidRDefault="00224DBD" w:rsidP="00E03444">
      <w:pPr>
        <w:jc w:val="center"/>
      </w:pPr>
      <w:r>
        <w:rPr>
          <w:rFonts w:ascii="Cambria" w:hAnsi="Cambria"/>
          <w:noProof/>
          <w:lang w:eastAsia="it-IT"/>
        </w:rPr>
        <w:drawing>
          <wp:inline distT="0" distB="0" distL="0" distR="0" wp14:anchorId="3F88A3FE" wp14:editId="78082335">
            <wp:extent cx="5760000" cy="4693657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693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F0F" w:rsidRDefault="00B97F0F" w:rsidP="00E03444">
      <w:pPr>
        <w:jc w:val="center"/>
        <w:rPr>
          <w:b/>
          <w:bCs/>
          <w:color w:val="00457D"/>
          <w:sz w:val="24"/>
          <w:szCs w:val="24"/>
          <w:u w:color="00457D"/>
        </w:rPr>
      </w:pPr>
    </w:p>
    <w:p w:rsidR="00224DBD" w:rsidRPr="00224DBD" w:rsidRDefault="00224DBD" w:rsidP="00E03444">
      <w:pPr>
        <w:jc w:val="center"/>
        <w:rPr>
          <w:b/>
          <w:bCs/>
          <w:color w:val="00457D"/>
          <w:sz w:val="24"/>
          <w:szCs w:val="24"/>
          <w:u w:color="00457D"/>
        </w:rPr>
      </w:pPr>
      <w:r w:rsidRPr="00224DBD">
        <w:rPr>
          <w:b/>
          <w:bCs/>
          <w:color w:val="00457D"/>
          <w:sz w:val="24"/>
          <w:szCs w:val="24"/>
          <w:u w:color="00457D"/>
        </w:rPr>
        <w:t>Figura 6</w:t>
      </w:r>
    </w:p>
    <w:p w:rsidR="00E03444" w:rsidRDefault="00E03444" w:rsidP="00E03444">
      <w:pPr>
        <w:jc w:val="center"/>
      </w:pPr>
      <w:r w:rsidRPr="00D25F6C">
        <w:rPr>
          <w:rFonts w:ascii="Cambria" w:hAnsi="Cambria"/>
          <w:noProof/>
          <w:lang w:eastAsia="it-IT"/>
        </w:rPr>
        <w:drawing>
          <wp:inline distT="0" distB="0" distL="0" distR="0" wp14:anchorId="6B3BA395" wp14:editId="69FF8ABB">
            <wp:extent cx="5760000" cy="2880000"/>
            <wp:effectExtent l="19050" t="19050" r="12700" b="1587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437D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E03444" w:rsidRDefault="00E03444" w:rsidP="000F21C3"/>
    <w:sectPr w:rsidR="00E03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7E" w:rsidRDefault="00E57B7E" w:rsidP="00271EFB">
      <w:pPr>
        <w:spacing w:after="0" w:line="240" w:lineRule="auto"/>
      </w:pPr>
      <w:r>
        <w:separator/>
      </w:r>
    </w:p>
  </w:endnote>
  <w:endnote w:type="continuationSeparator" w:id="0">
    <w:p w:rsidR="00E57B7E" w:rsidRDefault="00E57B7E" w:rsidP="0027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7E" w:rsidRDefault="00E57B7E" w:rsidP="00271EFB">
      <w:pPr>
        <w:spacing w:after="0" w:line="240" w:lineRule="auto"/>
      </w:pPr>
      <w:r>
        <w:separator/>
      </w:r>
    </w:p>
  </w:footnote>
  <w:footnote w:type="continuationSeparator" w:id="0">
    <w:p w:rsidR="00E57B7E" w:rsidRDefault="00E57B7E" w:rsidP="0027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70CA"/>
    <w:multiLevelType w:val="hybridMultilevel"/>
    <w:tmpl w:val="995E39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4B2F2B"/>
    <w:multiLevelType w:val="hybridMultilevel"/>
    <w:tmpl w:val="8EE2F764"/>
    <w:lvl w:ilvl="0" w:tplc="819E2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829"/>
    <w:rsid w:val="00013F97"/>
    <w:rsid w:val="000303FC"/>
    <w:rsid w:val="00031906"/>
    <w:rsid w:val="00052871"/>
    <w:rsid w:val="00055C55"/>
    <w:rsid w:val="000713B1"/>
    <w:rsid w:val="00071C72"/>
    <w:rsid w:val="00074D04"/>
    <w:rsid w:val="000B0DFB"/>
    <w:rsid w:val="000F21C3"/>
    <w:rsid w:val="000F306A"/>
    <w:rsid w:val="000F5721"/>
    <w:rsid w:val="00104AD5"/>
    <w:rsid w:val="00113318"/>
    <w:rsid w:val="00125EAC"/>
    <w:rsid w:val="0018489F"/>
    <w:rsid w:val="001866B1"/>
    <w:rsid w:val="001A2600"/>
    <w:rsid w:val="001B6363"/>
    <w:rsid w:val="001E08A8"/>
    <w:rsid w:val="00210D5B"/>
    <w:rsid w:val="00220922"/>
    <w:rsid w:val="00224AE5"/>
    <w:rsid w:val="00224DBD"/>
    <w:rsid w:val="002250FF"/>
    <w:rsid w:val="002274F1"/>
    <w:rsid w:val="00232D27"/>
    <w:rsid w:val="002421B6"/>
    <w:rsid w:val="002518E9"/>
    <w:rsid w:val="00271EFB"/>
    <w:rsid w:val="002843B7"/>
    <w:rsid w:val="002C3F08"/>
    <w:rsid w:val="002E209B"/>
    <w:rsid w:val="002E7398"/>
    <w:rsid w:val="002E7F23"/>
    <w:rsid w:val="002F7E99"/>
    <w:rsid w:val="00347829"/>
    <w:rsid w:val="003510A8"/>
    <w:rsid w:val="00366F6F"/>
    <w:rsid w:val="003721D9"/>
    <w:rsid w:val="00390C01"/>
    <w:rsid w:val="0039517A"/>
    <w:rsid w:val="003B1D75"/>
    <w:rsid w:val="003D55AE"/>
    <w:rsid w:val="003D5D3B"/>
    <w:rsid w:val="003E3EE1"/>
    <w:rsid w:val="00401CBC"/>
    <w:rsid w:val="00417159"/>
    <w:rsid w:val="00424ADF"/>
    <w:rsid w:val="00424D9B"/>
    <w:rsid w:val="0045522E"/>
    <w:rsid w:val="004903DB"/>
    <w:rsid w:val="004A4DA9"/>
    <w:rsid w:val="004B0E65"/>
    <w:rsid w:val="004B357C"/>
    <w:rsid w:val="004D28FC"/>
    <w:rsid w:val="004D7265"/>
    <w:rsid w:val="004F0A07"/>
    <w:rsid w:val="00535CC4"/>
    <w:rsid w:val="00577128"/>
    <w:rsid w:val="00587093"/>
    <w:rsid w:val="005C30CC"/>
    <w:rsid w:val="005D219C"/>
    <w:rsid w:val="005E6C21"/>
    <w:rsid w:val="0060336A"/>
    <w:rsid w:val="00603CD9"/>
    <w:rsid w:val="006052A9"/>
    <w:rsid w:val="00653862"/>
    <w:rsid w:val="0066389F"/>
    <w:rsid w:val="00665214"/>
    <w:rsid w:val="0067312C"/>
    <w:rsid w:val="006906C4"/>
    <w:rsid w:val="006C11A4"/>
    <w:rsid w:val="006C356F"/>
    <w:rsid w:val="006C4ABD"/>
    <w:rsid w:val="006F025F"/>
    <w:rsid w:val="007042E0"/>
    <w:rsid w:val="00745027"/>
    <w:rsid w:val="00747069"/>
    <w:rsid w:val="00754914"/>
    <w:rsid w:val="0077423C"/>
    <w:rsid w:val="007756C2"/>
    <w:rsid w:val="00781A36"/>
    <w:rsid w:val="00790917"/>
    <w:rsid w:val="00802CE1"/>
    <w:rsid w:val="00880402"/>
    <w:rsid w:val="00883DF6"/>
    <w:rsid w:val="00893135"/>
    <w:rsid w:val="008D037D"/>
    <w:rsid w:val="008F1236"/>
    <w:rsid w:val="0090296A"/>
    <w:rsid w:val="00920899"/>
    <w:rsid w:val="009479A9"/>
    <w:rsid w:val="009578C1"/>
    <w:rsid w:val="00963FD8"/>
    <w:rsid w:val="009702AC"/>
    <w:rsid w:val="009868CF"/>
    <w:rsid w:val="00991B55"/>
    <w:rsid w:val="009F2A07"/>
    <w:rsid w:val="009F4ED6"/>
    <w:rsid w:val="00A35E2A"/>
    <w:rsid w:val="00A523D2"/>
    <w:rsid w:val="00A827B7"/>
    <w:rsid w:val="00AA3F0F"/>
    <w:rsid w:val="00AB209D"/>
    <w:rsid w:val="00AB6250"/>
    <w:rsid w:val="00AE1FBE"/>
    <w:rsid w:val="00B15371"/>
    <w:rsid w:val="00B27B74"/>
    <w:rsid w:val="00B27D34"/>
    <w:rsid w:val="00B54B0B"/>
    <w:rsid w:val="00B57DED"/>
    <w:rsid w:val="00B64684"/>
    <w:rsid w:val="00B96E65"/>
    <w:rsid w:val="00B97F0F"/>
    <w:rsid w:val="00BA208C"/>
    <w:rsid w:val="00BC2799"/>
    <w:rsid w:val="00BE04F7"/>
    <w:rsid w:val="00BF153F"/>
    <w:rsid w:val="00BF2208"/>
    <w:rsid w:val="00C15859"/>
    <w:rsid w:val="00C24620"/>
    <w:rsid w:val="00C502F7"/>
    <w:rsid w:val="00C554ED"/>
    <w:rsid w:val="00CA1FCA"/>
    <w:rsid w:val="00CA6829"/>
    <w:rsid w:val="00D1055D"/>
    <w:rsid w:val="00D13F83"/>
    <w:rsid w:val="00D15694"/>
    <w:rsid w:val="00D205C1"/>
    <w:rsid w:val="00D375BE"/>
    <w:rsid w:val="00D4050E"/>
    <w:rsid w:val="00D64F99"/>
    <w:rsid w:val="00D92FE3"/>
    <w:rsid w:val="00DA0EA0"/>
    <w:rsid w:val="00DA1BEE"/>
    <w:rsid w:val="00DB77CC"/>
    <w:rsid w:val="00E03270"/>
    <w:rsid w:val="00E03444"/>
    <w:rsid w:val="00E27264"/>
    <w:rsid w:val="00E33F80"/>
    <w:rsid w:val="00E46050"/>
    <w:rsid w:val="00E54575"/>
    <w:rsid w:val="00E57B7E"/>
    <w:rsid w:val="00E77C5C"/>
    <w:rsid w:val="00E833F7"/>
    <w:rsid w:val="00E84C66"/>
    <w:rsid w:val="00E94996"/>
    <w:rsid w:val="00EB635C"/>
    <w:rsid w:val="00EC3603"/>
    <w:rsid w:val="00ED2DA8"/>
    <w:rsid w:val="00ED6B81"/>
    <w:rsid w:val="00F101D8"/>
    <w:rsid w:val="00F31DFD"/>
    <w:rsid w:val="00F34CD4"/>
    <w:rsid w:val="00F43D1A"/>
    <w:rsid w:val="00F45D4C"/>
    <w:rsid w:val="00F54FDB"/>
    <w:rsid w:val="00F63483"/>
    <w:rsid w:val="00F85C6F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852A"/>
  <w15:docId w15:val="{C21354CD-1783-4142-B0DF-0B41BF18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36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909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9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09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9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9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91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74D0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4D0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71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EFB"/>
  </w:style>
  <w:style w:type="paragraph" w:styleId="Pidipagina">
    <w:name w:val="footer"/>
    <w:basedOn w:val="Normale"/>
    <w:link w:val="PidipaginaCarattere"/>
    <w:uiPriority w:val="99"/>
    <w:unhideWhenUsed/>
    <w:rsid w:val="00271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EFB"/>
  </w:style>
  <w:style w:type="table" w:styleId="Grigliatabella">
    <w:name w:val="Table Grid"/>
    <w:basedOn w:val="Tabellanormale"/>
    <w:uiPriority w:val="39"/>
    <w:rsid w:val="004B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0F21C3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arpredefinitoparagrafo"/>
    <w:rsid w:val="000F21C3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E5457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7398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E7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ur.gov.it/documents/20182/0/m_pi.AOOGABMI.Registro+Decreti%28R%29.0000265.16-08-2021.pdf/8885e339-e570-d474-59ab-cd311b625391?version=1.0&amp;t=1629214786223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miur.gov.it/documents/20182/0/m_pi.AOOGABMI.ATTI+del+Ministro%28R%29.0000021.14-08-2021.pdf/f2defe64-6a94-2676-f652-7c1ba87d304d?version=1.0&amp;t=1629311928566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dc.europa.eu/sites/default/files/documents/covid-19-use-saliva-sample-material-testi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fficio.stampa@gimb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ss.it/documents/20126/0/Piano+per+il+monitoraggio+scuole+2021-22+rev+8_Finale.pdf/1e6c34ad-70d5-d36c-ae38-bfaa4bfb4d09?t=1630522643454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medrxiv.org/content/10.1101/2021.08.10.21261726v1.full.pdf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8CCD-064D-4BBF-8438-84947D5C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Gili</dc:creator>
  <cp:lastModifiedBy>Luca Bellusci</cp:lastModifiedBy>
  <cp:revision>5</cp:revision>
  <dcterms:created xsi:type="dcterms:W3CDTF">2021-10-26T19:19:00Z</dcterms:created>
  <dcterms:modified xsi:type="dcterms:W3CDTF">2021-10-27T07:44:00Z</dcterms:modified>
</cp:coreProperties>
</file>