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50F0F" w:rsidRPr="008C27DF" w:rsidRDefault="003B0D83" w:rsidP="00850F0F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bookmarkStart w:id="0" w:name="_GoBack"/>
      <w:r>
        <w:rPr>
          <w:rFonts w:ascii="Calibri" w:eastAsia="Calibri" w:hAnsi="Calibri" w:cs="Times New Roman"/>
          <w:b/>
          <w:bCs/>
          <w:sz w:val="36"/>
          <w:szCs w:val="36"/>
        </w:rPr>
        <w:t xml:space="preserve">ANCORA </w:t>
      </w:r>
      <w:r w:rsidRPr="008C27DF">
        <w:rPr>
          <w:rFonts w:ascii="Calibri" w:eastAsia="Calibri" w:hAnsi="Calibri" w:cs="Times New Roman"/>
          <w:b/>
          <w:bCs/>
          <w:sz w:val="36"/>
          <w:szCs w:val="36"/>
        </w:rPr>
        <w:t>TAGLI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? I CITTADINI MERITANO </w:t>
      </w:r>
      <w:r w:rsidRPr="008C27DF">
        <w:rPr>
          <w:rFonts w:ascii="Calibri" w:eastAsia="Calibri" w:hAnsi="Calibri" w:cs="Times New Roman"/>
          <w:b/>
          <w:bCs/>
          <w:sz w:val="36"/>
          <w:szCs w:val="36"/>
        </w:rPr>
        <w:t>CHIAREZZA SUL FUTURO DELLA SANITA’ PUBBLICA</w:t>
      </w:r>
    </w:p>
    <w:bookmarkEnd w:id="0"/>
    <w:p w:rsidR="00C84F8C" w:rsidRPr="004141BA" w:rsidRDefault="000909EE" w:rsidP="008C27DF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141BA">
        <w:rPr>
          <w:rFonts w:ascii="Calibri" w:eastAsia="Calibri" w:hAnsi="Calibri" w:cs="Times New Roman"/>
          <w:b/>
          <w:bCs/>
          <w:sz w:val="24"/>
          <w:szCs w:val="24"/>
        </w:rPr>
        <w:t>GOVERNO, PARLAMENTO E REGIONI</w:t>
      </w:r>
      <w:r w:rsidR="00034086">
        <w:rPr>
          <w:rFonts w:ascii="Calibri" w:eastAsia="Calibri" w:hAnsi="Calibri" w:cs="Times New Roman"/>
          <w:b/>
          <w:bCs/>
          <w:sz w:val="24"/>
          <w:szCs w:val="24"/>
        </w:rPr>
        <w:t xml:space="preserve"> DEVONO </w:t>
      </w:r>
      <w:r w:rsidR="00034086" w:rsidRPr="004141BA">
        <w:rPr>
          <w:rFonts w:ascii="Calibri" w:eastAsia="Calibri" w:hAnsi="Calibri" w:cs="Times New Roman"/>
          <w:b/>
          <w:bCs/>
          <w:sz w:val="24"/>
          <w:szCs w:val="24"/>
        </w:rPr>
        <w:t>ALLINEA</w:t>
      </w:r>
      <w:r w:rsidR="00034086">
        <w:rPr>
          <w:rFonts w:ascii="Calibri" w:eastAsia="Calibri" w:hAnsi="Calibri" w:cs="Times New Roman"/>
          <w:b/>
          <w:bCs/>
          <w:sz w:val="24"/>
          <w:szCs w:val="24"/>
        </w:rPr>
        <w:t xml:space="preserve">RE </w:t>
      </w:r>
      <w:r w:rsidR="00034086"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GLI OBIETTIVI POLITICI, ECONOMICI E SOCIALI </w:t>
      </w:r>
      <w:r w:rsidR="00034086">
        <w:rPr>
          <w:rFonts w:ascii="Calibri" w:eastAsia="Calibri" w:hAnsi="Calibri" w:cs="Times New Roman"/>
          <w:b/>
          <w:bCs/>
          <w:sz w:val="24"/>
          <w:szCs w:val="24"/>
        </w:rPr>
        <w:t xml:space="preserve">SULLA SANITA’ PUBBLICA, </w:t>
      </w:r>
      <w:r w:rsidR="00B805D7">
        <w:rPr>
          <w:rFonts w:ascii="Calibri" w:eastAsia="Calibri" w:hAnsi="Calibri" w:cs="Times New Roman"/>
          <w:b/>
          <w:bCs/>
          <w:sz w:val="24"/>
          <w:szCs w:val="24"/>
        </w:rPr>
        <w:t>PER</w:t>
      </w:r>
      <w:r w:rsidR="0003408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FORNIRE CERTEZZE SULLE RISORSE E </w:t>
      </w:r>
      <w:r w:rsidR="008C6F73">
        <w:rPr>
          <w:rFonts w:ascii="Calibri" w:eastAsia="Calibri" w:hAnsi="Calibri" w:cs="Times New Roman"/>
          <w:b/>
          <w:bCs/>
          <w:sz w:val="24"/>
          <w:szCs w:val="24"/>
        </w:rPr>
        <w:t xml:space="preserve">ATTUARE UN’ADEGUATA </w:t>
      </w:r>
      <w:r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PROGRAMMAZIONE SANITARIA. </w:t>
      </w:r>
      <w:r w:rsidR="004141BA"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RIPERCORRENDO </w:t>
      </w:r>
      <w:r w:rsidR="00ED7C51">
        <w:rPr>
          <w:rFonts w:ascii="Calibri" w:eastAsia="Calibri" w:hAnsi="Calibri" w:cs="Times New Roman"/>
          <w:b/>
          <w:bCs/>
          <w:sz w:val="24"/>
          <w:szCs w:val="24"/>
        </w:rPr>
        <w:t xml:space="preserve">UN DESOLANTE </w:t>
      </w:r>
      <w:r w:rsidR="001A0B1C" w:rsidRPr="004141BA">
        <w:rPr>
          <w:rFonts w:ascii="Calibri" w:eastAsia="Calibri" w:hAnsi="Calibri" w:cs="Times New Roman"/>
          <w:b/>
          <w:bCs/>
          <w:sz w:val="24"/>
          <w:szCs w:val="24"/>
        </w:rPr>
        <w:t>CALVARIO</w:t>
      </w:r>
      <w:r w:rsidR="004141BA"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215FE"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DI TAGLI, CONFLITTI ISTITUZIONALI E IMBARAZZANTI SILENZI, </w:t>
      </w:r>
      <w:r w:rsidR="001A0B1C" w:rsidRPr="004141BA">
        <w:rPr>
          <w:rFonts w:ascii="Calibri" w:eastAsia="Calibri" w:hAnsi="Calibri" w:cs="Times New Roman"/>
          <w:b/>
          <w:bCs/>
          <w:sz w:val="24"/>
          <w:szCs w:val="24"/>
        </w:rPr>
        <w:t xml:space="preserve">LA FONDAZIONE GIMBE </w:t>
      </w:r>
      <w:r w:rsidR="00850F0F">
        <w:rPr>
          <w:rFonts w:ascii="Calibri" w:eastAsia="Calibri" w:hAnsi="Calibri" w:cs="Times New Roman"/>
          <w:b/>
          <w:bCs/>
          <w:sz w:val="24"/>
          <w:szCs w:val="24"/>
        </w:rPr>
        <w:t xml:space="preserve">CHIEDE ALLE ISTITUZIONI </w:t>
      </w:r>
      <w:r w:rsidR="00153C60" w:rsidRPr="004141BA">
        <w:rPr>
          <w:rFonts w:ascii="Calibri" w:eastAsia="Calibri" w:hAnsi="Calibri" w:cs="Times New Roman"/>
          <w:b/>
          <w:bCs/>
          <w:sz w:val="24"/>
          <w:szCs w:val="24"/>
        </w:rPr>
        <w:t>CHIAREZZA SUL FUTURO DELLA SANITA’ PUBBLICA</w:t>
      </w:r>
    </w:p>
    <w:p w:rsidR="005B4F61" w:rsidRDefault="007B1888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850F0F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6805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E02825">
        <w:rPr>
          <w:rFonts w:ascii="Calibri" w:eastAsia="Calibri" w:hAnsi="Calibri" w:cs="Times New Roman"/>
          <w:b/>
          <w:bCs/>
          <w:sz w:val="24"/>
          <w:szCs w:val="24"/>
        </w:rPr>
        <w:t xml:space="preserve">settembre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62554E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C56F95" w:rsidRPr="00C56F95" w:rsidRDefault="00C56F95" w:rsidP="001C7092">
      <w:pPr>
        <w:spacing w:after="0"/>
        <w:rPr>
          <w:color w:val="FF0000"/>
        </w:rPr>
      </w:pPr>
    </w:p>
    <w:p w:rsidR="00117093" w:rsidRDefault="002D5523" w:rsidP="004A6BA0">
      <w:pPr>
        <w:spacing w:after="0"/>
      </w:pPr>
      <w:r>
        <w:t xml:space="preserve">Se l’autunno 2014 </w:t>
      </w:r>
      <w:r w:rsidR="00C84F8C" w:rsidRPr="00C84F8C">
        <w:t xml:space="preserve"> iniziava </w:t>
      </w:r>
      <w:r>
        <w:t xml:space="preserve">per la sanità </w:t>
      </w:r>
      <w:r w:rsidR="00C84F8C" w:rsidRPr="00C84F8C">
        <w:t xml:space="preserve">sotto i buoni auspici del Patto per la Salute, </w:t>
      </w:r>
      <w:r>
        <w:t xml:space="preserve">quello del 2015 </w:t>
      </w:r>
      <w:r w:rsidR="00867D4E">
        <w:t>si apre con</w:t>
      </w:r>
      <w:r>
        <w:t xml:space="preserve"> </w:t>
      </w:r>
      <w:r w:rsidR="00C84F8C" w:rsidRPr="00C84F8C">
        <w:t xml:space="preserve">un clima ben diverso: infatti, </w:t>
      </w:r>
      <w:r w:rsidR="00EB6F33">
        <w:t>sul</w:t>
      </w:r>
      <w:r w:rsidR="00C84F8C" w:rsidRPr="00C84F8C">
        <w:t xml:space="preserve"> SSN aleggia lo spettro di nuovi tagli con la Legge di Stabilità 2016, </w:t>
      </w:r>
      <w:r w:rsidR="00EB6F33">
        <w:t>nella</w:t>
      </w:r>
      <w:r w:rsidR="00C84F8C" w:rsidRPr="00C84F8C">
        <w:t xml:space="preserve"> realistica consapevolezza di aver bruciato un anno, di non aver ancora assorbito il colpo della manovra d’estate e di poggiare su un traballante tavolo a tre gambe (Governo, Parlamento, Regioni) fortemente disallineate sulle priorità politiche, economiche e sociali della sanità pubblica.</w:t>
      </w:r>
    </w:p>
    <w:p w:rsidR="00CE511D" w:rsidRDefault="00CE511D" w:rsidP="004A6BA0">
      <w:pPr>
        <w:spacing w:after="0"/>
      </w:pPr>
    </w:p>
    <w:p w:rsidR="00CE511D" w:rsidRDefault="00CE511D" w:rsidP="004A6BA0">
      <w:pPr>
        <w:spacing w:after="0"/>
      </w:pPr>
      <w:r w:rsidRPr="00DD4E7E">
        <w:t>«</w:t>
      </w:r>
      <w:r w:rsidRPr="00CE511D">
        <w:t xml:space="preserve">La cronistoria </w:t>
      </w:r>
      <w:r w:rsidR="00E9782B">
        <w:t>degli ultimi 12 mesi</w:t>
      </w:r>
      <w:r w:rsidR="00867D4E">
        <w:t xml:space="preserve"> </w:t>
      </w:r>
      <w:r w:rsidRPr="00DD4E7E">
        <w:t>–</w:t>
      </w:r>
      <w:r w:rsidR="00867D4E">
        <w:t xml:space="preserve"> </w:t>
      </w:r>
      <w:r w:rsidR="00E9782B">
        <w:t xml:space="preserve">afferma </w:t>
      </w:r>
      <w:r w:rsidRPr="00DD4E7E">
        <w:t xml:space="preserve">Nino Cartabellotta, Presidente della Fondazione GIMBE </w:t>
      </w:r>
      <w:r w:rsidR="00D35666" w:rsidRPr="00DD4E7E">
        <w:t>–</w:t>
      </w:r>
      <w:r w:rsidR="00D35666">
        <w:t xml:space="preserve"> </w:t>
      </w:r>
      <w:r w:rsidR="00867D4E">
        <w:t xml:space="preserve">si riduce a </w:t>
      </w:r>
      <w:r w:rsidRPr="00CE511D">
        <w:t>uno spettacolo patetico che</w:t>
      </w:r>
      <w:r>
        <w:t xml:space="preserve"> delegittima</w:t>
      </w:r>
      <w:r w:rsidRPr="00CE511D">
        <w:t xml:space="preserve"> le Istituzioni</w:t>
      </w:r>
      <w:r w:rsidR="001F1776">
        <w:t xml:space="preserve"> e</w:t>
      </w:r>
      <w:r>
        <w:t xml:space="preserve"> </w:t>
      </w:r>
      <w:r w:rsidRPr="00CE511D">
        <w:t>fomenta un conflitto tra poli indeboliti con compromessi al ribasso</w:t>
      </w:r>
      <w:r w:rsidR="00EB6F33">
        <w:t xml:space="preserve">: </w:t>
      </w:r>
      <w:r w:rsidRPr="00CE511D">
        <w:t xml:space="preserve">le conseguenze </w:t>
      </w:r>
      <w:r w:rsidR="00EB6F33">
        <w:t>di questo</w:t>
      </w:r>
      <w:r w:rsidR="00EB6F33" w:rsidRPr="00CE511D">
        <w:t xml:space="preserve"> </w:t>
      </w:r>
      <w:r w:rsidRPr="00CE511D">
        <w:t>conflitto</w:t>
      </w:r>
      <w:r w:rsidR="00EB6F33">
        <w:t xml:space="preserve"> </w:t>
      </w:r>
      <w:r w:rsidR="004141BA">
        <w:t xml:space="preserve">si </w:t>
      </w:r>
      <w:r w:rsidR="00EB6F33">
        <w:t>riversa</w:t>
      </w:r>
      <w:r w:rsidR="004141BA">
        <w:t xml:space="preserve">no </w:t>
      </w:r>
      <w:r w:rsidRPr="00CE511D">
        <w:t>su aziende e professionisti</w:t>
      </w:r>
      <w:r w:rsidR="002D5523">
        <w:t xml:space="preserve"> sanitari</w:t>
      </w:r>
      <w:r w:rsidRPr="00CE511D">
        <w:t>, ma soprattutto su pazienti e famiglie delle fasce socio-economiche più deboli</w:t>
      </w:r>
      <w:r w:rsidRPr="00DD4E7E">
        <w:t>».</w:t>
      </w:r>
    </w:p>
    <w:p w:rsidR="004A6BA0" w:rsidRDefault="004A6BA0" w:rsidP="004A6BA0">
      <w:pPr>
        <w:spacing w:after="0"/>
      </w:pPr>
    </w:p>
    <w:p w:rsidR="00203E68" w:rsidRPr="004141BA" w:rsidRDefault="009838F8" w:rsidP="00C74B01">
      <w:pPr>
        <w:spacing w:after="0"/>
      </w:pPr>
      <w:r w:rsidRPr="004141BA">
        <w:t>E</w:t>
      </w:r>
      <w:r w:rsidR="008B41C3" w:rsidRPr="004141BA">
        <w:t xml:space="preserve">cco le </w:t>
      </w:r>
      <w:r w:rsidR="00203E68" w:rsidRPr="004141BA">
        <w:t xml:space="preserve">tappe </w:t>
      </w:r>
      <w:r w:rsidR="008B41C3" w:rsidRPr="004141BA">
        <w:t>d</w:t>
      </w:r>
      <w:r w:rsidR="008C6F73">
        <w:t xml:space="preserve">el </w:t>
      </w:r>
      <w:r w:rsidR="00D35666">
        <w:t>calvario</w:t>
      </w:r>
      <w:r w:rsidR="008C6F73">
        <w:t xml:space="preserve"> senza fine della sanità italiana</w:t>
      </w:r>
      <w:r w:rsidR="00203E68" w:rsidRPr="004141BA">
        <w:t>:</w:t>
      </w:r>
    </w:p>
    <w:p w:rsidR="00507376" w:rsidRDefault="00507376" w:rsidP="00C74B01">
      <w:pPr>
        <w:pStyle w:val="Paragrafoelenco"/>
        <w:numPr>
          <w:ilvl w:val="0"/>
          <w:numId w:val="12"/>
        </w:numPr>
        <w:spacing w:line="276" w:lineRule="auto"/>
      </w:pPr>
      <w:r w:rsidRPr="00507376">
        <w:rPr>
          <w:b/>
        </w:rPr>
        <w:t>15 novembre 2012</w:t>
      </w:r>
      <w:r w:rsidR="00C74B01">
        <w:t>. N</w:t>
      </w:r>
      <w:r w:rsidR="00D35666">
        <w:t>ell'assordante silenzio di G</w:t>
      </w:r>
      <w:r>
        <w:t>overno e Regioni, scadeva il termine per sottoscrivere il Patto per la Salute 2013-2015, determinando l'</w:t>
      </w:r>
      <w:r w:rsidR="00500693">
        <w:t xml:space="preserve">impietosa </w:t>
      </w:r>
      <w:r>
        <w:t>applicazione delle misure di contenimento della spesa pubblica</w:t>
      </w:r>
      <w:r w:rsidR="00500693">
        <w:t xml:space="preserve"> che hanno</w:t>
      </w:r>
      <w:r>
        <w:t xml:space="preserve"> sottratto alla s</w:t>
      </w:r>
      <w:r w:rsidR="00C74B01">
        <w:t>anità oltre 30 miliardi di euro</w:t>
      </w:r>
      <w:r>
        <w:t>.</w:t>
      </w:r>
    </w:p>
    <w:p w:rsidR="00507376" w:rsidRDefault="00507376" w:rsidP="00C74B01">
      <w:pPr>
        <w:pStyle w:val="Paragrafoelenco"/>
        <w:numPr>
          <w:ilvl w:val="0"/>
          <w:numId w:val="12"/>
        </w:numPr>
        <w:spacing w:line="276" w:lineRule="auto"/>
      </w:pPr>
      <w:r w:rsidRPr="00C74B01">
        <w:rPr>
          <w:b/>
        </w:rPr>
        <w:t>10 luglio 2014</w:t>
      </w:r>
      <w:r w:rsidR="008D2D7E">
        <w:rPr>
          <w:b/>
        </w:rPr>
        <w:t>.</w:t>
      </w:r>
      <w:r w:rsidRPr="00C74B01">
        <w:rPr>
          <w:b/>
        </w:rPr>
        <w:t xml:space="preserve"> </w:t>
      </w:r>
      <w:r w:rsidR="00C74B01">
        <w:t>G</w:t>
      </w:r>
      <w:r>
        <w:t>overno e Regioni sottoscrivono il Patto per la Salute che fissa le risorse e definisce la programmazione sanitaria per il triennio 2014-2016.</w:t>
      </w:r>
    </w:p>
    <w:p w:rsidR="004A6BA0" w:rsidRDefault="004A6BA0" w:rsidP="00C74B01">
      <w:pPr>
        <w:pStyle w:val="Paragrafoelenco"/>
        <w:numPr>
          <w:ilvl w:val="0"/>
          <w:numId w:val="12"/>
        </w:numPr>
        <w:spacing w:line="276" w:lineRule="auto"/>
      </w:pPr>
      <w:r w:rsidRPr="004A6BA0">
        <w:rPr>
          <w:b/>
        </w:rPr>
        <w:t>16 ottobre 2014</w:t>
      </w:r>
      <w:r w:rsidRPr="004A6BA0">
        <w:t xml:space="preserve">. Con la Legge di Stabilità 2015 il Governo gioca di fioretto: non prevede tagli alla sanità, ma chiede alle Regioni di recuperare 4 miliardi. Si riaccende il conflitto istituzionale tra Governo, che non consente sconti, e Regioni che si </w:t>
      </w:r>
      <w:proofErr w:type="spellStart"/>
      <w:r w:rsidR="00500693">
        <w:t>tricerano</w:t>
      </w:r>
      <w:proofErr w:type="spellEnd"/>
      <w:r w:rsidRPr="004A6BA0">
        <w:t xml:space="preserve"> dietro lo slogan "no </w:t>
      </w:r>
      <w:proofErr w:type="spellStart"/>
      <w:r w:rsidRPr="004A6BA0">
        <w:t>money</w:t>
      </w:r>
      <w:proofErr w:type="spellEnd"/>
      <w:r w:rsidRPr="004A6BA0">
        <w:t>, no Patto".</w:t>
      </w:r>
    </w:p>
    <w:p w:rsidR="004A6BA0" w:rsidRPr="004A6BA0" w:rsidRDefault="004A6BA0" w:rsidP="00C74B01">
      <w:pPr>
        <w:pStyle w:val="Paragrafoelenco"/>
        <w:numPr>
          <w:ilvl w:val="0"/>
          <w:numId w:val="12"/>
        </w:numPr>
        <w:spacing w:line="276" w:lineRule="auto"/>
      </w:pPr>
      <w:r w:rsidRPr="004A6BA0">
        <w:rPr>
          <w:rFonts w:asciiTheme="minorHAnsi" w:hAnsiTheme="minorHAnsi" w:cstheme="minorBidi"/>
          <w:b/>
        </w:rPr>
        <w:t>26 febbraio 2015</w:t>
      </w:r>
      <w:r w:rsidRPr="004A6BA0">
        <w:rPr>
          <w:rFonts w:asciiTheme="minorHAnsi" w:hAnsiTheme="minorHAnsi" w:cstheme="minorBidi"/>
        </w:rPr>
        <w:t>. Dopo oltre 4 mesi di consultazioni le Regioni - incapaci di formulare una proposta concreta - rinunciano all'incremento del fondo sanitario di oltre 2 miliardi previsto dal Patto; le imminenti elezioni in sette Regioni rimandano continuamente la decisione su "dove tagliare".</w:t>
      </w:r>
    </w:p>
    <w:p w:rsidR="004A6BA0" w:rsidRPr="004A6BA0" w:rsidRDefault="004A6BA0" w:rsidP="00C74B01">
      <w:pPr>
        <w:pStyle w:val="Paragrafoelenco"/>
        <w:numPr>
          <w:ilvl w:val="0"/>
          <w:numId w:val="12"/>
        </w:numPr>
        <w:spacing w:line="276" w:lineRule="auto"/>
      </w:pPr>
      <w:r w:rsidRPr="004A6BA0">
        <w:rPr>
          <w:rFonts w:asciiTheme="minorHAnsi" w:hAnsiTheme="minorHAnsi" w:cstheme="minorBidi"/>
          <w:b/>
        </w:rPr>
        <w:t>2 luglio 2015</w:t>
      </w:r>
      <w:r w:rsidRPr="004A6BA0">
        <w:rPr>
          <w:rFonts w:asciiTheme="minorHAnsi" w:hAnsiTheme="minorHAnsi" w:cstheme="minorBidi"/>
        </w:rPr>
        <w:t>. La Conferenza Stato Regioni raggiunge l'accordo sulla proposta di intesa per i tagli alla sanità: 2,352 miliardi per il 2015 e il 2016.</w:t>
      </w:r>
    </w:p>
    <w:p w:rsidR="004A6BA0" w:rsidRPr="004A6BA0" w:rsidRDefault="004A6BA0" w:rsidP="00C74B01">
      <w:pPr>
        <w:pStyle w:val="Paragrafoelenco"/>
        <w:numPr>
          <w:ilvl w:val="0"/>
          <w:numId w:val="12"/>
        </w:numPr>
        <w:spacing w:line="276" w:lineRule="auto"/>
      </w:pPr>
      <w:r w:rsidRPr="004A6BA0">
        <w:rPr>
          <w:rFonts w:asciiTheme="minorHAnsi" w:hAnsiTheme="minorHAnsi" w:cstheme="minorBidi"/>
          <w:b/>
        </w:rPr>
        <w:t>4 agosto 2015</w:t>
      </w:r>
      <w:r w:rsidRPr="004A6BA0">
        <w:rPr>
          <w:rFonts w:asciiTheme="minorHAnsi" w:hAnsiTheme="minorHAnsi" w:cstheme="minorBidi"/>
        </w:rPr>
        <w:t>. La Camera vota la fiducia al decreto Enti Locali che recepisce i tagli.</w:t>
      </w:r>
    </w:p>
    <w:p w:rsidR="004A6BA0" w:rsidRPr="004A6BA0" w:rsidRDefault="004A6BA0" w:rsidP="00C74B01">
      <w:pPr>
        <w:pStyle w:val="Paragrafoelenco"/>
        <w:numPr>
          <w:ilvl w:val="0"/>
          <w:numId w:val="12"/>
        </w:numPr>
        <w:spacing w:line="276" w:lineRule="auto"/>
      </w:pPr>
      <w:r w:rsidRPr="004A6BA0">
        <w:rPr>
          <w:rFonts w:asciiTheme="minorHAnsi" w:hAnsiTheme="minorHAnsi" w:cstheme="minorBidi"/>
          <w:b/>
        </w:rPr>
        <w:t>18 settembre 2015</w:t>
      </w:r>
      <w:r w:rsidRPr="004A6BA0">
        <w:rPr>
          <w:rFonts w:asciiTheme="minorHAnsi" w:hAnsiTheme="minorHAnsi" w:cstheme="minorBidi"/>
        </w:rPr>
        <w:t>. Il Governo approva la nota di aggiornamento del DEF 2015</w:t>
      </w:r>
      <w:r w:rsidR="00D35666">
        <w:rPr>
          <w:rFonts w:asciiTheme="minorHAnsi" w:hAnsiTheme="minorHAnsi" w:cstheme="minorBidi"/>
        </w:rPr>
        <w:t xml:space="preserve"> senza indicare </w:t>
      </w:r>
      <w:r w:rsidRPr="004A6BA0">
        <w:rPr>
          <w:rFonts w:asciiTheme="minorHAnsi" w:hAnsiTheme="minorHAnsi" w:cstheme="minorBidi"/>
        </w:rPr>
        <w:t>nuovi tagli alla sanità</w:t>
      </w:r>
      <w:r w:rsidR="00D35666">
        <w:rPr>
          <w:rFonts w:asciiTheme="minorHAnsi" w:hAnsiTheme="minorHAnsi" w:cstheme="minorBidi"/>
        </w:rPr>
        <w:t xml:space="preserve">, ma questo </w:t>
      </w:r>
      <w:r w:rsidRPr="004A6BA0">
        <w:rPr>
          <w:rFonts w:asciiTheme="minorHAnsi" w:hAnsiTheme="minorHAnsi" w:cstheme="minorBidi"/>
        </w:rPr>
        <w:t>non esclude che la Legge di Stabilità 2016 possa prevederli.</w:t>
      </w:r>
    </w:p>
    <w:p w:rsidR="00D35666" w:rsidRDefault="00D35666" w:rsidP="00C74B01">
      <w:pPr>
        <w:spacing w:after="0"/>
      </w:pPr>
    </w:p>
    <w:p w:rsidR="00D35666" w:rsidRDefault="00D35666" w:rsidP="00C74B01">
      <w:pPr>
        <w:spacing w:after="0"/>
      </w:pPr>
    </w:p>
    <w:p w:rsidR="008C6F73" w:rsidRDefault="008C6F73" w:rsidP="00C74B01">
      <w:pPr>
        <w:spacing w:after="0"/>
      </w:pPr>
    </w:p>
    <w:p w:rsidR="00500693" w:rsidRDefault="00500693" w:rsidP="00C74B01">
      <w:pPr>
        <w:spacing w:after="0"/>
      </w:pPr>
      <w:r>
        <w:lastRenderedPageBreak/>
        <w:t>N</w:t>
      </w:r>
      <w:r w:rsidR="008C6F73" w:rsidRPr="008C6F73">
        <w:t>egli ultimi 12 mesi</w:t>
      </w:r>
      <w:r>
        <w:t>, dunque,</w:t>
      </w:r>
      <w:r w:rsidR="008C6F73" w:rsidRPr="008C6F73">
        <w:t xml:space="preserve"> l'agenda politica della sanità è stata occupata d</w:t>
      </w:r>
      <w:r w:rsidR="008C6F73">
        <w:t>al conflitto tra G</w:t>
      </w:r>
      <w:r w:rsidR="008C6F73" w:rsidRPr="008C6F73">
        <w:t>overno e Regioni riacceso dalla Legge di Stabilità 2015 (ottobre-febbraio), quindi congelata per non turbare le elezioni regionali (marzo-maggio), infine dedicata alla manovra d'estate (giugno-luglio).</w:t>
      </w:r>
      <w:r w:rsidR="008C6F73">
        <w:t xml:space="preserve"> Nel frattempo, sono impietosamente </w:t>
      </w:r>
      <w:r>
        <w:t xml:space="preserve">scaduti </w:t>
      </w:r>
      <w:r w:rsidR="000909EE" w:rsidRPr="000909EE">
        <w:t>gli adempimenti del Patto per la Salute sotto il segno di una schizofrenia legislativa che ha permesso alla politica di concorrere al "suicidio assistito" del SSN s</w:t>
      </w:r>
      <w:r>
        <w:t xml:space="preserve">enza identificare alcuna </w:t>
      </w:r>
      <w:r w:rsidR="000909EE" w:rsidRPr="000909EE">
        <w:t>responsabilità</w:t>
      </w:r>
      <w:r>
        <w:t>.</w:t>
      </w:r>
      <w:r w:rsidR="000909EE">
        <w:t xml:space="preserve"> </w:t>
      </w:r>
    </w:p>
    <w:p w:rsidR="00500693" w:rsidRDefault="00500693" w:rsidP="00C74B01">
      <w:pPr>
        <w:spacing w:after="0"/>
      </w:pPr>
    </w:p>
    <w:p w:rsidR="00117093" w:rsidRDefault="00500693" w:rsidP="00C74B01">
      <w:pPr>
        <w:spacing w:after="0"/>
      </w:pPr>
      <w:r>
        <w:t>N</w:t>
      </w:r>
      <w:r w:rsidR="00C84F8C" w:rsidRPr="00C84F8C">
        <w:t xml:space="preserve">onostante i protagonisti della politica  </w:t>
      </w:r>
      <w:r w:rsidR="009B2D72" w:rsidRPr="00C84F8C">
        <w:t>continu</w:t>
      </w:r>
      <w:r w:rsidR="009B2D72">
        <w:t>i</w:t>
      </w:r>
      <w:r w:rsidR="009B2D72" w:rsidRPr="00C84F8C">
        <w:t xml:space="preserve">no </w:t>
      </w:r>
      <w:r w:rsidR="00C84F8C" w:rsidRPr="00C84F8C">
        <w:t>a sbandierare un sistema sanita</w:t>
      </w:r>
      <w:r w:rsidR="00C84F8C">
        <w:t xml:space="preserve">rio “tra i migliori del mondo” </w:t>
      </w:r>
      <w:r w:rsidR="00C84F8C" w:rsidRPr="00C84F8C">
        <w:t xml:space="preserve">la realtà della sanità italiana è ben diversa e necessita di un riallineamento degli obiettivi politici, economici e sociali di Governo, Parlamento e Regioni, </w:t>
      </w:r>
      <w:r w:rsidR="005F77BD">
        <w:t xml:space="preserve">per </w:t>
      </w:r>
      <w:r w:rsidR="004A6BA0">
        <w:t>fornire certezze</w:t>
      </w:r>
      <w:r w:rsidR="00C84F8C">
        <w:t xml:space="preserve"> sulle risorse e </w:t>
      </w:r>
      <w:r w:rsidR="00C84F8C" w:rsidRPr="00C84F8C">
        <w:t xml:space="preserve">attuare un’adeguata </w:t>
      </w:r>
      <w:r w:rsidR="00C84F8C">
        <w:t>(</w:t>
      </w:r>
      <w:proofErr w:type="spellStart"/>
      <w:r w:rsidR="00C84F8C">
        <w:t>ri</w:t>
      </w:r>
      <w:proofErr w:type="spellEnd"/>
      <w:r w:rsidR="00C84F8C">
        <w:t>)</w:t>
      </w:r>
      <w:r w:rsidR="00C84F8C" w:rsidRPr="00C84F8C">
        <w:t xml:space="preserve">programmazione sanitaria in grado di disinvestire realmente da sprechi e inefficienze </w:t>
      </w:r>
      <w:r w:rsidR="009B2D72">
        <w:t xml:space="preserve">e di </w:t>
      </w:r>
      <w:r w:rsidR="00C84F8C" w:rsidRPr="00C84F8C">
        <w:t xml:space="preserve">riallocare </w:t>
      </w:r>
      <w:r w:rsidR="00C84F8C">
        <w:t xml:space="preserve">le risorse </w:t>
      </w:r>
      <w:r w:rsidR="00C84F8C" w:rsidRPr="00C84F8C">
        <w:t>in se</w:t>
      </w:r>
      <w:r w:rsidR="00C84F8C">
        <w:t>rvizi essenziali e innovazioni</w:t>
      </w:r>
      <w:r w:rsidR="00C84F8C" w:rsidRPr="00DD4E7E">
        <w:t>.</w:t>
      </w:r>
    </w:p>
    <w:p w:rsidR="001F1776" w:rsidRDefault="001F1776" w:rsidP="004A6BA0">
      <w:pPr>
        <w:spacing w:after="0"/>
      </w:pPr>
    </w:p>
    <w:p w:rsidR="00C84F8C" w:rsidRPr="00CE511D" w:rsidRDefault="00C84F8C" w:rsidP="004A6BA0">
      <w:pPr>
        <w:autoSpaceDE w:val="0"/>
        <w:autoSpaceDN w:val="0"/>
        <w:adjustRightInd w:val="0"/>
        <w:rPr>
          <w:rFonts w:cstheme="minorHAnsi"/>
          <w:color w:val="000000"/>
        </w:rPr>
      </w:pPr>
      <w:r>
        <w:t>«</w:t>
      </w:r>
      <w:r w:rsidR="002C77D1">
        <w:t xml:space="preserve">Nel </w:t>
      </w:r>
      <w:r w:rsidR="00CE511D" w:rsidRPr="004A6BA0">
        <w:rPr>
          <w:rFonts w:cstheme="minorHAnsi"/>
        </w:rPr>
        <w:t xml:space="preserve">clima </w:t>
      </w:r>
      <w:r w:rsidR="00CE511D">
        <w:rPr>
          <w:rFonts w:cstheme="minorHAnsi"/>
          <w:color w:val="000000"/>
        </w:rPr>
        <w:t xml:space="preserve">di continua incertezza </w:t>
      </w:r>
      <w:r w:rsidR="00D200CA">
        <w:t xml:space="preserve">in cui annaspa </w:t>
      </w:r>
      <w:r w:rsidR="00D200CA">
        <w:rPr>
          <w:rFonts w:cstheme="minorHAnsi"/>
          <w:color w:val="000000"/>
        </w:rPr>
        <w:t>la sanità da oltre tre anni</w:t>
      </w:r>
      <w:r w:rsidR="00D200CA">
        <w:t xml:space="preserve"> </w:t>
      </w:r>
      <w:r>
        <w:t>– continua il Presidente –</w:t>
      </w:r>
      <w:r w:rsidR="00CE511D">
        <w:rPr>
          <w:rFonts w:cstheme="minorHAnsi"/>
          <w:color w:val="000000"/>
        </w:rPr>
        <w:t xml:space="preserve"> è aumentato</w:t>
      </w:r>
      <w:r w:rsidR="00E9782B">
        <w:rPr>
          <w:rFonts w:cstheme="minorHAnsi"/>
          <w:color w:val="000000"/>
        </w:rPr>
        <w:t xml:space="preserve"> oltre ogni limite</w:t>
      </w:r>
      <w:r w:rsidR="00CE511D">
        <w:rPr>
          <w:rFonts w:cstheme="minorHAnsi"/>
          <w:color w:val="000000"/>
        </w:rPr>
        <w:t xml:space="preserve"> il disagio di pazienti, professionisti e organizzazioni sanitarie che </w:t>
      </w:r>
      <w:r w:rsidR="00E9782B">
        <w:rPr>
          <w:rFonts w:cstheme="minorHAnsi"/>
          <w:color w:val="000000"/>
        </w:rPr>
        <w:t xml:space="preserve">continuano ad aspettare invano </w:t>
      </w:r>
      <w:r w:rsidR="00CE511D">
        <w:rPr>
          <w:rFonts w:cstheme="minorHAnsi"/>
          <w:color w:val="000000"/>
        </w:rPr>
        <w:t xml:space="preserve">risposte concrete da numerosi provvedimenti rimasti al palo: rinnovo di contratti e convenzioni, attuazione dei nuovi LEA, </w:t>
      </w:r>
      <w:r w:rsidR="00CE511D" w:rsidRPr="00DA0CF7">
        <w:rPr>
          <w:rFonts w:cstheme="minorHAnsi"/>
          <w:color w:val="000000"/>
        </w:rPr>
        <w:t>nuovi ticket e</w:t>
      </w:r>
      <w:r w:rsidR="00CE511D">
        <w:rPr>
          <w:rFonts w:cstheme="minorHAnsi"/>
          <w:color w:val="000000"/>
        </w:rPr>
        <w:t>d</w:t>
      </w:r>
      <w:r w:rsidR="00CE511D" w:rsidRPr="00DA0CF7">
        <w:rPr>
          <w:rFonts w:cstheme="minorHAnsi"/>
          <w:color w:val="000000"/>
        </w:rPr>
        <w:t xml:space="preserve"> </w:t>
      </w:r>
      <w:r w:rsidR="00CE511D">
        <w:rPr>
          <w:rFonts w:cstheme="minorHAnsi"/>
          <w:color w:val="000000"/>
        </w:rPr>
        <w:t xml:space="preserve">esenzioni, attuazione degli standard ospedalieri, </w:t>
      </w:r>
      <w:r w:rsidR="00CE511D" w:rsidRPr="00DA0CF7">
        <w:rPr>
          <w:rFonts w:cstheme="minorHAnsi"/>
          <w:color w:val="000000"/>
        </w:rPr>
        <w:t>riorganizzazione delle cure primarie</w:t>
      </w:r>
      <w:r w:rsidR="00CE511D">
        <w:rPr>
          <w:rFonts w:cstheme="minorHAnsi"/>
          <w:color w:val="000000"/>
        </w:rPr>
        <w:t xml:space="preserve">, </w:t>
      </w:r>
      <w:r w:rsidR="00CE511D" w:rsidRPr="00DA0CF7">
        <w:rPr>
          <w:rFonts w:cstheme="minorHAnsi"/>
          <w:color w:val="000000"/>
        </w:rPr>
        <w:t xml:space="preserve">nuove competenze delle professioni sanitarie </w:t>
      </w:r>
      <w:r w:rsidR="00CE511D">
        <w:rPr>
          <w:rFonts w:cstheme="minorHAnsi"/>
          <w:color w:val="000000"/>
        </w:rPr>
        <w:t>(comma 566), legge sulla r</w:t>
      </w:r>
      <w:r w:rsidR="00CE511D" w:rsidRPr="00DA0CF7">
        <w:rPr>
          <w:rFonts w:cstheme="minorHAnsi"/>
          <w:color w:val="000000"/>
        </w:rPr>
        <w:t>esponsabilità professionale</w:t>
      </w:r>
      <w:r w:rsidR="00CE511D">
        <w:rPr>
          <w:rFonts w:cstheme="minorHAnsi"/>
          <w:color w:val="000000"/>
        </w:rPr>
        <w:t>, etc.</w:t>
      </w:r>
      <w:r>
        <w:t>».</w:t>
      </w:r>
    </w:p>
    <w:p w:rsidR="00CE511D" w:rsidRDefault="00CF7AD2" w:rsidP="004A6BA0">
      <w:pPr>
        <w:rPr>
          <w:rFonts w:cstheme="minorHAnsi"/>
          <w:color w:val="000000"/>
        </w:rPr>
      </w:pPr>
      <w:r>
        <w:t>«</w:t>
      </w:r>
      <w:r w:rsidR="00CE511D">
        <w:rPr>
          <w:rFonts w:cstheme="minorHAnsi"/>
          <w:color w:val="000000"/>
        </w:rPr>
        <w:t xml:space="preserve">Ma soprattutto </w:t>
      </w:r>
      <w:r w:rsidR="00CE511D">
        <w:t>– conclude Cartabellotta –</w:t>
      </w:r>
      <w:r w:rsidR="009B2D72">
        <w:t xml:space="preserve"> </w:t>
      </w:r>
      <w:r w:rsidR="00CE511D">
        <w:rPr>
          <w:rFonts w:cstheme="minorHAnsi"/>
          <w:color w:val="000000"/>
        </w:rPr>
        <w:t xml:space="preserve">i cittadini italiani </w:t>
      </w:r>
      <w:r w:rsidR="00D200CA">
        <w:rPr>
          <w:rFonts w:cstheme="minorHAnsi"/>
          <w:color w:val="000000"/>
        </w:rPr>
        <w:t>merita</w:t>
      </w:r>
      <w:r w:rsidR="002D5523">
        <w:rPr>
          <w:rFonts w:cstheme="minorHAnsi"/>
          <w:color w:val="000000"/>
        </w:rPr>
        <w:t>no</w:t>
      </w:r>
      <w:r w:rsidR="00CE511D">
        <w:rPr>
          <w:rFonts w:cstheme="minorHAnsi"/>
          <w:color w:val="000000"/>
        </w:rPr>
        <w:t xml:space="preserve"> chiarezza sul futuro della sanità pubblica, perché mentre la politica rilascia continue (e discordanti) dichiarazioni, l’intermediazione assicurativa si insinua strisciando tra le incertezze delle Istituzioni e contribuisce a demolire impietosamente l’articolo 32 della Costituzione e il modello di un SSN pubblico, equo e universalistico</w:t>
      </w:r>
      <w:r w:rsidR="00CE511D">
        <w:t>».</w:t>
      </w:r>
    </w:p>
    <w:p w:rsidR="004A6BA0" w:rsidRPr="004A6BA0" w:rsidRDefault="004A6BA0" w:rsidP="004A6BA0">
      <w:pPr>
        <w:spacing w:after="0"/>
      </w:pPr>
      <w:r>
        <w:t>S</w:t>
      </w:r>
      <w:r w:rsidRPr="004A6BA0">
        <w:t>e questo fosse i</w:t>
      </w:r>
      <w:r>
        <w:t xml:space="preserve">l vero obiettivo della politica, </w:t>
      </w:r>
      <w:r w:rsidR="002215FE">
        <w:t xml:space="preserve">interessata a </w:t>
      </w:r>
      <w:r w:rsidRPr="004A6BA0">
        <w:t>sbarazzarsi di una fetta c</w:t>
      </w:r>
      <w:r>
        <w:t xml:space="preserve">onsistente della spesa pubblica, </w:t>
      </w:r>
      <w:r w:rsidRPr="004A6BA0">
        <w:t xml:space="preserve">è </w:t>
      </w:r>
      <w:r w:rsidR="002215FE">
        <w:t xml:space="preserve">giunto </w:t>
      </w:r>
      <w:r w:rsidRPr="004A6BA0">
        <w:t>il momento di svelare le carte</w:t>
      </w:r>
      <w:r>
        <w:t>,</w:t>
      </w:r>
      <w:r w:rsidRPr="004A6BA0">
        <w:t xml:space="preserve"> sia per governare adeguatamente il doloroso passaggio a un sistema sanitario misto, sia per acquisire la consapevolezza che la Repubblica non tutela più la nostra salute come diritto fondamentale.</w:t>
      </w:r>
    </w:p>
    <w:p w:rsidR="00C56F95" w:rsidRPr="00CE511D" w:rsidRDefault="00C56F95" w:rsidP="001C7092">
      <w:pPr>
        <w:spacing w:after="0"/>
        <w:rPr>
          <w:color w:val="FF0000"/>
        </w:rPr>
      </w:pPr>
    </w:p>
    <w:p w:rsidR="00E3755B" w:rsidRPr="00E3755B" w:rsidRDefault="00E3755B" w:rsidP="002617D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2617D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4A6BA0" w:rsidRPr="004A6BA0" w:rsidRDefault="00E3755B" w:rsidP="004A6BA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4A6BA0" w:rsidRPr="004A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EE3145"/>
    <w:multiLevelType w:val="hybridMultilevel"/>
    <w:tmpl w:val="9A8A0BB0"/>
    <w:lvl w:ilvl="0" w:tplc="D2B88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B0923"/>
    <w:multiLevelType w:val="hybridMultilevel"/>
    <w:tmpl w:val="6A7A6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5153F3"/>
    <w:multiLevelType w:val="hybridMultilevel"/>
    <w:tmpl w:val="A21A57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6555"/>
    <w:rsid w:val="00010498"/>
    <w:rsid w:val="0001384A"/>
    <w:rsid w:val="00013DFA"/>
    <w:rsid w:val="000162CD"/>
    <w:rsid w:val="00017968"/>
    <w:rsid w:val="00017FB4"/>
    <w:rsid w:val="00023D8A"/>
    <w:rsid w:val="00026435"/>
    <w:rsid w:val="00034086"/>
    <w:rsid w:val="00035404"/>
    <w:rsid w:val="0004410A"/>
    <w:rsid w:val="00053C77"/>
    <w:rsid w:val="0005402C"/>
    <w:rsid w:val="00055AE9"/>
    <w:rsid w:val="00055D27"/>
    <w:rsid w:val="0006440E"/>
    <w:rsid w:val="000657A8"/>
    <w:rsid w:val="000667BB"/>
    <w:rsid w:val="000673A3"/>
    <w:rsid w:val="00067B8F"/>
    <w:rsid w:val="000707B3"/>
    <w:rsid w:val="000715A9"/>
    <w:rsid w:val="00073870"/>
    <w:rsid w:val="00074788"/>
    <w:rsid w:val="00085CFF"/>
    <w:rsid w:val="000909EE"/>
    <w:rsid w:val="00090A39"/>
    <w:rsid w:val="000927C7"/>
    <w:rsid w:val="00095B13"/>
    <w:rsid w:val="000A0FC3"/>
    <w:rsid w:val="000A2084"/>
    <w:rsid w:val="000A62A9"/>
    <w:rsid w:val="000A7B66"/>
    <w:rsid w:val="000B07B0"/>
    <w:rsid w:val="000C544C"/>
    <w:rsid w:val="000C6130"/>
    <w:rsid w:val="000D02E4"/>
    <w:rsid w:val="000D44D4"/>
    <w:rsid w:val="000D5268"/>
    <w:rsid w:val="000D7252"/>
    <w:rsid w:val="000E7CC2"/>
    <w:rsid w:val="000F0BBD"/>
    <w:rsid w:val="000F10F8"/>
    <w:rsid w:val="000F1B7D"/>
    <w:rsid w:val="000F39EF"/>
    <w:rsid w:val="000F5C0F"/>
    <w:rsid w:val="0010059E"/>
    <w:rsid w:val="00107096"/>
    <w:rsid w:val="001139A6"/>
    <w:rsid w:val="001167D9"/>
    <w:rsid w:val="00117093"/>
    <w:rsid w:val="00125C6A"/>
    <w:rsid w:val="001317CF"/>
    <w:rsid w:val="00134C8C"/>
    <w:rsid w:val="00143689"/>
    <w:rsid w:val="001458FE"/>
    <w:rsid w:val="0015229D"/>
    <w:rsid w:val="00153C60"/>
    <w:rsid w:val="00162FBC"/>
    <w:rsid w:val="001654A5"/>
    <w:rsid w:val="00170760"/>
    <w:rsid w:val="00170B46"/>
    <w:rsid w:val="00171975"/>
    <w:rsid w:val="00173764"/>
    <w:rsid w:val="001748BA"/>
    <w:rsid w:val="00192DAD"/>
    <w:rsid w:val="00193F19"/>
    <w:rsid w:val="001A0B1C"/>
    <w:rsid w:val="001A1E04"/>
    <w:rsid w:val="001A3E0D"/>
    <w:rsid w:val="001B4DE7"/>
    <w:rsid w:val="001C51E2"/>
    <w:rsid w:val="001C5B62"/>
    <w:rsid w:val="001C7092"/>
    <w:rsid w:val="001D0E41"/>
    <w:rsid w:val="001D153D"/>
    <w:rsid w:val="001D24CB"/>
    <w:rsid w:val="001D5412"/>
    <w:rsid w:val="001F1776"/>
    <w:rsid w:val="001F1C35"/>
    <w:rsid w:val="001F20B8"/>
    <w:rsid w:val="00203E68"/>
    <w:rsid w:val="0020435A"/>
    <w:rsid w:val="00206047"/>
    <w:rsid w:val="002073BD"/>
    <w:rsid w:val="00207B90"/>
    <w:rsid w:val="0021155E"/>
    <w:rsid w:val="002215FE"/>
    <w:rsid w:val="00223F01"/>
    <w:rsid w:val="002309D9"/>
    <w:rsid w:val="00233EF5"/>
    <w:rsid w:val="002349C3"/>
    <w:rsid w:val="00236899"/>
    <w:rsid w:val="0023771D"/>
    <w:rsid w:val="00242077"/>
    <w:rsid w:val="00243940"/>
    <w:rsid w:val="0025100A"/>
    <w:rsid w:val="002551A1"/>
    <w:rsid w:val="002617D5"/>
    <w:rsid w:val="00266561"/>
    <w:rsid w:val="00266E1A"/>
    <w:rsid w:val="002723FC"/>
    <w:rsid w:val="0027468B"/>
    <w:rsid w:val="00282655"/>
    <w:rsid w:val="00282DAE"/>
    <w:rsid w:val="00285343"/>
    <w:rsid w:val="00287105"/>
    <w:rsid w:val="00290B2E"/>
    <w:rsid w:val="00291602"/>
    <w:rsid w:val="0029392F"/>
    <w:rsid w:val="00293D9A"/>
    <w:rsid w:val="00295EDA"/>
    <w:rsid w:val="002A2034"/>
    <w:rsid w:val="002A3232"/>
    <w:rsid w:val="002B12E6"/>
    <w:rsid w:val="002B1329"/>
    <w:rsid w:val="002C0B56"/>
    <w:rsid w:val="002C0F1B"/>
    <w:rsid w:val="002C5187"/>
    <w:rsid w:val="002C5517"/>
    <w:rsid w:val="002C77D1"/>
    <w:rsid w:val="002D1A9D"/>
    <w:rsid w:val="002D2C39"/>
    <w:rsid w:val="002D4303"/>
    <w:rsid w:val="002D5523"/>
    <w:rsid w:val="002D61E1"/>
    <w:rsid w:val="002D7409"/>
    <w:rsid w:val="002D7662"/>
    <w:rsid w:val="002E1943"/>
    <w:rsid w:val="002E2D66"/>
    <w:rsid w:val="002E33A2"/>
    <w:rsid w:val="002E5382"/>
    <w:rsid w:val="002E5E3C"/>
    <w:rsid w:val="002F2E6A"/>
    <w:rsid w:val="002F5893"/>
    <w:rsid w:val="00300EF7"/>
    <w:rsid w:val="00305113"/>
    <w:rsid w:val="00310654"/>
    <w:rsid w:val="00313AD1"/>
    <w:rsid w:val="00314EE2"/>
    <w:rsid w:val="00315734"/>
    <w:rsid w:val="0031648A"/>
    <w:rsid w:val="0031755E"/>
    <w:rsid w:val="00321C3D"/>
    <w:rsid w:val="00325E98"/>
    <w:rsid w:val="003268D1"/>
    <w:rsid w:val="00327AF0"/>
    <w:rsid w:val="00331B49"/>
    <w:rsid w:val="00331F29"/>
    <w:rsid w:val="0033460B"/>
    <w:rsid w:val="0033752D"/>
    <w:rsid w:val="00342614"/>
    <w:rsid w:val="00344A71"/>
    <w:rsid w:val="00347675"/>
    <w:rsid w:val="00347BD4"/>
    <w:rsid w:val="00354B62"/>
    <w:rsid w:val="003554E0"/>
    <w:rsid w:val="00355DBF"/>
    <w:rsid w:val="003576FF"/>
    <w:rsid w:val="00357F80"/>
    <w:rsid w:val="00363764"/>
    <w:rsid w:val="00380A73"/>
    <w:rsid w:val="00382F29"/>
    <w:rsid w:val="00384AF1"/>
    <w:rsid w:val="00393B9D"/>
    <w:rsid w:val="003955A0"/>
    <w:rsid w:val="003B0D83"/>
    <w:rsid w:val="003B4A8D"/>
    <w:rsid w:val="003B5D7A"/>
    <w:rsid w:val="003C276B"/>
    <w:rsid w:val="003D3D7E"/>
    <w:rsid w:val="003D3FBB"/>
    <w:rsid w:val="003D4318"/>
    <w:rsid w:val="003D492A"/>
    <w:rsid w:val="003D66C8"/>
    <w:rsid w:val="003E0375"/>
    <w:rsid w:val="003E4422"/>
    <w:rsid w:val="003E4FF7"/>
    <w:rsid w:val="003F1AAC"/>
    <w:rsid w:val="003F3B35"/>
    <w:rsid w:val="003F470F"/>
    <w:rsid w:val="00412253"/>
    <w:rsid w:val="00412610"/>
    <w:rsid w:val="004137B8"/>
    <w:rsid w:val="004141BA"/>
    <w:rsid w:val="00415FC6"/>
    <w:rsid w:val="00430270"/>
    <w:rsid w:val="0044012A"/>
    <w:rsid w:val="00441D52"/>
    <w:rsid w:val="00442312"/>
    <w:rsid w:val="004432F6"/>
    <w:rsid w:val="00446F85"/>
    <w:rsid w:val="00447847"/>
    <w:rsid w:val="00452900"/>
    <w:rsid w:val="00456AC9"/>
    <w:rsid w:val="0046296C"/>
    <w:rsid w:val="0046775E"/>
    <w:rsid w:val="00470D92"/>
    <w:rsid w:val="00473117"/>
    <w:rsid w:val="0047586E"/>
    <w:rsid w:val="00480E9D"/>
    <w:rsid w:val="004821DA"/>
    <w:rsid w:val="00485FF5"/>
    <w:rsid w:val="00490397"/>
    <w:rsid w:val="004952D7"/>
    <w:rsid w:val="00496108"/>
    <w:rsid w:val="004A0E05"/>
    <w:rsid w:val="004A151C"/>
    <w:rsid w:val="004A1B26"/>
    <w:rsid w:val="004A5489"/>
    <w:rsid w:val="004A6BA0"/>
    <w:rsid w:val="004B067E"/>
    <w:rsid w:val="004B2AE4"/>
    <w:rsid w:val="004B5AFA"/>
    <w:rsid w:val="004C46EE"/>
    <w:rsid w:val="004D0248"/>
    <w:rsid w:val="004D0F1A"/>
    <w:rsid w:val="004D3A0B"/>
    <w:rsid w:val="004D469E"/>
    <w:rsid w:val="004D4B67"/>
    <w:rsid w:val="004E5EFE"/>
    <w:rsid w:val="004F064A"/>
    <w:rsid w:val="004F0FD3"/>
    <w:rsid w:val="004F2415"/>
    <w:rsid w:val="004F3FEB"/>
    <w:rsid w:val="00500693"/>
    <w:rsid w:val="005014CD"/>
    <w:rsid w:val="00501793"/>
    <w:rsid w:val="00505BFD"/>
    <w:rsid w:val="00507376"/>
    <w:rsid w:val="00510AA1"/>
    <w:rsid w:val="00511E6F"/>
    <w:rsid w:val="005150F8"/>
    <w:rsid w:val="005204CB"/>
    <w:rsid w:val="0052113F"/>
    <w:rsid w:val="005230C9"/>
    <w:rsid w:val="00524F37"/>
    <w:rsid w:val="00525FA8"/>
    <w:rsid w:val="005272D8"/>
    <w:rsid w:val="00531EA2"/>
    <w:rsid w:val="00532D90"/>
    <w:rsid w:val="005419E9"/>
    <w:rsid w:val="00541DC9"/>
    <w:rsid w:val="005440CF"/>
    <w:rsid w:val="00544C88"/>
    <w:rsid w:val="005506B5"/>
    <w:rsid w:val="00565C3C"/>
    <w:rsid w:val="0057085B"/>
    <w:rsid w:val="00572DF6"/>
    <w:rsid w:val="00573AB6"/>
    <w:rsid w:val="00577D77"/>
    <w:rsid w:val="00583138"/>
    <w:rsid w:val="00586FDE"/>
    <w:rsid w:val="00590E5A"/>
    <w:rsid w:val="005922B0"/>
    <w:rsid w:val="005940D1"/>
    <w:rsid w:val="00594E34"/>
    <w:rsid w:val="005A0B9F"/>
    <w:rsid w:val="005A2BB7"/>
    <w:rsid w:val="005A3A8D"/>
    <w:rsid w:val="005A4ADA"/>
    <w:rsid w:val="005B4F61"/>
    <w:rsid w:val="005B57EF"/>
    <w:rsid w:val="005B73F4"/>
    <w:rsid w:val="005C4BBB"/>
    <w:rsid w:val="005D33D4"/>
    <w:rsid w:val="005D5CF2"/>
    <w:rsid w:val="005D7FCA"/>
    <w:rsid w:val="005E1232"/>
    <w:rsid w:val="005E2834"/>
    <w:rsid w:val="005E485F"/>
    <w:rsid w:val="005F77BD"/>
    <w:rsid w:val="006002AA"/>
    <w:rsid w:val="00603A21"/>
    <w:rsid w:val="00611C67"/>
    <w:rsid w:val="00613DA7"/>
    <w:rsid w:val="00614076"/>
    <w:rsid w:val="00614E5A"/>
    <w:rsid w:val="00620E6F"/>
    <w:rsid w:val="0062275E"/>
    <w:rsid w:val="0062554E"/>
    <w:rsid w:val="00630230"/>
    <w:rsid w:val="00630455"/>
    <w:rsid w:val="00631233"/>
    <w:rsid w:val="0063197E"/>
    <w:rsid w:val="006438FE"/>
    <w:rsid w:val="00643E28"/>
    <w:rsid w:val="00645153"/>
    <w:rsid w:val="00646223"/>
    <w:rsid w:val="00650304"/>
    <w:rsid w:val="006535F8"/>
    <w:rsid w:val="006640FF"/>
    <w:rsid w:val="00667145"/>
    <w:rsid w:val="00670AD9"/>
    <w:rsid w:val="006713C2"/>
    <w:rsid w:val="00675E56"/>
    <w:rsid w:val="0067632C"/>
    <w:rsid w:val="00677A85"/>
    <w:rsid w:val="006805A5"/>
    <w:rsid w:val="00680B51"/>
    <w:rsid w:val="006821E3"/>
    <w:rsid w:val="006955E7"/>
    <w:rsid w:val="00695FCF"/>
    <w:rsid w:val="00696965"/>
    <w:rsid w:val="00696DDA"/>
    <w:rsid w:val="006A135C"/>
    <w:rsid w:val="006A4CFB"/>
    <w:rsid w:val="006B2A8E"/>
    <w:rsid w:val="006B5E7A"/>
    <w:rsid w:val="006C09E3"/>
    <w:rsid w:val="006C41FF"/>
    <w:rsid w:val="006D502F"/>
    <w:rsid w:val="006D7183"/>
    <w:rsid w:val="006E1EA3"/>
    <w:rsid w:val="006E27FD"/>
    <w:rsid w:val="006E6CC2"/>
    <w:rsid w:val="006F5C05"/>
    <w:rsid w:val="006F6ADA"/>
    <w:rsid w:val="006F707F"/>
    <w:rsid w:val="0070621C"/>
    <w:rsid w:val="0071123A"/>
    <w:rsid w:val="00713C75"/>
    <w:rsid w:val="007257B8"/>
    <w:rsid w:val="00726744"/>
    <w:rsid w:val="007273B6"/>
    <w:rsid w:val="00727A83"/>
    <w:rsid w:val="0073174A"/>
    <w:rsid w:val="007333BE"/>
    <w:rsid w:val="007335A8"/>
    <w:rsid w:val="00733FED"/>
    <w:rsid w:val="007366CF"/>
    <w:rsid w:val="00737013"/>
    <w:rsid w:val="0073764E"/>
    <w:rsid w:val="0075099D"/>
    <w:rsid w:val="00756B84"/>
    <w:rsid w:val="00760136"/>
    <w:rsid w:val="00760496"/>
    <w:rsid w:val="00772C0B"/>
    <w:rsid w:val="007738D0"/>
    <w:rsid w:val="00773EC0"/>
    <w:rsid w:val="0077567A"/>
    <w:rsid w:val="00780533"/>
    <w:rsid w:val="0078737D"/>
    <w:rsid w:val="007939B6"/>
    <w:rsid w:val="00794D5E"/>
    <w:rsid w:val="007964C7"/>
    <w:rsid w:val="007B0361"/>
    <w:rsid w:val="007B05F7"/>
    <w:rsid w:val="007B1888"/>
    <w:rsid w:val="007B1924"/>
    <w:rsid w:val="007B199A"/>
    <w:rsid w:val="007B1BA6"/>
    <w:rsid w:val="007B48F8"/>
    <w:rsid w:val="007B5624"/>
    <w:rsid w:val="007C30B0"/>
    <w:rsid w:val="007C5420"/>
    <w:rsid w:val="007D24EE"/>
    <w:rsid w:val="007D2672"/>
    <w:rsid w:val="007D4B6B"/>
    <w:rsid w:val="007D7930"/>
    <w:rsid w:val="007E728E"/>
    <w:rsid w:val="007E784C"/>
    <w:rsid w:val="007F130A"/>
    <w:rsid w:val="007F3D4F"/>
    <w:rsid w:val="007F46C8"/>
    <w:rsid w:val="00802069"/>
    <w:rsid w:val="00803C62"/>
    <w:rsid w:val="00804CC1"/>
    <w:rsid w:val="00806EC8"/>
    <w:rsid w:val="00814CE9"/>
    <w:rsid w:val="00825BCB"/>
    <w:rsid w:val="008270A6"/>
    <w:rsid w:val="00831988"/>
    <w:rsid w:val="00832BDC"/>
    <w:rsid w:val="0083364D"/>
    <w:rsid w:val="00834A4A"/>
    <w:rsid w:val="0083564F"/>
    <w:rsid w:val="008356C6"/>
    <w:rsid w:val="0083673F"/>
    <w:rsid w:val="008409F8"/>
    <w:rsid w:val="008445D9"/>
    <w:rsid w:val="0084493B"/>
    <w:rsid w:val="00845D51"/>
    <w:rsid w:val="00850F0F"/>
    <w:rsid w:val="008513F9"/>
    <w:rsid w:val="008521CA"/>
    <w:rsid w:val="008566B3"/>
    <w:rsid w:val="00856765"/>
    <w:rsid w:val="00867D4E"/>
    <w:rsid w:val="008765BC"/>
    <w:rsid w:val="00881122"/>
    <w:rsid w:val="00881AF4"/>
    <w:rsid w:val="008834FE"/>
    <w:rsid w:val="00883BC1"/>
    <w:rsid w:val="00884AE7"/>
    <w:rsid w:val="008956D1"/>
    <w:rsid w:val="008976A1"/>
    <w:rsid w:val="008A2252"/>
    <w:rsid w:val="008A60FB"/>
    <w:rsid w:val="008B2BA7"/>
    <w:rsid w:val="008B41C3"/>
    <w:rsid w:val="008C0A82"/>
    <w:rsid w:val="008C27DF"/>
    <w:rsid w:val="008C6AF1"/>
    <w:rsid w:val="008C6F73"/>
    <w:rsid w:val="008D2BDD"/>
    <w:rsid w:val="008D2D7E"/>
    <w:rsid w:val="008D33F8"/>
    <w:rsid w:val="008D4BC6"/>
    <w:rsid w:val="008D5470"/>
    <w:rsid w:val="008E4AD4"/>
    <w:rsid w:val="008F2550"/>
    <w:rsid w:val="008F2E54"/>
    <w:rsid w:val="008F6975"/>
    <w:rsid w:val="008F72C4"/>
    <w:rsid w:val="00900A5F"/>
    <w:rsid w:val="00902865"/>
    <w:rsid w:val="0090439B"/>
    <w:rsid w:val="00917D94"/>
    <w:rsid w:val="00921057"/>
    <w:rsid w:val="00924122"/>
    <w:rsid w:val="00930CCE"/>
    <w:rsid w:val="00931725"/>
    <w:rsid w:val="00931A17"/>
    <w:rsid w:val="009353AC"/>
    <w:rsid w:val="009360C0"/>
    <w:rsid w:val="0093653B"/>
    <w:rsid w:val="0094337D"/>
    <w:rsid w:val="00947084"/>
    <w:rsid w:val="00957D24"/>
    <w:rsid w:val="00964417"/>
    <w:rsid w:val="009722DB"/>
    <w:rsid w:val="00973B94"/>
    <w:rsid w:val="00976F80"/>
    <w:rsid w:val="009805F2"/>
    <w:rsid w:val="0098167E"/>
    <w:rsid w:val="009838F8"/>
    <w:rsid w:val="0098640D"/>
    <w:rsid w:val="00996FA7"/>
    <w:rsid w:val="009A2468"/>
    <w:rsid w:val="009A6C03"/>
    <w:rsid w:val="009A7F2E"/>
    <w:rsid w:val="009B0C1D"/>
    <w:rsid w:val="009B2D72"/>
    <w:rsid w:val="009C2C3C"/>
    <w:rsid w:val="009C7943"/>
    <w:rsid w:val="009D1A5C"/>
    <w:rsid w:val="009D6E1C"/>
    <w:rsid w:val="009E3EAC"/>
    <w:rsid w:val="009F2CAA"/>
    <w:rsid w:val="009F691A"/>
    <w:rsid w:val="009F6F6D"/>
    <w:rsid w:val="00A04E54"/>
    <w:rsid w:val="00A061EB"/>
    <w:rsid w:val="00A12E53"/>
    <w:rsid w:val="00A13D8D"/>
    <w:rsid w:val="00A13DFC"/>
    <w:rsid w:val="00A23E03"/>
    <w:rsid w:val="00A34774"/>
    <w:rsid w:val="00A36649"/>
    <w:rsid w:val="00A401BC"/>
    <w:rsid w:val="00A63606"/>
    <w:rsid w:val="00A650B3"/>
    <w:rsid w:val="00A65B9D"/>
    <w:rsid w:val="00A66E9E"/>
    <w:rsid w:val="00A710F1"/>
    <w:rsid w:val="00A7781C"/>
    <w:rsid w:val="00A96283"/>
    <w:rsid w:val="00AA2A57"/>
    <w:rsid w:val="00AB0FBF"/>
    <w:rsid w:val="00AC18D7"/>
    <w:rsid w:val="00AC2E6A"/>
    <w:rsid w:val="00AC352B"/>
    <w:rsid w:val="00AC5EC0"/>
    <w:rsid w:val="00AD05A6"/>
    <w:rsid w:val="00AD484D"/>
    <w:rsid w:val="00AE0F77"/>
    <w:rsid w:val="00AE7C72"/>
    <w:rsid w:val="00AF24B2"/>
    <w:rsid w:val="00AF529C"/>
    <w:rsid w:val="00AF5345"/>
    <w:rsid w:val="00AF5B03"/>
    <w:rsid w:val="00AF60B7"/>
    <w:rsid w:val="00B03791"/>
    <w:rsid w:val="00B051CC"/>
    <w:rsid w:val="00B05B0F"/>
    <w:rsid w:val="00B061B1"/>
    <w:rsid w:val="00B06804"/>
    <w:rsid w:val="00B17FF8"/>
    <w:rsid w:val="00B30A72"/>
    <w:rsid w:val="00B30CF7"/>
    <w:rsid w:val="00B30F3E"/>
    <w:rsid w:val="00B3280B"/>
    <w:rsid w:val="00B34570"/>
    <w:rsid w:val="00B365C9"/>
    <w:rsid w:val="00B43204"/>
    <w:rsid w:val="00B43BAA"/>
    <w:rsid w:val="00B46F5D"/>
    <w:rsid w:val="00B516F4"/>
    <w:rsid w:val="00B51E32"/>
    <w:rsid w:val="00B53695"/>
    <w:rsid w:val="00B6021A"/>
    <w:rsid w:val="00B63F07"/>
    <w:rsid w:val="00B6465F"/>
    <w:rsid w:val="00B71781"/>
    <w:rsid w:val="00B7222E"/>
    <w:rsid w:val="00B7336C"/>
    <w:rsid w:val="00B77794"/>
    <w:rsid w:val="00B805D7"/>
    <w:rsid w:val="00B80677"/>
    <w:rsid w:val="00B82437"/>
    <w:rsid w:val="00B829A8"/>
    <w:rsid w:val="00B860F7"/>
    <w:rsid w:val="00B95065"/>
    <w:rsid w:val="00B96E93"/>
    <w:rsid w:val="00B971AE"/>
    <w:rsid w:val="00B97AE8"/>
    <w:rsid w:val="00BA08F3"/>
    <w:rsid w:val="00BA363D"/>
    <w:rsid w:val="00BB01C4"/>
    <w:rsid w:val="00BB0AB8"/>
    <w:rsid w:val="00BB1DDF"/>
    <w:rsid w:val="00BB4A4E"/>
    <w:rsid w:val="00BC079A"/>
    <w:rsid w:val="00BC1CC8"/>
    <w:rsid w:val="00BC2D7C"/>
    <w:rsid w:val="00BD3529"/>
    <w:rsid w:val="00BE4EA8"/>
    <w:rsid w:val="00BE56ED"/>
    <w:rsid w:val="00BF158F"/>
    <w:rsid w:val="00BF5106"/>
    <w:rsid w:val="00BF5D19"/>
    <w:rsid w:val="00C032E9"/>
    <w:rsid w:val="00C04E50"/>
    <w:rsid w:val="00C053AA"/>
    <w:rsid w:val="00C05572"/>
    <w:rsid w:val="00C07B47"/>
    <w:rsid w:val="00C1154C"/>
    <w:rsid w:val="00C11CA8"/>
    <w:rsid w:val="00C17B97"/>
    <w:rsid w:val="00C2114D"/>
    <w:rsid w:val="00C343BD"/>
    <w:rsid w:val="00C34CCA"/>
    <w:rsid w:val="00C36730"/>
    <w:rsid w:val="00C36CD9"/>
    <w:rsid w:val="00C46EC8"/>
    <w:rsid w:val="00C546FF"/>
    <w:rsid w:val="00C56178"/>
    <w:rsid w:val="00C56F95"/>
    <w:rsid w:val="00C674B4"/>
    <w:rsid w:val="00C74392"/>
    <w:rsid w:val="00C74422"/>
    <w:rsid w:val="00C74B01"/>
    <w:rsid w:val="00C76D5D"/>
    <w:rsid w:val="00C77768"/>
    <w:rsid w:val="00C8337E"/>
    <w:rsid w:val="00C84F8C"/>
    <w:rsid w:val="00C8624C"/>
    <w:rsid w:val="00C92B2B"/>
    <w:rsid w:val="00C93F32"/>
    <w:rsid w:val="00C94775"/>
    <w:rsid w:val="00C94D3F"/>
    <w:rsid w:val="00C95D73"/>
    <w:rsid w:val="00CA492E"/>
    <w:rsid w:val="00CA5BC3"/>
    <w:rsid w:val="00CA6DEF"/>
    <w:rsid w:val="00CB4D1B"/>
    <w:rsid w:val="00CC1780"/>
    <w:rsid w:val="00CC7BDF"/>
    <w:rsid w:val="00CE197C"/>
    <w:rsid w:val="00CE511D"/>
    <w:rsid w:val="00CF14D2"/>
    <w:rsid w:val="00CF7AD2"/>
    <w:rsid w:val="00D01B22"/>
    <w:rsid w:val="00D02682"/>
    <w:rsid w:val="00D07DF0"/>
    <w:rsid w:val="00D13147"/>
    <w:rsid w:val="00D13779"/>
    <w:rsid w:val="00D146AF"/>
    <w:rsid w:val="00D14818"/>
    <w:rsid w:val="00D15111"/>
    <w:rsid w:val="00D167ED"/>
    <w:rsid w:val="00D17B85"/>
    <w:rsid w:val="00D200CA"/>
    <w:rsid w:val="00D21CC6"/>
    <w:rsid w:val="00D21F6E"/>
    <w:rsid w:val="00D22CFE"/>
    <w:rsid w:val="00D24093"/>
    <w:rsid w:val="00D31C1B"/>
    <w:rsid w:val="00D32078"/>
    <w:rsid w:val="00D33A1A"/>
    <w:rsid w:val="00D35666"/>
    <w:rsid w:val="00D45208"/>
    <w:rsid w:val="00D45568"/>
    <w:rsid w:val="00D553BA"/>
    <w:rsid w:val="00D60931"/>
    <w:rsid w:val="00D609E5"/>
    <w:rsid w:val="00D66971"/>
    <w:rsid w:val="00D708B7"/>
    <w:rsid w:val="00D72FFF"/>
    <w:rsid w:val="00D755A7"/>
    <w:rsid w:val="00D823A9"/>
    <w:rsid w:val="00D83FB6"/>
    <w:rsid w:val="00D90217"/>
    <w:rsid w:val="00D91F7D"/>
    <w:rsid w:val="00D96C89"/>
    <w:rsid w:val="00D97320"/>
    <w:rsid w:val="00DA6836"/>
    <w:rsid w:val="00DB44B0"/>
    <w:rsid w:val="00DC54A4"/>
    <w:rsid w:val="00DD20B3"/>
    <w:rsid w:val="00DD2C65"/>
    <w:rsid w:val="00DD491D"/>
    <w:rsid w:val="00DD4E7E"/>
    <w:rsid w:val="00DE5012"/>
    <w:rsid w:val="00DF1CDE"/>
    <w:rsid w:val="00DF20F8"/>
    <w:rsid w:val="00DF3C21"/>
    <w:rsid w:val="00DF6487"/>
    <w:rsid w:val="00E0203D"/>
    <w:rsid w:val="00E02825"/>
    <w:rsid w:val="00E126E0"/>
    <w:rsid w:val="00E1655E"/>
    <w:rsid w:val="00E1690F"/>
    <w:rsid w:val="00E22F11"/>
    <w:rsid w:val="00E263F2"/>
    <w:rsid w:val="00E27E4C"/>
    <w:rsid w:val="00E36BE2"/>
    <w:rsid w:val="00E3755B"/>
    <w:rsid w:val="00E37CC9"/>
    <w:rsid w:val="00E43930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75B91"/>
    <w:rsid w:val="00E7781F"/>
    <w:rsid w:val="00E824FD"/>
    <w:rsid w:val="00E83879"/>
    <w:rsid w:val="00E8524B"/>
    <w:rsid w:val="00E865C0"/>
    <w:rsid w:val="00E900AF"/>
    <w:rsid w:val="00E949AA"/>
    <w:rsid w:val="00E94FC2"/>
    <w:rsid w:val="00E95C92"/>
    <w:rsid w:val="00E9782B"/>
    <w:rsid w:val="00EA361C"/>
    <w:rsid w:val="00EA3C71"/>
    <w:rsid w:val="00EA4E06"/>
    <w:rsid w:val="00EB0134"/>
    <w:rsid w:val="00EB14C9"/>
    <w:rsid w:val="00EB6F33"/>
    <w:rsid w:val="00EC1E91"/>
    <w:rsid w:val="00EC5227"/>
    <w:rsid w:val="00EC55CB"/>
    <w:rsid w:val="00ED073D"/>
    <w:rsid w:val="00ED26C2"/>
    <w:rsid w:val="00ED7C51"/>
    <w:rsid w:val="00EE6DB9"/>
    <w:rsid w:val="00EF44AF"/>
    <w:rsid w:val="00EF67C4"/>
    <w:rsid w:val="00F01ED5"/>
    <w:rsid w:val="00F11576"/>
    <w:rsid w:val="00F115AA"/>
    <w:rsid w:val="00F117D2"/>
    <w:rsid w:val="00F12BCE"/>
    <w:rsid w:val="00F16B41"/>
    <w:rsid w:val="00F17700"/>
    <w:rsid w:val="00F245C8"/>
    <w:rsid w:val="00F275D7"/>
    <w:rsid w:val="00F320EE"/>
    <w:rsid w:val="00F33B5B"/>
    <w:rsid w:val="00F36DEA"/>
    <w:rsid w:val="00F4071A"/>
    <w:rsid w:val="00F474AF"/>
    <w:rsid w:val="00F61E47"/>
    <w:rsid w:val="00F61E7A"/>
    <w:rsid w:val="00F6436F"/>
    <w:rsid w:val="00F6596E"/>
    <w:rsid w:val="00F6679F"/>
    <w:rsid w:val="00F67CAA"/>
    <w:rsid w:val="00F72F47"/>
    <w:rsid w:val="00F82796"/>
    <w:rsid w:val="00F86243"/>
    <w:rsid w:val="00F948AD"/>
    <w:rsid w:val="00FA028D"/>
    <w:rsid w:val="00FA68F1"/>
    <w:rsid w:val="00FB028A"/>
    <w:rsid w:val="00FB41F7"/>
    <w:rsid w:val="00FB7D6F"/>
    <w:rsid w:val="00FC034D"/>
    <w:rsid w:val="00FC4E8E"/>
    <w:rsid w:val="00FD146A"/>
    <w:rsid w:val="00FD1DDA"/>
    <w:rsid w:val="00FD4B4C"/>
    <w:rsid w:val="00FE216C"/>
    <w:rsid w:val="00FE277E"/>
    <w:rsid w:val="00FE63F6"/>
    <w:rsid w:val="00FE7C89"/>
    <w:rsid w:val="00FF0357"/>
    <w:rsid w:val="00FF4DD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820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7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0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.stampa@gimb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1A21-4488-419D-913D-C381028E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Marco Mosti</cp:lastModifiedBy>
  <cp:revision>2</cp:revision>
  <cp:lastPrinted>2015-09-24T07:40:00Z</cp:lastPrinted>
  <dcterms:created xsi:type="dcterms:W3CDTF">2015-09-24T09:42:00Z</dcterms:created>
  <dcterms:modified xsi:type="dcterms:W3CDTF">2015-09-24T09:42:00Z</dcterms:modified>
</cp:coreProperties>
</file>