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24C" w:rsidRDefault="00C8624C" w:rsidP="00C8624C">
      <w:pPr>
        <w:jc w:val="center"/>
        <w:rPr>
          <w:rFonts w:ascii="Calibri" w:eastAsia="Calibri" w:hAnsi="Calibri" w:cs="Times New Roman"/>
          <w:b/>
          <w:bCs/>
          <w:sz w:val="36"/>
          <w:szCs w:val="36"/>
        </w:rPr>
      </w:pPr>
      <w:r w:rsidRPr="00C8624C">
        <w:rPr>
          <w:rFonts w:ascii="Calibri" w:eastAsia="Calibri" w:hAnsi="Calibri" w:cs="Times New Roman"/>
          <w:b/>
          <w:bCs/>
          <w:sz w:val="36"/>
          <w:szCs w:val="36"/>
        </w:rPr>
        <w:t>COMUNICATO STAMPA</w:t>
      </w:r>
    </w:p>
    <w:p w:rsidR="009722DB" w:rsidRPr="002D1A9D" w:rsidRDefault="00356657" w:rsidP="00E15B6A">
      <w:pPr>
        <w:jc w:val="center"/>
        <w:rPr>
          <w:rFonts w:ascii="Calibri" w:eastAsia="Calibri" w:hAnsi="Calibri" w:cs="Times New Roman"/>
          <w:b/>
          <w:bCs/>
          <w:sz w:val="36"/>
          <w:szCs w:val="36"/>
        </w:rPr>
      </w:pPr>
      <w:r>
        <w:rPr>
          <w:rFonts w:ascii="Calibri" w:eastAsia="Calibri" w:hAnsi="Calibri" w:cs="Times New Roman"/>
          <w:b/>
          <w:bCs/>
          <w:sz w:val="36"/>
          <w:szCs w:val="36"/>
        </w:rPr>
        <w:t xml:space="preserve">EPATITE C: </w:t>
      </w:r>
      <w:r w:rsidR="00744B29">
        <w:rPr>
          <w:rFonts w:ascii="Calibri" w:eastAsia="Calibri" w:hAnsi="Calibri" w:cs="Times New Roman"/>
          <w:b/>
          <w:bCs/>
          <w:sz w:val="36"/>
          <w:szCs w:val="36"/>
        </w:rPr>
        <w:t>TUTTI I</w:t>
      </w:r>
      <w:r>
        <w:rPr>
          <w:rFonts w:ascii="Calibri" w:eastAsia="Calibri" w:hAnsi="Calibri" w:cs="Times New Roman"/>
          <w:b/>
          <w:bCs/>
          <w:sz w:val="36"/>
          <w:szCs w:val="36"/>
        </w:rPr>
        <w:t xml:space="preserve"> FALSI MITI SUL SOFOSBUVIR</w:t>
      </w:r>
    </w:p>
    <w:p w:rsidR="006535F8" w:rsidRPr="00C656CA" w:rsidRDefault="003C5EA6" w:rsidP="0078042C">
      <w:pPr>
        <w:jc w:val="both"/>
        <w:rPr>
          <w:b/>
          <w:smallCaps/>
          <w:sz w:val="28"/>
        </w:rPr>
      </w:pPr>
      <w:r>
        <w:rPr>
          <w:b/>
          <w:smallCaps/>
          <w:sz w:val="28"/>
        </w:rPr>
        <w:t>è</w:t>
      </w:r>
      <w:r w:rsidRPr="00C656CA">
        <w:rPr>
          <w:b/>
          <w:smallCaps/>
          <w:sz w:val="28"/>
        </w:rPr>
        <w:t xml:space="preserve"> </w:t>
      </w:r>
      <w:r w:rsidR="00C656CA" w:rsidRPr="00C656CA">
        <w:rPr>
          <w:b/>
          <w:smallCaps/>
          <w:sz w:val="28"/>
        </w:rPr>
        <w:t>i</w:t>
      </w:r>
      <w:r w:rsidR="00C656CA">
        <w:rPr>
          <w:b/>
          <w:smallCaps/>
          <w:sz w:val="28"/>
        </w:rPr>
        <w:t xml:space="preserve">ndispensabile </w:t>
      </w:r>
      <w:r w:rsidR="0078042C">
        <w:rPr>
          <w:b/>
          <w:smallCaps/>
          <w:sz w:val="28"/>
        </w:rPr>
        <w:t>r</w:t>
      </w:r>
      <w:r w:rsidR="0078042C" w:rsidRPr="00F55DDF">
        <w:rPr>
          <w:b/>
          <w:smallCaps/>
          <w:sz w:val="28"/>
        </w:rPr>
        <w:t xml:space="preserve">iallineare aspettative dei pazienti e </w:t>
      </w:r>
      <w:r w:rsidR="0078042C">
        <w:rPr>
          <w:b/>
          <w:smallCaps/>
          <w:sz w:val="28"/>
        </w:rPr>
        <w:t xml:space="preserve">politiche sanitarie </w:t>
      </w:r>
      <w:r w:rsidR="00356657">
        <w:rPr>
          <w:b/>
          <w:smallCaps/>
          <w:sz w:val="28"/>
        </w:rPr>
        <w:t xml:space="preserve">alle reali prove di efficacia </w:t>
      </w:r>
      <w:r w:rsidR="00C656CA">
        <w:rPr>
          <w:b/>
          <w:smallCaps/>
          <w:sz w:val="28"/>
        </w:rPr>
        <w:t>del “super</w:t>
      </w:r>
      <w:r>
        <w:rPr>
          <w:b/>
          <w:smallCaps/>
          <w:sz w:val="28"/>
        </w:rPr>
        <w:t>-</w:t>
      </w:r>
      <w:r w:rsidR="00C656CA">
        <w:rPr>
          <w:b/>
          <w:smallCaps/>
          <w:sz w:val="28"/>
        </w:rPr>
        <w:t>farmaco”</w:t>
      </w:r>
      <w:r w:rsidR="00F75202">
        <w:rPr>
          <w:b/>
          <w:smallCaps/>
          <w:sz w:val="28"/>
        </w:rPr>
        <w:t xml:space="preserve"> e </w:t>
      </w:r>
      <w:r w:rsidR="009C23B4">
        <w:rPr>
          <w:b/>
          <w:smallCaps/>
          <w:sz w:val="28"/>
        </w:rPr>
        <w:t xml:space="preserve">definire le priorità di trattamento </w:t>
      </w:r>
      <w:r w:rsidR="00C656CA">
        <w:rPr>
          <w:b/>
          <w:smallCaps/>
          <w:sz w:val="28"/>
        </w:rPr>
        <w:t>secondo criteri di costo-efficacia</w:t>
      </w:r>
      <w:r w:rsidR="00C77568">
        <w:rPr>
          <w:b/>
          <w:smallCaps/>
          <w:sz w:val="28"/>
        </w:rPr>
        <w:t>.</w:t>
      </w:r>
    </w:p>
    <w:p w:rsidR="005B4F61" w:rsidRDefault="0097742D" w:rsidP="005B4F61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26 maggio</w:t>
      </w:r>
      <w:r w:rsidR="00D22CFE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AE0F77">
        <w:rPr>
          <w:rFonts w:ascii="Calibri" w:eastAsia="Calibri" w:hAnsi="Calibri" w:cs="Times New Roman"/>
          <w:b/>
          <w:bCs/>
          <w:sz w:val="24"/>
          <w:szCs w:val="24"/>
        </w:rPr>
        <w:t>201</w:t>
      </w:r>
      <w:r w:rsidR="0062554E">
        <w:rPr>
          <w:rFonts w:ascii="Calibri" w:eastAsia="Calibri" w:hAnsi="Calibri" w:cs="Times New Roman"/>
          <w:b/>
          <w:bCs/>
          <w:sz w:val="24"/>
          <w:szCs w:val="24"/>
        </w:rPr>
        <w:t>5</w:t>
      </w:r>
      <w:r w:rsidR="005B4F61">
        <w:rPr>
          <w:rFonts w:ascii="Calibri" w:eastAsia="Calibri" w:hAnsi="Calibri" w:cs="Times New Roman"/>
          <w:b/>
          <w:bCs/>
          <w:sz w:val="24"/>
          <w:szCs w:val="24"/>
        </w:rPr>
        <w:t xml:space="preserve"> - </w:t>
      </w:r>
      <w:r w:rsidR="005B4F61" w:rsidRPr="00C8624C">
        <w:rPr>
          <w:rFonts w:ascii="Calibri" w:eastAsia="Calibri" w:hAnsi="Calibri" w:cs="Times New Roman"/>
          <w:b/>
          <w:bCs/>
          <w:sz w:val="24"/>
          <w:szCs w:val="24"/>
        </w:rPr>
        <w:t>Fondazione GIMBE, Bologna</w:t>
      </w:r>
    </w:p>
    <w:p w:rsidR="001E618D" w:rsidRDefault="001E618D" w:rsidP="00E15B6A">
      <w:pPr>
        <w:spacing w:after="0"/>
      </w:pPr>
    </w:p>
    <w:p w:rsidR="00AE6142" w:rsidRDefault="00E15B6A" w:rsidP="00AE6142">
      <w:pPr>
        <w:spacing w:afterLines="120" w:after="288"/>
      </w:pPr>
      <w:r>
        <w:t xml:space="preserve">L’impossibilità </w:t>
      </w:r>
      <w:r w:rsidR="003C5EA6">
        <w:t xml:space="preserve">di </w:t>
      </w:r>
      <w:r>
        <w:t xml:space="preserve">garantire il trattamento </w:t>
      </w:r>
      <w:r w:rsidR="001E618D">
        <w:t xml:space="preserve">con il </w:t>
      </w:r>
      <w:proofErr w:type="spellStart"/>
      <w:r w:rsidR="001E618D">
        <w:t>sofosbuvir</w:t>
      </w:r>
      <w:proofErr w:type="spellEnd"/>
      <w:r w:rsidR="001E618D">
        <w:t xml:space="preserve"> </w:t>
      </w:r>
      <w:r>
        <w:t xml:space="preserve">a tutti i pazienti affetti dal virus dell’epatite C </w:t>
      </w:r>
      <w:r w:rsidR="003C5EA6">
        <w:t xml:space="preserve">ha generato </w:t>
      </w:r>
      <w:r w:rsidR="001F0F67">
        <w:t>l</w:t>
      </w:r>
      <w:r w:rsidR="003C5EA6">
        <w:t>a mobilitazione d</w:t>
      </w:r>
      <w:r w:rsidR="001F0F67">
        <w:t xml:space="preserve">ella </w:t>
      </w:r>
      <w:r w:rsidR="003C5EA6">
        <w:t>magistratura</w:t>
      </w:r>
      <w:r w:rsidR="001E618D">
        <w:t xml:space="preserve"> e </w:t>
      </w:r>
      <w:r w:rsidR="001F0F67">
        <w:t xml:space="preserve">della </w:t>
      </w:r>
      <w:r w:rsidR="001E618D">
        <w:t xml:space="preserve">politica. </w:t>
      </w:r>
      <w:r w:rsidR="002F47CB">
        <w:t>Il 16 maggio</w:t>
      </w:r>
      <w:r>
        <w:t xml:space="preserve"> il </w:t>
      </w:r>
      <w:proofErr w:type="spellStart"/>
      <w:r>
        <w:t>pm</w:t>
      </w:r>
      <w:proofErr w:type="spellEnd"/>
      <w:r>
        <w:t xml:space="preserve"> Guariniello ha aperto un fascicolo a carico di ignoti con ipotesi di reato per omissione di cure e lesioni colpose perché il Governo non avrebbe assicurato alle Regioni le somme necessarie a garantire a tutti i </w:t>
      </w:r>
      <w:r w:rsidR="003C5EA6">
        <w:t xml:space="preserve">pazienti </w:t>
      </w:r>
      <w:r>
        <w:t xml:space="preserve">la costosissima terapia </w:t>
      </w:r>
      <w:r w:rsidR="002F47CB">
        <w:t xml:space="preserve"> in grado di “cancellare</w:t>
      </w:r>
      <w:r>
        <w:t xml:space="preserve"> la malattia</w:t>
      </w:r>
      <w:r w:rsidR="002F47CB">
        <w:t>”</w:t>
      </w:r>
      <w:r w:rsidR="001E618D">
        <w:t xml:space="preserve">. </w:t>
      </w:r>
      <w:r w:rsidR="002F47CB">
        <w:t xml:space="preserve">Due giorni dopo </w:t>
      </w:r>
      <w:r w:rsidR="00C656CA">
        <w:t xml:space="preserve">il Governatore Enrico Rossi </w:t>
      </w:r>
      <w:r>
        <w:t xml:space="preserve">ha dichiarato che la Regione Toscana garantirà </w:t>
      </w:r>
      <w:r w:rsidR="000E58CC">
        <w:t xml:space="preserve">a tutti i cittadini toscani </w:t>
      </w:r>
      <w:r w:rsidRPr="00E15B6A">
        <w:t xml:space="preserve"> l'accesso gratuito alla terapia farmacologica per la cura dell'epatite C</w:t>
      </w:r>
      <w:r w:rsidR="00C656CA">
        <w:t xml:space="preserve"> perché </w:t>
      </w:r>
      <w:r w:rsidR="00C656CA" w:rsidRPr="00C656CA">
        <w:t>“bloccare la progressione del danno epatico in uno stadio precoce risolve definitivamente la malattia, riduce il rischio di diffusione ed evita tutte le spese derivanti dal trattamento della malattia”.</w:t>
      </w:r>
    </w:p>
    <w:p w:rsidR="00AE6142" w:rsidRDefault="00AE6142" w:rsidP="00AE6142">
      <w:pPr>
        <w:spacing w:afterLines="120" w:after="288"/>
      </w:pPr>
      <w:r>
        <w:t xml:space="preserve">Dal canto suo </w:t>
      </w:r>
      <w:r w:rsidR="004E23BD">
        <w:t>Luca Pani difende l’</w:t>
      </w:r>
      <w:r w:rsidR="001E618D">
        <w:t xml:space="preserve">operato </w:t>
      </w:r>
      <w:r w:rsidR="004E23BD">
        <w:t xml:space="preserve">dell’AIFA </w:t>
      </w:r>
      <w:r w:rsidR="001E618D">
        <w:t>che</w:t>
      </w:r>
      <w:r w:rsidR="003C5EA6">
        <w:t>,</w:t>
      </w:r>
      <w:r w:rsidR="001E618D">
        <w:t xml:space="preserve"> </w:t>
      </w:r>
      <w:r w:rsidR="003C5EA6">
        <w:t xml:space="preserve">grazie ai criteri prescrittivi identificati e ai fondi stanziati dallo Stato, </w:t>
      </w:r>
      <w:r w:rsidR="001E618D">
        <w:t xml:space="preserve">garantisce oggi il trattamento a 7.000 pazienti, seppure con preoccupanti variabilità regionali e </w:t>
      </w:r>
      <w:r w:rsidR="003C5EA6">
        <w:t xml:space="preserve">rimprovera </w:t>
      </w:r>
      <w:r w:rsidR="004E23BD">
        <w:t>Enrico</w:t>
      </w:r>
      <w:r w:rsidR="003C5EA6">
        <w:t xml:space="preserve"> </w:t>
      </w:r>
      <w:r w:rsidR="001E618D">
        <w:t xml:space="preserve">Rossi di </w:t>
      </w:r>
      <w:r w:rsidR="003C6A58">
        <w:t>diffondere a fini elettorali</w:t>
      </w:r>
      <w:r w:rsidR="000E5BF7" w:rsidRPr="000E5BF7">
        <w:t xml:space="preserve"> informazioni illusorie nei confronti di oltre un milione di cittadini italiani </w:t>
      </w:r>
      <w:r w:rsidR="003127F0">
        <w:t>affetti da epatite C</w:t>
      </w:r>
      <w:r w:rsidR="000E5BF7" w:rsidRPr="000E5BF7">
        <w:t>.</w:t>
      </w:r>
    </w:p>
    <w:p w:rsidR="00AE6142" w:rsidRDefault="00AE6142" w:rsidP="00AE6142">
      <w:pPr>
        <w:spacing w:afterLines="120" w:after="288"/>
      </w:pPr>
      <w:r>
        <w:t xml:space="preserve">In un momento particolarmente critico per la sostenibilità della sanità pubblica, la Fondazione GIMBE invita tutti gli </w:t>
      </w:r>
      <w:proofErr w:type="spellStart"/>
      <w:r>
        <w:t>stakeholders</w:t>
      </w:r>
      <w:proofErr w:type="spellEnd"/>
      <w:r>
        <w:t xml:space="preserve"> a valutare con sano scetticismo e adeguato rigore metodologico tutte le innovazioni farmacologiche e tecnologiche evitando, sull’onda di un contagioso entusiasmo, di enfatizzare i benefici </w:t>
      </w:r>
      <w:r w:rsidR="00CF4958">
        <w:t xml:space="preserve">e minimizzare i rischi </w:t>
      </w:r>
      <w:r>
        <w:t>degli interventi sanitari.</w:t>
      </w:r>
    </w:p>
    <w:p w:rsidR="003127F0" w:rsidRDefault="00AE6142" w:rsidP="00AE6142">
      <w:pPr>
        <w:spacing w:afterLines="120" w:after="288"/>
      </w:pPr>
      <w:r>
        <w:t>A</w:t>
      </w:r>
      <w:r w:rsidR="00D427FB">
        <w:t xml:space="preserve">l fine di </w:t>
      </w:r>
      <w:r w:rsidR="00E826B0">
        <w:t xml:space="preserve">informare correttamente </w:t>
      </w:r>
      <w:r w:rsidR="003127F0">
        <w:t xml:space="preserve">politiche sanitarie, professionisti e </w:t>
      </w:r>
      <w:r w:rsidR="00E826B0" w:rsidRPr="00E826B0">
        <w:t xml:space="preserve">pazienti </w:t>
      </w:r>
      <w:r>
        <w:t xml:space="preserve">la Fondazione GIMBE </w:t>
      </w:r>
      <w:r w:rsidR="000E5BF7">
        <w:t xml:space="preserve">ha pubblicato </w:t>
      </w:r>
      <w:r>
        <w:t xml:space="preserve">il </w:t>
      </w:r>
      <w:r w:rsidR="000E5BF7">
        <w:t>P</w:t>
      </w:r>
      <w:r w:rsidR="00D427FB">
        <w:t xml:space="preserve">osition </w:t>
      </w:r>
      <w:r w:rsidR="000E5BF7">
        <w:t>S</w:t>
      </w:r>
      <w:r w:rsidR="00D427FB">
        <w:t xml:space="preserve">tatement </w:t>
      </w:r>
      <w:r>
        <w:t>“</w:t>
      </w:r>
      <w:r w:rsidRPr="00AE6142">
        <w:t xml:space="preserve">Efficacia e costo-efficacia del </w:t>
      </w:r>
      <w:proofErr w:type="spellStart"/>
      <w:r w:rsidRPr="00AE6142">
        <w:t>sofosbuvir</w:t>
      </w:r>
      <w:proofErr w:type="spellEnd"/>
      <w:r w:rsidRPr="00AE6142">
        <w:t xml:space="preserve"> nel trattamento dell’epatite C</w:t>
      </w:r>
      <w:r>
        <w:t xml:space="preserve">” </w:t>
      </w:r>
      <w:r w:rsidR="00D427FB">
        <w:t xml:space="preserve">da cui </w:t>
      </w:r>
      <w:r w:rsidR="003127F0">
        <w:t xml:space="preserve">emergono </w:t>
      </w:r>
      <w:r w:rsidR="006F13A7">
        <w:t>alcune</w:t>
      </w:r>
      <w:r w:rsidR="003127F0">
        <w:t xml:space="preserve"> criticità metodologiche </w:t>
      </w:r>
      <w:r w:rsidR="006F13A7">
        <w:t xml:space="preserve">relative </w:t>
      </w:r>
      <w:r w:rsidR="003127F0">
        <w:t xml:space="preserve">alla robustezza delle prove di efficacia, oltre che all’entità </w:t>
      </w:r>
      <w:r>
        <w:t xml:space="preserve">e alla precisione </w:t>
      </w:r>
      <w:r w:rsidR="003127F0">
        <w:t xml:space="preserve">dei benefici del </w:t>
      </w:r>
      <w:r>
        <w:t>farmaco</w:t>
      </w:r>
      <w:r w:rsidR="003127F0">
        <w:t xml:space="preserve">. </w:t>
      </w:r>
    </w:p>
    <w:p w:rsidR="003127F0" w:rsidRDefault="003127F0" w:rsidP="00AE6142">
      <w:pPr>
        <w:pStyle w:val="Paragrafoelenco"/>
        <w:numPr>
          <w:ilvl w:val="0"/>
          <w:numId w:val="11"/>
        </w:numPr>
        <w:spacing w:afterLines="120" w:after="288" w:line="276" w:lineRule="auto"/>
      </w:pPr>
      <w:r>
        <w:t>T</w:t>
      </w:r>
      <w:r w:rsidRPr="001B163C">
        <w:t>utti</w:t>
      </w:r>
      <w:r>
        <w:t xml:space="preserve"> gli studi che hanno valutato l’efficacia del </w:t>
      </w:r>
      <w:proofErr w:type="spellStart"/>
      <w:r>
        <w:t>sofosbuvir</w:t>
      </w:r>
      <w:proofErr w:type="spellEnd"/>
      <w:r>
        <w:t xml:space="preserve"> sono stati finanziati, progettati e realizzati dall’azienda produttrice  </w:t>
      </w:r>
      <w:proofErr w:type="spellStart"/>
      <w:r>
        <w:t>Gilead</w:t>
      </w:r>
      <w:proofErr w:type="spellEnd"/>
      <w:r>
        <w:t xml:space="preserve"> Science e, al momento, non esiste alcuno studio indipendente.</w:t>
      </w:r>
    </w:p>
    <w:p w:rsidR="003127F0" w:rsidRDefault="003127F0" w:rsidP="00AE6142">
      <w:pPr>
        <w:pStyle w:val="Paragrafoelenco"/>
        <w:numPr>
          <w:ilvl w:val="0"/>
          <w:numId w:val="9"/>
        </w:numPr>
        <w:spacing w:afterLines="120" w:after="288" w:line="276" w:lineRule="auto"/>
      </w:pPr>
      <w:r>
        <w:t xml:space="preserve">Non conosciamo il reale valore aggiunto del farmaco rispetto a un confronto appropriato, sia perché mancano trial di efficacia comparativa del </w:t>
      </w:r>
      <w:proofErr w:type="spellStart"/>
      <w:r>
        <w:t>sofosbuvir</w:t>
      </w:r>
      <w:proofErr w:type="spellEnd"/>
      <w:r>
        <w:t xml:space="preserve"> con altri agenti antivirali ad azione diretta, sia perché tutti gli studi prevedono l’associazione del </w:t>
      </w:r>
      <w:proofErr w:type="spellStart"/>
      <w:r>
        <w:t>sofosbuvir</w:t>
      </w:r>
      <w:proofErr w:type="spellEnd"/>
      <w:r>
        <w:t xml:space="preserve"> con </w:t>
      </w:r>
      <w:proofErr w:type="spellStart"/>
      <w:r>
        <w:t>ribavirina</w:t>
      </w:r>
      <w:proofErr w:type="spellEnd"/>
      <w:r>
        <w:t xml:space="preserve"> ± </w:t>
      </w:r>
      <w:proofErr w:type="spellStart"/>
      <w:r w:rsidRPr="001630DE">
        <w:t>peginterferon</w:t>
      </w:r>
      <w:proofErr w:type="spellEnd"/>
      <w:r w:rsidRPr="001630DE">
        <w:t>-alfa</w:t>
      </w:r>
      <w:r>
        <w:t>.</w:t>
      </w:r>
    </w:p>
    <w:p w:rsidR="003127F0" w:rsidRDefault="003127F0" w:rsidP="00AE6142">
      <w:pPr>
        <w:pStyle w:val="Paragrafoelenco"/>
        <w:numPr>
          <w:ilvl w:val="0"/>
          <w:numId w:val="9"/>
        </w:numPr>
        <w:spacing w:afterLines="120" w:after="288" w:line="276" w:lineRule="auto"/>
      </w:pPr>
      <w:r>
        <w:t xml:space="preserve">Alcuni studi presentano limiti metodologici rilevanti (controlli storici, assenza di </w:t>
      </w:r>
      <w:proofErr w:type="spellStart"/>
      <w:r>
        <w:t>blinding</w:t>
      </w:r>
      <w:proofErr w:type="spellEnd"/>
      <w:r>
        <w:t>).</w:t>
      </w:r>
    </w:p>
    <w:p w:rsidR="006F13A7" w:rsidRDefault="006F13A7" w:rsidP="00AE6142">
      <w:pPr>
        <w:pStyle w:val="Paragrafoelenco"/>
        <w:numPr>
          <w:ilvl w:val="0"/>
          <w:numId w:val="10"/>
        </w:numPr>
        <w:spacing w:afterLines="120" w:after="288" w:line="276" w:lineRule="auto"/>
      </w:pPr>
      <w:r>
        <w:t>Tutti g</w:t>
      </w:r>
      <w:r w:rsidR="003127F0">
        <w:t>li studi hanno utilizzato come misura di esito un end-point surrogato, ovvero la risposta virologica sostenuta al di sotto della soglia minima identificabile a 24 o</w:t>
      </w:r>
      <w:r>
        <w:t xml:space="preserve"> </w:t>
      </w:r>
      <w:r w:rsidR="003127F0">
        <w:t xml:space="preserve">a </w:t>
      </w:r>
      <w:r>
        <w:t>12 settimane</w:t>
      </w:r>
      <w:r w:rsidR="003127F0">
        <w:t xml:space="preserve"> dalla sospensione del farmaco</w:t>
      </w:r>
      <w:r>
        <w:t xml:space="preserve">. </w:t>
      </w:r>
    </w:p>
    <w:p w:rsidR="003127F0" w:rsidRDefault="006F13A7" w:rsidP="00AE6142">
      <w:pPr>
        <w:pStyle w:val="Paragrafoelenco"/>
        <w:numPr>
          <w:ilvl w:val="0"/>
          <w:numId w:val="10"/>
        </w:numPr>
        <w:spacing w:afterLines="120" w:after="288" w:line="276" w:lineRule="auto"/>
      </w:pPr>
      <w:r>
        <w:lastRenderedPageBreak/>
        <w:t>La risposta virologica sostenuta</w:t>
      </w:r>
      <w:r w:rsidR="003127F0">
        <w:t xml:space="preserve"> non garantisce l’e</w:t>
      </w:r>
      <w:r>
        <w:t xml:space="preserve">radicazione </w:t>
      </w:r>
      <w:r w:rsidR="003127F0">
        <w:t xml:space="preserve">del virus dal sangue (che resta solo al di sotto della soglia minima identificabile), né </w:t>
      </w:r>
      <w:r>
        <w:t xml:space="preserve">permette di </w:t>
      </w:r>
      <w:r w:rsidR="003127F0">
        <w:t>identificare la persistenza del virus nei tessuti.</w:t>
      </w:r>
    </w:p>
    <w:p w:rsidR="00F75202" w:rsidRDefault="009C23B4" w:rsidP="009C23B4">
      <w:pPr>
        <w:pStyle w:val="Paragrafoelenco"/>
        <w:numPr>
          <w:ilvl w:val="0"/>
          <w:numId w:val="9"/>
        </w:numPr>
        <w:spacing w:afterLines="120" w:after="288" w:line="276" w:lineRule="auto"/>
      </w:pPr>
      <w:r w:rsidRPr="009C23B4">
        <w:t>Per alcuni sottogruppi di pazienti la stima dell’effetto del trattamento è incerta a causa della loro limitata numerosità campionaria.</w:t>
      </w:r>
    </w:p>
    <w:p w:rsidR="003127F0" w:rsidRDefault="003127F0" w:rsidP="00AE6142">
      <w:pPr>
        <w:pStyle w:val="Paragrafoelenco"/>
        <w:numPr>
          <w:ilvl w:val="0"/>
          <w:numId w:val="9"/>
        </w:numPr>
        <w:spacing w:afterLines="120" w:after="288" w:line="276" w:lineRule="auto"/>
      </w:pPr>
      <w:r>
        <w:t xml:space="preserve">Non esistono prove di efficacia dirette su </w:t>
      </w:r>
      <w:r w:rsidRPr="000933CA">
        <w:t xml:space="preserve">outcome </w:t>
      </w:r>
      <w:r w:rsidR="00744499">
        <w:t xml:space="preserve">clinicamente </w:t>
      </w:r>
      <w:r>
        <w:t>rilevanti: evoluzione dell’epatite in cirrosi, scompenso della cirrosi, insorgenza di epatocarcinoma, mortalità.</w:t>
      </w:r>
    </w:p>
    <w:p w:rsidR="003127F0" w:rsidRDefault="003127F0" w:rsidP="00AE6142">
      <w:pPr>
        <w:pStyle w:val="Paragrafoelenco"/>
        <w:numPr>
          <w:ilvl w:val="0"/>
          <w:numId w:val="9"/>
        </w:numPr>
        <w:spacing w:afterLines="120" w:after="288" w:line="276" w:lineRule="auto"/>
      </w:pPr>
      <w:r>
        <w:t xml:space="preserve">Non è nota la probabilità di </w:t>
      </w:r>
      <w:r w:rsidRPr="00E5747F">
        <w:t>re-infezione</w:t>
      </w:r>
      <w:r>
        <w:t xml:space="preserve"> nei pazienti che hanno ottenuto una </w:t>
      </w:r>
      <w:r w:rsidR="006F13A7">
        <w:t>risposta virologica sostenuta</w:t>
      </w:r>
      <w:r>
        <w:t>.</w:t>
      </w:r>
    </w:p>
    <w:p w:rsidR="003127F0" w:rsidRPr="00E5747F" w:rsidRDefault="003127F0" w:rsidP="00AE6142">
      <w:pPr>
        <w:pStyle w:val="Paragrafoelenco"/>
        <w:numPr>
          <w:ilvl w:val="0"/>
          <w:numId w:val="9"/>
        </w:numPr>
        <w:spacing w:afterLines="120" w:after="288" w:line="276" w:lineRule="auto"/>
      </w:pPr>
      <w:r>
        <w:t xml:space="preserve">Non conosciamo gli effetti avversi, oltre che la </w:t>
      </w:r>
      <w:proofErr w:type="spellStart"/>
      <w:r>
        <w:t>compliance</w:t>
      </w:r>
      <w:proofErr w:type="spellEnd"/>
      <w:r>
        <w:t xml:space="preserve">, nel </w:t>
      </w:r>
      <w:r w:rsidRPr="00E5747F">
        <w:t>mondo reale</w:t>
      </w:r>
      <w:r>
        <w:t>.</w:t>
      </w:r>
    </w:p>
    <w:p w:rsidR="00D427FB" w:rsidRDefault="003127F0" w:rsidP="00AE6142">
      <w:pPr>
        <w:spacing w:afterLines="120" w:after="288"/>
      </w:pPr>
      <w:r>
        <w:t>A seguito di queste valutazioni la Fondazione GIMBE conclude che:</w:t>
      </w:r>
    </w:p>
    <w:p w:rsidR="003127F0" w:rsidRDefault="003127F0" w:rsidP="00AE6142">
      <w:pPr>
        <w:pStyle w:val="Paragrafoelenco"/>
        <w:numPr>
          <w:ilvl w:val="0"/>
          <w:numId w:val="8"/>
        </w:numPr>
        <w:spacing w:afterLines="120" w:after="288" w:line="276" w:lineRule="auto"/>
      </w:pPr>
      <w:r>
        <w:t xml:space="preserve">Il </w:t>
      </w:r>
      <w:proofErr w:type="spellStart"/>
      <w:r>
        <w:t>sofosbuvir</w:t>
      </w:r>
      <w:proofErr w:type="spellEnd"/>
      <w:r>
        <w:t xml:space="preserve"> costituisce una rilevante innovazione terapeutica, ma le evidenze disponibili documentano solo </w:t>
      </w:r>
      <w:r w:rsidR="00CF4958">
        <w:t>che il farmaco è efficace nel determinare</w:t>
      </w:r>
      <w:r>
        <w:t xml:space="preserve"> una risposta virologica sostenuta in una percentuale che raggiunge il 90% in alcuni (ma non in tutti) sottogruppi di pazienti.</w:t>
      </w:r>
    </w:p>
    <w:p w:rsidR="003127F0" w:rsidRDefault="003127F0" w:rsidP="00AE6142">
      <w:pPr>
        <w:pStyle w:val="Paragrafoelenco"/>
        <w:numPr>
          <w:ilvl w:val="0"/>
          <w:numId w:val="8"/>
        </w:numPr>
        <w:spacing w:afterLines="120" w:after="288" w:line="276" w:lineRule="auto"/>
      </w:pPr>
      <w:r>
        <w:t>L</w:t>
      </w:r>
      <w:r w:rsidRPr="00D32CE3">
        <w:t>a storia naturale dell’epatite C</w:t>
      </w:r>
      <w:r>
        <w:t xml:space="preserve"> e</w:t>
      </w:r>
      <w:r w:rsidRPr="00D32CE3">
        <w:t xml:space="preserve"> l</w:t>
      </w:r>
      <w:r>
        <w:t xml:space="preserve">e </w:t>
      </w:r>
      <w:r w:rsidRPr="00D32CE3">
        <w:t xml:space="preserve">prove di efficacia disponibili </w:t>
      </w:r>
      <w:r>
        <w:t xml:space="preserve">non giustificano in nessun contesto sanitario, indipendentemente dalla disponibilità di risorse, </w:t>
      </w:r>
      <w:r w:rsidRPr="00D32CE3">
        <w:t xml:space="preserve">una policy che preveda il trattamento di tutti i pazienti con epatite C con l’obiettivo di </w:t>
      </w:r>
      <w:r>
        <w:t xml:space="preserve">prevenire l’evoluzione dell’epatite cronica in cirrosi, lo scompenso della cirrosi, lo sviluppo dell’epatocarcinoma, i trapianti di fegato e la mortalità. </w:t>
      </w:r>
    </w:p>
    <w:p w:rsidR="003127F0" w:rsidRDefault="003127F0" w:rsidP="00AE6142">
      <w:pPr>
        <w:pStyle w:val="Paragrafoelenco"/>
        <w:numPr>
          <w:ilvl w:val="0"/>
          <w:numId w:val="8"/>
        </w:numPr>
        <w:spacing w:afterLines="120" w:after="288" w:line="276" w:lineRule="auto"/>
      </w:pPr>
      <w:r>
        <w:t xml:space="preserve">In assenza di prove di efficacia dirette sulla capacità del </w:t>
      </w:r>
      <w:proofErr w:type="spellStart"/>
      <w:r>
        <w:t>sofosbuvir</w:t>
      </w:r>
      <w:proofErr w:type="spellEnd"/>
      <w:r>
        <w:t xml:space="preserve"> di rallentare l’evoluzione dell’epatite C verso forme avanzate di malattia scommettere sui potenziali risparmi per l’assistenza sanitaria è puramente speculativo e non supportato da alcun dato scientifico.</w:t>
      </w:r>
    </w:p>
    <w:p w:rsidR="003127F0" w:rsidRPr="00385A19" w:rsidRDefault="003127F0" w:rsidP="00AE6142">
      <w:pPr>
        <w:pStyle w:val="Paragrafoelenco"/>
        <w:numPr>
          <w:ilvl w:val="0"/>
          <w:numId w:val="8"/>
        </w:numPr>
        <w:spacing w:afterLines="120" w:after="288" w:line="276" w:lineRule="auto"/>
      </w:pPr>
      <w:r w:rsidRPr="00385A19">
        <w:t xml:space="preserve">Assimilare </w:t>
      </w:r>
      <w:r>
        <w:t xml:space="preserve">la risposta virologica sostenuta nel singolo paziente alla </w:t>
      </w:r>
      <w:r w:rsidRPr="00385A19">
        <w:t xml:space="preserve">eradicazione del virus </w:t>
      </w:r>
      <w:r>
        <w:t xml:space="preserve">C </w:t>
      </w:r>
      <w:r w:rsidRPr="00385A19">
        <w:t xml:space="preserve">dalla popolazione </w:t>
      </w:r>
      <w:r>
        <w:t>è una suggestiva</w:t>
      </w:r>
      <w:r w:rsidR="00AE6142">
        <w:t>, ma inverosimile,</w:t>
      </w:r>
      <w:r>
        <w:t xml:space="preserve"> strategia di sanità pubblica</w:t>
      </w:r>
      <w:r w:rsidRPr="00385A19">
        <w:t>.</w:t>
      </w:r>
    </w:p>
    <w:p w:rsidR="003127F0" w:rsidRDefault="003127F0" w:rsidP="00AE6142">
      <w:pPr>
        <w:pStyle w:val="Paragrafoelenco"/>
        <w:numPr>
          <w:ilvl w:val="0"/>
          <w:numId w:val="8"/>
        </w:numPr>
        <w:spacing w:afterLines="120" w:after="288" w:line="276" w:lineRule="auto"/>
      </w:pPr>
      <w:r>
        <w:t xml:space="preserve">Considerato che la mortalità nei pazienti con epatite C è molto bassa e che nessuno studio ha dimostrato che il </w:t>
      </w:r>
      <w:proofErr w:type="spellStart"/>
      <w:r>
        <w:t>sofosbuvir</w:t>
      </w:r>
      <w:proofErr w:type="spellEnd"/>
      <w:r>
        <w:t xml:space="preserve"> riduce la mortalità , il termine “farmaco salvavita” è improprio e non  dovrebbe più essere utilizzato.</w:t>
      </w:r>
    </w:p>
    <w:p w:rsidR="003127F0" w:rsidRPr="004000DE" w:rsidRDefault="003127F0" w:rsidP="00AE6142">
      <w:pPr>
        <w:pStyle w:val="Paragrafoelenco"/>
        <w:numPr>
          <w:ilvl w:val="0"/>
          <w:numId w:val="8"/>
        </w:numPr>
        <w:spacing w:afterLines="120" w:after="288" w:line="276" w:lineRule="auto"/>
      </w:pPr>
      <w:r>
        <w:t xml:space="preserve">Definire le priorità di trattamento in relazione alla costo-efficacia del </w:t>
      </w:r>
      <w:proofErr w:type="spellStart"/>
      <w:r>
        <w:t>sofosbuvir</w:t>
      </w:r>
      <w:proofErr w:type="spellEnd"/>
      <w:r>
        <w:t xml:space="preserve"> nei vari sottogruppi di </w:t>
      </w:r>
      <w:r w:rsidRPr="004000DE">
        <w:t>pazienti rappresenta oggi l’unica soluzione accettab</w:t>
      </w:r>
      <w:bookmarkStart w:id="0" w:name="_GoBack"/>
      <w:bookmarkEnd w:id="0"/>
      <w:r w:rsidRPr="004000DE">
        <w:t>ile dal punto di vista clinico, etico ed economico.</w:t>
      </w:r>
    </w:p>
    <w:p w:rsidR="00162A68" w:rsidRPr="004000DE" w:rsidRDefault="00162A68" w:rsidP="00AE6142">
      <w:pPr>
        <w:pStyle w:val="Paragrafoelenco"/>
        <w:numPr>
          <w:ilvl w:val="0"/>
          <w:numId w:val="8"/>
        </w:numPr>
        <w:spacing w:afterLines="120" w:after="288" w:line="276" w:lineRule="auto"/>
      </w:pPr>
      <w:r w:rsidRPr="004000DE">
        <w:t xml:space="preserve">I dati relativi a tutti i pazienti trattati dovrebbero essere raccolti in maniera sistematica </w:t>
      </w:r>
      <w:r w:rsidR="00132EC3" w:rsidRPr="004000DE">
        <w:t>al fine di</w:t>
      </w:r>
      <w:r w:rsidRPr="004000DE">
        <w:t xml:space="preserve"> documentare l’efficacia e la sicurezza del </w:t>
      </w:r>
      <w:r w:rsidR="00132EC3" w:rsidRPr="004000DE">
        <w:t>farmaco</w:t>
      </w:r>
      <w:r w:rsidRPr="004000DE">
        <w:t xml:space="preserve"> nel mondo reale.</w:t>
      </w:r>
    </w:p>
    <w:p w:rsidR="003127F0" w:rsidRPr="00D32CE3" w:rsidRDefault="003127F0" w:rsidP="00AE6142">
      <w:pPr>
        <w:pStyle w:val="Paragrafoelenco"/>
        <w:numPr>
          <w:ilvl w:val="0"/>
          <w:numId w:val="8"/>
        </w:numPr>
        <w:spacing w:afterLines="120" w:after="288" w:line="276" w:lineRule="auto"/>
      </w:pPr>
      <w:r>
        <w:t xml:space="preserve">Tutti gli stakeholder che intervengono pubblicamente esaltando l’efficacia del </w:t>
      </w:r>
      <w:proofErr w:type="spellStart"/>
      <w:r>
        <w:t>sofosbuvir</w:t>
      </w:r>
      <w:proofErr w:type="spellEnd"/>
      <w:r>
        <w:t>, oltre le evidenze disponibili, dovrebbero dichiarare gli eventuali conflitti di interesse finanziari e non finanziari.</w:t>
      </w:r>
    </w:p>
    <w:p w:rsidR="00E15B6A" w:rsidRDefault="00E826B0" w:rsidP="00AE6142">
      <w:pPr>
        <w:spacing w:afterLines="120" w:after="288"/>
      </w:pPr>
      <w:r>
        <w:t xml:space="preserve"> </w:t>
      </w:r>
      <w:r w:rsidR="00C656CA">
        <w:t>Il P</w:t>
      </w:r>
      <w:r w:rsidR="00EB7BC6">
        <w:t xml:space="preserve">osition </w:t>
      </w:r>
      <w:r w:rsidR="00C656CA">
        <w:t>S</w:t>
      </w:r>
      <w:r w:rsidR="00EB7BC6">
        <w:t xml:space="preserve">tatement GIMBE è disponibile a: </w:t>
      </w:r>
      <w:hyperlink r:id="rId9" w:history="1">
        <w:r w:rsidR="00FB7CCF" w:rsidRPr="00FB7CCF">
          <w:rPr>
            <w:rStyle w:val="Collegamentoipertestuale"/>
          </w:rPr>
          <w:t>www.evidence.it/sofosbuv</w:t>
        </w:r>
        <w:r w:rsidR="00FB7CCF" w:rsidRPr="00AA6125">
          <w:rPr>
            <w:rStyle w:val="Collegamentoipertestuale"/>
          </w:rPr>
          <w:t>ir</w:t>
        </w:r>
      </w:hyperlink>
    </w:p>
    <w:p w:rsidR="009C23B4" w:rsidRDefault="009C23B4" w:rsidP="00E3755B">
      <w:pPr>
        <w:spacing w:after="0"/>
        <w:rPr>
          <w:rFonts w:ascii="Calibri" w:eastAsia="Calibri" w:hAnsi="Calibri" w:cs="Times New Roman"/>
          <w:b/>
          <w:bCs/>
        </w:rPr>
      </w:pPr>
    </w:p>
    <w:p w:rsidR="00E3755B" w:rsidRPr="00E3755B" w:rsidRDefault="00E3755B" w:rsidP="00E3755B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E3755B">
        <w:rPr>
          <w:rFonts w:ascii="Calibri" w:eastAsia="Calibri" w:hAnsi="Calibri" w:cs="Times New Roman"/>
          <w:b/>
          <w:bCs/>
        </w:rPr>
        <w:t>Fondazione GIMBE</w:t>
      </w:r>
      <w:r w:rsidRPr="00E3755B">
        <w:rPr>
          <w:rFonts w:ascii="Trebuchet MS" w:eastAsia="Calibri" w:hAnsi="Trebuchet MS" w:cs="Times New Roman"/>
        </w:rPr>
        <w:br/>
      </w:r>
      <w:r w:rsidRPr="00E3755B">
        <w:rPr>
          <w:rFonts w:ascii="Calibri" w:eastAsia="Calibri" w:hAnsi="Calibri" w:cs="Times New Roman"/>
          <w:sz w:val="20"/>
          <w:szCs w:val="20"/>
        </w:rPr>
        <w:t>Via Amendola 2 - 40121 Bologna</w:t>
      </w:r>
    </w:p>
    <w:p w:rsidR="00E3755B" w:rsidRPr="00E3755B" w:rsidRDefault="00E3755B" w:rsidP="00E3755B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E3755B">
        <w:rPr>
          <w:rFonts w:ascii="Calibri" w:eastAsia="Calibri" w:hAnsi="Calibri" w:cs="Times New Roman"/>
          <w:sz w:val="20"/>
          <w:szCs w:val="20"/>
        </w:rPr>
        <w:t>Tel. 051 5883920 - Fax 051 4075774</w:t>
      </w:r>
    </w:p>
    <w:p w:rsidR="00E15B6A" w:rsidRDefault="00E3755B" w:rsidP="000927C7">
      <w:pPr>
        <w:spacing w:after="0"/>
      </w:pPr>
      <w:r w:rsidRPr="00E3755B">
        <w:rPr>
          <w:rFonts w:ascii="Calibri" w:eastAsia="Calibri" w:hAnsi="Calibri" w:cs="Times New Roman"/>
          <w:sz w:val="20"/>
          <w:szCs w:val="20"/>
        </w:rPr>
        <w:t xml:space="preserve">E-mail: </w:t>
      </w:r>
      <w:hyperlink r:id="rId10" w:history="1">
        <w:r w:rsidRPr="00E3755B">
          <w:rPr>
            <w:rFonts w:ascii="Calibri" w:eastAsia="Calibri" w:hAnsi="Calibri" w:cs="Times New Roman"/>
            <w:sz w:val="20"/>
            <w:szCs w:val="20"/>
          </w:rPr>
          <w:t>ufficio.stampa@gimbe.org</w:t>
        </w:r>
      </w:hyperlink>
    </w:p>
    <w:sectPr w:rsidR="00E15B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9DE" w:rsidRDefault="005069DE" w:rsidP="00D427FB">
      <w:pPr>
        <w:spacing w:after="0" w:line="240" w:lineRule="auto"/>
      </w:pPr>
      <w:r>
        <w:separator/>
      </w:r>
    </w:p>
  </w:endnote>
  <w:endnote w:type="continuationSeparator" w:id="0">
    <w:p w:rsidR="005069DE" w:rsidRDefault="005069DE" w:rsidP="00D42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9DE" w:rsidRDefault="005069DE" w:rsidP="00D427FB">
      <w:pPr>
        <w:spacing w:after="0" w:line="240" w:lineRule="auto"/>
      </w:pPr>
      <w:r>
        <w:separator/>
      </w:r>
    </w:p>
  </w:footnote>
  <w:footnote w:type="continuationSeparator" w:id="0">
    <w:p w:rsidR="005069DE" w:rsidRDefault="005069DE" w:rsidP="00D427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8181C"/>
    <w:multiLevelType w:val="hybridMultilevel"/>
    <w:tmpl w:val="AD88BD0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F5028A0"/>
    <w:multiLevelType w:val="hybridMultilevel"/>
    <w:tmpl w:val="C9FEBD5A"/>
    <w:lvl w:ilvl="0" w:tplc="A914E83C">
      <w:start w:val="16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C146A0"/>
    <w:multiLevelType w:val="hybridMultilevel"/>
    <w:tmpl w:val="5B1C9BBE"/>
    <w:lvl w:ilvl="0" w:tplc="792622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2628E5"/>
    <w:multiLevelType w:val="hybridMultilevel"/>
    <w:tmpl w:val="2ABA6530"/>
    <w:lvl w:ilvl="0" w:tplc="FC6C4C0E">
      <w:start w:val="2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FF1232A"/>
    <w:multiLevelType w:val="multilevel"/>
    <w:tmpl w:val="5AA4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E80D29"/>
    <w:multiLevelType w:val="hybridMultilevel"/>
    <w:tmpl w:val="152A4718"/>
    <w:lvl w:ilvl="0" w:tplc="792622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0C3AF4"/>
    <w:multiLevelType w:val="hybridMultilevel"/>
    <w:tmpl w:val="E8D49A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28E278F"/>
    <w:multiLevelType w:val="hybridMultilevel"/>
    <w:tmpl w:val="C6842F30"/>
    <w:lvl w:ilvl="0" w:tplc="792622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B46163"/>
    <w:multiLevelType w:val="hybridMultilevel"/>
    <w:tmpl w:val="B51EB5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FA854BC"/>
    <w:multiLevelType w:val="multilevel"/>
    <w:tmpl w:val="E098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2879B0"/>
    <w:multiLevelType w:val="hybridMultilevel"/>
    <w:tmpl w:val="41CA39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9"/>
  </w:num>
  <w:num w:numId="5">
    <w:abstractNumId w:val="4"/>
  </w:num>
  <w:num w:numId="6">
    <w:abstractNumId w:val="1"/>
  </w:num>
  <w:num w:numId="7">
    <w:abstractNumId w:val="6"/>
  </w:num>
  <w:num w:numId="8">
    <w:abstractNumId w:val="7"/>
  </w:num>
  <w:num w:numId="9">
    <w:abstractNumId w:val="2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B91"/>
    <w:rsid w:val="00002C1B"/>
    <w:rsid w:val="00003F78"/>
    <w:rsid w:val="00006555"/>
    <w:rsid w:val="00010498"/>
    <w:rsid w:val="0001384A"/>
    <w:rsid w:val="00013DFA"/>
    <w:rsid w:val="00017968"/>
    <w:rsid w:val="00035404"/>
    <w:rsid w:val="00055AE9"/>
    <w:rsid w:val="0006440E"/>
    <w:rsid w:val="00067B8F"/>
    <w:rsid w:val="000707B3"/>
    <w:rsid w:val="00073870"/>
    <w:rsid w:val="00074788"/>
    <w:rsid w:val="00090A39"/>
    <w:rsid w:val="000927C7"/>
    <w:rsid w:val="000A62A9"/>
    <w:rsid w:val="000A7B66"/>
    <w:rsid w:val="000C544C"/>
    <w:rsid w:val="000C6130"/>
    <w:rsid w:val="000C68B0"/>
    <w:rsid w:val="000D02E4"/>
    <w:rsid w:val="000D38D9"/>
    <w:rsid w:val="000E58CC"/>
    <w:rsid w:val="000E5BF7"/>
    <w:rsid w:val="000E7CC2"/>
    <w:rsid w:val="000F10F8"/>
    <w:rsid w:val="000F7D1F"/>
    <w:rsid w:val="001139A6"/>
    <w:rsid w:val="00132EC3"/>
    <w:rsid w:val="00134C8C"/>
    <w:rsid w:val="00143689"/>
    <w:rsid w:val="001458FE"/>
    <w:rsid w:val="00162A68"/>
    <w:rsid w:val="00162FBC"/>
    <w:rsid w:val="001654A5"/>
    <w:rsid w:val="001748BA"/>
    <w:rsid w:val="00193F19"/>
    <w:rsid w:val="001A3E0D"/>
    <w:rsid w:val="001C51E2"/>
    <w:rsid w:val="001D0E41"/>
    <w:rsid w:val="001D24E1"/>
    <w:rsid w:val="001E618D"/>
    <w:rsid w:val="001F0F67"/>
    <w:rsid w:val="001F1C35"/>
    <w:rsid w:val="001F20B8"/>
    <w:rsid w:val="0020435A"/>
    <w:rsid w:val="002073BD"/>
    <w:rsid w:val="00207B90"/>
    <w:rsid w:val="00233EF5"/>
    <w:rsid w:val="002349C3"/>
    <w:rsid w:val="0023771D"/>
    <w:rsid w:val="00242077"/>
    <w:rsid w:val="0025100A"/>
    <w:rsid w:val="002551A1"/>
    <w:rsid w:val="00266561"/>
    <w:rsid w:val="00282655"/>
    <w:rsid w:val="00282DAE"/>
    <w:rsid w:val="00287105"/>
    <w:rsid w:val="00291602"/>
    <w:rsid w:val="0029392F"/>
    <w:rsid w:val="002A2034"/>
    <w:rsid w:val="002A3232"/>
    <w:rsid w:val="002B12E6"/>
    <w:rsid w:val="002B1329"/>
    <w:rsid w:val="002D1A9D"/>
    <w:rsid w:val="002D2C39"/>
    <w:rsid w:val="002D61E1"/>
    <w:rsid w:val="002D7409"/>
    <w:rsid w:val="002E2D66"/>
    <w:rsid w:val="002E33A2"/>
    <w:rsid w:val="002E5E3C"/>
    <w:rsid w:val="002F2E6A"/>
    <w:rsid w:val="002F47CB"/>
    <w:rsid w:val="00300EF7"/>
    <w:rsid w:val="00305113"/>
    <w:rsid w:val="00310654"/>
    <w:rsid w:val="003127F0"/>
    <w:rsid w:val="00313AD1"/>
    <w:rsid w:val="00315734"/>
    <w:rsid w:val="0031648A"/>
    <w:rsid w:val="0031755E"/>
    <w:rsid w:val="00325E98"/>
    <w:rsid w:val="003268D1"/>
    <w:rsid w:val="00327AF0"/>
    <w:rsid w:val="00331B49"/>
    <w:rsid w:val="0033460B"/>
    <w:rsid w:val="003446ED"/>
    <w:rsid w:val="00347675"/>
    <w:rsid w:val="00347BD4"/>
    <w:rsid w:val="003554E0"/>
    <w:rsid w:val="00356657"/>
    <w:rsid w:val="003576FF"/>
    <w:rsid w:val="00357F80"/>
    <w:rsid w:val="00380A73"/>
    <w:rsid w:val="00382F29"/>
    <w:rsid w:val="00393B9D"/>
    <w:rsid w:val="003955A0"/>
    <w:rsid w:val="003C276B"/>
    <w:rsid w:val="003C5EA6"/>
    <w:rsid w:val="003C6A58"/>
    <w:rsid w:val="003D4318"/>
    <w:rsid w:val="003D66C8"/>
    <w:rsid w:val="003E0375"/>
    <w:rsid w:val="003E4422"/>
    <w:rsid w:val="003F1AAC"/>
    <w:rsid w:val="003F470F"/>
    <w:rsid w:val="004000DE"/>
    <w:rsid w:val="00412253"/>
    <w:rsid w:val="00441D52"/>
    <w:rsid w:val="00442312"/>
    <w:rsid w:val="004432F6"/>
    <w:rsid w:val="00446F85"/>
    <w:rsid w:val="00452900"/>
    <w:rsid w:val="00456AC9"/>
    <w:rsid w:val="0046775E"/>
    <w:rsid w:val="00470D92"/>
    <w:rsid w:val="0047586E"/>
    <w:rsid w:val="00480E9D"/>
    <w:rsid w:val="00483C3F"/>
    <w:rsid w:val="004952D7"/>
    <w:rsid w:val="00496108"/>
    <w:rsid w:val="004A1B26"/>
    <w:rsid w:val="004A5489"/>
    <w:rsid w:val="004D0248"/>
    <w:rsid w:val="004D3A0B"/>
    <w:rsid w:val="004D469E"/>
    <w:rsid w:val="004E23BD"/>
    <w:rsid w:val="004F064A"/>
    <w:rsid w:val="004F0FD3"/>
    <w:rsid w:val="005014CD"/>
    <w:rsid w:val="00501793"/>
    <w:rsid w:val="005069DE"/>
    <w:rsid w:val="00510AA1"/>
    <w:rsid w:val="005204CB"/>
    <w:rsid w:val="00524F37"/>
    <w:rsid w:val="00525FA8"/>
    <w:rsid w:val="00531EA2"/>
    <w:rsid w:val="005419E9"/>
    <w:rsid w:val="00565C3C"/>
    <w:rsid w:val="0057085B"/>
    <w:rsid w:val="00572DF6"/>
    <w:rsid w:val="00573AB6"/>
    <w:rsid w:val="00577D77"/>
    <w:rsid w:val="00586FDE"/>
    <w:rsid w:val="00590E5A"/>
    <w:rsid w:val="005940D1"/>
    <w:rsid w:val="00594E34"/>
    <w:rsid w:val="005A3A8D"/>
    <w:rsid w:val="005A4ADA"/>
    <w:rsid w:val="005B4F61"/>
    <w:rsid w:val="005B57EF"/>
    <w:rsid w:val="005D33D4"/>
    <w:rsid w:val="005D5CF2"/>
    <w:rsid w:val="005D7FCA"/>
    <w:rsid w:val="005E1232"/>
    <w:rsid w:val="005E485F"/>
    <w:rsid w:val="005F552E"/>
    <w:rsid w:val="00611C67"/>
    <w:rsid w:val="00614076"/>
    <w:rsid w:val="00614E5A"/>
    <w:rsid w:val="0062275E"/>
    <w:rsid w:val="0062554E"/>
    <w:rsid w:val="00630230"/>
    <w:rsid w:val="00631233"/>
    <w:rsid w:val="00643E28"/>
    <w:rsid w:val="00645153"/>
    <w:rsid w:val="00650304"/>
    <w:rsid w:val="006535F8"/>
    <w:rsid w:val="00667145"/>
    <w:rsid w:val="00670AD9"/>
    <w:rsid w:val="006713C2"/>
    <w:rsid w:val="00675E56"/>
    <w:rsid w:val="0067632C"/>
    <w:rsid w:val="006805A5"/>
    <w:rsid w:val="00680B51"/>
    <w:rsid w:val="006955E7"/>
    <w:rsid w:val="00695FCF"/>
    <w:rsid w:val="00696965"/>
    <w:rsid w:val="00696DDA"/>
    <w:rsid w:val="006A135C"/>
    <w:rsid w:val="006A4CFB"/>
    <w:rsid w:val="006B5E7A"/>
    <w:rsid w:val="006C09E3"/>
    <w:rsid w:val="006C41FF"/>
    <w:rsid w:val="006D502F"/>
    <w:rsid w:val="006D5678"/>
    <w:rsid w:val="006E1EA3"/>
    <w:rsid w:val="006E6CC2"/>
    <w:rsid w:val="006F13A7"/>
    <w:rsid w:val="006F5C05"/>
    <w:rsid w:val="0070621C"/>
    <w:rsid w:val="0071123A"/>
    <w:rsid w:val="007257B8"/>
    <w:rsid w:val="00727A83"/>
    <w:rsid w:val="0073174A"/>
    <w:rsid w:val="007333BE"/>
    <w:rsid w:val="007335A8"/>
    <w:rsid w:val="0073764E"/>
    <w:rsid w:val="00744499"/>
    <w:rsid w:val="00744B29"/>
    <w:rsid w:val="0075099D"/>
    <w:rsid w:val="00760136"/>
    <w:rsid w:val="00760496"/>
    <w:rsid w:val="00772C0B"/>
    <w:rsid w:val="007738D0"/>
    <w:rsid w:val="00773EC0"/>
    <w:rsid w:val="0077567A"/>
    <w:rsid w:val="0078042C"/>
    <w:rsid w:val="0078737D"/>
    <w:rsid w:val="007964C7"/>
    <w:rsid w:val="007B05F7"/>
    <w:rsid w:val="007B1924"/>
    <w:rsid w:val="007B199A"/>
    <w:rsid w:val="007B1BA6"/>
    <w:rsid w:val="007B5624"/>
    <w:rsid w:val="007C5420"/>
    <w:rsid w:val="007D2672"/>
    <w:rsid w:val="007D4B6B"/>
    <w:rsid w:val="007E784C"/>
    <w:rsid w:val="007F130A"/>
    <w:rsid w:val="007F3D4F"/>
    <w:rsid w:val="00802069"/>
    <w:rsid w:val="00802FA2"/>
    <w:rsid w:val="00803C62"/>
    <w:rsid w:val="00806EC8"/>
    <w:rsid w:val="00814CE9"/>
    <w:rsid w:val="00825BCB"/>
    <w:rsid w:val="008270A6"/>
    <w:rsid w:val="00831988"/>
    <w:rsid w:val="00832BDC"/>
    <w:rsid w:val="0083364D"/>
    <w:rsid w:val="0083564F"/>
    <w:rsid w:val="008356C6"/>
    <w:rsid w:val="0083673F"/>
    <w:rsid w:val="0084493B"/>
    <w:rsid w:val="00845D51"/>
    <w:rsid w:val="008513F9"/>
    <w:rsid w:val="008521CA"/>
    <w:rsid w:val="008566B3"/>
    <w:rsid w:val="00856765"/>
    <w:rsid w:val="00865243"/>
    <w:rsid w:val="00881AF4"/>
    <w:rsid w:val="008834FE"/>
    <w:rsid w:val="008976A1"/>
    <w:rsid w:val="008B2BA7"/>
    <w:rsid w:val="008C0A82"/>
    <w:rsid w:val="008D2BDD"/>
    <w:rsid w:val="008D4BC6"/>
    <w:rsid w:val="008E4AD4"/>
    <w:rsid w:val="008F2550"/>
    <w:rsid w:val="008F2E54"/>
    <w:rsid w:val="008F6975"/>
    <w:rsid w:val="008F72C4"/>
    <w:rsid w:val="00900A5F"/>
    <w:rsid w:val="00902865"/>
    <w:rsid w:val="0092056E"/>
    <w:rsid w:val="00921057"/>
    <w:rsid w:val="00924122"/>
    <w:rsid w:val="009353AC"/>
    <w:rsid w:val="009360C0"/>
    <w:rsid w:val="0093653B"/>
    <w:rsid w:val="00947084"/>
    <w:rsid w:val="00957D24"/>
    <w:rsid w:val="009722DB"/>
    <w:rsid w:val="00973B94"/>
    <w:rsid w:val="00976F80"/>
    <w:rsid w:val="0097742D"/>
    <w:rsid w:val="009805F2"/>
    <w:rsid w:val="00996FA7"/>
    <w:rsid w:val="009A6C03"/>
    <w:rsid w:val="009A7F2E"/>
    <w:rsid w:val="009B0C1D"/>
    <w:rsid w:val="009C23B4"/>
    <w:rsid w:val="009C2C3C"/>
    <w:rsid w:val="009C7943"/>
    <w:rsid w:val="009D1A5C"/>
    <w:rsid w:val="009E3EAC"/>
    <w:rsid w:val="009F2CAA"/>
    <w:rsid w:val="009F691A"/>
    <w:rsid w:val="00A04E54"/>
    <w:rsid w:val="00A061EB"/>
    <w:rsid w:val="00A12E53"/>
    <w:rsid w:val="00A23E03"/>
    <w:rsid w:val="00A401BC"/>
    <w:rsid w:val="00A63606"/>
    <w:rsid w:val="00A65B9D"/>
    <w:rsid w:val="00A710F1"/>
    <w:rsid w:val="00A7781C"/>
    <w:rsid w:val="00AA2A57"/>
    <w:rsid w:val="00AB0FBF"/>
    <w:rsid w:val="00AC18D7"/>
    <w:rsid w:val="00AE0F77"/>
    <w:rsid w:val="00AE6142"/>
    <w:rsid w:val="00AF24B2"/>
    <w:rsid w:val="00AF529C"/>
    <w:rsid w:val="00AF60B7"/>
    <w:rsid w:val="00B03791"/>
    <w:rsid w:val="00B051CC"/>
    <w:rsid w:val="00B17FF8"/>
    <w:rsid w:val="00B30A72"/>
    <w:rsid w:val="00B30F3E"/>
    <w:rsid w:val="00B3280B"/>
    <w:rsid w:val="00B34570"/>
    <w:rsid w:val="00B46F5D"/>
    <w:rsid w:val="00B53695"/>
    <w:rsid w:val="00B63F07"/>
    <w:rsid w:val="00B82437"/>
    <w:rsid w:val="00B95065"/>
    <w:rsid w:val="00B96E93"/>
    <w:rsid w:val="00B971AE"/>
    <w:rsid w:val="00B97AE8"/>
    <w:rsid w:val="00BB01C4"/>
    <w:rsid w:val="00BB1DDF"/>
    <w:rsid w:val="00BC1CC8"/>
    <w:rsid w:val="00BC2D7C"/>
    <w:rsid w:val="00BE4EA8"/>
    <w:rsid w:val="00BE56ED"/>
    <w:rsid w:val="00BF158F"/>
    <w:rsid w:val="00BF5106"/>
    <w:rsid w:val="00C032E9"/>
    <w:rsid w:val="00C04E50"/>
    <w:rsid w:val="00C053AA"/>
    <w:rsid w:val="00C05572"/>
    <w:rsid w:val="00C077A3"/>
    <w:rsid w:val="00C11CA8"/>
    <w:rsid w:val="00C2114D"/>
    <w:rsid w:val="00C343BD"/>
    <w:rsid w:val="00C36730"/>
    <w:rsid w:val="00C46EC8"/>
    <w:rsid w:val="00C656CA"/>
    <w:rsid w:val="00C674B4"/>
    <w:rsid w:val="00C74392"/>
    <w:rsid w:val="00C74422"/>
    <w:rsid w:val="00C77568"/>
    <w:rsid w:val="00C8337E"/>
    <w:rsid w:val="00C8624C"/>
    <w:rsid w:val="00C92B2B"/>
    <w:rsid w:val="00C93F32"/>
    <w:rsid w:val="00C94775"/>
    <w:rsid w:val="00C94D3F"/>
    <w:rsid w:val="00C95D73"/>
    <w:rsid w:val="00CA492E"/>
    <w:rsid w:val="00CA6DEF"/>
    <w:rsid w:val="00CC1780"/>
    <w:rsid w:val="00CC7BDF"/>
    <w:rsid w:val="00CF4958"/>
    <w:rsid w:val="00D01B22"/>
    <w:rsid w:val="00D02682"/>
    <w:rsid w:val="00D13147"/>
    <w:rsid w:val="00D14818"/>
    <w:rsid w:val="00D15111"/>
    <w:rsid w:val="00D21F6E"/>
    <w:rsid w:val="00D22CFE"/>
    <w:rsid w:val="00D31C1B"/>
    <w:rsid w:val="00D33A1A"/>
    <w:rsid w:val="00D427FB"/>
    <w:rsid w:val="00D45208"/>
    <w:rsid w:val="00D609E5"/>
    <w:rsid w:val="00D66971"/>
    <w:rsid w:val="00D708B7"/>
    <w:rsid w:val="00D755A7"/>
    <w:rsid w:val="00D823A9"/>
    <w:rsid w:val="00D83FB6"/>
    <w:rsid w:val="00D90217"/>
    <w:rsid w:val="00D97320"/>
    <w:rsid w:val="00DC54A4"/>
    <w:rsid w:val="00DC5745"/>
    <w:rsid w:val="00DD2C65"/>
    <w:rsid w:val="00DD491D"/>
    <w:rsid w:val="00DE5012"/>
    <w:rsid w:val="00DF20F8"/>
    <w:rsid w:val="00DF3C21"/>
    <w:rsid w:val="00DF6487"/>
    <w:rsid w:val="00E0203D"/>
    <w:rsid w:val="00E15B6A"/>
    <w:rsid w:val="00E1655E"/>
    <w:rsid w:val="00E22F11"/>
    <w:rsid w:val="00E27E4C"/>
    <w:rsid w:val="00E3755B"/>
    <w:rsid w:val="00E45CD7"/>
    <w:rsid w:val="00E544CF"/>
    <w:rsid w:val="00E5485A"/>
    <w:rsid w:val="00E60695"/>
    <w:rsid w:val="00E61CF3"/>
    <w:rsid w:val="00E61E4D"/>
    <w:rsid w:val="00E65AAE"/>
    <w:rsid w:val="00E75B91"/>
    <w:rsid w:val="00E7781F"/>
    <w:rsid w:val="00E826B0"/>
    <w:rsid w:val="00E83879"/>
    <w:rsid w:val="00E865C0"/>
    <w:rsid w:val="00E94FC2"/>
    <w:rsid w:val="00E95C92"/>
    <w:rsid w:val="00EB14C9"/>
    <w:rsid w:val="00EB7BC6"/>
    <w:rsid w:val="00EC1E91"/>
    <w:rsid w:val="00ED073D"/>
    <w:rsid w:val="00ED26C2"/>
    <w:rsid w:val="00EE6DB9"/>
    <w:rsid w:val="00EF67C4"/>
    <w:rsid w:val="00F01ED5"/>
    <w:rsid w:val="00F11576"/>
    <w:rsid w:val="00F117D2"/>
    <w:rsid w:val="00F12BCE"/>
    <w:rsid w:val="00F16B41"/>
    <w:rsid w:val="00F17700"/>
    <w:rsid w:val="00F245C8"/>
    <w:rsid w:val="00F275D7"/>
    <w:rsid w:val="00F320EE"/>
    <w:rsid w:val="00F35A55"/>
    <w:rsid w:val="00F36DEA"/>
    <w:rsid w:val="00F4071A"/>
    <w:rsid w:val="00F55DDF"/>
    <w:rsid w:val="00F61E47"/>
    <w:rsid w:val="00F6436F"/>
    <w:rsid w:val="00F6596E"/>
    <w:rsid w:val="00F6679F"/>
    <w:rsid w:val="00F67CAA"/>
    <w:rsid w:val="00F75202"/>
    <w:rsid w:val="00F82796"/>
    <w:rsid w:val="00F948AD"/>
    <w:rsid w:val="00FA028D"/>
    <w:rsid w:val="00FA4B1D"/>
    <w:rsid w:val="00FA68F1"/>
    <w:rsid w:val="00FB028A"/>
    <w:rsid w:val="00FB41F7"/>
    <w:rsid w:val="00FB7CCF"/>
    <w:rsid w:val="00FC4E8E"/>
    <w:rsid w:val="00FD146A"/>
    <w:rsid w:val="00FD4B4C"/>
    <w:rsid w:val="00FE277E"/>
    <w:rsid w:val="00FE7C89"/>
    <w:rsid w:val="00FF4DD0"/>
    <w:rsid w:val="00FF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2312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97A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7A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7A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7A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7AE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AE8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50179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544CF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1C51E2"/>
    <w:pPr>
      <w:autoSpaceDE w:val="0"/>
      <w:autoSpaceDN w:val="0"/>
      <w:adjustRightInd w:val="0"/>
      <w:spacing w:after="0" w:line="240" w:lineRule="atLeast"/>
      <w:textAlignment w:val="center"/>
    </w:pPr>
    <w:rPr>
      <w:rFonts w:ascii="Calibri" w:hAnsi="Calibri" w:cs="Calibri"/>
      <w:color w:val="00000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6805A5"/>
    <w:rPr>
      <w:i/>
      <w:i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427FB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427FB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427FB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B7CC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2312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97A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7A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7A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7A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7AE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AE8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50179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544CF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1C51E2"/>
    <w:pPr>
      <w:autoSpaceDE w:val="0"/>
      <w:autoSpaceDN w:val="0"/>
      <w:adjustRightInd w:val="0"/>
      <w:spacing w:after="0" w:line="240" w:lineRule="atLeast"/>
      <w:textAlignment w:val="center"/>
    </w:pPr>
    <w:rPr>
      <w:rFonts w:ascii="Calibri" w:hAnsi="Calibri" w:cs="Calibri"/>
      <w:color w:val="00000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6805A5"/>
    <w:rPr>
      <w:i/>
      <w:i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427FB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427FB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427FB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B7C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019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7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16673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67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79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4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74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80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43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38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234189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00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544099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74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008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3839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3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138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7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ufficio.stampa@gimbe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vidence.it/sofosbuvir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A221E-5DC0-4784-8328-F574DD8FB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Marco Mosti</cp:lastModifiedBy>
  <cp:revision>10</cp:revision>
  <cp:lastPrinted>2014-01-27T14:53:00Z</cp:lastPrinted>
  <dcterms:created xsi:type="dcterms:W3CDTF">2015-05-26T06:43:00Z</dcterms:created>
  <dcterms:modified xsi:type="dcterms:W3CDTF">2015-05-26T07:24:00Z</dcterms:modified>
</cp:coreProperties>
</file>